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597131" w14:textId="716FCC14" w:rsidR="00220497" w:rsidRPr="00220497" w:rsidRDefault="00220497" w:rsidP="00220497">
      <w:pPr>
        <w:spacing w:before="480" w:after="120" w:line="360" w:lineRule="auto"/>
        <w:rPr>
          <w:sz w:val="22"/>
          <w:szCs w:val="22"/>
        </w:rPr>
      </w:pPr>
      <w:r w:rsidRPr="00220497">
        <w:rPr>
          <w:b/>
          <w:bCs/>
          <w:sz w:val="22"/>
          <w:szCs w:val="22"/>
        </w:rPr>
        <w:t>Name:</w:t>
      </w:r>
      <w:r>
        <w:rPr>
          <w:b/>
          <w:bCs/>
          <w:sz w:val="22"/>
          <w:szCs w:val="22"/>
        </w:rPr>
        <w:t xml:space="preserve"> </w:t>
      </w:r>
      <w:r>
        <w:rPr>
          <w:sz w:val="22"/>
          <w:szCs w:val="22"/>
        </w:rPr>
        <w:t>Ashlene Barnes</w:t>
      </w:r>
    </w:p>
    <w:p w14:paraId="27336AAB" w14:textId="23FB74C9" w:rsidR="00220497" w:rsidRPr="00220497" w:rsidRDefault="00220497" w:rsidP="00220497">
      <w:pPr>
        <w:spacing w:before="480" w:after="120" w:line="360" w:lineRule="auto"/>
        <w:rPr>
          <w:sz w:val="22"/>
          <w:szCs w:val="22"/>
        </w:rPr>
      </w:pPr>
      <w:r w:rsidRPr="00220497">
        <w:rPr>
          <w:b/>
          <w:bCs/>
          <w:sz w:val="22"/>
          <w:szCs w:val="22"/>
        </w:rPr>
        <w:t>Student Number:</w:t>
      </w:r>
      <w:r>
        <w:rPr>
          <w:b/>
          <w:bCs/>
          <w:sz w:val="22"/>
          <w:szCs w:val="22"/>
        </w:rPr>
        <w:t xml:space="preserve"> </w:t>
      </w:r>
      <w:r>
        <w:rPr>
          <w:sz w:val="22"/>
          <w:szCs w:val="22"/>
        </w:rPr>
        <w:t>2208278</w:t>
      </w:r>
    </w:p>
    <w:p w14:paraId="16F43D4B" w14:textId="3D4C79B1" w:rsidR="00220497" w:rsidRPr="00220497" w:rsidRDefault="00220497" w:rsidP="00220497">
      <w:pPr>
        <w:spacing w:after="80" w:line="360" w:lineRule="auto"/>
        <w:rPr>
          <w:sz w:val="22"/>
          <w:szCs w:val="22"/>
        </w:rPr>
      </w:pPr>
      <w:r w:rsidRPr="00220497">
        <w:rPr>
          <w:b/>
          <w:bCs/>
          <w:sz w:val="22"/>
          <w:szCs w:val="22"/>
        </w:rPr>
        <w:t xml:space="preserve">Module: </w:t>
      </w:r>
      <w:r w:rsidRPr="00220497">
        <w:rPr>
          <w:sz w:val="22"/>
          <w:szCs w:val="22"/>
        </w:rPr>
        <w:t>Quality Assurance and Service Improvements</w:t>
      </w:r>
    </w:p>
    <w:p w14:paraId="024EEF50" w14:textId="2658CA66" w:rsidR="0016368E" w:rsidRPr="00220497" w:rsidRDefault="00220497" w:rsidP="00220497">
      <w:pPr>
        <w:spacing w:before="480" w:after="120" w:line="360" w:lineRule="auto"/>
        <w:rPr>
          <w:sz w:val="22"/>
          <w:szCs w:val="22"/>
        </w:rPr>
      </w:pPr>
      <w:r w:rsidRPr="00220497">
        <w:rPr>
          <w:b/>
          <w:bCs/>
          <w:sz w:val="22"/>
          <w:szCs w:val="22"/>
        </w:rPr>
        <w:t xml:space="preserve">Program: </w:t>
      </w:r>
      <w:r w:rsidR="00ED15C3" w:rsidRPr="00220497">
        <w:rPr>
          <w:sz w:val="22"/>
          <w:szCs w:val="22"/>
        </w:rPr>
        <w:t>MSc Public Health and Social Care in Practice</w:t>
      </w:r>
    </w:p>
    <w:p w14:paraId="2548D752" w14:textId="4E14013A" w:rsidR="0016368E" w:rsidRPr="00220497" w:rsidRDefault="00220497" w:rsidP="00220497">
      <w:pPr>
        <w:spacing w:after="480" w:line="360" w:lineRule="auto"/>
        <w:rPr>
          <w:b/>
          <w:bCs/>
          <w:sz w:val="22"/>
          <w:szCs w:val="22"/>
        </w:rPr>
      </w:pPr>
      <w:r w:rsidRPr="00220497">
        <w:rPr>
          <w:b/>
          <w:bCs/>
          <w:sz w:val="22"/>
          <w:szCs w:val="22"/>
        </w:rPr>
        <w:t xml:space="preserve">Assignment Title </w:t>
      </w:r>
      <w:r w:rsidR="00ED15C3" w:rsidRPr="00220497">
        <w:rPr>
          <w:b/>
          <w:bCs/>
          <w:sz w:val="22"/>
          <w:szCs w:val="22"/>
        </w:rPr>
        <w:t>Component 2:</w:t>
      </w:r>
      <w:r w:rsidR="00ED15C3" w:rsidRPr="00220497">
        <w:rPr>
          <w:sz w:val="22"/>
          <w:szCs w:val="22"/>
        </w:rPr>
        <w:t xml:space="preserve"> Service Improvement Report</w:t>
      </w:r>
      <w:r>
        <w:rPr>
          <w:sz w:val="22"/>
          <w:szCs w:val="22"/>
        </w:rPr>
        <w:t xml:space="preserve"> </w:t>
      </w:r>
    </w:p>
    <w:p w14:paraId="76793662" w14:textId="41797DCA" w:rsidR="0016368E" w:rsidRPr="00220497" w:rsidRDefault="00356BD0" w:rsidP="00220497">
      <w:pPr>
        <w:spacing w:after="80" w:line="360" w:lineRule="auto"/>
        <w:rPr>
          <w:sz w:val="22"/>
          <w:szCs w:val="22"/>
        </w:rPr>
      </w:pPr>
      <w:r w:rsidRPr="00220497">
        <w:rPr>
          <w:b/>
          <w:bCs/>
          <w:sz w:val="22"/>
          <w:szCs w:val="22"/>
        </w:rPr>
        <w:t>Lecturer:</w:t>
      </w:r>
      <w:r w:rsidRPr="00220497">
        <w:rPr>
          <w:sz w:val="22"/>
          <w:szCs w:val="22"/>
        </w:rPr>
        <w:t xml:space="preserve"> Dr Fahad Khan</w:t>
      </w:r>
    </w:p>
    <w:p w14:paraId="23284663" w14:textId="3B8AC832" w:rsidR="0016368E" w:rsidRPr="00220497" w:rsidRDefault="00356BD0" w:rsidP="00220497">
      <w:pPr>
        <w:spacing w:after="80" w:line="360" w:lineRule="auto"/>
        <w:rPr>
          <w:sz w:val="22"/>
          <w:szCs w:val="22"/>
        </w:rPr>
      </w:pPr>
      <w:r w:rsidRPr="00220497">
        <w:rPr>
          <w:b/>
          <w:bCs/>
          <w:sz w:val="22"/>
          <w:szCs w:val="22"/>
        </w:rPr>
        <w:t>Submission Deadline:</w:t>
      </w:r>
      <w:r w:rsidRPr="00220497">
        <w:rPr>
          <w:sz w:val="22"/>
          <w:szCs w:val="22"/>
        </w:rPr>
        <w:t xml:space="preserve"> </w:t>
      </w:r>
      <w:r w:rsidR="006308C4">
        <w:rPr>
          <w:sz w:val="22"/>
          <w:szCs w:val="22"/>
        </w:rPr>
        <w:t xml:space="preserve">Friday </w:t>
      </w:r>
      <w:r w:rsidR="009E6DEC">
        <w:rPr>
          <w:sz w:val="22"/>
          <w:szCs w:val="22"/>
        </w:rPr>
        <w:t>9</w:t>
      </w:r>
      <w:r w:rsidR="009E6DEC" w:rsidRPr="009E6DEC">
        <w:rPr>
          <w:sz w:val="22"/>
          <w:szCs w:val="22"/>
          <w:vertAlign w:val="superscript"/>
        </w:rPr>
        <w:t>th</w:t>
      </w:r>
      <w:r w:rsidRPr="00220497">
        <w:rPr>
          <w:sz w:val="22"/>
          <w:szCs w:val="22"/>
        </w:rPr>
        <w:t xml:space="preserve"> April 2026</w:t>
      </w:r>
      <w:r w:rsidR="009E6DEC">
        <w:rPr>
          <w:sz w:val="22"/>
          <w:szCs w:val="22"/>
        </w:rPr>
        <w:t xml:space="preserve"> </w:t>
      </w:r>
      <w:r w:rsidR="00B54C5B">
        <w:rPr>
          <w:sz w:val="22"/>
          <w:szCs w:val="22"/>
        </w:rPr>
        <w:t xml:space="preserve">@ 2:00pm </w:t>
      </w:r>
      <w:r w:rsidR="009E6DEC">
        <w:rPr>
          <w:sz w:val="22"/>
          <w:szCs w:val="22"/>
        </w:rPr>
        <w:t>(+1 week)</w:t>
      </w:r>
    </w:p>
    <w:p w14:paraId="5690FFED" w14:textId="77777777" w:rsidR="009209E4" w:rsidRDefault="009209E4" w:rsidP="00220497">
      <w:pPr>
        <w:spacing w:after="720" w:line="360" w:lineRule="auto"/>
      </w:pPr>
    </w:p>
    <w:p w14:paraId="722400E5" w14:textId="77777777" w:rsidR="009209E4" w:rsidRDefault="009209E4" w:rsidP="009209E4">
      <w:pPr>
        <w:spacing w:after="720" w:line="360" w:lineRule="auto"/>
        <w:jc w:val="center"/>
      </w:pPr>
    </w:p>
    <w:p w14:paraId="4F7C15A3" w14:textId="77777777" w:rsidR="0037412D" w:rsidRDefault="0037412D" w:rsidP="009209E4">
      <w:pPr>
        <w:spacing w:after="720" w:line="360" w:lineRule="auto"/>
        <w:jc w:val="center"/>
      </w:pPr>
    </w:p>
    <w:p w14:paraId="2E6D5A21" w14:textId="77777777" w:rsidR="0037412D" w:rsidRDefault="0037412D" w:rsidP="009209E4">
      <w:pPr>
        <w:spacing w:after="720" w:line="360" w:lineRule="auto"/>
        <w:jc w:val="center"/>
      </w:pPr>
    </w:p>
    <w:p w14:paraId="32688F18" w14:textId="77777777" w:rsidR="009209E4" w:rsidRDefault="009209E4" w:rsidP="009209E4">
      <w:pPr>
        <w:spacing w:after="720" w:line="360" w:lineRule="auto"/>
        <w:jc w:val="center"/>
      </w:pPr>
    </w:p>
    <w:p w14:paraId="006D98F2" w14:textId="6335B3BD" w:rsidR="009209E4" w:rsidRDefault="009209E4" w:rsidP="009209E4">
      <w:pPr>
        <w:spacing w:after="720" w:line="360" w:lineRule="auto"/>
      </w:pPr>
    </w:p>
    <w:p w14:paraId="4C1462AA" w14:textId="0DF9610D" w:rsidR="00B95750" w:rsidRDefault="00B95750" w:rsidP="009209E4">
      <w:pPr>
        <w:spacing w:after="720" w:line="360" w:lineRule="auto"/>
      </w:pPr>
    </w:p>
    <w:p w14:paraId="1A3AF692" w14:textId="77777777" w:rsidR="00B54C5B" w:rsidRDefault="00B54C5B" w:rsidP="009209E4">
      <w:pPr>
        <w:spacing w:after="720" w:line="360" w:lineRule="auto"/>
      </w:pPr>
    </w:p>
    <w:sdt>
      <w:sdtPr>
        <w:rPr>
          <w:rFonts w:ascii="Arial" w:eastAsia="Arial" w:hAnsi="Arial" w:cs="Arial"/>
          <w:color w:val="auto"/>
          <w:sz w:val="24"/>
          <w:szCs w:val="24"/>
        </w:rPr>
        <w:id w:val="-1352025999"/>
        <w:docPartObj>
          <w:docPartGallery w:val="Table of Contents"/>
          <w:docPartUnique/>
        </w:docPartObj>
      </w:sdtPr>
      <w:sdtEndPr>
        <w:rPr>
          <w:b/>
          <w:bCs/>
          <w:noProof/>
        </w:rPr>
      </w:sdtEndPr>
      <w:sdtContent>
        <w:p w14:paraId="122D4401" w14:textId="70BCC83E" w:rsidR="009209E4" w:rsidRPr="009209E4" w:rsidRDefault="009209E4" w:rsidP="009209E4">
          <w:pPr>
            <w:pStyle w:val="TOCHeading"/>
            <w:spacing w:line="360" w:lineRule="auto"/>
            <w:jc w:val="both"/>
            <w:rPr>
              <w:rFonts w:ascii="Arial" w:hAnsi="Arial" w:cs="Arial"/>
              <w:b/>
              <w:bCs/>
            </w:rPr>
          </w:pPr>
          <w:r w:rsidRPr="009209E4">
            <w:rPr>
              <w:rFonts w:ascii="Arial" w:hAnsi="Arial" w:cs="Arial"/>
              <w:b/>
              <w:bCs/>
            </w:rPr>
            <w:t>Table of Contents</w:t>
          </w:r>
        </w:p>
        <w:p w14:paraId="444055E5" w14:textId="2A9BA899" w:rsidR="00B54C5B" w:rsidRDefault="009209E4">
          <w:pPr>
            <w:pStyle w:val="TOC1"/>
            <w:tabs>
              <w:tab w:val="right" w:leader="dot" w:pos="9016"/>
            </w:tabs>
            <w:rPr>
              <w:rFonts w:asciiTheme="minorHAnsi" w:eastAsiaTheme="minorEastAsia" w:hAnsiTheme="minorHAnsi" w:cstheme="minorBidi"/>
              <w:noProof/>
              <w:kern w:val="2"/>
              <w:lang w:val="en-GB" w:eastAsia="en-GB"/>
              <w14:ligatures w14:val="standardContextual"/>
            </w:rPr>
          </w:pPr>
          <w:r w:rsidRPr="009209E4">
            <w:fldChar w:fldCharType="begin"/>
          </w:r>
          <w:r w:rsidRPr="009209E4">
            <w:instrText xml:space="preserve"> TOC \o "1-3" \h \z \u </w:instrText>
          </w:r>
          <w:r w:rsidRPr="009209E4">
            <w:fldChar w:fldCharType="separate"/>
          </w:r>
          <w:hyperlink w:anchor="_Toc226630788" w:history="1">
            <w:r w:rsidR="00B54C5B" w:rsidRPr="00F34764">
              <w:rPr>
                <w:rStyle w:val="Hyperlink"/>
                <w:noProof/>
              </w:rPr>
              <w:t>1. Introduction</w:t>
            </w:r>
            <w:r w:rsidR="00B54C5B">
              <w:rPr>
                <w:noProof/>
                <w:webHidden/>
              </w:rPr>
              <w:tab/>
            </w:r>
            <w:r w:rsidR="00B54C5B">
              <w:rPr>
                <w:noProof/>
                <w:webHidden/>
              </w:rPr>
              <w:fldChar w:fldCharType="begin"/>
            </w:r>
            <w:r w:rsidR="00B54C5B">
              <w:rPr>
                <w:noProof/>
                <w:webHidden/>
              </w:rPr>
              <w:instrText xml:space="preserve"> PAGEREF _Toc226630788 \h </w:instrText>
            </w:r>
            <w:r w:rsidR="00B54C5B">
              <w:rPr>
                <w:noProof/>
                <w:webHidden/>
              </w:rPr>
            </w:r>
            <w:r w:rsidR="00B54C5B">
              <w:rPr>
                <w:noProof/>
                <w:webHidden/>
              </w:rPr>
              <w:fldChar w:fldCharType="separate"/>
            </w:r>
            <w:r w:rsidR="00B54C5B">
              <w:rPr>
                <w:noProof/>
                <w:webHidden/>
              </w:rPr>
              <w:t>3</w:t>
            </w:r>
            <w:r w:rsidR="00B54C5B">
              <w:rPr>
                <w:noProof/>
                <w:webHidden/>
              </w:rPr>
              <w:fldChar w:fldCharType="end"/>
            </w:r>
          </w:hyperlink>
        </w:p>
        <w:p w14:paraId="732BFBEB" w14:textId="7A531D07" w:rsidR="00B54C5B" w:rsidRDefault="00B54C5B">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26630789" w:history="1">
            <w:r w:rsidRPr="00F34764">
              <w:rPr>
                <w:rStyle w:val="Hyperlink"/>
                <w:noProof/>
              </w:rPr>
              <w:t>1.1 Summary of the Case Study</w:t>
            </w:r>
            <w:r>
              <w:rPr>
                <w:noProof/>
                <w:webHidden/>
              </w:rPr>
              <w:tab/>
            </w:r>
            <w:r>
              <w:rPr>
                <w:noProof/>
                <w:webHidden/>
              </w:rPr>
              <w:fldChar w:fldCharType="begin"/>
            </w:r>
            <w:r>
              <w:rPr>
                <w:noProof/>
                <w:webHidden/>
              </w:rPr>
              <w:instrText xml:space="preserve"> PAGEREF _Toc226630789 \h </w:instrText>
            </w:r>
            <w:r>
              <w:rPr>
                <w:noProof/>
                <w:webHidden/>
              </w:rPr>
            </w:r>
            <w:r>
              <w:rPr>
                <w:noProof/>
                <w:webHidden/>
              </w:rPr>
              <w:fldChar w:fldCharType="separate"/>
            </w:r>
            <w:r>
              <w:rPr>
                <w:noProof/>
                <w:webHidden/>
              </w:rPr>
              <w:t>3</w:t>
            </w:r>
            <w:r>
              <w:rPr>
                <w:noProof/>
                <w:webHidden/>
              </w:rPr>
              <w:fldChar w:fldCharType="end"/>
            </w:r>
          </w:hyperlink>
        </w:p>
        <w:p w14:paraId="796C5C61" w14:textId="1091084F" w:rsidR="00B54C5B" w:rsidRDefault="00B54C5B">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26630790" w:history="1">
            <w:r w:rsidRPr="00F34764">
              <w:rPr>
                <w:rStyle w:val="Hyperlink"/>
                <w:noProof/>
              </w:rPr>
              <w:t>1.2 The meaning and significance of quality assurance will be presented.</w:t>
            </w:r>
            <w:r>
              <w:rPr>
                <w:noProof/>
                <w:webHidden/>
              </w:rPr>
              <w:tab/>
            </w:r>
            <w:r>
              <w:rPr>
                <w:noProof/>
                <w:webHidden/>
              </w:rPr>
              <w:fldChar w:fldCharType="begin"/>
            </w:r>
            <w:r>
              <w:rPr>
                <w:noProof/>
                <w:webHidden/>
              </w:rPr>
              <w:instrText xml:space="preserve"> PAGEREF _Toc226630790 \h </w:instrText>
            </w:r>
            <w:r>
              <w:rPr>
                <w:noProof/>
                <w:webHidden/>
              </w:rPr>
            </w:r>
            <w:r>
              <w:rPr>
                <w:noProof/>
                <w:webHidden/>
              </w:rPr>
              <w:fldChar w:fldCharType="separate"/>
            </w:r>
            <w:r>
              <w:rPr>
                <w:noProof/>
                <w:webHidden/>
              </w:rPr>
              <w:t>3</w:t>
            </w:r>
            <w:r>
              <w:rPr>
                <w:noProof/>
                <w:webHidden/>
              </w:rPr>
              <w:fldChar w:fldCharType="end"/>
            </w:r>
          </w:hyperlink>
        </w:p>
        <w:p w14:paraId="4D20F8BD" w14:textId="244999A2" w:rsidR="00B54C5B" w:rsidRDefault="00B54C5B">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26630791" w:history="1">
            <w:r w:rsidRPr="00F34764">
              <w:rPr>
                <w:rStyle w:val="Hyperlink"/>
                <w:noProof/>
              </w:rPr>
              <w:t>1.3 Scope of the Report</w:t>
            </w:r>
            <w:r>
              <w:rPr>
                <w:noProof/>
                <w:webHidden/>
              </w:rPr>
              <w:tab/>
            </w:r>
            <w:r>
              <w:rPr>
                <w:noProof/>
                <w:webHidden/>
              </w:rPr>
              <w:fldChar w:fldCharType="begin"/>
            </w:r>
            <w:r>
              <w:rPr>
                <w:noProof/>
                <w:webHidden/>
              </w:rPr>
              <w:instrText xml:space="preserve"> PAGEREF _Toc226630791 \h </w:instrText>
            </w:r>
            <w:r>
              <w:rPr>
                <w:noProof/>
                <w:webHidden/>
              </w:rPr>
            </w:r>
            <w:r>
              <w:rPr>
                <w:noProof/>
                <w:webHidden/>
              </w:rPr>
              <w:fldChar w:fldCharType="separate"/>
            </w:r>
            <w:r>
              <w:rPr>
                <w:noProof/>
                <w:webHidden/>
              </w:rPr>
              <w:t>4</w:t>
            </w:r>
            <w:r>
              <w:rPr>
                <w:noProof/>
                <w:webHidden/>
              </w:rPr>
              <w:fldChar w:fldCharType="end"/>
            </w:r>
          </w:hyperlink>
        </w:p>
        <w:p w14:paraId="04F33C1C" w14:textId="73368F16" w:rsidR="00B54C5B" w:rsidRDefault="00B54C5B">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26630792" w:history="1">
            <w:r w:rsidRPr="00F34764">
              <w:rPr>
                <w:rStyle w:val="Hyperlink"/>
                <w:noProof/>
              </w:rPr>
              <w:t>2. Main Body</w:t>
            </w:r>
            <w:r>
              <w:rPr>
                <w:noProof/>
                <w:webHidden/>
              </w:rPr>
              <w:tab/>
            </w:r>
            <w:r>
              <w:rPr>
                <w:noProof/>
                <w:webHidden/>
              </w:rPr>
              <w:fldChar w:fldCharType="begin"/>
            </w:r>
            <w:r>
              <w:rPr>
                <w:noProof/>
                <w:webHidden/>
              </w:rPr>
              <w:instrText xml:space="preserve"> PAGEREF _Toc226630792 \h </w:instrText>
            </w:r>
            <w:r>
              <w:rPr>
                <w:noProof/>
                <w:webHidden/>
              </w:rPr>
            </w:r>
            <w:r>
              <w:rPr>
                <w:noProof/>
                <w:webHidden/>
              </w:rPr>
              <w:fldChar w:fldCharType="separate"/>
            </w:r>
            <w:r>
              <w:rPr>
                <w:noProof/>
                <w:webHidden/>
              </w:rPr>
              <w:t>4</w:t>
            </w:r>
            <w:r>
              <w:rPr>
                <w:noProof/>
                <w:webHidden/>
              </w:rPr>
              <w:fldChar w:fldCharType="end"/>
            </w:r>
          </w:hyperlink>
        </w:p>
        <w:p w14:paraId="0255C2A9" w14:textId="45FF7D89" w:rsidR="00B54C5B" w:rsidRDefault="00B54C5B">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26630793" w:history="1">
            <w:r w:rsidRPr="00F34764">
              <w:rPr>
                <w:rStyle w:val="Hyperlink"/>
                <w:noProof/>
              </w:rPr>
              <w:t>2.1 Donabedian Model</w:t>
            </w:r>
            <w:r>
              <w:rPr>
                <w:noProof/>
                <w:webHidden/>
              </w:rPr>
              <w:tab/>
            </w:r>
            <w:r>
              <w:rPr>
                <w:noProof/>
                <w:webHidden/>
              </w:rPr>
              <w:fldChar w:fldCharType="begin"/>
            </w:r>
            <w:r>
              <w:rPr>
                <w:noProof/>
                <w:webHidden/>
              </w:rPr>
              <w:instrText xml:space="preserve"> PAGEREF _Toc226630793 \h </w:instrText>
            </w:r>
            <w:r>
              <w:rPr>
                <w:noProof/>
                <w:webHidden/>
              </w:rPr>
            </w:r>
            <w:r>
              <w:rPr>
                <w:noProof/>
                <w:webHidden/>
              </w:rPr>
              <w:fldChar w:fldCharType="separate"/>
            </w:r>
            <w:r>
              <w:rPr>
                <w:noProof/>
                <w:webHidden/>
              </w:rPr>
              <w:t>4</w:t>
            </w:r>
            <w:r>
              <w:rPr>
                <w:noProof/>
                <w:webHidden/>
              </w:rPr>
              <w:fldChar w:fldCharType="end"/>
            </w:r>
          </w:hyperlink>
        </w:p>
        <w:p w14:paraId="2F19819F" w14:textId="40C948A6" w:rsidR="00B54C5B" w:rsidRDefault="00B54C5B">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26630794" w:history="1">
            <w:r w:rsidRPr="00F34764">
              <w:rPr>
                <w:rStyle w:val="Hyperlink"/>
                <w:noProof/>
              </w:rPr>
              <w:t>2.2 Fishbone (Cause-and- Effect) Diagram.</w:t>
            </w:r>
            <w:r>
              <w:rPr>
                <w:noProof/>
                <w:webHidden/>
              </w:rPr>
              <w:tab/>
            </w:r>
            <w:r>
              <w:rPr>
                <w:noProof/>
                <w:webHidden/>
              </w:rPr>
              <w:fldChar w:fldCharType="begin"/>
            </w:r>
            <w:r>
              <w:rPr>
                <w:noProof/>
                <w:webHidden/>
              </w:rPr>
              <w:instrText xml:space="preserve"> PAGEREF _Toc226630794 \h </w:instrText>
            </w:r>
            <w:r>
              <w:rPr>
                <w:noProof/>
                <w:webHidden/>
              </w:rPr>
            </w:r>
            <w:r>
              <w:rPr>
                <w:noProof/>
                <w:webHidden/>
              </w:rPr>
              <w:fldChar w:fldCharType="separate"/>
            </w:r>
            <w:r>
              <w:rPr>
                <w:noProof/>
                <w:webHidden/>
              </w:rPr>
              <w:t>5</w:t>
            </w:r>
            <w:r>
              <w:rPr>
                <w:noProof/>
                <w:webHidden/>
              </w:rPr>
              <w:fldChar w:fldCharType="end"/>
            </w:r>
          </w:hyperlink>
        </w:p>
        <w:p w14:paraId="008E7B66" w14:textId="40BFC0AF" w:rsidR="00B54C5B" w:rsidRDefault="00B54C5B">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26630795" w:history="1">
            <w:r w:rsidRPr="00F34764">
              <w:rPr>
                <w:rStyle w:val="Hyperlink"/>
                <w:noProof/>
              </w:rPr>
              <w:t>2.3 Five Whys Analysis</w:t>
            </w:r>
            <w:r>
              <w:rPr>
                <w:noProof/>
                <w:webHidden/>
              </w:rPr>
              <w:tab/>
            </w:r>
            <w:r>
              <w:rPr>
                <w:noProof/>
                <w:webHidden/>
              </w:rPr>
              <w:fldChar w:fldCharType="begin"/>
            </w:r>
            <w:r>
              <w:rPr>
                <w:noProof/>
                <w:webHidden/>
              </w:rPr>
              <w:instrText xml:space="preserve"> PAGEREF _Toc226630795 \h </w:instrText>
            </w:r>
            <w:r>
              <w:rPr>
                <w:noProof/>
                <w:webHidden/>
              </w:rPr>
            </w:r>
            <w:r>
              <w:rPr>
                <w:noProof/>
                <w:webHidden/>
              </w:rPr>
              <w:fldChar w:fldCharType="separate"/>
            </w:r>
            <w:r>
              <w:rPr>
                <w:noProof/>
                <w:webHidden/>
              </w:rPr>
              <w:t>6</w:t>
            </w:r>
            <w:r>
              <w:rPr>
                <w:noProof/>
                <w:webHidden/>
              </w:rPr>
              <w:fldChar w:fldCharType="end"/>
            </w:r>
          </w:hyperlink>
        </w:p>
        <w:p w14:paraId="752098DF" w14:textId="6C125F51" w:rsidR="00B54C5B" w:rsidRDefault="00B54C5B">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26630796" w:history="1">
            <w:r w:rsidRPr="00F34764">
              <w:rPr>
                <w:rStyle w:val="Hyperlink"/>
                <w:noProof/>
              </w:rPr>
              <w:t>2.4 SWOT Analysis</w:t>
            </w:r>
            <w:r>
              <w:rPr>
                <w:noProof/>
                <w:webHidden/>
              </w:rPr>
              <w:tab/>
            </w:r>
            <w:r>
              <w:rPr>
                <w:noProof/>
                <w:webHidden/>
              </w:rPr>
              <w:fldChar w:fldCharType="begin"/>
            </w:r>
            <w:r>
              <w:rPr>
                <w:noProof/>
                <w:webHidden/>
              </w:rPr>
              <w:instrText xml:space="preserve"> PAGEREF _Toc226630796 \h </w:instrText>
            </w:r>
            <w:r>
              <w:rPr>
                <w:noProof/>
                <w:webHidden/>
              </w:rPr>
            </w:r>
            <w:r>
              <w:rPr>
                <w:noProof/>
                <w:webHidden/>
              </w:rPr>
              <w:fldChar w:fldCharType="separate"/>
            </w:r>
            <w:r>
              <w:rPr>
                <w:noProof/>
                <w:webHidden/>
              </w:rPr>
              <w:t>7</w:t>
            </w:r>
            <w:r>
              <w:rPr>
                <w:noProof/>
                <w:webHidden/>
              </w:rPr>
              <w:fldChar w:fldCharType="end"/>
            </w:r>
          </w:hyperlink>
        </w:p>
        <w:p w14:paraId="7E959247" w14:textId="76BB2641" w:rsidR="00B54C5B" w:rsidRDefault="00B54C5B">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26630797" w:history="1">
            <w:r w:rsidRPr="00F34764">
              <w:rPr>
                <w:rStyle w:val="Hyperlink"/>
                <w:noProof/>
              </w:rPr>
              <w:t>2.5 Six Sigma DMAIC Cycle</w:t>
            </w:r>
            <w:r>
              <w:rPr>
                <w:noProof/>
                <w:webHidden/>
              </w:rPr>
              <w:tab/>
            </w:r>
            <w:r>
              <w:rPr>
                <w:noProof/>
                <w:webHidden/>
              </w:rPr>
              <w:fldChar w:fldCharType="begin"/>
            </w:r>
            <w:r>
              <w:rPr>
                <w:noProof/>
                <w:webHidden/>
              </w:rPr>
              <w:instrText xml:space="preserve"> PAGEREF _Toc226630797 \h </w:instrText>
            </w:r>
            <w:r>
              <w:rPr>
                <w:noProof/>
                <w:webHidden/>
              </w:rPr>
            </w:r>
            <w:r>
              <w:rPr>
                <w:noProof/>
                <w:webHidden/>
              </w:rPr>
              <w:fldChar w:fldCharType="separate"/>
            </w:r>
            <w:r>
              <w:rPr>
                <w:noProof/>
                <w:webHidden/>
              </w:rPr>
              <w:t>9</w:t>
            </w:r>
            <w:r>
              <w:rPr>
                <w:noProof/>
                <w:webHidden/>
              </w:rPr>
              <w:fldChar w:fldCharType="end"/>
            </w:r>
          </w:hyperlink>
        </w:p>
        <w:p w14:paraId="4B19AF7E" w14:textId="0F0E9306" w:rsidR="00B54C5B" w:rsidRDefault="00B54C5B">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26630798" w:history="1">
            <w:r w:rsidRPr="00F34764">
              <w:rPr>
                <w:rStyle w:val="Hyperlink"/>
                <w:noProof/>
              </w:rPr>
              <w:t>2.6 Kotter's 8-Step Change Model</w:t>
            </w:r>
            <w:r>
              <w:rPr>
                <w:noProof/>
                <w:webHidden/>
              </w:rPr>
              <w:tab/>
            </w:r>
            <w:r>
              <w:rPr>
                <w:noProof/>
                <w:webHidden/>
              </w:rPr>
              <w:fldChar w:fldCharType="begin"/>
            </w:r>
            <w:r>
              <w:rPr>
                <w:noProof/>
                <w:webHidden/>
              </w:rPr>
              <w:instrText xml:space="preserve"> PAGEREF _Toc226630798 \h </w:instrText>
            </w:r>
            <w:r>
              <w:rPr>
                <w:noProof/>
                <w:webHidden/>
              </w:rPr>
            </w:r>
            <w:r>
              <w:rPr>
                <w:noProof/>
                <w:webHidden/>
              </w:rPr>
              <w:fldChar w:fldCharType="separate"/>
            </w:r>
            <w:r>
              <w:rPr>
                <w:noProof/>
                <w:webHidden/>
              </w:rPr>
              <w:t>10</w:t>
            </w:r>
            <w:r>
              <w:rPr>
                <w:noProof/>
                <w:webHidden/>
              </w:rPr>
              <w:fldChar w:fldCharType="end"/>
            </w:r>
          </w:hyperlink>
        </w:p>
        <w:p w14:paraId="336E5ECC" w14:textId="396574EE" w:rsidR="00B54C5B" w:rsidRDefault="00B54C5B">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26630799" w:history="1">
            <w:r w:rsidRPr="00F34764">
              <w:rPr>
                <w:rStyle w:val="Hyperlink"/>
                <w:noProof/>
              </w:rPr>
              <w:t>3. Recommendations and Benchmark.</w:t>
            </w:r>
            <w:r>
              <w:rPr>
                <w:noProof/>
                <w:webHidden/>
              </w:rPr>
              <w:tab/>
            </w:r>
            <w:r>
              <w:rPr>
                <w:noProof/>
                <w:webHidden/>
              </w:rPr>
              <w:fldChar w:fldCharType="begin"/>
            </w:r>
            <w:r>
              <w:rPr>
                <w:noProof/>
                <w:webHidden/>
              </w:rPr>
              <w:instrText xml:space="preserve"> PAGEREF _Toc226630799 \h </w:instrText>
            </w:r>
            <w:r>
              <w:rPr>
                <w:noProof/>
                <w:webHidden/>
              </w:rPr>
            </w:r>
            <w:r>
              <w:rPr>
                <w:noProof/>
                <w:webHidden/>
              </w:rPr>
              <w:fldChar w:fldCharType="separate"/>
            </w:r>
            <w:r>
              <w:rPr>
                <w:noProof/>
                <w:webHidden/>
              </w:rPr>
              <w:t>11</w:t>
            </w:r>
            <w:r>
              <w:rPr>
                <w:noProof/>
                <w:webHidden/>
              </w:rPr>
              <w:fldChar w:fldCharType="end"/>
            </w:r>
          </w:hyperlink>
        </w:p>
        <w:p w14:paraId="2C3792C6" w14:textId="3448B060" w:rsidR="00B54C5B" w:rsidRDefault="00B54C5B">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26630800" w:history="1">
            <w:r w:rsidRPr="00F34764">
              <w:rPr>
                <w:rStyle w:val="Hyperlink"/>
                <w:noProof/>
              </w:rPr>
              <w:t>3.1 Evidence-Based Recommendations.</w:t>
            </w:r>
            <w:r>
              <w:rPr>
                <w:noProof/>
                <w:webHidden/>
              </w:rPr>
              <w:tab/>
            </w:r>
            <w:r>
              <w:rPr>
                <w:noProof/>
                <w:webHidden/>
              </w:rPr>
              <w:fldChar w:fldCharType="begin"/>
            </w:r>
            <w:r>
              <w:rPr>
                <w:noProof/>
                <w:webHidden/>
              </w:rPr>
              <w:instrText xml:space="preserve"> PAGEREF _Toc226630800 \h </w:instrText>
            </w:r>
            <w:r>
              <w:rPr>
                <w:noProof/>
                <w:webHidden/>
              </w:rPr>
            </w:r>
            <w:r>
              <w:rPr>
                <w:noProof/>
                <w:webHidden/>
              </w:rPr>
              <w:fldChar w:fldCharType="separate"/>
            </w:r>
            <w:r>
              <w:rPr>
                <w:noProof/>
                <w:webHidden/>
              </w:rPr>
              <w:t>11</w:t>
            </w:r>
            <w:r>
              <w:rPr>
                <w:noProof/>
                <w:webHidden/>
              </w:rPr>
              <w:fldChar w:fldCharType="end"/>
            </w:r>
          </w:hyperlink>
        </w:p>
        <w:p w14:paraId="6B068786" w14:textId="05DD5B52" w:rsidR="00B54C5B" w:rsidRDefault="00B54C5B">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26630801" w:history="1">
            <w:r w:rsidRPr="00F34764">
              <w:rPr>
                <w:rStyle w:val="Hyperlink"/>
                <w:noProof/>
              </w:rPr>
              <w:t>3.2 Before and After Benchmark Table</w:t>
            </w:r>
            <w:r>
              <w:rPr>
                <w:noProof/>
                <w:webHidden/>
              </w:rPr>
              <w:tab/>
            </w:r>
            <w:r>
              <w:rPr>
                <w:noProof/>
                <w:webHidden/>
              </w:rPr>
              <w:fldChar w:fldCharType="begin"/>
            </w:r>
            <w:r>
              <w:rPr>
                <w:noProof/>
                <w:webHidden/>
              </w:rPr>
              <w:instrText xml:space="preserve"> PAGEREF _Toc226630801 \h </w:instrText>
            </w:r>
            <w:r>
              <w:rPr>
                <w:noProof/>
                <w:webHidden/>
              </w:rPr>
            </w:r>
            <w:r>
              <w:rPr>
                <w:noProof/>
                <w:webHidden/>
              </w:rPr>
              <w:fldChar w:fldCharType="separate"/>
            </w:r>
            <w:r>
              <w:rPr>
                <w:noProof/>
                <w:webHidden/>
              </w:rPr>
              <w:t>13</w:t>
            </w:r>
            <w:r>
              <w:rPr>
                <w:noProof/>
                <w:webHidden/>
              </w:rPr>
              <w:fldChar w:fldCharType="end"/>
            </w:r>
          </w:hyperlink>
        </w:p>
        <w:p w14:paraId="748A1876" w14:textId="1472415A" w:rsidR="00B54C5B" w:rsidRDefault="00B54C5B">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26630802" w:history="1">
            <w:r w:rsidRPr="00F34764">
              <w:rPr>
                <w:rStyle w:val="Hyperlink"/>
                <w:noProof/>
              </w:rPr>
              <w:t>4. Conclusion</w:t>
            </w:r>
            <w:r>
              <w:rPr>
                <w:noProof/>
                <w:webHidden/>
              </w:rPr>
              <w:tab/>
            </w:r>
            <w:r>
              <w:rPr>
                <w:noProof/>
                <w:webHidden/>
              </w:rPr>
              <w:fldChar w:fldCharType="begin"/>
            </w:r>
            <w:r>
              <w:rPr>
                <w:noProof/>
                <w:webHidden/>
              </w:rPr>
              <w:instrText xml:space="preserve"> PAGEREF _Toc226630802 \h </w:instrText>
            </w:r>
            <w:r>
              <w:rPr>
                <w:noProof/>
                <w:webHidden/>
              </w:rPr>
            </w:r>
            <w:r>
              <w:rPr>
                <w:noProof/>
                <w:webHidden/>
              </w:rPr>
              <w:fldChar w:fldCharType="separate"/>
            </w:r>
            <w:r>
              <w:rPr>
                <w:noProof/>
                <w:webHidden/>
              </w:rPr>
              <w:t>14</w:t>
            </w:r>
            <w:r>
              <w:rPr>
                <w:noProof/>
                <w:webHidden/>
              </w:rPr>
              <w:fldChar w:fldCharType="end"/>
            </w:r>
          </w:hyperlink>
        </w:p>
        <w:p w14:paraId="70D95F93" w14:textId="400C6444" w:rsidR="00B54C5B" w:rsidRDefault="00B54C5B">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26630803" w:history="1">
            <w:r w:rsidRPr="00F34764">
              <w:rPr>
                <w:rStyle w:val="Hyperlink"/>
                <w:noProof/>
              </w:rPr>
              <w:t>References</w:t>
            </w:r>
            <w:r>
              <w:rPr>
                <w:noProof/>
                <w:webHidden/>
              </w:rPr>
              <w:tab/>
            </w:r>
            <w:r>
              <w:rPr>
                <w:noProof/>
                <w:webHidden/>
              </w:rPr>
              <w:fldChar w:fldCharType="begin"/>
            </w:r>
            <w:r>
              <w:rPr>
                <w:noProof/>
                <w:webHidden/>
              </w:rPr>
              <w:instrText xml:space="preserve"> PAGEREF _Toc226630803 \h </w:instrText>
            </w:r>
            <w:r>
              <w:rPr>
                <w:noProof/>
                <w:webHidden/>
              </w:rPr>
            </w:r>
            <w:r>
              <w:rPr>
                <w:noProof/>
                <w:webHidden/>
              </w:rPr>
              <w:fldChar w:fldCharType="separate"/>
            </w:r>
            <w:r>
              <w:rPr>
                <w:noProof/>
                <w:webHidden/>
              </w:rPr>
              <w:t>15</w:t>
            </w:r>
            <w:r>
              <w:rPr>
                <w:noProof/>
                <w:webHidden/>
              </w:rPr>
              <w:fldChar w:fldCharType="end"/>
            </w:r>
          </w:hyperlink>
        </w:p>
        <w:p w14:paraId="6D969328" w14:textId="5E347C38" w:rsidR="009209E4" w:rsidRDefault="009209E4" w:rsidP="009209E4">
          <w:pPr>
            <w:spacing w:line="360" w:lineRule="auto"/>
            <w:jc w:val="both"/>
          </w:pPr>
          <w:r w:rsidRPr="009209E4">
            <w:rPr>
              <w:b/>
              <w:bCs/>
              <w:noProof/>
            </w:rPr>
            <w:fldChar w:fldCharType="end"/>
          </w:r>
        </w:p>
      </w:sdtContent>
    </w:sdt>
    <w:p w14:paraId="4FB719CD" w14:textId="77777777" w:rsidR="009209E4" w:rsidRDefault="009209E4" w:rsidP="009209E4"/>
    <w:p w14:paraId="5B9CE792" w14:textId="77777777" w:rsidR="009209E4" w:rsidRDefault="009209E4">
      <w:r>
        <w:br w:type="page"/>
      </w:r>
    </w:p>
    <w:p w14:paraId="21E7E75F" w14:textId="3E659F4B" w:rsidR="00033FA8" w:rsidRDefault="00033FA8" w:rsidP="009209E4">
      <w:pPr>
        <w:pStyle w:val="Heading1"/>
        <w:spacing w:line="360" w:lineRule="auto"/>
      </w:pPr>
      <w:bookmarkStart w:id="0" w:name="_Toc226630788"/>
      <w:r>
        <w:lastRenderedPageBreak/>
        <w:t>1. Introduction</w:t>
      </w:r>
      <w:bookmarkEnd w:id="0"/>
    </w:p>
    <w:p w14:paraId="58A3E840" w14:textId="77777777" w:rsidR="00033FA8" w:rsidRDefault="00033FA8" w:rsidP="00033FA8">
      <w:pPr>
        <w:pStyle w:val="Heading2"/>
        <w:spacing w:line="360" w:lineRule="auto"/>
      </w:pPr>
      <w:bookmarkStart w:id="1" w:name="_Toc226630789"/>
      <w:r>
        <w:t>1.1 Summary of the Case Study</w:t>
      </w:r>
      <w:bookmarkEnd w:id="1"/>
    </w:p>
    <w:p w14:paraId="2311B6B2" w14:textId="05FB2E9F" w:rsidR="00033FA8" w:rsidRDefault="00033FA8" w:rsidP="00033FA8">
      <w:pPr>
        <w:spacing w:after="160" w:line="360" w:lineRule="auto"/>
        <w:jc w:val="both"/>
      </w:pPr>
      <w:r>
        <w:t xml:space="preserve">The Lucy Letby Countess of Chester Hospital NHS Foundation Trust (COCH) is one of the most tragic occurrences of clinical governance and quality assurance failures in the history of the NHS. </w:t>
      </w:r>
      <w:r w:rsidR="0037412D">
        <w:t>F</w:t>
      </w:r>
      <w:r w:rsidR="00B95750">
        <w:t>rom</w:t>
      </w:r>
      <w:r>
        <w:t xml:space="preserve"> June 2015 to June 2016, neonatal nurse Lucy Letby killed seven babies and </w:t>
      </w:r>
      <w:r w:rsidR="0037412D">
        <w:t>attempted to kill seven more</w:t>
      </w:r>
      <w:r>
        <w:t xml:space="preserve"> in the Level 2 neonatal unit of the hospital (Thirlwall Inquiry, 2023). </w:t>
      </w:r>
      <w:r w:rsidR="0037412D">
        <w:t>S</w:t>
      </w:r>
      <w:r>
        <w:t>ystemic and institutional failure</w:t>
      </w:r>
      <w:r w:rsidR="0037412D">
        <w:t>s</w:t>
      </w:r>
      <w:r>
        <w:t xml:space="preserve"> </w:t>
      </w:r>
      <w:r w:rsidR="0037412D">
        <w:t>enabled Letby</w:t>
      </w:r>
      <w:r>
        <w:t xml:space="preserve"> to engage in crimes</w:t>
      </w:r>
      <w:r w:rsidR="0037412D">
        <w:t xml:space="preserve"> which were</w:t>
      </w:r>
      <w:r>
        <w:t xml:space="preserve"> unnoticed </w:t>
      </w:r>
      <w:r w:rsidR="00B95750">
        <w:t>for</w:t>
      </w:r>
      <w:r>
        <w:t xml:space="preserve"> more than a year</w:t>
      </w:r>
      <w:r w:rsidR="00B50BFE">
        <w:t xml:space="preserve"> </w:t>
      </w:r>
      <w:r w:rsidR="00B50BFE" w:rsidRPr="00B50BFE">
        <w:t>(Robayet Ferdous Syed, 2024)</w:t>
      </w:r>
      <w:r>
        <w:t>.</w:t>
      </w:r>
    </w:p>
    <w:p w14:paraId="799A7D2A" w14:textId="0C0332EE" w:rsidR="00033FA8" w:rsidRDefault="00033FA8" w:rsidP="00033FA8">
      <w:pPr>
        <w:spacing w:after="160" w:line="360" w:lineRule="auto"/>
        <w:jc w:val="both"/>
      </w:pPr>
      <w:r>
        <w:t xml:space="preserve">Formal concerns regarding a suspicious number of </w:t>
      </w:r>
      <w:r w:rsidR="00B95750">
        <w:t>infant</w:t>
      </w:r>
      <w:r>
        <w:t xml:space="preserve"> deaths were first voiced by senior </w:t>
      </w:r>
      <w:r w:rsidR="0037412D">
        <w:t>pediatric</w:t>
      </w:r>
      <w:r>
        <w:t xml:space="preserve"> consultants, headed by Dr Stephen Brearey, as far back as June 2015, and they continually referred to Letby being present at the time when the deaths happened. Instead of being taken seriously, these issues were ignored, silenced, and the consultants were ordered by the hospital management to compose a written letter of apology to Letby. In 2014, the neonatal death rate </w:t>
      </w:r>
      <w:r w:rsidR="00B95750">
        <w:t>was</w:t>
      </w:r>
      <w:r>
        <w:t xml:space="preserve"> four</w:t>
      </w:r>
      <w:r w:rsidR="00B95750">
        <w:t>,</w:t>
      </w:r>
      <w:r>
        <w:t xml:space="preserve"> and in 2015, it increased to nine deaths (</w:t>
      </w:r>
      <w:r w:rsidR="00B95750">
        <w:t xml:space="preserve">the </w:t>
      </w:r>
      <w:r>
        <w:t xml:space="preserve">highest among similar-sized units in the UK) (Knight et al., 2021). An inspection by the Care Quality Commission (CQC) in February 2016 did not </w:t>
      </w:r>
      <w:r w:rsidR="00B95750">
        <w:t>reveal</w:t>
      </w:r>
      <w:r>
        <w:t xml:space="preserve"> this high mortality rate and rated the </w:t>
      </w:r>
      <w:r w:rsidR="00B95750">
        <w:t>children's</w:t>
      </w:r>
      <w:r>
        <w:t xml:space="preserve"> services of the trust as good </w:t>
      </w:r>
      <w:r w:rsidR="00B50BFE" w:rsidRPr="00B50BFE">
        <w:t>(Anders Bach-Mortensen, Goodair</w:t>
      </w:r>
      <w:r w:rsidR="000E62B7">
        <w:t>,</w:t>
      </w:r>
      <w:r w:rsidR="00B50BFE" w:rsidRPr="00B50BFE">
        <w:t xml:space="preserve"> and Michelle Degli Esposti, 2024)</w:t>
      </w:r>
      <w:r>
        <w:t>. A systemic governance investigation and escalation</w:t>
      </w:r>
      <w:r w:rsidR="00B95750">
        <w:t>,</w:t>
      </w:r>
      <w:r>
        <w:t xml:space="preserve"> as well as a cultural failure audit</w:t>
      </w:r>
      <w:r w:rsidR="00B95750">
        <w:t>,</w:t>
      </w:r>
      <w:r>
        <w:t xml:space="preserve"> has also been instituted through the Thirlwall Inquiry, which specifically discusses the systemic governance, escalation</w:t>
      </w:r>
      <w:r w:rsidR="00B95750">
        <w:t>,</w:t>
      </w:r>
      <w:r>
        <w:t xml:space="preserve"> and failures </w:t>
      </w:r>
      <w:r w:rsidR="00B95750">
        <w:t>that</w:t>
      </w:r>
      <w:r>
        <w:t xml:space="preserve"> enabled these to occur (Thirlwall Inquiry, 2023).</w:t>
      </w:r>
    </w:p>
    <w:p w14:paraId="36C09E6F" w14:textId="258CE326" w:rsidR="00033FA8" w:rsidRDefault="00033FA8" w:rsidP="00033FA8">
      <w:pPr>
        <w:pStyle w:val="Heading2"/>
        <w:spacing w:line="360" w:lineRule="auto"/>
      </w:pPr>
      <w:bookmarkStart w:id="2" w:name="_Toc226630790"/>
      <w:r>
        <w:t>1.2 The meaning and significance of quality assurance will be presented.</w:t>
      </w:r>
      <w:bookmarkEnd w:id="2"/>
    </w:p>
    <w:p w14:paraId="168ACAA3" w14:textId="77C7FFA6" w:rsidR="00033FA8" w:rsidRDefault="0025060B" w:rsidP="00033FA8">
      <w:pPr>
        <w:spacing w:after="160" w:line="360" w:lineRule="auto"/>
        <w:jc w:val="both"/>
      </w:pPr>
      <w:r>
        <w:t xml:space="preserve">Quality </w:t>
      </w:r>
      <w:r w:rsidR="00DC0901">
        <w:t xml:space="preserve">Assurance (QA) is the </w:t>
      </w:r>
      <w:r w:rsidR="00033FA8">
        <w:t xml:space="preserve">process of assessing, tracking, and enhancing the caring quality in healthcare in operation </w:t>
      </w:r>
      <w:r w:rsidR="00DC0901">
        <w:t>to</w:t>
      </w:r>
      <w:r w:rsidR="00033FA8">
        <w:t xml:space="preserve"> guarantee patients high-quality treatment that is safe</w:t>
      </w:r>
      <w:r w:rsidR="00DC0901">
        <w:t>,</w:t>
      </w:r>
      <w:r w:rsidR="00033FA8">
        <w:t xml:space="preserve"> effective and patient-friendly (Donabedian, 1988; World Health Organization, 2006). The NHS outlines the concept of quality to include three fundamental dimensions, which include clinical effectiveness, patient safety, and patient experience </w:t>
      </w:r>
      <w:r w:rsidR="004C5239" w:rsidRPr="004C5239">
        <w:t>(Howick et al., 2024)</w:t>
      </w:r>
      <w:r w:rsidR="00033FA8">
        <w:t xml:space="preserve">.  </w:t>
      </w:r>
      <w:r w:rsidR="004C5239">
        <w:t>D</w:t>
      </w:r>
      <w:r w:rsidR="00033FA8">
        <w:t xml:space="preserve">ue to the lack of effective QA systems, patient harm and death </w:t>
      </w:r>
      <w:r w:rsidR="00B95750">
        <w:t>became</w:t>
      </w:r>
      <w:r w:rsidR="00033FA8">
        <w:t xml:space="preserve"> </w:t>
      </w:r>
      <w:r w:rsidR="00DC0901">
        <w:t>inevitable</w:t>
      </w:r>
      <w:r w:rsidR="00033FA8">
        <w:t xml:space="preserve">. Within the framework of neonatal care, </w:t>
      </w:r>
      <w:r w:rsidR="00DC0901">
        <w:t>QA</w:t>
      </w:r>
      <w:r w:rsidR="00033FA8">
        <w:t xml:space="preserve"> </w:t>
      </w:r>
      <w:r w:rsidR="00033FA8">
        <w:lastRenderedPageBreak/>
        <w:t xml:space="preserve">is a life-and-death issue: due to the frailty and needs linked to neonatal patients, the quality of each governing process is crucial </w:t>
      </w:r>
      <w:r w:rsidR="001E0FF6" w:rsidRPr="001E0FF6">
        <w:t>(Beichler, Grabovac and Dorner, 2023)</w:t>
      </w:r>
      <w:r w:rsidR="00033FA8">
        <w:t>.</w:t>
      </w:r>
    </w:p>
    <w:p w14:paraId="658C9F89" w14:textId="77777777" w:rsidR="00033FA8" w:rsidRDefault="00033FA8" w:rsidP="00033FA8">
      <w:pPr>
        <w:pStyle w:val="Heading2"/>
        <w:spacing w:line="360" w:lineRule="auto"/>
      </w:pPr>
      <w:bookmarkStart w:id="3" w:name="_Toc226630791"/>
      <w:r>
        <w:t>1.3 Scope of the Report</w:t>
      </w:r>
      <w:bookmarkEnd w:id="3"/>
    </w:p>
    <w:p w14:paraId="7CA4DF65" w14:textId="0EFFC3D2" w:rsidR="0016368E" w:rsidRDefault="00665415" w:rsidP="00033FA8">
      <w:pPr>
        <w:spacing w:after="160" w:line="360" w:lineRule="auto"/>
        <w:jc w:val="both"/>
      </w:pPr>
      <w:r>
        <w:t xml:space="preserve">This </w:t>
      </w:r>
      <w:r w:rsidR="00033FA8">
        <w:t xml:space="preserve">report </w:t>
      </w:r>
      <w:r>
        <w:t xml:space="preserve">will </w:t>
      </w:r>
      <w:r w:rsidR="00033FA8">
        <w:t xml:space="preserve">evaluate the case of Lucy Letby using various quality improvement and change management models, such as the Donabedian Model, Fishbone Diagram, 5 Whys Analysis, SWOT Analysis, the Six Sigma DMAIC cycle, and the 8-Step Change Model developed by Kotter. </w:t>
      </w:r>
      <w:r>
        <w:t>This report will also provide</w:t>
      </w:r>
      <w:r w:rsidR="00033FA8">
        <w:t xml:space="preserve"> evidence-based recommendations and a </w:t>
      </w:r>
      <w:r w:rsidR="00B95750">
        <w:t>before-and-after</w:t>
      </w:r>
      <w:r w:rsidR="00033FA8">
        <w:t xml:space="preserve"> benchmark that will show the expected changes after the interventions proposed </w:t>
      </w:r>
      <w:r w:rsidR="000302B7">
        <w:t>are implemented at the COCH.</w:t>
      </w:r>
    </w:p>
    <w:p w14:paraId="150F5319" w14:textId="37431A54" w:rsidR="00033FA8" w:rsidRDefault="00033FA8" w:rsidP="00033FA8">
      <w:pPr>
        <w:pStyle w:val="Heading1"/>
        <w:spacing w:line="360" w:lineRule="auto"/>
      </w:pPr>
      <w:bookmarkStart w:id="4" w:name="_Toc226630792"/>
      <w:r>
        <w:t>2. Main Body</w:t>
      </w:r>
      <w:bookmarkEnd w:id="4"/>
    </w:p>
    <w:p w14:paraId="07F3A3AD" w14:textId="77777777" w:rsidR="00033FA8" w:rsidRDefault="00033FA8" w:rsidP="00033FA8">
      <w:pPr>
        <w:pStyle w:val="Heading2"/>
        <w:spacing w:line="360" w:lineRule="auto"/>
      </w:pPr>
      <w:bookmarkStart w:id="5" w:name="_Toc226630793"/>
      <w:r>
        <w:t>2.1 Donabedian Model</w:t>
      </w:r>
      <w:bookmarkEnd w:id="5"/>
    </w:p>
    <w:p w14:paraId="28DAE32A" w14:textId="19CF0ADE" w:rsidR="00033FA8" w:rsidRDefault="00033FA8" w:rsidP="00033FA8">
      <w:pPr>
        <w:spacing w:after="160" w:line="360" w:lineRule="auto"/>
        <w:jc w:val="both"/>
      </w:pPr>
      <w:r>
        <w:t xml:space="preserve">In his 1988 masterpiece, Avedis Donabedian suggests a three-fold model on the assessment of healthcare quality, his Donabedian Model, which demands assessment of three interdependent domains of healthcare quality: Structure, Process, and Outcome (Donabedian, 1988). This model is specifically suitable in the case of Letby </w:t>
      </w:r>
      <w:r w:rsidR="000302B7">
        <w:t>because</w:t>
      </w:r>
      <w:r>
        <w:t xml:space="preserve"> </w:t>
      </w:r>
      <w:r w:rsidR="000302B7">
        <w:t xml:space="preserve">quality assurance </w:t>
      </w:r>
      <w:r>
        <w:t>failures had been found in all three domains at the same time, and unidimensional analysis would not be able to reflect the systemic character of the failure (Ayanian and Markel, 2016).</w:t>
      </w:r>
    </w:p>
    <w:p w14:paraId="70498863" w14:textId="34990D99" w:rsidR="00033FA8" w:rsidRDefault="00967FED" w:rsidP="00033FA8">
      <w:pPr>
        <w:spacing w:after="160" w:line="360" w:lineRule="auto"/>
        <w:jc w:val="both"/>
      </w:pPr>
      <w:r>
        <w:rPr>
          <w:b/>
          <w:bCs/>
        </w:rPr>
        <w:t>Structure</w:t>
      </w:r>
      <w:r w:rsidR="000302B7">
        <w:rPr>
          <w:b/>
          <w:bCs/>
        </w:rPr>
        <w:t>-</w:t>
      </w:r>
      <w:r w:rsidR="00033FA8">
        <w:t xml:space="preserve"> The COCH neonatal unit had a low-level structural inadequacy in various aspects. In their 2024 inspection, the CQC reported a lack of adequate staffing of nurses</w:t>
      </w:r>
      <w:r w:rsidR="00B95750">
        <w:t>,</w:t>
      </w:r>
      <w:r w:rsidR="00033FA8">
        <w:t xml:space="preserve"> which exposed patients to risks. The unit was a Level 2 service that normally received babies who were not within the clinical competence of its staff, did not have sufficient specialist staffing, equipment, and supervision to care for them at that level (CQC, 2024). The governance was not resilient: the hospital had three chief executives and three chairs within three years, which brought numerous changes </w:t>
      </w:r>
      <w:r w:rsidR="000302B7">
        <w:t>to</w:t>
      </w:r>
      <w:r w:rsidR="00033FA8">
        <w:t xml:space="preserve"> the management. It lacked controlled management of </w:t>
      </w:r>
      <w:r w:rsidR="00B95750">
        <w:t xml:space="preserve">the </w:t>
      </w:r>
      <w:r w:rsidR="00033FA8">
        <w:t>NHS</w:t>
      </w:r>
      <w:r w:rsidR="00B95750">
        <w:t>,</w:t>
      </w:r>
      <w:r w:rsidR="00033FA8">
        <w:t xml:space="preserve"> whereby the top leaders who had a history of underperformance had no professional responsibility (Hansard, 2023).</w:t>
      </w:r>
    </w:p>
    <w:p w14:paraId="50023EC4" w14:textId="0718231C" w:rsidR="00033FA8" w:rsidRDefault="00033FA8" w:rsidP="00033FA8">
      <w:pPr>
        <w:spacing w:after="160" w:line="360" w:lineRule="auto"/>
        <w:jc w:val="both"/>
      </w:pPr>
      <w:r w:rsidRPr="000302B7">
        <w:rPr>
          <w:b/>
          <w:bCs/>
        </w:rPr>
        <w:t>Process</w:t>
      </w:r>
      <w:r w:rsidR="000302B7">
        <w:rPr>
          <w:b/>
          <w:bCs/>
        </w:rPr>
        <w:t>-</w:t>
      </w:r>
      <w:r>
        <w:t xml:space="preserve"> There were widespread process failures. Such concerns were </w:t>
      </w:r>
      <w:r w:rsidR="000302B7">
        <w:t>not dealt with</w:t>
      </w:r>
      <w:r>
        <w:t xml:space="preserve"> in a proper manner when they were filed by consultants in June 2015 using serious </w:t>
      </w:r>
      <w:r>
        <w:lastRenderedPageBreak/>
        <w:t>incident review mechanisms (Thirlwall Inquiry, 2023). The serious incident committee of the trust misaligned deaths as medication errors. The February 2016 CQC inspection was made without information regarding the higher mortality rate</w:t>
      </w:r>
      <w:r w:rsidR="00B95750">
        <w:t>,</w:t>
      </w:r>
      <w:r>
        <w:t xml:space="preserve"> which is one of the basic breaches of the duty of candour (CQC, 2024). A study conducted by Leonard et al. (2004) show</w:t>
      </w:r>
      <w:r w:rsidR="000302B7">
        <w:t>d</w:t>
      </w:r>
      <w:r>
        <w:t xml:space="preserve"> that a considerable percentage of negative outcomes in a healthcare environment are due to communication failures, which are reflected directly </w:t>
      </w:r>
      <w:r w:rsidR="000302B7">
        <w:t>in the Lucy Letby COCH</w:t>
      </w:r>
      <w:r>
        <w:t xml:space="preserve"> case.</w:t>
      </w:r>
    </w:p>
    <w:p w14:paraId="55F7B023" w14:textId="1ECD6282" w:rsidR="0016368E" w:rsidRDefault="00967FED" w:rsidP="00033FA8">
      <w:pPr>
        <w:spacing w:after="160" w:line="360" w:lineRule="auto"/>
        <w:jc w:val="both"/>
      </w:pPr>
      <w:r>
        <w:rPr>
          <w:b/>
          <w:bCs/>
        </w:rPr>
        <w:t>Outcome</w:t>
      </w:r>
      <w:r w:rsidR="000302B7">
        <w:rPr>
          <w:b/>
          <w:bCs/>
        </w:rPr>
        <w:t>-</w:t>
      </w:r>
      <w:r w:rsidR="00B95750">
        <w:t xml:space="preserve"> </w:t>
      </w:r>
      <w:r w:rsidR="00033FA8">
        <w:t>The consequences of these structural and process shortcomings were disastrous. Seven babies were killed</w:t>
      </w:r>
      <w:r w:rsidR="00B95750">
        <w:t>,</w:t>
      </w:r>
      <w:r w:rsidR="00033FA8">
        <w:t xml:space="preserve"> and seven others were disabled. Besides the direct harm to the patients, there were also such outcomes as a statutory inquiry in the country, a police inquiry into corporate manslaughter, and NMC fitness-to-practi</w:t>
      </w:r>
      <w:r w:rsidR="00877A98">
        <w:t>c</w:t>
      </w:r>
      <w:r w:rsidR="00033FA8">
        <w:t xml:space="preserve">e inquiries. The case has precipitated a demand </w:t>
      </w:r>
      <w:r w:rsidR="00B95750">
        <w:t>for</w:t>
      </w:r>
      <w:r w:rsidR="00033FA8">
        <w:t xml:space="preserve"> fundamental change in the regulations of NHS management (Hansard, 2023).</w:t>
      </w:r>
    </w:p>
    <w:p w14:paraId="2C42E7CE" w14:textId="29677EDB" w:rsidR="004F2F59" w:rsidRDefault="004F2F59" w:rsidP="004F2F59">
      <w:pPr>
        <w:pStyle w:val="Heading2"/>
        <w:spacing w:line="360" w:lineRule="auto"/>
      </w:pPr>
      <w:bookmarkStart w:id="6" w:name="_Toc226630794"/>
      <w:r>
        <w:t>2.2 Fishbone (Cause-and- Effect) Diagram.</w:t>
      </w:r>
      <w:bookmarkEnd w:id="6"/>
    </w:p>
    <w:p w14:paraId="1DC3966A" w14:textId="00F39ABA" w:rsidR="004F2F59" w:rsidRDefault="004F2F59" w:rsidP="004F2F59">
      <w:pPr>
        <w:spacing w:after="160" w:line="360" w:lineRule="auto"/>
        <w:jc w:val="both"/>
      </w:pPr>
      <w:r>
        <w:t>Th</w:t>
      </w:r>
      <w:r w:rsidR="00B40670">
        <w:t xml:space="preserve">e </w:t>
      </w:r>
      <w:r>
        <w:t>Fishbone Diagram created by Kaoru Ishikawa in 1968</w:t>
      </w:r>
      <w:r w:rsidR="00B95750">
        <w:t>,</w:t>
      </w:r>
      <w:r>
        <w:t xml:space="preserve"> is a tool that is used to </w:t>
      </w:r>
      <w:r w:rsidR="00B95750">
        <w:t>systematically analy</w:t>
      </w:r>
      <w:r w:rsidR="00B40670">
        <w:t>s</w:t>
      </w:r>
      <w:r w:rsidR="00B95750">
        <w:t>e the</w:t>
      </w:r>
      <w:r>
        <w:t xml:space="preserve"> root cause of a problem. When applied to the central issue</w:t>
      </w:r>
      <w:r w:rsidR="00967FED">
        <w:t>s in the Letby case</w:t>
      </w:r>
      <w:r>
        <w:t xml:space="preserve"> of the problem</w:t>
      </w:r>
      <w:r w:rsidR="00967FED">
        <w:t xml:space="preserve"> the Fishbone Diagram shows </w:t>
      </w:r>
      <w:r>
        <w:t>the failure</w:t>
      </w:r>
      <w:r w:rsidR="00967FED">
        <w:t>s</w:t>
      </w:r>
      <w:r>
        <w:t xml:space="preserve"> in the protection of neonatal patients at COCH against avoidable harm</w:t>
      </w:r>
      <w:r w:rsidR="00967FED">
        <w:t xml:space="preserve"> and that persistent issues with culture, staff and processing were systemic and not isolated</w:t>
      </w:r>
      <w:r>
        <w:t>, the following categories of caus</w:t>
      </w:r>
      <w:r w:rsidR="00B40670">
        <w:t>es</w:t>
      </w:r>
      <w:r>
        <w:t xml:space="preserve"> are identified:</w:t>
      </w:r>
    </w:p>
    <w:p w14:paraId="736E2C68" w14:textId="1233B347" w:rsidR="004F2F59" w:rsidRDefault="004F2F59" w:rsidP="004F2F59">
      <w:pPr>
        <w:pStyle w:val="ListParagraph"/>
        <w:numPr>
          <w:ilvl w:val="0"/>
          <w:numId w:val="3"/>
        </w:numPr>
        <w:spacing w:after="160" w:line="360" w:lineRule="auto"/>
        <w:jc w:val="both"/>
      </w:pPr>
      <w:r w:rsidRPr="00B40670">
        <w:rPr>
          <w:b/>
          <w:bCs/>
        </w:rPr>
        <w:t>People</w:t>
      </w:r>
      <w:r w:rsidR="00B40670" w:rsidRPr="00B40670">
        <w:rPr>
          <w:b/>
          <w:bCs/>
        </w:rPr>
        <w:t>-</w:t>
      </w:r>
      <w:r>
        <w:t xml:space="preserve"> Senior management did not react to mounting clinical issues; it lacked a hierarchical service culture where frontline clinicians were cancelling </w:t>
      </w:r>
      <w:r w:rsidR="00B50BFE">
        <w:t>(</w:t>
      </w:r>
      <w:r>
        <w:t>Hansard, 2023).</w:t>
      </w:r>
    </w:p>
    <w:p w14:paraId="64AA920E" w14:textId="4F37F5E4" w:rsidR="004F2F59" w:rsidRDefault="004F2F59" w:rsidP="004F2F59">
      <w:pPr>
        <w:pStyle w:val="ListParagraph"/>
        <w:numPr>
          <w:ilvl w:val="0"/>
          <w:numId w:val="3"/>
        </w:numPr>
        <w:spacing w:after="160" w:line="360" w:lineRule="auto"/>
        <w:jc w:val="both"/>
      </w:pPr>
      <w:r w:rsidRPr="00790B96">
        <w:rPr>
          <w:b/>
          <w:bCs/>
        </w:rPr>
        <w:t>Process</w:t>
      </w:r>
      <w:r w:rsidR="00790B96">
        <w:rPr>
          <w:b/>
          <w:bCs/>
        </w:rPr>
        <w:t>-</w:t>
      </w:r>
      <w:r>
        <w:t xml:space="preserve"> There are no or weak incident reporting systems, there are safeguarded deaths instead of </w:t>
      </w:r>
      <w:r w:rsidR="00B95750">
        <w:t>probative evidence</w:t>
      </w:r>
      <w:r>
        <w:t>; the failure to work with SBAR or the structured escalation tools (Thirlwall Inquiry, 2023).</w:t>
      </w:r>
    </w:p>
    <w:p w14:paraId="7EB22216" w14:textId="4B4F8D18" w:rsidR="004F2F59" w:rsidRDefault="004F2F59" w:rsidP="004F2F59">
      <w:pPr>
        <w:pStyle w:val="ListParagraph"/>
        <w:numPr>
          <w:ilvl w:val="0"/>
          <w:numId w:val="3"/>
        </w:numPr>
        <w:spacing w:after="160" w:line="360" w:lineRule="auto"/>
        <w:jc w:val="both"/>
      </w:pPr>
      <w:r w:rsidRPr="00790B96">
        <w:rPr>
          <w:b/>
          <w:bCs/>
        </w:rPr>
        <w:t>Policy</w:t>
      </w:r>
      <w:r w:rsidR="00790B96">
        <w:rPr>
          <w:b/>
          <w:bCs/>
        </w:rPr>
        <w:t>-</w:t>
      </w:r>
      <w:r>
        <w:t xml:space="preserve"> There is no compulsory control of the NHS managers, no enforceable whistleblowing protection, and poor duty of candor implementation </w:t>
      </w:r>
      <w:r w:rsidR="00C22C2A">
        <w:t>(</w:t>
      </w:r>
      <w:r>
        <w:t>Hansard, 2023).</w:t>
      </w:r>
    </w:p>
    <w:p w14:paraId="12D2A1A1" w14:textId="5BD0084F" w:rsidR="004F2F59" w:rsidRDefault="004F2F59" w:rsidP="004F2F59">
      <w:pPr>
        <w:pStyle w:val="ListParagraph"/>
        <w:numPr>
          <w:ilvl w:val="0"/>
          <w:numId w:val="3"/>
        </w:numPr>
        <w:spacing w:after="160" w:line="360" w:lineRule="auto"/>
        <w:jc w:val="both"/>
      </w:pPr>
      <w:r w:rsidRPr="00790B96">
        <w:rPr>
          <w:b/>
          <w:bCs/>
        </w:rPr>
        <w:lastRenderedPageBreak/>
        <w:t>Environment</w:t>
      </w:r>
      <w:r w:rsidR="00790B96">
        <w:rPr>
          <w:b/>
          <w:bCs/>
        </w:rPr>
        <w:t>-</w:t>
      </w:r>
      <w:r>
        <w:t xml:space="preserve"> Professional aspect of fear where expressing apprehensions was punitive; lack of psychological security of the clinical personnel (Edmondson, 1999).</w:t>
      </w:r>
    </w:p>
    <w:p w14:paraId="358F45E0" w14:textId="46B47528" w:rsidR="004F2F59" w:rsidRDefault="004F2F59" w:rsidP="004F2F59">
      <w:pPr>
        <w:pStyle w:val="ListParagraph"/>
        <w:numPr>
          <w:ilvl w:val="0"/>
          <w:numId w:val="3"/>
        </w:numPr>
        <w:spacing w:after="160" w:line="360" w:lineRule="auto"/>
        <w:jc w:val="both"/>
      </w:pPr>
      <w:r w:rsidRPr="00790B96">
        <w:rPr>
          <w:b/>
          <w:bCs/>
        </w:rPr>
        <w:t>Equipment/</w:t>
      </w:r>
      <w:r w:rsidR="005F15C7">
        <w:rPr>
          <w:b/>
          <w:bCs/>
        </w:rPr>
        <w:t>Materials</w:t>
      </w:r>
      <w:r w:rsidR="00790B96">
        <w:rPr>
          <w:b/>
          <w:bCs/>
        </w:rPr>
        <w:t>-</w:t>
      </w:r>
      <w:r>
        <w:t xml:space="preserve"> </w:t>
      </w:r>
      <w:r w:rsidR="00B95750">
        <w:t>Poor</w:t>
      </w:r>
      <w:r>
        <w:t xml:space="preserve"> physical conditions of the neonatal unit; unsanitary conditions are reported; the deterioration of patients is not adequately monitored (CQC, 2024).</w:t>
      </w:r>
    </w:p>
    <w:p w14:paraId="69F0A05C" w14:textId="59AF2FAF" w:rsidR="00941E9E" w:rsidRDefault="004F2F59" w:rsidP="00941E9E">
      <w:pPr>
        <w:pStyle w:val="ListParagraph"/>
        <w:numPr>
          <w:ilvl w:val="0"/>
          <w:numId w:val="3"/>
        </w:numPr>
        <w:spacing w:after="160" w:line="360" w:lineRule="auto"/>
        <w:jc w:val="both"/>
      </w:pPr>
      <w:r w:rsidRPr="00790B96">
        <w:rPr>
          <w:b/>
          <w:bCs/>
        </w:rPr>
        <w:t>Measurement</w:t>
      </w:r>
      <w:r w:rsidR="00790B96">
        <w:rPr>
          <w:b/>
          <w:bCs/>
        </w:rPr>
        <w:t>-</w:t>
      </w:r>
      <w:r>
        <w:t xml:space="preserve"> Lack of systematic monitoring of neonatal mortality and comparison of this data to national standards at the board level; MBRRACE-UK data is available but not implemented (Knight et al., 2021).</w:t>
      </w:r>
    </w:p>
    <w:p w14:paraId="57DD6DEB" w14:textId="5048A349" w:rsidR="00967FED" w:rsidRPr="00967FED" w:rsidRDefault="00967FED" w:rsidP="00967FED">
      <w:pPr>
        <w:spacing w:after="160" w:line="360" w:lineRule="auto"/>
        <w:rPr>
          <w:b/>
          <w:bCs/>
          <w:noProof/>
        </w:rPr>
      </w:pPr>
      <w:r w:rsidRPr="00790B96">
        <w:rPr>
          <w:b/>
          <w:bCs/>
          <w:noProof/>
        </w:rPr>
        <mc:AlternateContent>
          <mc:Choice Requires="wps">
            <w:drawing>
              <wp:anchor distT="0" distB="0" distL="114300" distR="114300" simplePos="0" relativeHeight="251663360" behindDoc="0" locked="0" layoutInCell="1" allowOverlap="1" wp14:anchorId="1FC53A19" wp14:editId="16AA3ED2">
                <wp:simplePos x="0" y="0"/>
                <wp:positionH relativeFrom="margin">
                  <wp:align>center</wp:align>
                </wp:positionH>
                <wp:positionV relativeFrom="paragraph">
                  <wp:posOffset>3090545</wp:posOffset>
                </wp:positionV>
                <wp:extent cx="5341620" cy="635"/>
                <wp:effectExtent l="0" t="0" r="0" b="8255"/>
                <wp:wrapTopAndBottom/>
                <wp:docPr id="736994854" name="Text Box 1"/>
                <wp:cNvGraphicFramePr/>
                <a:graphic xmlns:a="http://schemas.openxmlformats.org/drawingml/2006/main">
                  <a:graphicData uri="http://schemas.microsoft.com/office/word/2010/wordprocessingShape">
                    <wps:wsp>
                      <wps:cNvSpPr txBox="1"/>
                      <wps:spPr>
                        <a:xfrm>
                          <a:off x="0" y="0"/>
                          <a:ext cx="5341620" cy="635"/>
                        </a:xfrm>
                        <a:prstGeom prst="rect">
                          <a:avLst/>
                        </a:prstGeom>
                        <a:solidFill>
                          <a:prstClr val="white"/>
                        </a:solidFill>
                        <a:ln>
                          <a:noFill/>
                        </a:ln>
                      </wps:spPr>
                      <wps:txbx>
                        <w:txbxContent>
                          <w:p w14:paraId="4743DE8C" w14:textId="46AA45A3" w:rsidR="00DD04F9" w:rsidRPr="0053562E" w:rsidRDefault="00DD04F9" w:rsidP="00DD04F9">
                            <w:pPr>
                              <w:pStyle w:val="Caption"/>
                              <w:jc w:val="center"/>
                              <w:rPr>
                                <w:noProof/>
                              </w:rPr>
                            </w:pPr>
                            <w:r>
                              <w:t xml:space="preserve">Figure 1 </w:t>
                            </w:r>
                            <w:r w:rsidR="00220DA6">
                              <w:t xml:space="preserve">Ishikawa </w:t>
                            </w:r>
                            <w:r w:rsidRPr="00870AF8">
                              <w:t>Fishbone (Cause-and- Effect) Diagram</w:t>
                            </w:r>
                            <w:r w:rsidR="00967FED">
                              <w:t>: Lucy Letby COCH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FC53A19" id="_x0000_t202" coordsize="21600,21600" o:spt="202" path="m,l,21600r21600,l21600,xe">
                <v:stroke joinstyle="miter"/>
                <v:path gradientshapeok="t" o:connecttype="rect"/>
              </v:shapetype>
              <v:shape id="Text Box 1" o:spid="_x0000_s1026" type="#_x0000_t202" style="position:absolute;margin-left:0;margin-top:243.35pt;width:420.6pt;height:.05pt;z-index:2516633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" stroked="f">
                <v:textbox style="mso-fit-shape-to-text:t" inset="0,0,0,0">
                  <w:txbxContent>
                    <w:p w14:paraId="4743DE8C" w14:textId="46AA45A3" w:rsidR="00DD04F9" w:rsidRPr="0053562E" w:rsidRDefault="00DD04F9" w:rsidP="00DD04F9">
                      <w:pPr>
                        <w:pStyle w:val="Caption"/>
                        <w:jc w:val="center"/>
                        <w:rPr>
                          <w:noProof/>
                        </w:rPr>
                      </w:pPr>
                      <w:r>
                        <w:t xml:space="preserve">Figure 1 </w:t>
                      </w:r>
                      <w:r w:rsidR="00220DA6">
                        <w:t xml:space="preserve">Ishikawa </w:t>
                      </w:r>
                      <w:r w:rsidRPr="00870AF8">
                        <w:t>Fishbone (Cause-and- Effect) Diagram</w:t>
                      </w:r>
                      <w:r w:rsidR="00967FED">
                        <w:t>: Lucy Letby COCH</w:t>
                      </w:r>
                    </w:p>
                  </w:txbxContent>
                </v:textbox>
                <w10:wrap type="topAndBottom" anchorx="margin"/>
              </v:shape>
            </w:pict>
          </mc:Fallback>
        </mc:AlternateContent>
      </w:r>
      <w:r w:rsidRPr="00967FED">
        <w:rPr>
          <w:noProof/>
        </w:rPr>
        <w:drawing>
          <wp:inline distT="0" distB="0" distL="0" distR="0" wp14:anchorId="47185E1C" wp14:editId="73661AF4">
            <wp:extent cx="6301563" cy="2921635"/>
            <wp:effectExtent l="0" t="0" r="4445" b="0"/>
            <wp:docPr id="180012444"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12444" name="Picture 1" descr="A diagram of a diagram&#10;&#10;AI-generated content may be incorrect."/>
                    <pic:cNvPicPr/>
                  </pic:nvPicPr>
                  <pic:blipFill>
                    <a:blip r:embed="rId8"/>
                    <a:stretch>
                      <a:fillRect/>
                    </a:stretch>
                  </pic:blipFill>
                  <pic:spPr>
                    <a:xfrm>
                      <a:off x="0" y="0"/>
                      <a:ext cx="6324263" cy="2932159"/>
                    </a:xfrm>
                    <a:prstGeom prst="rect">
                      <a:avLst/>
                    </a:prstGeom>
                  </pic:spPr>
                </pic:pic>
              </a:graphicData>
            </a:graphic>
          </wp:inline>
        </w:drawing>
      </w:r>
    </w:p>
    <w:p w14:paraId="2CB541FE" w14:textId="77777777" w:rsidR="004F2F59" w:rsidRDefault="004F2F59" w:rsidP="004F2F59">
      <w:pPr>
        <w:pStyle w:val="Heading2"/>
        <w:spacing w:line="360" w:lineRule="auto"/>
      </w:pPr>
      <w:bookmarkStart w:id="7" w:name="_Toc226630795"/>
      <w:r>
        <w:t>2.3 Five Whys Analysis</w:t>
      </w:r>
      <w:bookmarkEnd w:id="7"/>
    </w:p>
    <w:p w14:paraId="40B16A6A" w14:textId="2EB04122" w:rsidR="004F2F59" w:rsidRDefault="004F2F59" w:rsidP="004F2F59">
      <w:pPr>
        <w:spacing w:after="160" w:line="360" w:lineRule="auto"/>
        <w:jc w:val="both"/>
      </w:pPr>
      <w:r>
        <w:t>This 5 Whys</w:t>
      </w:r>
      <w:r w:rsidR="00790B96">
        <w:t xml:space="preserve"> </w:t>
      </w:r>
      <w:r>
        <w:t xml:space="preserve">was coined in the Toyota Production System and is a qualitative iterative method employed that aims to investigate the </w:t>
      </w:r>
      <w:r w:rsidR="00220DA6">
        <w:t>cause-and-effect</w:t>
      </w:r>
      <w:r>
        <w:t xml:space="preserve"> connection to a specific issue </w:t>
      </w:r>
      <w:r w:rsidR="00A8757A" w:rsidRPr="00A8757A">
        <w:t>(Gupta, Sarmah and Gqibani, 2024)</w:t>
      </w:r>
      <w:r>
        <w:t xml:space="preserve">. </w:t>
      </w:r>
      <w:r w:rsidR="00790B96">
        <w:t>In relation to the Letby case,</w:t>
      </w:r>
      <w:r>
        <w:t xml:space="preserve"> the biggest process failure - the unwillingness of the management to act upon the clinical concerns:</w:t>
      </w:r>
    </w:p>
    <w:p w14:paraId="714C46BC" w14:textId="415A76DC" w:rsidR="004F2F59" w:rsidRDefault="004F2F59" w:rsidP="007C2507">
      <w:pPr>
        <w:pStyle w:val="ListParagraph"/>
        <w:numPr>
          <w:ilvl w:val="0"/>
          <w:numId w:val="7"/>
        </w:numPr>
        <w:spacing w:after="160" w:line="360" w:lineRule="auto"/>
        <w:jc w:val="both"/>
      </w:pPr>
      <w:r w:rsidRPr="00790B96">
        <w:rPr>
          <w:b/>
          <w:bCs/>
        </w:rPr>
        <w:t>Why 1</w:t>
      </w:r>
      <w:r w:rsidR="00790B96">
        <w:rPr>
          <w:b/>
          <w:bCs/>
        </w:rPr>
        <w:t>-</w:t>
      </w:r>
      <w:r>
        <w:t xml:space="preserve"> The management did not believe </w:t>
      </w:r>
      <w:r w:rsidR="00B95750">
        <w:t xml:space="preserve">the </w:t>
      </w:r>
      <w:r>
        <w:t xml:space="preserve">concerns to be credible evidence because </w:t>
      </w:r>
      <w:r w:rsidR="00790B96">
        <w:t>they</w:t>
      </w:r>
      <w:r>
        <w:t xml:space="preserve"> did not consider the deaths to be medication errors</w:t>
      </w:r>
      <w:r w:rsidR="00B95750">
        <w:t>,</w:t>
      </w:r>
      <w:r>
        <w:t xml:space="preserve"> and they eliminated the sense of urgency</w:t>
      </w:r>
      <w:r w:rsidR="000E62B7">
        <w:t xml:space="preserve"> </w:t>
      </w:r>
      <w:r w:rsidR="000E62B7" w:rsidRPr="000E62B7">
        <w:t>(Hostiuc and Gherghiceanu, 2026)</w:t>
      </w:r>
      <w:r>
        <w:t>.</w:t>
      </w:r>
    </w:p>
    <w:p w14:paraId="16429F86" w14:textId="1CE3409F" w:rsidR="004F2F59" w:rsidRDefault="004F2F59" w:rsidP="007C2507">
      <w:pPr>
        <w:pStyle w:val="ListParagraph"/>
        <w:numPr>
          <w:ilvl w:val="0"/>
          <w:numId w:val="7"/>
        </w:numPr>
        <w:spacing w:after="160" w:line="360" w:lineRule="auto"/>
        <w:jc w:val="both"/>
      </w:pPr>
      <w:r w:rsidRPr="00790B96">
        <w:rPr>
          <w:b/>
          <w:bCs/>
        </w:rPr>
        <w:lastRenderedPageBreak/>
        <w:t xml:space="preserve">Why </w:t>
      </w:r>
      <w:r w:rsidR="00790B96">
        <w:rPr>
          <w:b/>
          <w:bCs/>
        </w:rPr>
        <w:t>2-</w:t>
      </w:r>
      <w:r>
        <w:t xml:space="preserve"> Misclassification of deaths occurred due to the lack of independence in the performance of the serious incident committee of a trust, and because of a self-protective organi</w:t>
      </w:r>
      <w:r w:rsidR="00790B96">
        <w:t>s</w:t>
      </w:r>
      <w:r>
        <w:t>ational culture.</w:t>
      </w:r>
    </w:p>
    <w:p w14:paraId="14EE89A9" w14:textId="2B4E4F71" w:rsidR="004F2F59" w:rsidRDefault="00314DD7" w:rsidP="007C2507">
      <w:pPr>
        <w:pStyle w:val="ListParagraph"/>
        <w:numPr>
          <w:ilvl w:val="0"/>
          <w:numId w:val="7"/>
        </w:numPr>
        <w:spacing w:after="160" w:line="360" w:lineRule="auto"/>
        <w:jc w:val="both"/>
      </w:pPr>
      <w:r w:rsidRPr="00790B96">
        <w:rPr>
          <w:b/>
          <w:bCs/>
        </w:rPr>
        <w:t>Why</w:t>
      </w:r>
      <w:r w:rsidR="004F2F59" w:rsidRPr="00790B96">
        <w:rPr>
          <w:b/>
          <w:bCs/>
        </w:rPr>
        <w:t xml:space="preserve"> 3</w:t>
      </w:r>
      <w:r w:rsidR="00790B96">
        <w:rPr>
          <w:b/>
          <w:bCs/>
        </w:rPr>
        <w:t>-</w:t>
      </w:r>
      <w:r w:rsidR="004F2F59">
        <w:t xml:space="preserve"> There was no independent oversight</w:t>
      </w:r>
      <w:r w:rsidR="00B95750">
        <w:t>,</w:t>
      </w:r>
      <w:r w:rsidR="004F2F59">
        <w:t xml:space="preserve"> as the structure of governance at COCH did not require outside scrutiny of </w:t>
      </w:r>
      <w:r w:rsidR="00790B96">
        <w:t>c</w:t>
      </w:r>
      <w:r w:rsidR="004F2F59">
        <w:t>ritical incidents.</w:t>
      </w:r>
    </w:p>
    <w:p w14:paraId="1E23D1CB" w14:textId="0D9B293D" w:rsidR="004F2F59" w:rsidRDefault="00314DD7" w:rsidP="007C2507">
      <w:pPr>
        <w:pStyle w:val="ListParagraph"/>
        <w:numPr>
          <w:ilvl w:val="0"/>
          <w:numId w:val="7"/>
        </w:numPr>
        <w:spacing w:after="160" w:line="360" w:lineRule="auto"/>
        <w:jc w:val="both"/>
      </w:pPr>
      <w:r w:rsidRPr="00790B96">
        <w:rPr>
          <w:b/>
          <w:bCs/>
        </w:rPr>
        <w:t xml:space="preserve">Why </w:t>
      </w:r>
      <w:r w:rsidR="004F2F59" w:rsidRPr="00790B96">
        <w:rPr>
          <w:b/>
          <w:bCs/>
        </w:rPr>
        <w:t>4</w:t>
      </w:r>
      <w:r w:rsidR="00790B96">
        <w:rPr>
          <w:b/>
          <w:bCs/>
        </w:rPr>
        <w:t>-</w:t>
      </w:r>
      <w:r w:rsidR="004F2F59">
        <w:t xml:space="preserve"> insufficient governance</w:t>
      </w:r>
      <w:r w:rsidR="00B95750">
        <w:t>.</w:t>
      </w:r>
      <w:r w:rsidR="004F2F59">
        <w:t xml:space="preserve"> Because NHS management in England lacks sufficient regulation, there </w:t>
      </w:r>
      <w:r w:rsidR="00790B96">
        <w:t>would</w:t>
      </w:r>
      <w:r w:rsidR="004F2F59">
        <w:t xml:space="preserve"> be no professional standards bodies or mechanisms to hold them accountable</w:t>
      </w:r>
      <w:r w:rsidR="00B95750">
        <w:t>,</w:t>
      </w:r>
      <w:r w:rsidR="004F2F59">
        <w:t xml:space="preserve"> as </w:t>
      </w:r>
      <w:r w:rsidR="00B95750">
        <w:t>there are</w:t>
      </w:r>
      <w:r w:rsidR="004F2F59">
        <w:t xml:space="preserve"> with clinicians (Hansard, 2023).</w:t>
      </w:r>
    </w:p>
    <w:p w14:paraId="5F341177" w14:textId="24BF40DD" w:rsidR="004F2F59" w:rsidRDefault="00314DD7" w:rsidP="007C2507">
      <w:pPr>
        <w:pStyle w:val="ListParagraph"/>
        <w:numPr>
          <w:ilvl w:val="0"/>
          <w:numId w:val="7"/>
        </w:numPr>
        <w:spacing w:after="160" w:line="360" w:lineRule="auto"/>
        <w:jc w:val="both"/>
      </w:pPr>
      <w:r w:rsidRPr="00790B96">
        <w:rPr>
          <w:b/>
          <w:bCs/>
        </w:rPr>
        <w:t>Why</w:t>
      </w:r>
      <w:r w:rsidR="004F2F59" w:rsidRPr="00790B96">
        <w:rPr>
          <w:b/>
          <w:bCs/>
        </w:rPr>
        <w:t xml:space="preserve"> </w:t>
      </w:r>
      <w:r w:rsidR="00790B96" w:rsidRPr="00790B96">
        <w:rPr>
          <w:b/>
          <w:bCs/>
        </w:rPr>
        <w:t>5</w:t>
      </w:r>
      <w:r w:rsidR="004F2F59" w:rsidRPr="00790B96">
        <w:rPr>
          <w:b/>
          <w:bCs/>
        </w:rPr>
        <w:t xml:space="preserve"> (Root Cause)</w:t>
      </w:r>
      <w:r w:rsidR="00790B96">
        <w:rPr>
          <w:b/>
          <w:bCs/>
        </w:rPr>
        <w:t>-</w:t>
      </w:r>
      <w:r w:rsidR="004F2F59">
        <w:t xml:space="preserve"> NHS management is not regulated </w:t>
      </w:r>
      <w:r w:rsidR="00790B96">
        <w:t>because</w:t>
      </w:r>
      <w:r w:rsidR="004F2F59">
        <w:t xml:space="preserve"> there </w:t>
      </w:r>
      <w:r w:rsidR="00790B96">
        <w:t>was</w:t>
      </w:r>
      <w:r w:rsidR="004F2F59">
        <w:t xml:space="preserve"> opposition by successive governments to reform regulation despite the recommendation of the Kark Review (2019)</w:t>
      </w:r>
      <w:r w:rsidR="00B95750">
        <w:t>,</w:t>
      </w:r>
      <w:r w:rsidR="004F2F59">
        <w:t xml:space="preserve"> and numerous other inquiries. The lack of professionalism among managers forms an enabling condition systemically in cases of governance failure in the NHS.</w:t>
      </w:r>
    </w:p>
    <w:p w14:paraId="09B61640" w14:textId="77777777" w:rsidR="00D97000" w:rsidRDefault="00D97000" w:rsidP="00D97000">
      <w:pPr>
        <w:pStyle w:val="ListParagraph"/>
        <w:spacing w:after="160" w:line="360" w:lineRule="auto"/>
        <w:ind w:left="720"/>
        <w:jc w:val="both"/>
      </w:pPr>
    </w:p>
    <w:p w14:paraId="6B8EEF53" w14:textId="77777777" w:rsidR="004F2F59" w:rsidRDefault="004F2F59" w:rsidP="004F2F59">
      <w:pPr>
        <w:pStyle w:val="Heading2"/>
        <w:spacing w:line="360" w:lineRule="auto"/>
      </w:pPr>
      <w:bookmarkStart w:id="8" w:name="_Toc226630796"/>
      <w:r>
        <w:t>2.4 SWOT Analysis</w:t>
      </w:r>
      <w:bookmarkEnd w:id="8"/>
    </w:p>
    <w:p w14:paraId="0BCED13A" w14:textId="28F93492" w:rsidR="0016368E" w:rsidRDefault="004F2F59" w:rsidP="004F2F59">
      <w:pPr>
        <w:spacing w:after="160" w:line="360" w:lineRule="auto"/>
        <w:jc w:val="both"/>
      </w:pPr>
      <w:r>
        <w:t xml:space="preserve">SWOT Analysis is a strategy model that focuses on looking at internal Strengths and Weaknesses as well as the external Opportunities and Threats </w:t>
      </w:r>
      <w:r w:rsidR="00C22C2A">
        <w:t>(</w:t>
      </w:r>
      <w:r>
        <w:t xml:space="preserve">Helms and Nixon, 2010). It has been chosen instead of PESTLE </w:t>
      </w:r>
      <w:r w:rsidR="00B430CE">
        <w:t>because</w:t>
      </w:r>
      <w:r>
        <w:t xml:space="preserve"> the major emphasis in this report is on quality improvement interventions </w:t>
      </w:r>
      <w:r w:rsidR="00B95750">
        <w:t>at the</w:t>
      </w:r>
      <w:r>
        <w:t xml:space="preserve"> organisational level, at COCH, and not </w:t>
      </w:r>
      <w:r w:rsidR="00B95750">
        <w:t xml:space="preserve">a </w:t>
      </w:r>
      <w:r>
        <w:t>macro-level political or economic perspective. The subsequent SWOT analysis is u</w:t>
      </w:r>
      <w:r w:rsidR="00B430CE">
        <w:t>s</w:t>
      </w:r>
      <w:r>
        <w:t>ed concerning the governance and quality assurance capacity of COCH after the verdict:</w:t>
      </w:r>
    </w:p>
    <w:p w14:paraId="183D47E2" w14:textId="77777777" w:rsidR="0016368E" w:rsidRDefault="0016368E" w:rsidP="00033FA8">
      <w:pPr>
        <w:spacing w:before="120" w:after="80" w:line="360" w:lineRule="auto"/>
      </w:pPr>
    </w:p>
    <w:p w14:paraId="5221219A" w14:textId="77777777" w:rsidR="00C22867" w:rsidRDefault="00C22867" w:rsidP="00C22867">
      <w:pPr>
        <w:spacing w:before="120" w:after="80"/>
      </w:pPr>
    </w:p>
    <w:p w14:paraId="370E94CA" w14:textId="348B6490" w:rsidR="00D97000" w:rsidRDefault="00C22867" w:rsidP="00033FA8">
      <w:pPr>
        <w:spacing w:before="120" w:after="80" w:line="360" w:lineRule="auto"/>
      </w:pPr>
      <w:r w:rsidRPr="00C22867">
        <w:rPr>
          <w:noProof/>
        </w:rPr>
        <w:lastRenderedPageBreak/>
        <w:drawing>
          <wp:inline distT="0" distB="0" distL="0" distR="0" wp14:anchorId="2D12F38D" wp14:editId="7B648817">
            <wp:extent cx="5731510" cy="7392035"/>
            <wp:effectExtent l="0" t="0" r="0" b="0"/>
            <wp:docPr id="12223045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7392035"/>
                    </a:xfrm>
                    <a:prstGeom prst="rect">
                      <a:avLst/>
                    </a:prstGeom>
                    <a:noFill/>
                    <a:ln>
                      <a:noFill/>
                    </a:ln>
                  </pic:spPr>
                </pic:pic>
              </a:graphicData>
            </a:graphic>
          </wp:inline>
        </w:drawing>
      </w:r>
    </w:p>
    <w:p w14:paraId="57DFAC5C" w14:textId="77777777" w:rsidR="00C22867" w:rsidRDefault="00C22867" w:rsidP="00033FA8">
      <w:pPr>
        <w:spacing w:before="80" w:after="120" w:line="360" w:lineRule="auto"/>
      </w:pPr>
    </w:p>
    <w:p w14:paraId="0D907C4A" w14:textId="77777777" w:rsidR="00B430CE" w:rsidRDefault="00B430CE" w:rsidP="00033FA8">
      <w:pPr>
        <w:spacing w:before="80" w:after="120" w:line="360" w:lineRule="auto"/>
      </w:pPr>
    </w:p>
    <w:p w14:paraId="523F4781" w14:textId="77777777" w:rsidR="00B430CE" w:rsidRDefault="00B430CE" w:rsidP="00033FA8">
      <w:pPr>
        <w:spacing w:before="80" w:after="120" w:line="360" w:lineRule="auto"/>
      </w:pPr>
    </w:p>
    <w:p w14:paraId="45C29C21" w14:textId="77777777" w:rsidR="00B430CE" w:rsidRDefault="00B430CE" w:rsidP="00033FA8">
      <w:pPr>
        <w:spacing w:before="80" w:after="120" w:line="360" w:lineRule="auto"/>
      </w:pPr>
    </w:p>
    <w:p w14:paraId="30C2B26A" w14:textId="459F14A0" w:rsidR="004F2F59" w:rsidRDefault="004F2F59" w:rsidP="004F2F59">
      <w:pPr>
        <w:pStyle w:val="Heading2"/>
        <w:spacing w:line="360" w:lineRule="auto"/>
      </w:pPr>
      <w:bookmarkStart w:id="9" w:name="_Toc226630797"/>
      <w:r>
        <w:lastRenderedPageBreak/>
        <w:t>2.5 Six Sigma DMAIC Cycle</w:t>
      </w:r>
      <w:bookmarkEnd w:id="9"/>
    </w:p>
    <w:p w14:paraId="38436B4B" w14:textId="184BBA35" w:rsidR="004F2F59" w:rsidRDefault="004F2F59" w:rsidP="004F2F59">
      <w:pPr>
        <w:spacing w:after="80" w:line="360" w:lineRule="auto"/>
      </w:pPr>
      <w:r>
        <w:t xml:space="preserve">Six Sigma is a quantitative quality enhancement approach and statistical data improvement concept that </w:t>
      </w:r>
      <w:r w:rsidR="00B95750">
        <w:t>was developed</w:t>
      </w:r>
      <w:r>
        <w:t xml:space="preserve"> by Motorola during the 1980s and is being extensively used in healthcare institutions (Antony et al., 2007). The type of DMAIC used is the</w:t>
      </w:r>
      <w:r w:rsidR="00B430CE">
        <w:t>:</w:t>
      </w:r>
      <w:r>
        <w:t xml:space="preserve"> </w:t>
      </w:r>
      <w:r w:rsidRPr="00B430CE">
        <w:rPr>
          <w:b/>
          <w:bCs/>
        </w:rPr>
        <w:t>Define, Measure, Analyse, Improve, Control</w:t>
      </w:r>
      <w:r w:rsidR="00B430CE">
        <w:t>-</w:t>
      </w:r>
      <w:r>
        <w:t xml:space="preserve"> this</w:t>
      </w:r>
      <w:r w:rsidR="00B430CE">
        <w:t xml:space="preserve"> is used because</w:t>
      </w:r>
      <w:r>
        <w:t xml:space="preserve"> report is focused not on creating new systems but rather on upgrading the older ones </w:t>
      </w:r>
      <w:r w:rsidR="00A8757A" w:rsidRPr="00A8757A">
        <w:t>(Coughlin and Posencheg, 2023)</w:t>
      </w:r>
      <w:r>
        <w:t>. The defect is as follows: The inability to raise the clinical issues regarding patient safety to the proper management and regulatory authorities within specified timeframes.</w:t>
      </w:r>
    </w:p>
    <w:p w14:paraId="0D77ED79" w14:textId="4548A447" w:rsidR="004F2F59" w:rsidRDefault="004F2F59" w:rsidP="004F2F59">
      <w:pPr>
        <w:pStyle w:val="ListParagraph"/>
        <w:numPr>
          <w:ilvl w:val="0"/>
          <w:numId w:val="4"/>
        </w:numPr>
        <w:spacing w:after="80" w:line="360" w:lineRule="auto"/>
      </w:pPr>
      <w:r w:rsidRPr="00B430CE">
        <w:rPr>
          <w:b/>
          <w:bCs/>
        </w:rPr>
        <w:t>De</w:t>
      </w:r>
      <w:r w:rsidR="007C2507" w:rsidRPr="00B430CE">
        <w:rPr>
          <w:b/>
          <w:bCs/>
        </w:rPr>
        <w:t>fine</w:t>
      </w:r>
      <w:r w:rsidR="00B430CE">
        <w:rPr>
          <w:b/>
          <w:bCs/>
        </w:rPr>
        <w:t>-</w:t>
      </w:r>
      <w:r>
        <w:t xml:space="preserve"> The research problem is the structural malfunctioning of the governance and growth processes at COCH. The critical to quality (CTQ) indicator is: 100 percent of pertinent cases in the neonatal unit to be examined by an autonomous clinical board within 72 hours of reporting.</w:t>
      </w:r>
    </w:p>
    <w:p w14:paraId="4CDDEA89" w14:textId="5002606C" w:rsidR="004F2F59" w:rsidRDefault="004F2F59" w:rsidP="004F2F59">
      <w:pPr>
        <w:pStyle w:val="ListParagraph"/>
        <w:numPr>
          <w:ilvl w:val="0"/>
          <w:numId w:val="4"/>
        </w:numPr>
        <w:spacing w:after="80" w:line="360" w:lineRule="auto"/>
      </w:pPr>
      <w:r w:rsidRPr="00B430CE">
        <w:rPr>
          <w:b/>
          <w:bCs/>
        </w:rPr>
        <w:t>Measure</w:t>
      </w:r>
      <w:r w:rsidR="00B430CE">
        <w:rPr>
          <w:b/>
          <w:bCs/>
        </w:rPr>
        <w:t>-</w:t>
      </w:r>
      <w:r>
        <w:t xml:space="preserve"> It is baseline data that the neonatal deaths </w:t>
      </w:r>
      <w:r w:rsidR="00B95750">
        <w:t>increased</w:t>
      </w:r>
      <w:r>
        <w:t xml:space="preserve"> to nine in 2015 when they were compared to four in 2014 without evoking </w:t>
      </w:r>
      <w:r w:rsidR="00B95750">
        <w:t>further</w:t>
      </w:r>
      <w:r>
        <w:t xml:space="preserve"> review (Knight et al., 2021). CQC (2024) found that compliance </w:t>
      </w:r>
      <w:r w:rsidR="00B95750">
        <w:t>with</w:t>
      </w:r>
      <w:r>
        <w:t xml:space="preserve"> serious incident reporting was weak.</w:t>
      </w:r>
    </w:p>
    <w:p w14:paraId="787B70B8" w14:textId="7897F996" w:rsidR="004F2F59" w:rsidRDefault="004F2F59" w:rsidP="004F2F59">
      <w:pPr>
        <w:pStyle w:val="ListParagraph"/>
        <w:numPr>
          <w:ilvl w:val="0"/>
          <w:numId w:val="4"/>
        </w:numPr>
        <w:spacing w:after="80" w:line="360" w:lineRule="auto"/>
      </w:pPr>
      <w:r w:rsidRPr="00B430CE">
        <w:rPr>
          <w:b/>
          <w:bCs/>
        </w:rPr>
        <w:t>Analyse</w:t>
      </w:r>
      <w:r w:rsidR="00B430CE">
        <w:rPr>
          <w:b/>
          <w:bCs/>
        </w:rPr>
        <w:t>-</w:t>
      </w:r>
      <w:r>
        <w:t xml:space="preserve"> The root causes are as follows: lack of an independent check in incident classification; unrestricted management; a culture that punished clinical concern; and the lack of real-time mortality tracking by the board </w:t>
      </w:r>
      <w:r w:rsidR="007F6E0B" w:rsidRPr="007F6E0B">
        <w:t>(Silva et al., 2024)</w:t>
      </w:r>
      <w:r>
        <w:t>.</w:t>
      </w:r>
    </w:p>
    <w:p w14:paraId="3FB1FA75" w14:textId="42499647" w:rsidR="00D97000" w:rsidRDefault="00DD04F9" w:rsidP="00C10A28">
      <w:pPr>
        <w:pStyle w:val="ListParagraph"/>
        <w:numPr>
          <w:ilvl w:val="0"/>
          <w:numId w:val="4"/>
        </w:numPr>
        <w:spacing w:after="80" w:line="360" w:lineRule="auto"/>
      </w:pPr>
      <w:r w:rsidRPr="009B79A7">
        <w:rPr>
          <w:b/>
          <w:bCs/>
          <w:noProof/>
        </w:rPr>
        <mc:AlternateContent>
          <mc:Choice Requires="wps">
            <w:drawing>
              <wp:anchor distT="0" distB="0" distL="114300" distR="114300" simplePos="0" relativeHeight="251661312" behindDoc="0" locked="0" layoutInCell="1" allowOverlap="1" wp14:anchorId="3628150A" wp14:editId="5F869D79">
                <wp:simplePos x="0" y="0"/>
                <wp:positionH relativeFrom="column">
                  <wp:posOffset>1524000</wp:posOffset>
                </wp:positionH>
                <wp:positionV relativeFrom="paragraph">
                  <wp:posOffset>3565525</wp:posOffset>
                </wp:positionV>
                <wp:extent cx="2499995" cy="635"/>
                <wp:effectExtent l="0" t="0" r="0" b="0"/>
                <wp:wrapTopAndBottom/>
                <wp:docPr id="679018908" name="Text Box 1"/>
                <wp:cNvGraphicFramePr/>
                <a:graphic xmlns:a="http://schemas.openxmlformats.org/drawingml/2006/main">
                  <a:graphicData uri="http://schemas.microsoft.com/office/word/2010/wordprocessingShape">
                    <wps:wsp>
                      <wps:cNvSpPr txBox="1"/>
                      <wps:spPr>
                        <a:xfrm>
                          <a:off x="0" y="0"/>
                          <a:ext cx="2499995" cy="635"/>
                        </a:xfrm>
                        <a:prstGeom prst="rect">
                          <a:avLst/>
                        </a:prstGeom>
                        <a:solidFill>
                          <a:prstClr val="white"/>
                        </a:solidFill>
                        <a:ln>
                          <a:noFill/>
                        </a:ln>
                      </wps:spPr>
                      <wps:txbx>
                        <w:txbxContent>
                          <w:p w14:paraId="18006FFB" w14:textId="4A54138E" w:rsidR="00DD04F9" w:rsidRPr="00771836" w:rsidRDefault="00DD04F9" w:rsidP="00DD04F9">
                            <w:pPr>
                              <w:pStyle w:val="Caption"/>
                              <w:jc w:val="center"/>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28150A" id="_x0000_s1027" type="#_x0000_t202" style="position:absolute;left:0;text-align:left;margin-left:120pt;margin-top:280.75pt;width:196.8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" stroked="f">
                <v:textbox style="mso-fit-shape-to-text:t" inset="0,0,0,0">
                  <w:txbxContent>
                    <w:p w14:paraId="18006FFB" w14:textId="4A54138E" w:rsidR="00DD04F9" w:rsidRPr="00771836" w:rsidRDefault="00DD04F9" w:rsidP="00DD04F9">
                      <w:pPr>
                        <w:pStyle w:val="Caption"/>
                        <w:jc w:val="center"/>
                        <w:rPr>
                          <w:noProof/>
                        </w:rPr>
                      </w:pPr>
                    </w:p>
                  </w:txbxContent>
                </v:textbox>
                <w10:wrap type="topAndBottom"/>
              </v:shape>
            </w:pict>
          </mc:Fallback>
        </mc:AlternateContent>
      </w:r>
      <w:r w:rsidR="004F2F59" w:rsidRPr="009B79A7">
        <w:rPr>
          <w:b/>
          <w:bCs/>
        </w:rPr>
        <w:t xml:space="preserve"> Improve</w:t>
      </w:r>
      <w:r w:rsidR="009B79A7">
        <w:rPr>
          <w:b/>
          <w:bCs/>
        </w:rPr>
        <w:t>-</w:t>
      </w:r>
      <w:r w:rsidR="004F2F59">
        <w:t xml:space="preserve"> The proposed services are: (1) compulsory independent clinical examination of all significant incidents </w:t>
      </w:r>
      <w:r w:rsidR="00B95750">
        <w:t>within</w:t>
      </w:r>
      <w:r w:rsidR="004F2F59">
        <w:t xml:space="preserve"> 72 hours; (2) neonatal mortality dashboard; (3) management training on psychological safety; (4) compulsory management regulation; (5) anonymous reporting reflects straight to CQC (Edmondson, 1999).</w:t>
      </w:r>
    </w:p>
    <w:p w14:paraId="6394B095" w14:textId="38935EAD" w:rsidR="0016368E" w:rsidRDefault="004F2F59" w:rsidP="004F2F59">
      <w:pPr>
        <w:pStyle w:val="ListParagraph"/>
        <w:numPr>
          <w:ilvl w:val="0"/>
          <w:numId w:val="4"/>
        </w:numPr>
        <w:spacing w:after="80" w:line="360" w:lineRule="auto"/>
      </w:pPr>
      <w:r w:rsidRPr="00C10A28">
        <w:rPr>
          <w:b/>
          <w:bCs/>
        </w:rPr>
        <w:t xml:space="preserve">Control </w:t>
      </w:r>
      <w:r>
        <w:t xml:space="preserve">Sustainability measures comprise quarterly CQC reporting based on CTQs; the ability to audit serious incident classification; an annual survey of the cultural safety of the staff; </w:t>
      </w:r>
      <w:r w:rsidR="00B95750">
        <w:t xml:space="preserve">and </w:t>
      </w:r>
      <w:r>
        <w:t>an accountable board-centered viewpoint on the MBRRACE-UK data</w:t>
      </w:r>
      <w:r w:rsidR="00B95750">
        <w:t>, which</w:t>
      </w:r>
      <w:r>
        <w:t xml:space="preserve"> is incorporated into the NHS Patient Safety Strategy (NHS England, 2019).</w:t>
      </w:r>
    </w:p>
    <w:p w14:paraId="7CC7EA76" w14:textId="2FB608F1" w:rsidR="00B430CE" w:rsidRDefault="00B430CE" w:rsidP="00B430CE">
      <w:pPr>
        <w:pStyle w:val="ListParagraph"/>
      </w:pPr>
      <w:r w:rsidRPr="00B430CE">
        <w:rPr>
          <w:noProof/>
        </w:rPr>
        <w:lastRenderedPageBreak/>
        <w:drawing>
          <wp:inline distT="0" distB="0" distL="0" distR="0" wp14:anchorId="7581C3D0" wp14:editId="151D8EC7">
            <wp:extent cx="2705478" cy="2276793"/>
            <wp:effectExtent l="0" t="0" r="0" b="9525"/>
            <wp:docPr id="356167258"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67258" name="Picture 1" descr="A diagram of a diagram&#10;&#10;AI-generated content may be incorrect."/>
                    <pic:cNvPicPr/>
                  </pic:nvPicPr>
                  <pic:blipFill>
                    <a:blip r:embed="rId10"/>
                    <a:stretch>
                      <a:fillRect/>
                    </a:stretch>
                  </pic:blipFill>
                  <pic:spPr>
                    <a:xfrm>
                      <a:off x="0" y="0"/>
                      <a:ext cx="2705478" cy="2276793"/>
                    </a:xfrm>
                    <a:prstGeom prst="rect">
                      <a:avLst/>
                    </a:prstGeom>
                  </pic:spPr>
                </pic:pic>
              </a:graphicData>
            </a:graphic>
          </wp:inline>
        </w:drawing>
      </w:r>
    </w:p>
    <w:p w14:paraId="5D9A6930" w14:textId="55508967" w:rsidR="00E319F6" w:rsidRDefault="00E319F6" w:rsidP="00B430CE">
      <w:pPr>
        <w:spacing w:after="80" w:line="360" w:lineRule="auto"/>
      </w:pPr>
    </w:p>
    <w:p w14:paraId="106ECC87" w14:textId="6A9AAFD2" w:rsidR="004F2F59" w:rsidRDefault="004F2F59" w:rsidP="004F2F59">
      <w:pPr>
        <w:pStyle w:val="Heading2"/>
        <w:spacing w:line="360" w:lineRule="auto"/>
      </w:pPr>
      <w:bookmarkStart w:id="10" w:name="_Toc226630798"/>
      <w:r>
        <w:t>2.6 Kotter's 8-Step Change Model</w:t>
      </w:r>
      <w:bookmarkEnd w:id="10"/>
    </w:p>
    <w:p w14:paraId="05A91EE7" w14:textId="10DE1D4B" w:rsidR="004F2F59" w:rsidRDefault="00B95750" w:rsidP="004F2F59">
      <w:pPr>
        <w:spacing w:after="80" w:line="360" w:lineRule="auto"/>
      </w:pPr>
      <w:r>
        <w:t>Kotter's</w:t>
      </w:r>
      <w:r w:rsidR="004F2F59">
        <w:t xml:space="preserve"> 8-Step</w:t>
      </w:r>
      <w:r w:rsidR="00C10A28">
        <w:t xml:space="preserve"> change model</w:t>
      </w:r>
      <w:r w:rsidR="004F2F59">
        <w:t xml:space="preserve"> offers a systematic framework </w:t>
      </w:r>
      <w:r>
        <w:t>for</w:t>
      </w:r>
      <w:r w:rsidR="004F2F59">
        <w:t xml:space="preserve"> leading change in organisations at </w:t>
      </w:r>
      <w:r>
        <w:t>a</w:t>
      </w:r>
      <w:r w:rsidR="004F2F59">
        <w:t xml:space="preserve"> large scale in complex and resistant environments </w:t>
      </w:r>
      <w:r w:rsidR="004C5239" w:rsidRPr="004C5239">
        <w:t>(Carreno, 2024)</w:t>
      </w:r>
      <w:r w:rsidR="004C5239">
        <w:t xml:space="preserve">. </w:t>
      </w:r>
      <w:r w:rsidR="004F2F59">
        <w:t xml:space="preserve">It is chosen over the 3-Stage Model of Lewin </w:t>
      </w:r>
      <w:r w:rsidR="00C10A28">
        <w:t>because</w:t>
      </w:r>
      <w:r w:rsidR="004F2F59">
        <w:t xml:space="preserve"> the scope and time of the cultural and governance failures at COCH demand a more detailed approach to change </w:t>
      </w:r>
      <w:r w:rsidR="007F6E0B" w:rsidRPr="007F6E0B">
        <w:t>(Mladenova, 2022)</w:t>
      </w:r>
      <w:r w:rsidR="004F2F59">
        <w:t>.</w:t>
      </w:r>
    </w:p>
    <w:p w14:paraId="44133ED0" w14:textId="6E67232F" w:rsidR="004F2F59" w:rsidRDefault="004F2F59" w:rsidP="004F2F59">
      <w:pPr>
        <w:pStyle w:val="ListParagraph"/>
        <w:numPr>
          <w:ilvl w:val="0"/>
          <w:numId w:val="5"/>
        </w:numPr>
        <w:spacing w:after="80" w:line="360" w:lineRule="auto"/>
      </w:pPr>
      <w:r w:rsidRPr="00C10A28">
        <w:rPr>
          <w:b/>
          <w:bCs/>
        </w:rPr>
        <w:t>Step 1</w:t>
      </w:r>
      <w:r w:rsidR="00C10A28" w:rsidRPr="00C10A28">
        <w:rPr>
          <w:b/>
          <w:bCs/>
        </w:rPr>
        <w:t xml:space="preserve"> (Create Urgency)-</w:t>
      </w:r>
      <w:r>
        <w:t xml:space="preserve"> The results of the Thirlwall Inquiry, CQC Inspection reports, MBRRACE-UK mortality statistics</w:t>
      </w:r>
      <w:r w:rsidR="00B95750">
        <w:t>,</w:t>
      </w:r>
      <w:r>
        <w:t xml:space="preserve"> and seven infant deaths provide a clear evidential foundation upon which urgent change must be realie</w:t>
      </w:r>
      <w:r w:rsidR="00C10A28">
        <w:t>s</w:t>
      </w:r>
      <w:r>
        <w:t xml:space="preserve">d. Armenakis and Bedeian (1999) show that readiness to change is </w:t>
      </w:r>
      <w:r w:rsidR="00B95750">
        <w:t>much higher</w:t>
      </w:r>
      <w:r>
        <w:t xml:space="preserve"> when organisational members view the change as an urgent process </w:t>
      </w:r>
      <w:r w:rsidR="00F27088">
        <w:t>and</w:t>
      </w:r>
      <w:r>
        <w:t xml:space="preserve"> when the change is </w:t>
      </w:r>
      <w:r w:rsidR="00B95750">
        <w:t>evidence-based</w:t>
      </w:r>
      <w:r>
        <w:t>.</w:t>
      </w:r>
    </w:p>
    <w:p w14:paraId="315D8290" w14:textId="340E36F0" w:rsidR="004F2F59" w:rsidRDefault="004F2F59" w:rsidP="004F2F59">
      <w:pPr>
        <w:pStyle w:val="ListParagraph"/>
        <w:numPr>
          <w:ilvl w:val="0"/>
          <w:numId w:val="5"/>
        </w:numPr>
        <w:spacing w:after="80" w:line="360" w:lineRule="auto"/>
      </w:pPr>
      <w:r w:rsidRPr="00C10A28">
        <w:rPr>
          <w:b/>
          <w:bCs/>
        </w:rPr>
        <w:t xml:space="preserve">Step </w:t>
      </w:r>
      <w:r w:rsidR="00C10A28" w:rsidRPr="00C10A28">
        <w:rPr>
          <w:b/>
          <w:bCs/>
        </w:rPr>
        <w:t>2 (Form a Coalition)-</w:t>
      </w:r>
      <w:r>
        <w:t xml:space="preserve"> Additionally, a trans-disciplinary patient safety coalition, including the medical director, the director of nursing, the senior neonatal consultants, a patient representative, a CQC liaison officer, and an independent governance expert, needs to be built.</w:t>
      </w:r>
    </w:p>
    <w:p w14:paraId="6B668F59" w14:textId="533ED6C8" w:rsidR="004F2F59" w:rsidRDefault="004F2F59" w:rsidP="004F2F59">
      <w:pPr>
        <w:pStyle w:val="ListParagraph"/>
        <w:numPr>
          <w:ilvl w:val="0"/>
          <w:numId w:val="5"/>
        </w:numPr>
        <w:spacing w:after="80" w:line="360" w:lineRule="auto"/>
      </w:pPr>
      <w:r w:rsidRPr="00C10A28">
        <w:rPr>
          <w:b/>
          <w:bCs/>
        </w:rPr>
        <w:t xml:space="preserve">Step 3 </w:t>
      </w:r>
      <w:r w:rsidR="00C10A28" w:rsidRPr="00C10A28">
        <w:rPr>
          <w:b/>
          <w:bCs/>
        </w:rPr>
        <w:t>(</w:t>
      </w:r>
      <w:r w:rsidR="004C6794">
        <w:rPr>
          <w:b/>
          <w:bCs/>
        </w:rPr>
        <w:t>Create</w:t>
      </w:r>
      <w:r w:rsidR="00C10A28" w:rsidRPr="00C10A28">
        <w:rPr>
          <w:b/>
          <w:bCs/>
        </w:rPr>
        <w:t xml:space="preserve"> a Vision)</w:t>
      </w:r>
      <w:r w:rsidRPr="00C10A28">
        <w:rPr>
          <w:b/>
          <w:bCs/>
        </w:rPr>
        <w:t>-</w:t>
      </w:r>
      <w:r>
        <w:t xml:space="preserve"> COCH will turn into a Trust where every clinical issue will be listened and responded to within specified periods of time; where </w:t>
      </w:r>
      <w:r w:rsidR="004C6794">
        <w:t>continuous</w:t>
      </w:r>
      <w:r>
        <w:t xml:space="preserve"> monitoring of neonatal mortality will take place; and where a culture of psychological safety will be established in the institution and allow staff to voice concerns without professional risk (Edmondson, 1999</w:t>
      </w:r>
      <w:r w:rsidR="00745079">
        <w:t>)</w:t>
      </w:r>
      <w:r w:rsidR="004C6794">
        <w:t>.</w:t>
      </w:r>
    </w:p>
    <w:p w14:paraId="58963CA5" w14:textId="3DD8EA02" w:rsidR="004F2F59" w:rsidRDefault="004F2F59" w:rsidP="004F2F59">
      <w:pPr>
        <w:pStyle w:val="ListParagraph"/>
        <w:numPr>
          <w:ilvl w:val="0"/>
          <w:numId w:val="5"/>
        </w:numPr>
        <w:spacing w:after="80" w:line="360" w:lineRule="auto"/>
      </w:pPr>
      <w:r w:rsidRPr="004C6794">
        <w:rPr>
          <w:b/>
          <w:bCs/>
        </w:rPr>
        <w:lastRenderedPageBreak/>
        <w:t xml:space="preserve">Step 4 </w:t>
      </w:r>
      <w:r w:rsidR="004C6794" w:rsidRPr="004C6794">
        <w:rPr>
          <w:b/>
          <w:bCs/>
        </w:rPr>
        <w:t>(</w:t>
      </w:r>
      <w:r w:rsidRPr="004C6794">
        <w:rPr>
          <w:b/>
          <w:bCs/>
        </w:rPr>
        <w:t>Communicat</w:t>
      </w:r>
      <w:r w:rsidR="004C6794" w:rsidRPr="004C6794">
        <w:rPr>
          <w:b/>
          <w:bCs/>
        </w:rPr>
        <w:t>ing</w:t>
      </w:r>
      <w:r w:rsidRPr="004C6794">
        <w:rPr>
          <w:b/>
          <w:bCs/>
        </w:rPr>
        <w:t xml:space="preserve"> the Vision</w:t>
      </w:r>
      <w:r w:rsidR="004C6794" w:rsidRPr="004C6794">
        <w:rPr>
          <w:b/>
          <w:bCs/>
        </w:rPr>
        <w:t>)-</w:t>
      </w:r>
      <w:r>
        <w:t xml:space="preserve"> The vision should be shared throughout the organisation in all </w:t>
      </w:r>
      <w:r w:rsidR="004C6794">
        <w:t>divisions</w:t>
      </w:r>
      <w:r>
        <w:t xml:space="preserve"> through structured policy briefs via team meetings and written policy. Klein et al. (1995) demonstrate the importance of this rationale through communication of the change to be done through multiple channels</w:t>
      </w:r>
      <w:r w:rsidR="00B95750">
        <w:t>,</w:t>
      </w:r>
      <w:r>
        <w:t xml:space="preserve"> consistently being </w:t>
      </w:r>
      <w:r w:rsidR="00B95750">
        <w:t xml:space="preserve">an </w:t>
      </w:r>
      <w:r>
        <w:t>influential predictor of successful implementation.</w:t>
      </w:r>
    </w:p>
    <w:p w14:paraId="16A174C3" w14:textId="134635BF" w:rsidR="004F2F59" w:rsidRDefault="004F2F59" w:rsidP="004F2F59">
      <w:pPr>
        <w:pStyle w:val="ListParagraph"/>
        <w:numPr>
          <w:ilvl w:val="0"/>
          <w:numId w:val="5"/>
        </w:numPr>
        <w:spacing w:after="80" w:line="360" w:lineRule="auto"/>
      </w:pPr>
      <w:r w:rsidRPr="004C6794">
        <w:rPr>
          <w:b/>
          <w:bCs/>
        </w:rPr>
        <w:t xml:space="preserve">Step 5 </w:t>
      </w:r>
      <w:r w:rsidR="004C6794" w:rsidRPr="004C6794">
        <w:rPr>
          <w:b/>
          <w:bCs/>
        </w:rPr>
        <w:t>(</w:t>
      </w:r>
      <w:r w:rsidRPr="004C6794">
        <w:rPr>
          <w:b/>
          <w:bCs/>
        </w:rPr>
        <w:t>Empower others to take action</w:t>
      </w:r>
      <w:r w:rsidR="004C6794" w:rsidRPr="004C6794">
        <w:rPr>
          <w:b/>
          <w:bCs/>
        </w:rPr>
        <w:t>)-</w:t>
      </w:r>
      <w:r>
        <w:t xml:space="preserve"> Structural barriers to action should be eliminated, such as reforming the serious incident committee, requiring outside clinical contribution, and instating an anonymous digital reporting system open to everyone.</w:t>
      </w:r>
    </w:p>
    <w:p w14:paraId="4B09291E" w14:textId="5876DE2A" w:rsidR="004F2F59" w:rsidRDefault="004F2F59" w:rsidP="004F2F59">
      <w:pPr>
        <w:pStyle w:val="ListParagraph"/>
        <w:numPr>
          <w:ilvl w:val="0"/>
          <w:numId w:val="5"/>
        </w:numPr>
        <w:spacing w:after="80" w:line="360" w:lineRule="auto"/>
      </w:pPr>
      <w:r w:rsidRPr="004C6794">
        <w:rPr>
          <w:b/>
          <w:bCs/>
        </w:rPr>
        <w:t xml:space="preserve">Step 6 </w:t>
      </w:r>
      <w:r w:rsidR="004C6794" w:rsidRPr="004C6794">
        <w:rPr>
          <w:b/>
          <w:bCs/>
        </w:rPr>
        <w:t>(</w:t>
      </w:r>
      <w:r w:rsidRPr="004C6794">
        <w:rPr>
          <w:b/>
          <w:bCs/>
        </w:rPr>
        <w:t>Create Short-Term Wins</w:t>
      </w:r>
      <w:r w:rsidR="004C6794" w:rsidRPr="004C6794">
        <w:rPr>
          <w:b/>
          <w:bCs/>
        </w:rPr>
        <w:t>)-</w:t>
      </w:r>
      <w:r>
        <w:t xml:space="preserve"> Within three months</w:t>
      </w:r>
      <w:r w:rsidR="00B95750">
        <w:t>,</w:t>
      </w:r>
      <w:r>
        <w:t xml:space="preserve"> 100 percent of the staff trained on updated safeguarding and incident reporting; the complete execution of the real-time neonatal mortality dashboard</w:t>
      </w:r>
      <w:r w:rsidR="00B95750">
        <w:t>,</w:t>
      </w:r>
      <w:r>
        <w:t xml:space="preserve"> and the first independent audit of serious incident classification.</w:t>
      </w:r>
    </w:p>
    <w:p w14:paraId="397B3A4B" w14:textId="1ED96B52" w:rsidR="004F2F59" w:rsidRDefault="004F2F59" w:rsidP="004C6794">
      <w:pPr>
        <w:pStyle w:val="ListParagraph"/>
        <w:numPr>
          <w:ilvl w:val="0"/>
          <w:numId w:val="5"/>
        </w:numPr>
        <w:spacing w:after="80" w:line="360" w:lineRule="auto"/>
      </w:pPr>
      <w:r w:rsidRPr="004C6794">
        <w:rPr>
          <w:b/>
          <w:bCs/>
        </w:rPr>
        <w:t xml:space="preserve">Step 7 </w:t>
      </w:r>
      <w:r w:rsidR="004C6794">
        <w:rPr>
          <w:b/>
          <w:bCs/>
        </w:rPr>
        <w:t>(</w:t>
      </w:r>
      <w:r w:rsidRPr="004C6794">
        <w:rPr>
          <w:b/>
          <w:bCs/>
        </w:rPr>
        <w:t>Consolidate Gains</w:t>
      </w:r>
      <w:r w:rsidR="004C6794">
        <w:rPr>
          <w:b/>
          <w:bCs/>
        </w:rPr>
        <w:t>)</w:t>
      </w:r>
      <w:r w:rsidR="004C6794" w:rsidRPr="004C6794">
        <w:rPr>
          <w:b/>
          <w:bCs/>
        </w:rPr>
        <w:t>-</w:t>
      </w:r>
      <w:r>
        <w:t xml:space="preserve"> Advance reforms to encompass compulsory administration training; cross-fidelity learning networks on neonatal security; and adherence of Family Liaison [Officer] to neonatal administration systems.</w:t>
      </w:r>
    </w:p>
    <w:p w14:paraId="5DCCF0D3" w14:textId="6907B525" w:rsidR="0016368E" w:rsidRDefault="004F2F59" w:rsidP="004F2F59">
      <w:pPr>
        <w:pStyle w:val="ListParagraph"/>
        <w:numPr>
          <w:ilvl w:val="0"/>
          <w:numId w:val="5"/>
        </w:numPr>
        <w:spacing w:after="80" w:line="360" w:lineRule="auto"/>
      </w:pPr>
      <w:r w:rsidRPr="004C6794">
        <w:rPr>
          <w:b/>
          <w:bCs/>
        </w:rPr>
        <w:t xml:space="preserve">Step 8 </w:t>
      </w:r>
      <w:r w:rsidR="004C6794" w:rsidRPr="004C6794">
        <w:rPr>
          <w:b/>
          <w:bCs/>
        </w:rPr>
        <w:t>(Implement Change)-</w:t>
      </w:r>
      <w:r w:rsidRPr="004C6794">
        <w:rPr>
          <w:b/>
          <w:bCs/>
        </w:rPr>
        <w:t xml:space="preserve"> </w:t>
      </w:r>
      <w:r>
        <w:t xml:space="preserve">Because the previous method of teaching and learning burdens an organisation with numerous procedures, unite the new governance culture via organisational policy and onboarding. The national policy framework is offered by the Patient Safety Incident Response Framework by NHS England (PSIRF, 2022). The measurement, reporting, and </w:t>
      </w:r>
      <w:r w:rsidR="004C6794">
        <w:t>reward</w:t>
      </w:r>
      <w:r>
        <w:t xml:space="preserve"> of patient safety governance should be at </w:t>
      </w:r>
      <w:r w:rsidR="00B95750">
        <w:t xml:space="preserve">the </w:t>
      </w:r>
      <w:r>
        <w:t>board level to be sustainable</w:t>
      </w:r>
      <w:r w:rsidR="00745079">
        <w:t>.</w:t>
      </w:r>
    </w:p>
    <w:p w14:paraId="72AA61F7" w14:textId="06144B68" w:rsidR="004F2F59" w:rsidRDefault="004F2F59" w:rsidP="004B6179">
      <w:pPr>
        <w:pStyle w:val="Heading1"/>
        <w:spacing w:line="360" w:lineRule="auto"/>
      </w:pPr>
      <w:bookmarkStart w:id="11" w:name="_Toc226630799"/>
      <w:r>
        <w:t>3. Recommendations and Benchmark.</w:t>
      </w:r>
      <w:bookmarkEnd w:id="11"/>
    </w:p>
    <w:p w14:paraId="0D7D46A1" w14:textId="302C0B03" w:rsidR="004F2F59" w:rsidRDefault="004F2F59" w:rsidP="004B6179">
      <w:pPr>
        <w:pStyle w:val="Heading2"/>
        <w:spacing w:line="360" w:lineRule="auto"/>
      </w:pPr>
      <w:bookmarkStart w:id="12" w:name="_Toc226630800"/>
      <w:r>
        <w:t xml:space="preserve">3.1 </w:t>
      </w:r>
      <w:r w:rsidR="00B95750">
        <w:t>Evidence-Based</w:t>
      </w:r>
      <w:r>
        <w:t xml:space="preserve"> Recommendations.</w:t>
      </w:r>
      <w:bookmarkEnd w:id="12"/>
    </w:p>
    <w:p w14:paraId="1A0B58BF" w14:textId="77DA1E19" w:rsidR="004F2F59" w:rsidRDefault="004F2F59" w:rsidP="004B6179">
      <w:pPr>
        <w:pStyle w:val="ListParagraph"/>
        <w:numPr>
          <w:ilvl w:val="0"/>
          <w:numId w:val="6"/>
        </w:numPr>
        <w:spacing w:after="80" w:line="360" w:lineRule="auto"/>
      </w:pPr>
      <w:r>
        <w:t xml:space="preserve">Recommendation 1 –Neonatal Unit: Review of Serious Incidents: It is advised that all serious incidents in neonatal units should undergo an external review by a clinical panel within 72 hours, regardless of the trust that the </w:t>
      </w:r>
      <w:r w:rsidR="00B95750">
        <w:t>working</w:t>
      </w:r>
      <w:r>
        <w:t xml:space="preserve"> </w:t>
      </w:r>
      <w:r>
        <w:lastRenderedPageBreak/>
        <w:t>hospital is part of</w:t>
      </w:r>
      <w:r w:rsidR="007F6E0B">
        <w:t xml:space="preserve"> </w:t>
      </w:r>
      <w:r w:rsidR="007F6E0B" w:rsidRPr="007F6E0B">
        <w:t>(Nallamothu et al., 2023)</w:t>
      </w:r>
      <w:r>
        <w:t xml:space="preserve">. </w:t>
      </w:r>
      <w:r w:rsidR="007F6E0B">
        <w:t>I</w:t>
      </w:r>
      <w:r>
        <w:t>ndependent incident review can significantly help to decrease the number of repeat adverse events.</w:t>
      </w:r>
    </w:p>
    <w:p w14:paraId="40584B16" w14:textId="31507F9A" w:rsidR="004F2F59" w:rsidRDefault="004B6179" w:rsidP="004B6179">
      <w:pPr>
        <w:pStyle w:val="ListParagraph"/>
        <w:numPr>
          <w:ilvl w:val="0"/>
          <w:numId w:val="6"/>
        </w:numPr>
        <w:spacing w:after="80" w:line="360" w:lineRule="auto"/>
      </w:pPr>
      <w:r>
        <w:t xml:space="preserve">Recommendation 2- </w:t>
      </w:r>
      <w:r w:rsidR="004F2F59">
        <w:t xml:space="preserve">Near misses and errors to address: Real-Time Neonatal mortality monitoring: COCH and all NHS trusts </w:t>
      </w:r>
      <w:r w:rsidR="00D106B6">
        <w:t xml:space="preserve">should </w:t>
      </w:r>
      <w:r w:rsidR="004F2F59">
        <w:t>have real-time dashboards comparing neonatal mortality to MBRRACE-UK national data, which is visible at board level and functions as accessible to CQC quarterly (Knight et al., 2021).</w:t>
      </w:r>
    </w:p>
    <w:p w14:paraId="16457192" w14:textId="33907E5D" w:rsidR="004F2F59" w:rsidRDefault="004F2F59" w:rsidP="004B6179">
      <w:pPr>
        <w:pStyle w:val="ListParagraph"/>
        <w:numPr>
          <w:ilvl w:val="0"/>
          <w:numId w:val="6"/>
        </w:numPr>
        <w:spacing w:after="80" w:line="360" w:lineRule="auto"/>
      </w:pPr>
      <w:r>
        <w:t xml:space="preserve">Recommendation 3 -Safe Staffing in Neonatal Units: The staffing levels must adhere to the staffing requirements of BAPM (2022) and have mandatory requirements of staffing to patient ratios. According to a report by the Royal College of Nursing (2022), the rate of adverse events in </w:t>
      </w:r>
      <w:r w:rsidR="00B95750">
        <w:t xml:space="preserve">a </w:t>
      </w:r>
      <w:r>
        <w:t xml:space="preserve">high-dependency environment will decrease by 26 cases per 100,000 patients when the number of nurses per patient shift is increased by one. CQC (2024) also ensured that </w:t>
      </w:r>
      <w:r w:rsidR="00D106B6">
        <w:t>COCH operated</w:t>
      </w:r>
      <w:r>
        <w:t xml:space="preserve"> within the safe staffing limits.</w:t>
      </w:r>
    </w:p>
    <w:p w14:paraId="0122BB12" w14:textId="197F3B2E" w:rsidR="004F2F59" w:rsidRDefault="004F2F59" w:rsidP="004B6179">
      <w:pPr>
        <w:pStyle w:val="ListParagraph"/>
        <w:numPr>
          <w:ilvl w:val="0"/>
          <w:numId w:val="6"/>
        </w:numPr>
        <w:spacing w:after="80" w:line="360" w:lineRule="auto"/>
      </w:pPr>
      <w:r>
        <w:t xml:space="preserve">Recommendation 4: NHS Management: It is proposed that the Government </w:t>
      </w:r>
      <w:r w:rsidR="00D106B6">
        <w:t>must</w:t>
      </w:r>
      <w:r>
        <w:t xml:space="preserve"> establish a professional regulatory regime relating to NHS managers on the lines of the one which applies to nurses (NMC) and doctors (GMC) which has been suggested by the Kark Review (2019), and the Thirlwall Inquiry (2023).</w:t>
      </w:r>
    </w:p>
    <w:p w14:paraId="2C6F4A87" w14:textId="75B7E158" w:rsidR="004F2F59" w:rsidRDefault="004F2F59" w:rsidP="004B6179">
      <w:pPr>
        <w:pStyle w:val="ListParagraph"/>
        <w:numPr>
          <w:ilvl w:val="0"/>
          <w:numId w:val="6"/>
        </w:numPr>
        <w:spacing w:after="80" w:line="360" w:lineRule="auto"/>
      </w:pPr>
      <w:r>
        <w:t>Recommendation 5 - Enhanced Whistleblowing Infrastructure: The direct-to-CQC digital reporting (anonymous and direct) should be offered to all NHS clinical personnel. As Mannion and Davies (2015) show, the organisational cultures with high rates of psychological safety report patient safety events much higher.</w:t>
      </w:r>
    </w:p>
    <w:p w14:paraId="220E374A" w14:textId="43367EA8" w:rsidR="0016368E" w:rsidRDefault="004F2F59" w:rsidP="004B6179">
      <w:pPr>
        <w:pStyle w:val="ListParagraph"/>
        <w:numPr>
          <w:ilvl w:val="0"/>
          <w:numId w:val="6"/>
        </w:numPr>
        <w:spacing w:after="80" w:line="360" w:lineRule="auto"/>
      </w:pPr>
      <w:r>
        <w:t>Recommendation 6</w:t>
      </w:r>
      <w:r w:rsidR="004B6179">
        <w:t>-</w:t>
      </w:r>
      <w:r>
        <w:t xml:space="preserve"> Cultural and Psychological Safety Training: All NHS trust </w:t>
      </w:r>
      <w:r w:rsidR="00D106B6">
        <w:t>boards,</w:t>
      </w:r>
      <w:r>
        <w:t xml:space="preserve"> and senior management will be required to take mandatory training in psychological safety and cultural competence</w:t>
      </w:r>
      <w:r w:rsidR="00B95750">
        <w:t>,</w:t>
      </w:r>
      <w:r>
        <w:t xml:space="preserve"> and this training will be based on the conceptual framework of Edmondson (1999). The culture of compassionate, psychologically safe leadership is linked with </w:t>
      </w:r>
      <w:r w:rsidR="00745079">
        <w:t>much-improved</w:t>
      </w:r>
      <w:r>
        <w:t xml:space="preserve"> outcomes </w:t>
      </w:r>
      <w:r w:rsidR="00B95750">
        <w:t>for</w:t>
      </w:r>
      <w:r>
        <w:t xml:space="preserve"> patients.</w:t>
      </w:r>
    </w:p>
    <w:p w14:paraId="36851C58" w14:textId="77777777" w:rsidR="00D97000" w:rsidRDefault="00D97000" w:rsidP="00D97000">
      <w:pPr>
        <w:spacing w:after="80" w:line="360" w:lineRule="auto"/>
      </w:pPr>
    </w:p>
    <w:p w14:paraId="20720344" w14:textId="77777777" w:rsidR="00941E9E" w:rsidRDefault="00941E9E" w:rsidP="00D97000">
      <w:pPr>
        <w:spacing w:after="80" w:line="360" w:lineRule="auto"/>
      </w:pPr>
    </w:p>
    <w:p w14:paraId="410EBA1E" w14:textId="3446CDFB" w:rsidR="0016368E" w:rsidRDefault="00B81C82" w:rsidP="00D106B6">
      <w:pPr>
        <w:pStyle w:val="Heading2"/>
        <w:spacing w:line="360" w:lineRule="auto"/>
      </w:pPr>
      <w:bookmarkStart w:id="13" w:name="_Toc226630801"/>
      <w:r>
        <w:lastRenderedPageBreak/>
        <w:t xml:space="preserve">3.2 </w:t>
      </w:r>
      <w:r w:rsidR="0071701A">
        <w:t>Before and After Benchmark Table</w:t>
      </w:r>
      <w:bookmarkEnd w:id="13"/>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2200"/>
        <w:gridCol w:w="2200"/>
        <w:gridCol w:w="2826"/>
      </w:tblGrid>
      <w:tr w:rsidR="0016368E" w14:paraId="080ACD98" w14:textId="77777777">
        <w:tc>
          <w:tcPr>
            <w:tcW w:w="1800" w:type="dxa"/>
            <w:tcBorders>
              <w:top w:val="single" w:sz="4" w:space="0" w:color="2E74B5"/>
              <w:left w:val="single" w:sz="4" w:space="0" w:color="2E74B5"/>
              <w:bottom w:val="single" w:sz="4" w:space="0" w:color="2E74B5"/>
              <w:right w:val="single" w:sz="4" w:space="0" w:color="2E74B5"/>
            </w:tcBorders>
            <w:shd w:val="clear" w:color="auto" w:fill="2E74B5"/>
            <w:tcMar>
              <w:top w:w="80" w:type="dxa"/>
              <w:left w:w="100" w:type="dxa"/>
              <w:bottom w:w="80" w:type="dxa"/>
              <w:right w:w="100" w:type="dxa"/>
            </w:tcMar>
          </w:tcPr>
          <w:p w14:paraId="6D06ECE8" w14:textId="77777777" w:rsidR="0016368E" w:rsidRDefault="00B81C82" w:rsidP="00033FA8">
            <w:pPr>
              <w:spacing w:line="360" w:lineRule="auto"/>
              <w:jc w:val="center"/>
            </w:pPr>
            <w:r>
              <w:rPr>
                <w:b/>
                <w:bCs/>
                <w:color w:val="FFFFFF"/>
                <w:sz w:val="20"/>
                <w:szCs w:val="20"/>
              </w:rPr>
              <w:t>Benchmark Area</w:t>
            </w:r>
          </w:p>
        </w:tc>
        <w:tc>
          <w:tcPr>
            <w:tcW w:w="2200" w:type="dxa"/>
            <w:tcBorders>
              <w:top w:val="single" w:sz="4" w:space="0" w:color="2E74B5"/>
              <w:left w:val="single" w:sz="4" w:space="0" w:color="2E74B5"/>
              <w:bottom w:val="single" w:sz="4" w:space="0" w:color="2E74B5"/>
              <w:right w:val="single" w:sz="4" w:space="0" w:color="2E74B5"/>
            </w:tcBorders>
            <w:shd w:val="clear" w:color="auto" w:fill="2E74B5"/>
            <w:tcMar>
              <w:top w:w="80" w:type="dxa"/>
              <w:left w:w="100" w:type="dxa"/>
              <w:bottom w:w="80" w:type="dxa"/>
              <w:right w:w="100" w:type="dxa"/>
            </w:tcMar>
          </w:tcPr>
          <w:p w14:paraId="3DBB8295" w14:textId="77777777" w:rsidR="0016368E" w:rsidRDefault="00B81C82" w:rsidP="00033FA8">
            <w:pPr>
              <w:spacing w:line="360" w:lineRule="auto"/>
              <w:jc w:val="center"/>
            </w:pPr>
            <w:r>
              <w:rPr>
                <w:b/>
                <w:bCs/>
                <w:color w:val="FFFFFF"/>
                <w:sz w:val="20"/>
                <w:szCs w:val="20"/>
              </w:rPr>
              <w:t>Before (2015–2016)</w:t>
            </w:r>
          </w:p>
        </w:tc>
        <w:tc>
          <w:tcPr>
            <w:tcW w:w="2200" w:type="dxa"/>
            <w:tcBorders>
              <w:top w:val="single" w:sz="4" w:space="0" w:color="2E74B5"/>
              <w:left w:val="single" w:sz="4" w:space="0" w:color="2E74B5"/>
              <w:bottom w:val="single" w:sz="4" w:space="0" w:color="2E74B5"/>
              <w:right w:val="single" w:sz="4" w:space="0" w:color="2E74B5"/>
            </w:tcBorders>
            <w:shd w:val="clear" w:color="auto" w:fill="2E74B5"/>
            <w:tcMar>
              <w:top w:w="80" w:type="dxa"/>
              <w:left w:w="100" w:type="dxa"/>
              <w:bottom w:w="80" w:type="dxa"/>
              <w:right w:w="100" w:type="dxa"/>
            </w:tcMar>
          </w:tcPr>
          <w:p w14:paraId="5D8D632C" w14:textId="77777777" w:rsidR="0016368E" w:rsidRDefault="00B81C82" w:rsidP="00033FA8">
            <w:pPr>
              <w:spacing w:line="360" w:lineRule="auto"/>
              <w:jc w:val="center"/>
            </w:pPr>
            <w:r>
              <w:rPr>
                <w:b/>
                <w:bCs/>
                <w:color w:val="FFFFFF"/>
                <w:sz w:val="20"/>
                <w:szCs w:val="20"/>
              </w:rPr>
              <w:t>National Standard</w:t>
            </w:r>
          </w:p>
        </w:tc>
        <w:tc>
          <w:tcPr>
            <w:tcW w:w="2826" w:type="dxa"/>
            <w:tcBorders>
              <w:top w:val="single" w:sz="4" w:space="0" w:color="2E74B5"/>
              <w:left w:val="single" w:sz="4" w:space="0" w:color="2E74B5"/>
              <w:bottom w:val="single" w:sz="4" w:space="0" w:color="2E74B5"/>
              <w:right w:val="single" w:sz="4" w:space="0" w:color="2E74B5"/>
            </w:tcBorders>
            <w:shd w:val="clear" w:color="auto" w:fill="2E74B5"/>
            <w:tcMar>
              <w:top w:w="80" w:type="dxa"/>
              <w:left w:w="100" w:type="dxa"/>
              <w:bottom w:w="80" w:type="dxa"/>
              <w:right w:w="100" w:type="dxa"/>
            </w:tcMar>
          </w:tcPr>
          <w:p w14:paraId="14226F0C" w14:textId="77777777" w:rsidR="0016368E" w:rsidRDefault="00B81C82" w:rsidP="00033FA8">
            <w:pPr>
              <w:spacing w:line="360" w:lineRule="auto"/>
              <w:jc w:val="center"/>
            </w:pPr>
            <w:r>
              <w:rPr>
                <w:b/>
                <w:bCs/>
                <w:color w:val="FFFFFF"/>
                <w:sz w:val="20"/>
                <w:szCs w:val="20"/>
              </w:rPr>
              <w:t>After (Projected Post-Implementation)</w:t>
            </w:r>
          </w:p>
        </w:tc>
      </w:tr>
      <w:tr w:rsidR="0016368E" w14:paraId="19B9C16A" w14:textId="77777777">
        <w:tc>
          <w:tcPr>
            <w:tcW w:w="1800" w:type="dxa"/>
            <w:tcBorders>
              <w:top w:val="single" w:sz="4" w:space="0" w:color="2E74B5"/>
              <w:left w:val="single" w:sz="4" w:space="0" w:color="2E74B5"/>
              <w:bottom w:val="single" w:sz="4" w:space="0" w:color="2E74B5"/>
              <w:right w:val="single" w:sz="4" w:space="0" w:color="2E74B5"/>
            </w:tcBorders>
            <w:shd w:val="clear" w:color="auto" w:fill="D6E4F0"/>
            <w:tcMar>
              <w:top w:w="80" w:type="dxa"/>
              <w:left w:w="100" w:type="dxa"/>
              <w:bottom w:w="80" w:type="dxa"/>
              <w:right w:w="100" w:type="dxa"/>
            </w:tcMar>
          </w:tcPr>
          <w:p w14:paraId="217DF678" w14:textId="77777777" w:rsidR="0016368E" w:rsidRDefault="00B81C82" w:rsidP="00033FA8">
            <w:pPr>
              <w:spacing w:line="360" w:lineRule="auto"/>
            </w:pPr>
            <w:r>
              <w:rPr>
                <w:sz w:val="20"/>
                <w:szCs w:val="20"/>
              </w:rPr>
              <w:t>Neonatal Mortality Rate</w:t>
            </w:r>
          </w:p>
        </w:tc>
        <w:tc>
          <w:tcPr>
            <w:tcW w:w="2200" w:type="dxa"/>
            <w:tcBorders>
              <w:top w:val="single" w:sz="4" w:space="0" w:color="2E74B5"/>
              <w:left w:val="single" w:sz="4" w:space="0" w:color="2E74B5"/>
              <w:bottom w:val="single" w:sz="4" w:space="0" w:color="2E74B5"/>
              <w:right w:val="single" w:sz="4" w:space="0" w:color="2E74B5"/>
            </w:tcBorders>
            <w:shd w:val="clear" w:color="auto" w:fill="D6E4F0"/>
            <w:tcMar>
              <w:top w:w="80" w:type="dxa"/>
              <w:left w:w="100" w:type="dxa"/>
              <w:bottom w:w="80" w:type="dxa"/>
              <w:right w:w="100" w:type="dxa"/>
            </w:tcMar>
          </w:tcPr>
          <w:p w14:paraId="7865208C" w14:textId="77777777" w:rsidR="0016368E" w:rsidRDefault="00B81C82" w:rsidP="00033FA8">
            <w:pPr>
              <w:spacing w:line="360" w:lineRule="auto"/>
            </w:pPr>
            <w:r>
              <w:rPr>
                <w:sz w:val="20"/>
                <w:szCs w:val="20"/>
              </w:rPr>
              <w:t>9 deaths in 2015 – highest rate in UK for comparable units (MBRRACE-UK)</w:t>
            </w:r>
          </w:p>
        </w:tc>
        <w:tc>
          <w:tcPr>
            <w:tcW w:w="2200" w:type="dxa"/>
            <w:tcBorders>
              <w:top w:val="single" w:sz="4" w:space="0" w:color="2E74B5"/>
              <w:left w:val="single" w:sz="4" w:space="0" w:color="2E74B5"/>
              <w:bottom w:val="single" w:sz="4" w:space="0" w:color="2E74B5"/>
              <w:right w:val="single" w:sz="4" w:space="0" w:color="2E74B5"/>
            </w:tcBorders>
            <w:shd w:val="clear" w:color="auto" w:fill="D6E4F0"/>
            <w:tcMar>
              <w:top w:w="80" w:type="dxa"/>
              <w:left w:w="100" w:type="dxa"/>
              <w:bottom w:w="80" w:type="dxa"/>
              <w:right w:w="100" w:type="dxa"/>
            </w:tcMar>
          </w:tcPr>
          <w:p w14:paraId="5A9E9B96" w14:textId="77777777" w:rsidR="0016368E" w:rsidRDefault="00B81C82" w:rsidP="00033FA8">
            <w:pPr>
              <w:spacing w:line="360" w:lineRule="auto"/>
            </w:pPr>
            <w:r>
              <w:rPr>
                <w:sz w:val="20"/>
                <w:szCs w:val="20"/>
              </w:rPr>
              <w:t>National median for comparable Level 2 units</w:t>
            </w:r>
          </w:p>
        </w:tc>
        <w:tc>
          <w:tcPr>
            <w:tcW w:w="2826" w:type="dxa"/>
            <w:tcBorders>
              <w:top w:val="single" w:sz="4" w:space="0" w:color="2E74B5"/>
              <w:left w:val="single" w:sz="4" w:space="0" w:color="2E74B5"/>
              <w:bottom w:val="single" w:sz="4" w:space="0" w:color="2E74B5"/>
              <w:right w:val="single" w:sz="4" w:space="0" w:color="2E74B5"/>
            </w:tcBorders>
            <w:shd w:val="clear" w:color="auto" w:fill="D6E4F0"/>
            <w:tcMar>
              <w:top w:w="80" w:type="dxa"/>
              <w:left w:w="100" w:type="dxa"/>
              <w:bottom w:w="80" w:type="dxa"/>
              <w:right w:w="100" w:type="dxa"/>
            </w:tcMar>
          </w:tcPr>
          <w:p w14:paraId="11C3A5BB" w14:textId="7248B1D2" w:rsidR="0016368E" w:rsidRDefault="00B81C82" w:rsidP="00033FA8">
            <w:pPr>
              <w:spacing w:line="360" w:lineRule="auto"/>
            </w:pPr>
            <w:r>
              <w:rPr>
                <w:sz w:val="20"/>
                <w:szCs w:val="20"/>
              </w:rPr>
              <w:t xml:space="preserve">Target: return to 2–3 deaths/year; monitored real-time via </w:t>
            </w:r>
            <w:r w:rsidR="00B95750">
              <w:rPr>
                <w:sz w:val="20"/>
                <w:szCs w:val="20"/>
              </w:rPr>
              <w:t xml:space="preserve">the </w:t>
            </w:r>
            <w:r>
              <w:rPr>
                <w:sz w:val="20"/>
                <w:szCs w:val="20"/>
              </w:rPr>
              <w:t>MBRRACE-UK dashboard</w:t>
            </w:r>
          </w:p>
        </w:tc>
      </w:tr>
      <w:tr w:rsidR="0016368E" w14:paraId="5664107D" w14:textId="77777777">
        <w:tc>
          <w:tcPr>
            <w:tcW w:w="1800" w:type="dxa"/>
            <w:tcBorders>
              <w:top w:val="single" w:sz="4" w:space="0" w:color="2E74B5"/>
              <w:left w:val="single" w:sz="4" w:space="0" w:color="2E74B5"/>
              <w:bottom w:val="single" w:sz="4" w:space="0" w:color="2E74B5"/>
              <w:right w:val="single" w:sz="4" w:space="0" w:color="2E74B5"/>
            </w:tcBorders>
            <w:shd w:val="clear" w:color="auto" w:fill="FFFFFF"/>
            <w:tcMar>
              <w:top w:w="80" w:type="dxa"/>
              <w:left w:w="100" w:type="dxa"/>
              <w:bottom w:w="80" w:type="dxa"/>
              <w:right w:w="100" w:type="dxa"/>
            </w:tcMar>
          </w:tcPr>
          <w:p w14:paraId="063DC81E" w14:textId="77777777" w:rsidR="0016368E" w:rsidRDefault="00B81C82" w:rsidP="00033FA8">
            <w:pPr>
              <w:spacing w:line="360" w:lineRule="auto"/>
            </w:pPr>
            <w:r>
              <w:rPr>
                <w:sz w:val="20"/>
                <w:szCs w:val="20"/>
              </w:rPr>
              <w:t>Serious Incident Reporting</w:t>
            </w:r>
          </w:p>
        </w:tc>
        <w:tc>
          <w:tcPr>
            <w:tcW w:w="2200" w:type="dxa"/>
            <w:tcBorders>
              <w:top w:val="single" w:sz="4" w:space="0" w:color="2E74B5"/>
              <w:left w:val="single" w:sz="4" w:space="0" w:color="2E74B5"/>
              <w:bottom w:val="single" w:sz="4" w:space="0" w:color="2E74B5"/>
              <w:right w:val="single" w:sz="4" w:space="0" w:color="2E74B5"/>
            </w:tcBorders>
            <w:shd w:val="clear" w:color="auto" w:fill="FFFFFF"/>
            <w:tcMar>
              <w:top w:w="80" w:type="dxa"/>
              <w:left w:w="100" w:type="dxa"/>
              <w:bottom w:w="80" w:type="dxa"/>
              <w:right w:w="100" w:type="dxa"/>
            </w:tcMar>
          </w:tcPr>
          <w:p w14:paraId="0B32DAC1" w14:textId="77777777" w:rsidR="0016368E" w:rsidRDefault="00B81C82" w:rsidP="00033FA8">
            <w:pPr>
              <w:spacing w:line="360" w:lineRule="auto"/>
            </w:pPr>
            <w:r>
              <w:rPr>
                <w:sz w:val="20"/>
                <w:szCs w:val="20"/>
              </w:rPr>
              <w:t>Deaths misclassified as medication errors; no independent review</w:t>
            </w:r>
          </w:p>
        </w:tc>
        <w:tc>
          <w:tcPr>
            <w:tcW w:w="2200" w:type="dxa"/>
            <w:tcBorders>
              <w:top w:val="single" w:sz="4" w:space="0" w:color="2E74B5"/>
              <w:left w:val="single" w:sz="4" w:space="0" w:color="2E74B5"/>
              <w:bottom w:val="single" w:sz="4" w:space="0" w:color="2E74B5"/>
              <w:right w:val="single" w:sz="4" w:space="0" w:color="2E74B5"/>
            </w:tcBorders>
            <w:shd w:val="clear" w:color="auto" w:fill="FFFFFF"/>
            <w:tcMar>
              <w:top w:w="80" w:type="dxa"/>
              <w:left w:w="100" w:type="dxa"/>
              <w:bottom w:w="80" w:type="dxa"/>
              <w:right w:w="100" w:type="dxa"/>
            </w:tcMar>
          </w:tcPr>
          <w:p w14:paraId="38FEC5E7" w14:textId="77777777" w:rsidR="0016368E" w:rsidRDefault="00B81C82" w:rsidP="00033FA8">
            <w:pPr>
              <w:spacing w:line="360" w:lineRule="auto"/>
            </w:pPr>
            <w:r>
              <w:rPr>
                <w:sz w:val="20"/>
                <w:szCs w:val="20"/>
              </w:rPr>
              <w:t>PSIRF (NHS England, 2022): 72hr independent review standard</w:t>
            </w:r>
          </w:p>
        </w:tc>
        <w:tc>
          <w:tcPr>
            <w:tcW w:w="2826" w:type="dxa"/>
            <w:tcBorders>
              <w:top w:val="single" w:sz="4" w:space="0" w:color="2E74B5"/>
              <w:left w:val="single" w:sz="4" w:space="0" w:color="2E74B5"/>
              <w:bottom w:val="single" w:sz="4" w:space="0" w:color="2E74B5"/>
              <w:right w:val="single" w:sz="4" w:space="0" w:color="2E74B5"/>
            </w:tcBorders>
            <w:shd w:val="clear" w:color="auto" w:fill="FFFFFF"/>
            <w:tcMar>
              <w:top w:w="80" w:type="dxa"/>
              <w:left w:w="100" w:type="dxa"/>
              <w:bottom w:w="80" w:type="dxa"/>
              <w:right w:w="100" w:type="dxa"/>
            </w:tcMar>
          </w:tcPr>
          <w:p w14:paraId="20FAF3B4" w14:textId="2152D952" w:rsidR="0016368E" w:rsidRDefault="00B81C82" w:rsidP="00033FA8">
            <w:pPr>
              <w:spacing w:line="360" w:lineRule="auto"/>
            </w:pPr>
            <w:r>
              <w:rPr>
                <w:sz w:val="20"/>
                <w:szCs w:val="20"/>
              </w:rPr>
              <w:t xml:space="preserve">100% of serious incidents </w:t>
            </w:r>
            <w:r w:rsidR="00B95750">
              <w:rPr>
                <w:sz w:val="20"/>
                <w:szCs w:val="20"/>
              </w:rPr>
              <w:t xml:space="preserve">are </w:t>
            </w:r>
            <w:r>
              <w:rPr>
                <w:sz w:val="20"/>
                <w:szCs w:val="20"/>
              </w:rPr>
              <w:t xml:space="preserve">reviewed by </w:t>
            </w:r>
            <w:r w:rsidR="00B95750">
              <w:rPr>
                <w:sz w:val="20"/>
                <w:szCs w:val="20"/>
              </w:rPr>
              <w:t xml:space="preserve">an </w:t>
            </w:r>
            <w:r>
              <w:rPr>
                <w:sz w:val="20"/>
                <w:szCs w:val="20"/>
              </w:rPr>
              <w:t xml:space="preserve">independent panel within </w:t>
            </w:r>
            <w:r w:rsidR="00B95750">
              <w:rPr>
                <w:sz w:val="20"/>
                <w:szCs w:val="20"/>
              </w:rPr>
              <w:t>72 hours</w:t>
            </w:r>
          </w:p>
        </w:tc>
      </w:tr>
      <w:tr w:rsidR="0016368E" w14:paraId="667797DD" w14:textId="77777777">
        <w:tc>
          <w:tcPr>
            <w:tcW w:w="1800" w:type="dxa"/>
            <w:tcBorders>
              <w:top w:val="single" w:sz="4" w:space="0" w:color="2E74B5"/>
              <w:left w:val="single" w:sz="4" w:space="0" w:color="2E74B5"/>
              <w:bottom w:val="single" w:sz="4" w:space="0" w:color="2E74B5"/>
              <w:right w:val="single" w:sz="4" w:space="0" w:color="2E74B5"/>
            </w:tcBorders>
            <w:shd w:val="clear" w:color="auto" w:fill="D6E4F0"/>
            <w:tcMar>
              <w:top w:w="80" w:type="dxa"/>
              <w:left w:w="100" w:type="dxa"/>
              <w:bottom w:w="80" w:type="dxa"/>
              <w:right w:w="100" w:type="dxa"/>
            </w:tcMar>
          </w:tcPr>
          <w:p w14:paraId="57D96BEB" w14:textId="77777777" w:rsidR="0016368E" w:rsidRDefault="00B81C82" w:rsidP="00033FA8">
            <w:pPr>
              <w:spacing w:line="360" w:lineRule="auto"/>
            </w:pPr>
            <w:r>
              <w:rPr>
                <w:sz w:val="20"/>
                <w:szCs w:val="20"/>
              </w:rPr>
              <w:t>Staffing Levels</w:t>
            </w:r>
          </w:p>
        </w:tc>
        <w:tc>
          <w:tcPr>
            <w:tcW w:w="2200" w:type="dxa"/>
            <w:tcBorders>
              <w:top w:val="single" w:sz="4" w:space="0" w:color="2E74B5"/>
              <w:left w:val="single" w:sz="4" w:space="0" w:color="2E74B5"/>
              <w:bottom w:val="single" w:sz="4" w:space="0" w:color="2E74B5"/>
              <w:right w:val="single" w:sz="4" w:space="0" w:color="2E74B5"/>
            </w:tcBorders>
            <w:shd w:val="clear" w:color="auto" w:fill="D6E4F0"/>
            <w:tcMar>
              <w:top w:w="80" w:type="dxa"/>
              <w:left w:w="100" w:type="dxa"/>
              <w:bottom w:w="80" w:type="dxa"/>
              <w:right w:w="100" w:type="dxa"/>
            </w:tcMar>
          </w:tcPr>
          <w:p w14:paraId="4B0DEE69" w14:textId="5BF22BCF" w:rsidR="0016368E" w:rsidRDefault="00B81C82" w:rsidP="00033FA8">
            <w:pPr>
              <w:spacing w:line="360" w:lineRule="auto"/>
            </w:pPr>
            <w:r>
              <w:rPr>
                <w:sz w:val="20"/>
                <w:szCs w:val="20"/>
              </w:rPr>
              <w:t>Below safe thresholds</w:t>
            </w:r>
            <w:r w:rsidR="00B95750">
              <w:rPr>
                <w:sz w:val="20"/>
                <w:szCs w:val="20"/>
              </w:rPr>
              <w:t>,</w:t>
            </w:r>
            <w:r>
              <w:rPr>
                <w:sz w:val="20"/>
                <w:szCs w:val="20"/>
              </w:rPr>
              <w:t xml:space="preserve"> CQC found insufficient staffing (2024)</w:t>
            </w:r>
          </w:p>
        </w:tc>
        <w:tc>
          <w:tcPr>
            <w:tcW w:w="2200" w:type="dxa"/>
            <w:tcBorders>
              <w:top w:val="single" w:sz="4" w:space="0" w:color="2E74B5"/>
              <w:left w:val="single" w:sz="4" w:space="0" w:color="2E74B5"/>
              <w:bottom w:val="single" w:sz="4" w:space="0" w:color="2E74B5"/>
              <w:right w:val="single" w:sz="4" w:space="0" w:color="2E74B5"/>
            </w:tcBorders>
            <w:shd w:val="clear" w:color="auto" w:fill="D6E4F0"/>
            <w:tcMar>
              <w:top w:w="80" w:type="dxa"/>
              <w:left w:w="100" w:type="dxa"/>
              <w:bottom w:w="80" w:type="dxa"/>
              <w:right w:w="100" w:type="dxa"/>
            </w:tcMar>
          </w:tcPr>
          <w:p w14:paraId="70801C64" w14:textId="77777777" w:rsidR="0016368E" w:rsidRDefault="00B81C82" w:rsidP="00033FA8">
            <w:pPr>
              <w:spacing w:line="360" w:lineRule="auto"/>
            </w:pPr>
            <w:r>
              <w:rPr>
                <w:sz w:val="20"/>
                <w:szCs w:val="20"/>
              </w:rPr>
              <w:t>BAPM (2022) staffing ratios for neonatal units</w:t>
            </w:r>
          </w:p>
        </w:tc>
        <w:tc>
          <w:tcPr>
            <w:tcW w:w="2826" w:type="dxa"/>
            <w:tcBorders>
              <w:top w:val="single" w:sz="4" w:space="0" w:color="2E74B5"/>
              <w:left w:val="single" w:sz="4" w:space="0" w:color="2E74B5"/>
              <w:bottom w:val="single" w:sz="4" w:space="0" w:color="2E74B5"/>
              <w:right w:val="single" w:sz="4" w:space="0" w:color="2E74B5"/>
            </w:tcBorders>
            <w:shd w:val="clear" w:color="auto" w:fill="D6E4F0"/>
            <w:tcMar>
              <w:top w:w="80" w:type="dxa"/>
              <w:left w:w="100" w:type="dxa"/>
              <w:bottom w:w="80" w:type="dxa"/>
              <w:right w:w="100" w:type="dxa"/>
            </w:tcMar>
          </w:tcPr>
          <w:p w14:paraId="7DCE17E5" w14:textId="77777777" w:rsidR="0016368E" w:rsidRDefault="00B81C82" w:rsidP="00033FA8">
            <w:pPr>
              <w:spacing w:line="360" w:lineRule="auto"/>
            </w:pPr>
            <w:r>
              <w:rPr>
                <w:sz w:val="20"/>
                <w:szCs w:val="20"/>
              </w:rPr>
              <w:t>Full compliance with BAPM staffing standards; quarterly audit</w:t>
            </w:r>
          </w:p>
        </w:tc>
      </w:tr>
      <w:tr w:rsidR="0016368E" w14:paraId="7793F582" w14:textId="77777777">
        <w:tc>
          <w:tcPr>
            <w:tcW w:w="1800" w:type="dxa"/>
            <w:tcBorders>
              <w:top w:val="single" w:sz="4" w:space="0" w:color="2E74B5"/>
              <w:left w:val="single" w:sz="4" w:space="0" w:color="2E74B5"/>
              <w:bottom w:val="single" w:sz="4" w:space="0" w:color="2E74B5"/>
              <w:right w:val="single" w:sz="4" w:space="0" w:color="2E74B5"/>
            </w:tcBorders>
            <w:shd w:val="clear" w:color="auto" w:fill="FFFFFF"/>
            <w:tcMar>
              <w:top w:w="80" w:type="dxa"/>
              <w:left w:w="100" w:type="dxa"/>
              <w:bottom w:w="80" w:type="dxa"/>
              <w:right w:w="100" w:type="dxa"/>
            </w:tcMar>
          </w:tcPr>
          <w:p w14:paraId="1509D3E0" w14:textId="77777777" w:rsidR="0016368E" w:rsidRDefault="00B81C82" w:rsidP="00033FA8">
            <w:pPr>
              <w:spacing w:line="360" w:lineRule="auto"/>
            </w:pPr>
            <w:r>
              <w:rPr>
                <w:sz w:val="20"/>
                <w:szCs w:val="20"/>
              </w:rPr>
              <w:t>Whistleblowing Effectiveness</w:t>
            </w:r>
          </w:p>
        </w:tc>
        <w:tc>
          <w:tcPr>
            <w:tcW w:w="2200" w:type="dxa"/>
            <w:tcBorders>
              <w:top w:val="single" w:sz="4" w:space="0" w:color="2E74B5"/>
              <w:left w:val="single" w:sz="4" w:space="0" w:color="2E74B5"/>
              <w:bottom w:val="single" w:sz="4" w:space="0" w:color="2E74B5"/>
              <w:right w:val="single" w:sz="4" w:space="0" w:color="2E74B5"/>
            </w:tcBorders>
            <w:shd w:val="clear" w:color="auto" w:fill="FFFFFF"/>
            <w:tcMar>
              <w:top w:w="80" w:type="dxa"/>
              <w:left w:w="100" w:type="dxa"/>
              <w:bottom w:w="80" w:type="dxa"/>
              <w:right w:w="100" w:type="dxa"/>
            </w:tcMar>
          </w:tcPr>
          <w:p w14:paraId="35120301" w14:textId="77777777" w:rsidR="0016368E" w:rsidRDefault="00B81C82" w:rsidP="00033FA8">
            <w:pPr>
              <w:spacing w:line="360" w:lineRule="auto"/>
            </w:pPr>
            <w:r>
              <w:rPr>
                <w:sz w:val="20"/>
                <w:szCs w:val="20"/>
              </w:rPr>
              <w:t>Consultants instructed to apologise to Letby; concerns suppressed</w:t>
            </w:r>
          </w:p>
        </w:tc>
        <w:tc>
          <w:tcPr>
            <w:tcW w:w="2200" w:type="dxa"/>
            <w:tcBorders>
              <w:top w:val="single" w:sz="4" w:space="0" w:color="2E74B5"/>
              <w:left w:val="single" w:sz="4" w:space="0" w:color="2E74B5"/>
              <w:bottom w:val="single" w:sz="4" w:space="0" w:color="2E74B5"/>
              <w:right w:val="single" w:sz="4" w:space="0" w:color="2E74B5"/>
            </w:tcBorders>
            <w:shd w:val="clear" w:color="auto" w:fill="FFFFFF"/>
            <w:tcMar>
              <w:top w:w="80" w:type="dxa"/>
              <w:left w:w="100" w:type="dxa"/>
              <w:bottom w:w="80" w:type="dxa"/>
              <w:right w:w="100" w:type="dxa"/>
            </w:tcMar>
          </w:tcPr>
          <w:p w14:paraId="0F0A13E9" w14:textId="77777777" w:rsidR="0016368E" w:rsidRDefault="00B81C82" w:rsidP="00033FA8">
            <w:pPr>
              <w:spacing w:line="360" w:lineRule="auto"/>
            </w:pPr>
            <w:r>
              <w:rPr>
                <w:sz w:val="20"/>
                <w:szCs w:val="20"/>
              </w:rPr>
              <w:t>NHS Freedom to Speak Up Framework (2015)</w:t>
            </w:r>
          </w:p>
        </w:tc>
        <w:tc>
          <w:tcPr>
            <w:tcW w:w="2826" w:type="dxa"/>
            <w:tcBorders>
              <w:top w:val="single" w:sz="4" w:space="0" w:color="2E74B5"/>
              <w:left w:val="single" w:sz="4" w:space="0" w:color="2E74B5"/>
              <w:bottom w:val="single" w:sz="4" w:space="0" w:color="2E74B5"/>
              <w:right w:val="single" w:sz="4" w:space="0" w:color="2E74B5"/>
            </w:tcBorders>
            <w:shd w:val="clear" w:color="auto" w:fill="FFFFFF"/>
            <w:tcMar>
              <w:top w:w="80" w:type="dxa"/>
              <w:left w:w="100" w:type="dxa"/>
              <w:bottom w:w="80" w:type="dxa"/>
              <w:right w:w="100" w:type="dxa"/>
            </w:tcMar>
          </w:tcPr>
          <w:p w14:paraId="10AA7D42" w14:textId="77777777" w:rsidR="0016368E" w:rsidRDefault="00B81C82" w:rsidP="00033FA8">
            <w:pPr>
              <w:spacing w:line="360" w:lineRule="auto"/>
            </w:pPr>
            <w:r>
              <w:rPr>
                <w:sz w:val="20"/>
                <w:szCs w:val="20"/>
              </w:rPr>
              <w:t>Anonymous CQC-direct digital reporting; 0 instances of concern suppression</w:t>
            </w:r>
          </w:p>
        </w:tc>
      </w:tr>
      <w:tr w:rsidR="0016368E" w14:paraId="3DADE05A" w14:textId="77777777">
        <w:tc>
          <w:tcPr>
            <w:tcW w:w="1800" w:type="dxa"/>
            <w:tcBorders>
              <w:top w:val="single" w:sz="4" w:space="0" w:color="2E74B5"/>
              <w:left w:val="single" w:sz="4" w:space="0" w:color="2E74B5"/>
              <w:bottom w:val="single" w:sz="4" w:space="0" w:color="2E74B5"/>
              <w:right w:val="single" w:sz="4" w:space="0" w:color="2E74B5"/>
            </w:tcBorders>
            <w:shd w:val="clear" w:color="auto" w:fill="D6E4F0"/>
            <w:tcMar>
              <w:top w:w="80" w:type="dxa"/>
              <w:left w:w="100" w:type="dxa"/>
              <w:bottom w:w="80" w:type="dxa"/>
              <w:right w:w="100" w:type="dxa"/>
            </w:tcMar>
          </w:tcPr>
          <w:p w14:paraId="023E86B3" w14:textId="77777777" w:rsidR="0016368E" w:rsidRDefault="00B81C82" w:rsidP="00033FA8">
            <w:pPr>
              <w:spacing w:line="360" w:lineRule="auto"/>
            </w:pPr>
            <w:r>
              <w:rPr>
                <w:sz w:val="20"/>
                <w:szCs w:val="20"/>
              </w:rPr>
              <w:t>Management Accountability</w:t>
            </w:r>
          </w:p>
        </w:tc>
        <w:tc>
          <w:tcPr>
            <w:tcW w:w="2200" w:type="dxa"/>
            <w:tcBorders>
              <w:top w:val="single" w:sz="4" w:space="0" w:color="2E74B5"/>
              <w:left w:val="single" w:sz="4" w:space="0" w:color="2E74B5"/>
              <w:bottom w:val="single" w:sz="4" w:space="0" w:color="2E74B5"/>
              <w:right w:val="single" w:sz="4" w:space="0" w:color="2E74B5"/>
            </w:tcBorders>
            <w:shd w:val="clear" w:color="auto" w:fill="D6E4F0"/>
            <w:tcMar>
              <w:top w:w="80" w:type="dxa"/>
              <w:left w:w="100" w:type="dxa"/>
              <w:bottom w:w="80" w:type="dxa"/>
              <w:right w:w="100" w:type="dxa"/>
            </w:tcMar>
          </w:tcPr>
          <w:p w14:paraId="33C227EB" w14:textId="42C556CF" w:rsidR="0016368E" w:rsidRDefault="00B81C82" w:rsidP="00033FA8">
            <w:pPr>
              <w:spacing w:line="360" w:lineRule="auto"/>
            </w:pPr>
            <w:r>
              <w:rPr>
                <w:sz w:val="20"/>
                <w:szCs w:val="20"/>
              </w:rPr>
              <w:t xml:space="preserve">No regulatory </w:t>
            </w:r>
            <w:r w:rsidR="00507E3E">
              <w:rPr>
                <w:sz w:val="20"/>
                <w:szCs w:val="20"/>
              </w:rPr>
              <w:t>framework:</w:t>
            </w:r>
            <w:r>
              <w:rPr>
                <w:sz w:val="20"/>
                <w:szCs w:val="20"/>
              </w:rPr>
              <w:t xml:space="preserve"> senior leaders retained positions post-scandal</w:t>
            </w:r>
          </w:p>
        </w:tc>
        <w:tc>
          <w:tcPr>
            <w:tcW w:w="2200" w:type="dxa"/>
            <w:tcBorders>
              <w:top w:val="single" w:sz="4" w:space="0" w:color="2E74B5"/>
              <w:left w:val="single" w:sz="4" w:space="0" w:color="2E74B5"/>
              <w:bottom w:val="single" w:sz="4" w:space="0" w:color="2E74B5"/>
              <w:right w:val="single" w:sz="4" w:space="0" w:color="2E74B5"/>
            </w:tcBorders>
            <w:shd w:val="clear" w:color="auto" w:fill="D6E4F0"/>
            <w:tcMar>
              <w:top w:w="80" w:type="dxa"/>
              <w:left w:w="100" w:type="dxa"/>
              <w:bottom w:w="80" w:type="dxa"/>
              <w:right w:w="100" w:type="dxa"/>
            </w:tcMar>
          </w:tcPr>
          <w:p w14:paraId="3A822044" w14:textId="77777777" w:rsidR="0016368E" w:rsidRDefault="00B81C82" w:rsidP="00033FA8">
            <w:pPr>
              <w:spacing w:line="360" w:lineRule="auto"/>
            </w:pPr>
            <w:r>
              <w:rPr>
                <w:sz w:val="20"/>
                <w:szCs w:val="20"/>
              </w:rPr>
              <w:t>Proposed NHS management regulation (Kark Review, 2019)</w:t>
            </w:r>
          </w:p>
        </w:tc>
        <w:tc>
          <w:tcPr>
            <w:tcW w:w="2826" w:type="dxa"/>
            <w:tcBorders>
              <w:top w:val="single" w:sz="4" w:space="0" w:color="2E74B5"/>
              <w:left w:val="single" w:sz="4" w:space="0" w:color="2E74B5"/>
              <w:bottom w:val="single" w:sz="4" w:space="0" w:color="2E74B5"/>
              <w:right w:val="single" w:sz="4" w:space="0" w:color="2E74B5"/>
            </w:tcBorders>
            <w:shd w:val="clear" w:color="auto" w:fill="D6E4F0"/>
            <w:tcMar>
              <w:top w:w="80" w:type="dxa"/>
              <w:left w:w="100" w:type="dxa"/>
              <w:bottom w:w="80" w:type="dxa"/>
              <w:right w:w="100" w:type="dxa"/>
            </w:tcMar>
          </w:tcPr>
          <w:p w14:paraId="2D1C9C88" w14:textId="303E0A66" w:rsidR="0016368E" w:rsidRDefault="00B81C82" w:rsidP="00033FA8">
            <w:pPr>
              <w:spacing w:line="360" w:lineRule="auto"/>
            </w:pPr>
            <w:r>
              <w:rPr>
                <w:sz w:val="20"/>
                <w:szCs w:val="20"/>
              </w:rPr>
              <w:t xml:space="preserve">Registered NHS managers </w:t>
            </w:r>
            <w:r w:rsidR="00B95750">
              <w:rPr>
                <w:sz w:val="20"/>
                <w:szCs w:val="20"/>
              </w:rPr>
              <w:t xml:space="preserve">are </w:t>
            </w:r>
            <w:r>
              <w:rPr>
                <w:sz w:val="20"/>
                <w:szCs w:val="20"/>
              </w:rPr>
              <w:t>subject to fitness-to-practi</w:t>
            </w:r>
            <w:r w:rsidR="00507E3E">
              <w:rPr>
                <w:sz w:val="20"/>
                <w:szCs w:val="20"/>
              </w:rPr>
              <w:t>c</w:t>
            </w:r>
            <w:r>
              <w:rPr>
                <w:sz w:val="20"/>
                <w:szCs w:val="20"/>
              </w:rPr>
              <w:t>e standards</w:t>
            </w:r>
          </w:p>
        </w:tc>
      </w:tr>
      <w:tr w:rsidR="0016368E" w14:paraId="543F42EF" w14:textId="77777777">
        <w:tc>
          <w:tcPr>
            <w:tcW w:w="1800" w:type="dxa"/>
            <w:tcBorders>
              <w:top w:val="single" w:sz="4" w:space="0" w:color="2E74B5"/>
              <w:left w:val="single" w:sz="4" w:space="0" w:color="2E74B5"/>
              <w:bottom w:val="single" w:sz="4" w:space="0" w:color="2E74B5"/>
              <w:right w:val="single" w:sz="4" w:space="0" w:color="2E74B5"/>
            </w:tcBorders>
            <w:shd w:val="clear" w:color="auto" w:fill="FFFFFF"/>
            <w:tcMar>
              <w:top w:w="80" w:type="dxa"/>
              <w:left w:w="100" w:type="dxa"/>
              <w:bottom w:w="80" w:type="dxa"/>
              <w:right w:w="100" w:type="dxa"/>
            </w:tcMar>
          </w:tcPr>
          <w:p w14:paraId="5284B975" w14:textId="77777777" w:rsidR="0016368E" w:rsidRDefault="00B81C82" w:rsidP="00033FA8">
            <w:pPr>
              <w:spacing w:line="360" w:lineRule="auto"/>
            </w:pPr>
            <w:r>
              <w:rPr>
                <w:sz w:val="20"/>
                <w:szCs w:val="20"/>
              </w:rPr>
              <w:t>Clinical Governance Culture</w:t>
            </w:r>
          </w:p>
        </w:tc>
        <w:tc>
          <w:tcPr>
            <w:tcW w:w="2200" w:type="dxa"/>
            <w:tcBorders>
              <w:top w:val="single" w:sz="4" w:space="0" w:color="2E74B5"/>
              <w:left w:val="single" w:sz="4" w:space="0" w:color="2E74B5"/>
              <w:bottom w:val="single" w:sz="4" w:space="0" w:color="2E74B5"/>
              <w:right w:val="single" w:sz="4" w:space="0" w:color="2E74B5"/>
            </w:tcBorders>
            <w:shd w:val="clear" w:color="auto" w:fill="FFFFFF"/>
            <w:tcMar>
              <w:top w:w="80" w:type="dxa"/>
              <w:left w:w="100" w:type="dxa"/>
              <w:bottom w:w="80" w:type="dxa"/>
              <w:right w:w="100" w:type="dxa"/>
            </w:tcMar>
          </w:tcPr>
          <w:p w14:paraId="48CB9266" w14:textId="77777777" w:rsidR="0016368E" w:rsidRDefault="00B81C82" w:rsidP="00033FA8">
            <w:pPr>
              <w:spacing w:line="360" w:lineRule="auto"/>
            </w:pPr>
            <w:r>
              <w:rPr>
                <w:sz w:val="20"/>
                <w:szCs w:val="20"/>
              </w:rPr>
              <w:t>"Good" CQC rating masking mortality data; culture of institutional protection</w:t>
            </w:r>
          </w:p>
        </w:tc>
        <w:tc>
          <w:tcPr>
            <w:tcW w:w="2200" w:type="dxa"/>
            <w:tcBorders>
              <w:top w:val="single" w:sz="4" w:space="0" w:color="2E74B5"/>
              <w:left w:val="single" w:sz="4" w:space="0" w:color="2E74B5"/>
              <w:bottom w:val="single" w:sz="4" w:space="0" w:color="2E74B5"/>
              <w:right w:val="single" w:sz="4" w:space="0" w:color="2E74B5"/>
            </w:tcBorders>
            <w:shd w:val="clear" w:color="auto" w:fill="FFFFFF"/>
            <w:tcMar>
              <w:top w:w="80" w:type="dxa"/>
              <w:left w:w="100" w:type="dxa"/>
              <w:bottom w:w="80" w:type="dxa"/>
              <w:right w:w="100" w:type="dxa"/>
            </w:tcMar>
          </w:tcPr>
          <w:p w14:paraId="44BC252D" w14:textId="77777777" w:rsidR="0016368E" w:rsidRDefault="00B81C82" w:rsidP="00033FA8">
            <w:pPr>
              <w:spacing w:line="360" w:lineRule="auto"/>
            </w:pPr>
            <w:r>
              <w:rPr>
                <w:sz w:val="20"/>
                <w:szCs w:val="20"/>
              </w:rPr>
              <w:t>CQC Well-Led standards; NHS Culture of Care standards</w:t>
            </w:r>
          </w:p>
        </w:tc>
        <w:tc>
          <w:tcPr>
            <w:tcW w:w="2826" w:type="dxa"/>
            <w:tcBorders>
              <w:top w:val="single" w:sz="4" w:space="0" w:color="2E74B5"/>
              <w:left w:val="single" w:sz="4" w:space="0" w:color="2E74B5"/>
              <w:bottom w:val="single" w:sz="4" w:space="0" w:color="2E74B5"/>
              <w:right w:val="single" w:sz="4" w:space="0" w:color="2E74B5"/>
            </w:tcBorders>
            <w:shd w:val="clear" w:color="auto" w:fill="FFFFFF"/>
            <w:tcMar>
              <w:top w:w="80" w:type="dxa"/>
              <w:left w:w="100" w:type="dxa"/>
              <w:bottom w:w="80" w:type="dxa"/>
              <w:right w:w="100" w:type="dxa"/>
            </w:tcMar>
          </w:tcPr>
          <w:p w14:paraId="00EB0C30" w14:textId="77777777" w:rsidR="0016368E" w:rsidRDefault="00B81C82" w:rsidP="00033FA8">
            <w:pPr>
              <w:spacing w:line="360" w:lineRule="auto"/>
            </w:pPr>
            <w:r>
              <w:rPr>
                <w:sz w:val="20"/>
                <w:szCs w:val="20"/>
              </w:rPr>
              <w:t>Board-level patient safety KPIs; annual staff psychological safety survey</w:t>
            </w:r>
          </w:p>
        </w:tc>
      </w:tr>
      <w:tr w:rsidR="0016368E" w14:paraId="7407E322" w14:textId="77777777">
        <w:tc>
          <w:tcPr>
            <w:tcW w:w="1800" w:type="dxa"/>
            <w:tcBorders>
              <w:top w:val="single" w:sz="4" w:space="0" w:color="2E74B5"/>
              <w:left w:val="single" w:sz="4" w:space="0" w:color="2E74B5"/>
              <w:bottom w:val="single" w:sz="4" w:space="0" w:color="2E74B5"/>
              <w:right w:val="single" w:sz="4" w:space="0" w:color="2E74B5"/>
            </w:tcBorders>
            <w:shd w:val="clear" w:color="auto" w:fill="D6E4F0"/>
            <w:tcMar>
              <w:top w:w="80" w:type="dxa"/>
              <w:left w:w="100" w:type="dxa"/>
              <w:bottom w:w="80" w:type="dxa"/>
              <w:right w:w="100" w:type="dxa"/>
            </w:tcMar>
          </w:tcPr>
          <w:p w14:paraId="19F7BF31" w14:textId="77777777" w:rsidR="0016368E" w:rsidRDefault="00B81C82" w:rsidP="00033FA8">
            <w:pPr>
              <w:spacing w:line="360" w:lineRule="auto"/>
            </w:pPr>
            <w:r>
              <w:rPr>
                <w:sz w:val="20"/>
                <w:szCs w:val="20"/>
              </w:rPr>
              <w:t>CQC Compliance</w:t>
            </w:r>
          </w:p>
        </w:tc>
        <w:tc>
          <w:tcPr>
            <w:tcW w:w="2200" w:type="dxa"/>
            <w:tcBorders>
              <w:top w:val="single" w:sz="4" w:space="0" w:color="2E74B5"/>
              <w:left w:val="single" w:sz="4" w:space="0" w:color="2E74B5"/>
              <w:bottom w:val="single" w:sz="4" w:space="0" w:color="2E74B5"/>
              <w:right w:val="single" w:sz="4" w:space="0" w:color="2E74B5"/>
            </w:tcBorders>
            <w:shd w:val="clear" w:color="auto" w:fill="D6E4F0"/>
            <w:tcMar>
              <w:top w:w="80" w:type="dxa"/>
              <w:left w:w="100" w:type="dxa"/>
              <w:bottom w:w="80" w:type="dxa"/>
              <w:right w:w="100" w:type="dxa"/>
            </w:tcMar>
          </w:tcPr>
          <w:p w14:paraId="506E7D1D" w14:textId="338D5376" w:rsidR="0016368E" w:rsidRDefault="00B81C82" w:rsidP="00033FA8">
            <w:pPr>
              <w:spacing w:line="360" w:lineRule="auto"/>
            </w:pPr>
            <w:r>
              <w:rPr>
                <w:sz w:val="20"/>
                <w:szCs w:val="20"/>
              </w:rPr>
              <w:t xml:space="preserve">Failed to disclose mortality data during </w:t>
            </w:r>
            <w:r w:rsidR="00B95750">
              <w:rPr>
                <w:sz w:val="20"/>
                <w:szCs w:val="20"/>
              </w:rPr>
              <w:t xml:space="preserve">the </w:t>
            </w:r>
            <w:r>
              <w:rPr>
                <w:sz w:val="20"/>
                <w:szCs w:val="20"/>
              </w:rPr>
              <w:t>2016 inspection</w:t>
            </w:r>
          </w:p>
        </w:tc>
        <w:tc>
          <w:tcPr>
            <w:tcW w:w="2200" w:type="dxa"/>
            <w:tcBorders>
              <w:top w:val="single" w:sz="4" w:space="0" w:color="2E74B5"/>
              <w:left w:val="single" w:sz="4" w:space="0" w:color="2E74B5"/>
              <w:bottom w:val="single" w:sz="4" w:space="0" w:color="2E74B5"/>
              <w:right w:val="single" w:sz="4" w:space="0" w:color="2E74B5"/>
            </w:tcBorders>
            <w:shd w:val="clear" w:color="auto" w:fill="D6E4F0"/>
            <w:tcMar>
              <w:top w:w="80" w:type="dxa"/>
              <w:left w:w="100" w:type="dxa"/>
              <w:bottom w:w="80" w:type="dxa"/>
              <w:right w:w="100" w:type="dxa"/>
            </w:tcMar>
          </w:tcPr>
          <w:p w14:paraId="39C291DC" w14:textId="41C699FD" w:rsidR="0016368E" w:rsidRDefault="00B81C82" w:rsidP="00033FA8">
            <w:pPr>
              <w:spacing w:line="360" w:lineRule="auto"/>
            </w:pPr>
            <w:r>
              <w:rPr>
                <w:sz w:val="20"/>
                <w:szCs w:val="20"/>
              </w:rPr>
              <w:t xml:space="preserve">Duty of </w:t>
            </w:r>
            <w:r w:rsidR="00507E3E">
              <w:rPr>
                <w:sz w:val="20"/>
                <w:szCs w:val="20"/>
              </w:rPr>
              <w:t>Candor</w:t>
            </w:r>
            <w:r>
              <w:rPr>
                <w:sz w:val="20"/>
                <w:szCs w:val="20"/>
              </w:rPr>
              <w:t xml:space="preserve"> (CQC, 2015)</w:t>
            </w:r>
            <w:r w:rsidR="00B2391A">
              <w:rPr>
                <w:sz w:val="20"/>
                <w:szCs w:val="20"/>
              </w:rPr>
              <w:t>.</w:t>
            </w:r>
          </w:p>
        </w:tc>
        <w:tc>
          <w:tcPr>
            <w:tcW w:w="2826" w:type="dxa"/>
            <w:tcBorders>
              <w:top w:val="single" w:sz="4" w:space="0" w:color="2E74B5"/>
              <w:left w:val="single" w:sz="4" w:space="0" w:color="2E74B5"/>
              <w:bottom w:val="single" w:sz="4" w:space="0" w:color="2E74B5"/>
              <w:right w:val="single" w:sz="4" w:space="0" w:color="2E74B5"/>
            </w:tcBorders>
            <w:shd w:val="clear" w:color="auto" w:fill="D6E4F0"/>
            <w:tcMar>
              <w:top w:w="80" w:type="dxa"/>
              <w:left w:w="100" w:type="dxa"/>
              <w:bottom w:w="80" w:type="dxa"/>
              <w:right w:w="100" w:type="dxa"/>
            </w:tcMar>
          </w:tcPr>
          <w:p w14:paraId="786273F8" w14:textId="7232DB1D" w:rsidR="0016368E" w:rsidRDefault="00B81C82" w:rsidP="00033FA8">
            <w:pPr>
              <w:spacing w:line="360" w:lineRule="auto"/>
            </w:pPr>
            <w:r>
              <w:rPr>
                <w:sz w:val="20"/>
                <w:szCs w:val="20"/>
              </w:rPr>
              <w:t xml:space="preserve">Full compliance with Duty of </w:t>
            </w:r>
            <w:r w:rsidR="00507E3E">
              <w:rPr>
                <w:sz w:val="20"/>
                <w:szCs w:val="20"/>
              </w:rPr>
              <w:t>Candor</w:t>
            </w:r>
            <w:r>
              <w:rPr>
                <w:sz w:val="20"/>
                <w:szCs w:val="20"/>
              </w:rPr>
              <w:t>; transparent mortality reporting</w:t>
            </w:r>
          </w:p>
        </w:tc>
      </w:tr>
    </w:tbl>
    <w:p w14:paraId="7F3C037B" w14:textId="77777777" w:rsidR="00D97000" w:rsidRDefault="00D97000" w:rsidP="00033FA8">
      <w:pPr>
        <w:spacing w:before="80" w:after="120" w:line="360" w:lineRule="auto"/>
      </w:pPr>
    </w:p>
    <w:p w14:paraId="0F908392" w14:textId="77777777" w:rsidR="00942221" w:rsidRDefault="00942221" w:rsidP="00033FA8">
      <w:pPr>
        <w:spacing w:before="80" w:after="120" w:line="360" w:lineRule="auto"/>
      </w:pPr>
    </w:p>
    <w:p w14:paraId="3B6205DB" w14:textId="77777777" w:rsidR="00D106B6" w:rsidRDefault="00D106B6" w:rsidP="00033FA8">
      <w:pPr>
        <w:spacing w:before="80" w:after="120" w:line="360" w:lineRule="auto"/>
      </w:pPr>
    </w:p>
    <w:p w14:paraId="3E0741F0" w14:textId="77777777" w:rsidR="00942221" w:rsidRDefault="00942221" w:rsidP="00033FA8">
      <w:pPr>
        <w:spacing w:before="80" w:after="120" w:line="360" w:lineRule="auto"/>
      </w:pPr>
    </w:p>
    <w:p w14:paraId="36FCD2EE" w14:textId="2ACC0A37" w:rsidR="004B6179" w:rsidRDefault="004B6179" w:rsidP="004B6179">
      <w:pPr>
        <w:pStyle w:val="Heading1"/>
        <w:spacing w:line="360" w:lineRule="auto"/>
      </w:pPr>
      <w:bookmarkStart w:id="14" w:name="_Toc226630802"/>
      <w:r>
        <w:lastRenderedPageBreak/>
        <w:t>4. C</w:t>
      </w:r>
      <w:r w:rsidR="00941E9E">
        <w:t>o</w:t>
      </w:r>
      <w:r>
        <w:t>nclusion</w:t>
      </w:r>
      <w:bookmarkEnd w:id="14"/>
    </w:p>
    <w:p w14:paraId="1C34CB15" w14:textId="1D641333" w:rsidR="004B6179" w:rsidRDefault="004B6179" w:rsidP="004B6179">
      <w:pPr>
        <w:spacing w:after="160" w:line="360" w:lineRule="auto"/>
        <w:jc w:val="both"/>
      </w:pPr>
      <w:r>
        <w:t xml:space="preserve">The Lucy Letby incident at the Countess of Chester Hospital is a disastrous and multi-level quality failure in neonatal care in the NHS. The analysis of Donabedian shows that both structure, process, and outcome domains were permeated with failures. The root cause in the Fishbone and the 5 Whys analysis lies in a systemic lack of </w:t>
      </w:r>
      <w:r w:rsidR="00D106B6">
        <w:t>control</w:t>
      </w:r>
      <w:r w:rsidR="00B95750">
        <w:t>,</w:t>
      </w:r>
      <w:r>
        <w:t xml:space="preserve"> accountable management and a culture </w:t>
      </w:r>
      <w:r w:rsidR="00B95750">
        <w:t>that</w:t>
      </w:r>
      <w:r>
        <w:t xml:space="preserve"> structurally barred the bringing into attention and listening to clinical concerns. The SWOT analysis will determine the challenges that are still institutional as well as the tremendous opportunities that are offered by the Thirlwall Inquiry, CQC scrutiny</w:t>
      </w:r>
      <w:r w:rsidR="00B95750">
        <w:t>,</w:t>
      </w:r>
      <w:r>
        <w:t xml:space="preserve"> and the increasing parliamentary support of management regulation.</w:t>
      </w:r>
    </w:p>
    <w:p w14:paraId="0C88CB2D" w14:textId="775822BC" w:rsidR="0016368E" w:rsidRDefault="004B6179" w:rsidP="004B6179">
      <w:pPr>
        <w:spacing w:after="160" w:line="360" w:lineRule="auto"/>
        <w:jc w:val="both"/>
      </w:pPr>
      <w:r>
        <w:t>To achieve the necessary process changes, the Six Sigma DMAIC model offers a strict and information-based approach to process-driven improvement, which has well-defined CTQ measurements and control systems based on the PSIRF of NHS England (2022). The 8-step Change Model by Kotter gives the organisational leadership structure that is necessary in the cultural change process so that transformation becomes sustainable. As can be seen in the before-and-after benchmark table, the proposed recommendations, including independent review of incidents, real-time mortality, safe staffing, the management regulation, improved whistleblowing</w:t>
      </w:r>
      <w:r w:rsidR="00B95750">
        <w:t>,</w:t>
      </w:r>
      <w:r>
        <w:t xml:space="preserve"> and psychological safety training</w:t>
      </w:r>
      <w:r w:rsidR="00B95750">
        <w:t>,</w:t>
      </w:r>
      <w:r>
        <w:t xml:space="preserve"> are evidence-based, nationally grounded</w:t>
      </w:r>
      <w:r w:rsidR="00B95750">
        <w:t>,</w:t>
      </w:r>
      <w:r>
        <w:t xml:space="preserve"> and quantifiably likely to avoid future occurrences of similar failure.</w:t>
      </w:r>
    </w:p>
    <w:p w14:paraId="74D824D0" w14:textId="77777777" w:rsidR="00D97000" w:rsidRDefault="00D97000" w:rsidP="004B6179">
      <w:pPr>
        <w:spacing w:after="160" w:line="360" w:lineRule="auto"/>
        <w:jc w:val="both"/>
      </w:pPr>
    </w:p>
    <w:p w14:paraId="35DD14A4" w14:textId="77777777" w:rsidR="00D97000" w:rsidRDefault="00D97000" w:rsidP="004B6179">
      <w:pPr>
        <w:spacing w:after="160" w:line="360" w:lineRule="auto"/>
        <w:jc w:val="both"/>
      </w:pPr>
    </w:p>
    <w:p w14:paraId="6EE27EE7" w14:textId="77777777" w:rsidR="00D97000" w:rsidRDefault="00D97000" w:rsidP="004B6179">
      <w:pPr>
        <w:spacing w:after="160" w:line="360" w:lineRule="auto"/>
        <w:jc w:val="both"/>
      </w:pPr>
    </w:p>
    <w:p w14:paraId="1902ED7C" w14:textId="77777777" w:rsidR="000E62B7" w:rsidRDefault="000E62B7" w:rsidP="004B6179">
      <w:pPr>
        <w:spacing w:after="160" w:line="360" w:lineRule="auto"/>
        <w:jc w:val="both"/>
      </w:pPr>
    </w:p>
    <w:p w14:paraId="3A227B77" w14:textId="77777777" w:rsidR="000E62B7" w:rsidRDefault="000E62B7" w:rsidP="004B6179">
      <w:pPr>
        <w:spacing w:after="160" w:line="360" w:lineRule="auto"/>
        <w:jc w:val="both"/>
      </w:pPr>
    </w:p>
    <w:p w14:paraId="19293A64" w14:textId="77777777" w:rsidR="00D106B6" w:rsidRDefault="00D106B6" w:rsidP="004B6179">
      <w:pPr>
        <w:spacing w:after="160" w:line="360" w:lineRule="auto"/>
        <w:jc w:val="both"/>
      </w:pPr>
    </w:p>
    <w:p w14:paraId="32A78C28" w14:textId="77777777" w:rsidR="00D97000" w:rsidRDefault="00D97000" w:rsidP="004B6179">
      <w:pPr>
        <w:spacing w:after="160" w:line="360" w:lineRule="auto"/>
        <w:jc w:val="both"/>
      </w:pPr>
    </w:p>
    <w:p w14:paraId="1AD742E2" w14:textId="77777777" w:rsidR="00D97000" w:rsidRDefault="00D97000" w:rsidP="004B6179">
      <w:pPr>
        <w:spacing w:after="160" w:line="360" w:lineRule="auto"/>
        <w:jc w:val="both"/>
      </w:pPr>
    </w:p>
    <w:p w14:paraId="6D07CDF3" w14:textId="77777777" w:rsidR="00D97000" w:rsidRDefault="00D97000" w:rsidP="004B6179">
      <w:pPr>
        <w:spacing w:after="160" w:line="360" w:lineRule="auto"/>
        <w:jc w:val="both"/>
      </w:pPr>
    </w:p>
    <w:p w14:paraId="76E72BE0" w14:textId="4714BC1E" w:rsidR="0016368E" w:rsidRPr="00507E3E" w:rsidRDefault="00B81C82" w:rsidP="00033FA8">
      <w:pPr>
        <w:pStyle w:val="Heading1"/>
        <w:spacing w:line="360" w:lineRule="auto"/>
        <w:rPr>
          <w:color w:val="auto"/>
          <w:sz w:val="22"/>
          <w:szCs w:val="22"/>
          <w:u w:val="single"/>
        </w:rPr>
      </w:pPr>
      <w:bookmarkStart w:id="15" w:name="_Toc226630803"/>
      <w:r w:rsidRPr="00507E3E">
        <w:rPr>
          <w:color w:val="auto"/>
          <w:sz w:val="22"/>
          <w:szCs w:val="22"/>
          <w:u w:val="single"/>
        </w:rPr>
        <w:lastRenderedPageBreak/>
        <w:t>Refer</w:t>
      </w:r>
      <w:r w:rsidR="00941E9E">
        <w:rPr>
          <w:color w:val="auto"/>
          <w:sz w:val="22"/>
          <w:szCs w:val="22"/>
          <w:u w:val="single"/>
        </w:rPr>
        <w:t>e</w:t>
      </w:r>
      <w:r w:rsidRPr="00507E3E">
        <w:rPr>
          <w:color w:val="auto"/>
          <w:sz w:val="22"/>
          <w:szCs w:val="22"/>
          <w:u w:val="single"/>
        </w:rPr>
        <w:t>nces</w:t>
      </w:r>
      <w:bookmarkEnd w:id="15"/>
    </w:p>
    <w:p w14:paraId="1D8B28DD" w14:textId="62E841D9" w:rsidR="0016368E" w:rsidRDefault="00240FAB" w:rsidP="00507E3E">
      <w:pPr>
        <w:pStyle w:val="ListParagraph"/>
        <w:numPr>
          <w:ilvl w:val="0"/>
          <w:numId w:val="8"/>
        </w:numPr>
        <w:spacing w:after="160" w:line="360" w:lineRule="auto"/>
        <w:jc w:val="both"/>
      </w:pPr>
      <w:r w:rsidRPr="00240FAB">
        <w:t xml:space="preserve">Anders Bach-Mortensen, Goodair, B. and Michelle Degli Esposti (2024) </w:t>
      </w:r>
      <w:r w:rsidR="00507E3E">
        <w:t>‘</w:t>
      </w:r>
      <w:r w:rsidRPr="00240FAB">
        <w:t>Involuntary closures of for-profit care homes in England by the Care Quality Commission</w:t>
      </w:r>
      <w:r w:rsidR="00507E3E">
        <w:t>’</w:t>
      </w:r>
      <w:r w:rsidRPr="00240FAB">
        <w:t>. The Lancet Healthy Longevity, 5(4). doi:</w:t>
      </w:r>
      <w:r>
        <w:t xml:space="preserve"> </w:t>
      </w:r>
      <w:hyperlink r:id="rId11" w:history="1">
        <w:r w:rsidRPr="009E7B01">
          <w:rPr>
            <w:rStyle w:val="Hyperlink"/>
          </w:rPr>
          <w:t>https://doi.org/10.1016/s2666-7568(24)00008-4</w:t>
        </w:r>
      </w:hyperlink>
      <w:r>
        <w:t xml:space="preserve">  </w:t>
      </w:r>
      <w:r w:rsidR="00BC18D5">
        <w:t xml:space="preserve"> </w:t>
      </w:r>
    </w:p>
    <w:p w14:paraId="32F43A8C" w14:textId="14D8DE9D" w:rsidR="00941E9E" w:rsidRDefault="00941E9E" w:rsidP="00941E9E">
      <w:pPr>
        <w:pStyle w:val="ListParagraph"/>
        <w:numPr>
          <w:ilvl w:val="0"/>
          <w:numId w:val="8"/>
        </w:numPr>
        <w:spacing w:after="160" w:line="360" w:lineRule="auto"/>
        <w:jc w:val="both"/>
      </w:pPr>
      <w:r>
        <w:t xml:space="preserve">Antony, J., Downey-Ennis, K., Antony, F. and Seow, C. (2007) 'Can Six Sigma be the cure for our ailing NHS?', </w:t>
      </w:r>
      <w:r w:rsidRPr="00507E3E">
        <w:rPr>
          <w:color w:val="0563C1"/>
          <w:u w:val="single"/>
        </w:rPr>
        <w:t>Leadership in Health Services</w:t>
      </w:r>
      <w:r>
        <w:t xml:space="preserve">, 20(4), pp. 242–253. </w:t>
      </w:r>
      <w:hyperlink r:id="rId12" w:history="1">
        <w:r w:rsidRPr="00995094">
          <w:rPr>
            <w:rStyle w:val="Hyperlink"/>
          </w:rPr>
          <w:t>https://doi.org/10.1108/17511870710829355</w:t>
        </w:r>
      </w:hyperlink>
    </w:p>
    <w:p w14:paraId="7EAB5CC1" w14:textId="17A363BF" w:rsidR="0016368E" w:rsidRDefault="00B81C82" w:rsidP="00507E3E">
      <w:pPr>
        <w:pStyle w:val="ListParagraph"/>
        <w:numPr>
          <w:ilvl w:val="0"/>
          <w:numId w:val="8"/>
        </w:numPr>
        <w:spacing w:after="160" w:line="360" w:lineRule="auto"/>
        <w:jc w:val="both"/>
      </w:pPr>
      <w:r>
        <w:t xml:space="preserve">Armenakis, A.A. and Bedeian, A.G. (1999) 'Organizational change: A review of theory and research in the 1990s', </w:t>
      </w:r>
      <w:hyperlink r:id="rId13" w:history="1">
        <w:r w:rsidR="0016368E" w:rsidRPr="00507E3E">
          <w:rPr>
            <w:color w:val="0563C1"/>
            <w:u w:val="single"/>
          </w:rPr>
          <w:t>Journal of Management</w:t>
        </w:r>
      </w:hyperlink>
      <w:r>
        <w:t xml:space="preserve">, 25(3), pp. 293–315. </w:t>
      </w:r>
    </w:p>
    <w:p w14:paraId="6180045C" w14:textId="77777777" w:rsidR="00240FAB" w:rsidRDefault="00B81C82" w:rsidP="00507E3E">
      <w:pPr>
        <w:pStyle w:val="ListParagraph"/>
        <w:numPr>
          <w:ilvl w:val="0"/>
          <w:numId w:val="8"/>
        </w:numPr>
        <w:spacing w:after="160" w:line="360" w:lineRule="auto"/>
        <w:jc w:val="both"/>
      </w:pPr>
      <w:r>
        <w:t xml:space="preserve">Ayanian, J.Z. and Markel, H. (2016) 'Donabedian's lasting framework for health care quality', </w:t>
      </w:r>
      <w:hyperlink r:id="rId14" w:history="1">
        <w:r w:rsidR="0016368E" w:rsidRPr="00507E3E">
          <w:rPr>
            <w:color w:val="0563C1"/>
            <w:u w:val="single"/>
          </w:rPr>
          <w:t>New England Journal of Medicine</w:t>
        </w:r>
      </w:hyperlink>
      <w:r>
        <w:t>, 375(3), pp. 205–207.</w:t>
      </w:r>
    </w:p>
    <w:p w14:paraId="0F125A58" w14:textId="17B37308" w:rsidR="0016368E" w:rsidRDefault="00240FAB" w:rsidP="00507E3E">
      <w:pPr>
        <w:pStyle w:val="ListParagraph"/>
        <w:numPr>
          <w:ilvl w:val="0"/>
          <w:numId w:val="8"/>
        </w:numPr>
        <w:spacing w:after="160" w:line="360" w:lineRule="auto"/>
        <w:jc w:val="both"/>
      </w:pPr>
      <w:r w:rsidRPr="00240FAB">
        <w:t xml:space="preserve">Beichler, H., Grabovac, I. and Dorner, T.E. (2023) </w:t>
      </w:r>
      <w:r w:rsidR="00507E3E">
        <w:t>‘</w:t>
      </w:r>
      <w:r w:rsidRPr="00240FAB">
        <w:t>Integrated Care as a Model for Interprofessional Disease Management and the Benefits for People Living with HIV/AIDS</w:t>
      </w:r>
      <w:r w:rsidR="00507E3E">
        <w:t>’</w:t>
      </w:r>
      <w:r w:rsidRPr="00240FAB">
        <w:t xml:space="preserve">. International Journal of Environmental Research and Public Health, </w:t>
      </w:r>
      <w:r w:rsidR="00507E3E">
        <w:t>(</w:t>
      </w:r>
      <w:r w:rsidRPr="00240FAB">
        <w:t>online</w:t>
      </w:r>
      <w:r w:rsidR="00507E3E">
        <w:t>)</w:t>
      </w:r>
      <w:r w:rsidRPr="00240FAB">
        <w:t xml:space="preserve"> 20(4), p.3374. doi:</w:t>
      </w:r>
      <w:r>
        <w:t xml:space="preserve"> </w:t>
      </w:r>
      <w:hyperlink r:id="rId15" w:history="1">
        <w:r w:rsidRPr="009E7B01">
          <w:rPr>
            <w:rStyle w:val="Hyperlink"/>
          </w:rPr>
          <w:t>https://doi.org/10.3390/ijerph20043374</w:t>
        </w:r>
      </w:hyperlink>
      <w:r>
        <w:t xml:space="preserve">  </w:t>
      </w:r>
    </w:p>
    <w:p w14:paraId="51519C43" w14:textId="1B2FB60D" w:rsidR="0016368E" w:rsidRDefault="00B81C82" w:rsidP="00507E3E">
      <w:pPr>
        <w:pStyle w:val="ListParagraph"/>
        <w:numPr>
          <w:ilvl w:val="0"/>
          <w:numId w:val="8"/>
        </w:numPr>
        <w:spacing w:after="160" w:line="360" w:lineRule="auto"/>
        <w:jc w:val="both"/>
      </w:pPr>
      <w:r>
        <w:t xml:space="preserve">British Association of Perinatal Medicine (BAPM) (2022) </w:t>
      </w:r>
      <w:r w:rsidR="00507E3E">
        <w:t>‘</w:t>
      </w:r>
      <w:r>
        <w:t>Optimal Arrangements for Neonatal Intensive Care Units in the UK. London: BAPM</w:t>
      </w:r>
      <w:r w:rsidR="00507E3E">
        <w:t>’</w:t>
      </w:r>
      <w:r>
        <w:t xml:space="preserve">. Available at: </w:t>
      </w:r>
      <w:hyperlink r:id="rId16" w:history="1">
        <w:r w:rsidR="0016368E" w:rsidRPr="00507E3E">
          <w:rPr>
            <w:color w:val="0563C1"/>
            <w:u w:val="single"/>
          </w:rPr>
          <w:t>https://www.bapm.org/resources/80-optimal-arrangements-for-neonatal-intensive-care-units-in-the-uk-2001</w:t>
        </w:r>
      </w:hyperlink>
      <w:r>
        <w:t xml:space="preserve"> (Accessed: </w:t>
      </w:r>
      <w:r w:rsidR="00F718EA">
        <w:t>12</w:t>
      </w:r>
      <w:r>
        <w:t xml:space="preserve"> March 2026).</w:t>
      </w:r>
    </w:p>
    <w:p w14:paraId="42E48670" w14:textId="7384FAA3" w:rsidR="0016368E" w:rsidRDefault="00B81C82" w:rsidP="00507E3E">
      <w:pPr>
        <w:pStyle w:val="ListParagraph"/>
        <w:numPr>
          <w:ilvl w:val="0"/>
          <w:numId w:val="8"/>
        </w:numPr>
        <w:spacing w:after="160" w:line="360" w:lineRule="auto"/>
        <w:jc w:val="both"/>
      </w:pPr>
      <w:r w:rsidRPr="00817848">
        <w:t xml:space="preserve">Care Quality Commission (CQC) (2015) Regulation 20: Duty of Candour. Newcastle: CQC. Available at: </w:t>
      </w:r>
      <w:hyperlink r:id="rId17" w:history="1">
        <w:r w:rsidR="0016368E" w:rsidRPr="00507E3E">
          <w:rPr>
            <w:color w:val="0563C1"/>
            <w:u w:val="single"/>
          </w:rPr>
          <w:t>https://www.cqc.org.uk/guidance-providers/regulations</w:t>
        </w:r>
      </w:hyperlink>
      <w:r w:rsidRPr="00F718EA">
        <w:t xml:space="preserve"> </w:t>
      </w:r>
      <w:r w:rsidR="00F718EA">
        <w:t>(Accessed: 12 March 2026).</w:t>
      </w:r>
    </w:p>
    <w:p w14:paraId="6B8BA0A9" w14:textId="1BEBBC6D" w:rsidR="00F718EA" w:rsidRDefault="00B81C82" w:rsidP="00F718EA">
      <w:pPr>
        <w:pStyle w:val="ListParagraph"/>
        <w:numPr>
          <w:ilvl w:val="0"/>
          <w:numId w:val="8"/>
        </w:numPr>
        <w:spacing w:after="160" w:line="360" w:lineRule="auto"/>
        <w:jc w:val="both"/>
      </w:pPr>
      <w:r>
        <w:t>Care Quality Commission (CQC)</w:t>
      </w:r>
      <w:r w:rsidR="00941E9E">
        <w:t>.</w:t>
      </w:r>
      <w:r>
        <w:t xml:space="preserve"> (2024) </w:t>
      </w:r>
      <w:r w:rsidR="00941E9E">
        <w:t>‘</w:t>
      </w:r>
      <w:r>
        <w:t>Countess of Chester Hospital NHS Foundation Trust Inspection Report</w:t>
      </w:r>
      <w:r w:rsidR="00941E9E">
        <w:t>’</w:t>
      </w:r>
      <w:r>
        <w:t xml:space="preserve">. Newcastle: CQC. Available at: </w:t>
      </w:r>
      <w:hyperlink r:id="rId18" w:history="1">
        <w:r w:rsidR="0016368E" w:rsidRPr="00507E3E">
          <w:rPr>
            <w:color w:val="0563C1"/>
            <w:u w:val="single"/>
          </w:rPr>
          <w:t>https://www.cqc.org.uk/provider/RJR</w:t>
        </w:r>
      </w:hyperlink>
      <w:r>
        <w:t xml:space="preserve"> (Accessed: </w:t>
      </w:r>
      <w:r w:rsidR="00941E9E">
        <w:t>15</w:t>
      </w:r>
      <w:r>
        <w:t xml:space="preserve"> March 2026).</w:t>
      </w:r>
    </w:p>
    <w:p w14:paraId="1037D1A4" w14:textId="3B0D2374" w:rsidR="00F718EA" w:rsidRDefault="00F718EA" w:rsidP="00F718EA">
      <w:pPr>
        <w:pStyle w:val="ListParagraph"/>
        <w:numPr>
          <w:ilvl w:val="0"/>
          <w:numId w:val="8"/>
        </w:numPr>
        <w:spacing w:after="160" w:line="360" w:lineRule="auto"/>
        <w:jc w:val="both"/>
      </w:pPr>
      <w:r w:rsidRPr="00240FAB">
        <w:t>Carreno, A.M. (2024)</w:t>
      </w:r>
      <w:r>
        <w:t xml:space="preserve"> ‘</w:t>
      </w:r>
      <w:r w:rsidRPr="00240FAB">
        <w:t>An Analytical Review of John Kotter’s Change Leadership Framework: A Modern Approach to Sustainable Organizational Transformation</w:t>
      </w:r>
      <w:r>
        <w:t>’</w:t>
      </w:r>
      <w:r w:rsidRPr="00240FAB">
        <w:t xml:space="preserve">. </w:t>
      </w:r>
      <w:r>
        <w:t>(</w:t>
      </w:r>
      <w:r w:rsidRPr="00240FAB">
        <w:t>online</w:t>
      </w:r>
      <w:r>
        <w:t>)</w:t>
      </w:r>
      <w:r w:rsidRPr="00240FAB">
        <w:t xml:space="preserve"> Ssrn.com. Available at: </w:t>
      </w:r>
      <w:hyperlink r:id="rId19" w:history="1">
        <w:r w:rsidRPr="009E7B01">
          <w:rPr>
            <w:rStyle w:val="Hyperlink"/>
          </w:rPr>
          <w:t>https://papers.ssrn.com/sol3/papers.cfm?abstract_id=5044428</w:t>
        </w:r>
      </w:hyperlink>
      <w:r>
        <w:t xml:space="preserve"> (Accessed: 18 March 2026).</w:t>
      </w:r>
    </w:p>
    <w:p w14:paraId="66A2DB4A" w14:textId="06B5E4EF" w:rsidR="00F718EA" w:rsidRDefault="00F718EA" w:rsidP="00F718EA">
      <w:pPr>
        <w:pStyle w:val="ListParagraph"/>
        <w:numPr>
          <w:ilvl w:val="0"/>
          <w:numId w:val="8"/>
        </w:numPr>
        <w:spacing w:after="160" w:line="360" w:lineRule="auto"/>
        <w:jc w:val="both"/>
      </w:pPr>
      <w:r w:rsidRPr="00240FAB">
        <w:t xml:space="preserve">Coughlin, K. and Posencheg, M.A. (2023) </w:t>
      </w:r>
      <w:r>
        <w:t>‘</w:t>
      </w:r>
      <w:r w:rsidRPr="00240FAB">
        <w:t>Common quality improvement methodologies including the model for improvement, lean, and six sigma</w:t>
      </w:r>
      <w:r>
        <w:t>’</w:t>
      </w:r>
      <w:r w:rsidRPr="00240FAB">
        <w:t>. Clinics in Perinatology, 50(2), pp.285–306. doi:</w:t>
      </w:r>
      <w:r>
        <w:t xml:space="preserve"> </w:t>
      </w:r>
      <w:hyperlink r:id="rId20" w:history="1">
        <w:r w:rsidRPr="009E7B01">
          <w:rPr>
            <w:rStyle w:val="Hyperlink"/>
          </w:rPr>
          <w:t>https://doi.org/10.1016/j.clp.2023.02.002</w:t>
        </w:r>
      </w:hyperlink>
      <w:r>
        <w:t xml:space="preserve"> </w:t>
      </w:r>
    </w:p>
    <w:p w14:paraId="124BF135" w14:textId="749724E5" w:rsidR="0016368E" w:rsidRDefault="00B81C82" w:rsidP="00507E3E">
      <w:pPr>
        <w:pStyle w:val="ListParagraph"/>
        <w:numPr>
          <w:ilvl w:val="0"/>
          <w:numId w:val="8"/>
        </w:numPr>
        <w:spacing w:after="160" w:line="360" w:lineRule="auto"/>
        <w:jc w:val="both"/>
      </w:pPr>
      <w:r>
        <w:t xml:space="preserve">Darzi, A. (2008) </w:t>
      </w:r>
      <w:r w:rsidR="00F718EA">
        <w:t>‘</w:t>
      </w:r>
      <w:hyperlink r:id="rId21" w:history="1">
        <w:r w:rsidR="0016368E" w:rsidRPr="00507E3E">
          <w:rPr>
            <w:color w:val="0563C1"/>
            <w:u w:val="single"/>
          </w:rPr>
          <w:t>High Quality Care for All: NHS Next Stage Review Final Report</w:t>
        </w:r>
      </w:hyperlink>
      <w:r w:rsidR="00F718EA">
        <w:t>’</w:t>
      </w:r>
      <w:r>
        <w:t>. London: Department of Health.</w:t>
      </w:r>
    </w:p>
    <w:p w14:paraId="42032849" w14:textId="06C5E668" w:rsidR="0016368E" w:rsidRDefault="00B81C82" w:rsidP="00507E3E">
      <w:pPr>
        <w:pStyle w:val="ListParagraph"/>
        <w:numPr>
          <w:ilvl w:val="0"/>
          <w:numId w:val="8"/>
        </w:numPr>
        <w:spacing w:after="160" w:line="360" w:lineRule="auto"/>
        <w:jc w:val="both"/>
      </w:pPr>
      <w:r>
        <w:t>Donabedian, A. (1988) 'The quality of care: How can it be assessed?'</w:t>
      </w:r>
      <w:r w:rsidR="00F718EA">
        <w:t>.</w:t>
      </w:r>
      <w:r>
        <w:t xml:space="preserve"> </w:t>
      </w:r>
      <w:hyperlink r:id="rId22" w:history="1">
        <w:r w:rsidR="0016368E" w:rsidRPr="00507E3E">
          <w:rPr>
            <w:color w:val="0563C1"/>
            <w:u w:val="single"/>
          </w:rPr>
          <w:t>JAMA</w:t>
        </w:r>
      </w:hyperlink>
      <w:r>
        <w:t xml:space="preserve">, 260(12), pp. 1743–1748. </w:t>
      </w:r>
    </w:p>
    <w:p w14:paraId="78A6E8A8" w14:textId="3E7609BE" w:rsidR="0016368E" w:rsidRDefault="00B81C82" w:rsidP="00507E3E">
      <w:pPr>
        <w:pStyle w:val="ListParagraph"/>
        <w:numPr>
          <w:ilvl w:val="0"/>
          <w:numId w:val="8"/>
        </w:numPr>
        <w:spacing w:after="160" w:line="360" w:lineRule="auto"/>
        <w:jc w:val="both"/>
      </w:pPr>
      <w:r>
        <w:t xml:space="preserve">Edmondson, A.C. (1999) 'Psychological safety and learning behavior in work teams', </w:t>
      </w:r>
      <w:hyperlink r:id="rId23" w:history="1">
        <w:r w:rsidR="0016368E" w:rsidRPr="00507E3E">
          <w:rPr>
            <w:color w:val="0563C1"/>
            <w:u w:val="single"/>
          </w:rPr>
          <w:t>Administrative Science Quarterly</w:t>
        </w:r>
      </w:hyperlink>
      <w:r>
        <w:t>, 44(2), pp. 350–383.</w:t>
      </w:r>
    </w:p>
    <w:p w14:paraId="3E4BE5E3" w14:textId="185149A2" w:rsidR="00240FAB" w:rsidRDefault="00240FAB" w:rsidP="00507E3E">
      <w:pPr>
        <w:pStyle w:val="ListParagraph"/>
        <w:numPr>
          <w:ilvl w:val="0"/>
          <w:numId w:val="8"/>
        </w:numPr>
        <w:spacing w:after="160" w:line="360" w:lineRule="auto"/>
        <w:jc w:val="both"/>
      </w:pPr>
      <w:r w:rsidRPr="00240FAB">
        <w:t xml:space="preserve">Gupta, K., Sarmah, Dr.P. and Gqibani, S.L. (2024) </w:t>
      </w:r>
      <w:r w:rsidR="00F718EA">
        <w:t>‘</w:t>
      </w:r>
      <w:r w:rsidRPr="00240FAB">
        <w:t>A Review on the Implementation and Effectiveness of Lean Manufacturing Strategies for Industrial and Service Sectors. Science, Engineering and Technology</w:t>
      </w:r>
      <w:r w:rsidR="00F718EA">
        <w:t>’.</w:t>
      </w:r>
      <w:r w:rsidRPr="00240FAB">
        <w:t xml:space="preserve"> </w:t>
      </w:r>
      <w:r w:rsidR="00F718EA">
        <w:t>(</w:t>
      </w:r>
      <w:r w:rsidRPr="00240FAB">
        <w:t>online</w:t>
      </w:r>
      <w:r w:rsidR="00F718EA">
        <w:t>)</w:t>
      </w:r>
      <w:r w:rsidRPr="00240FAB">
        <w:t xml:space="preserve"> 5(1). doi:</w:t>
      </w:r>
      <w:r>
        <w:t xml:space="preserve"> </w:t>
      </w:r>
      <w:hyperlink r:id="rId24" w:history="1">
        <w:r w:rsidRPr="009E7B01">
          <w:rPr>
            <w:rStyle w:val="Hyperlink"/>
          </w:rPr>
          <w:t>https://doi.org/10.54327/set2025/v5.i1.157</w:t>
        </w:r>
      </w:hyperlink>
      <w:r>
        <w:t xml:space="preserve"> </w:t>
      </w:r>
    </w:p>
    <w:p w14:paraId="7F0ACFA9" w14:textId="788B6A21" w:rsidR="00507E3E" w:rsidRDefault="00507E3E" w:rsidP="00507E3E">
      <w:pPr>
        <w:pStyle w:val="ListParagraph"/>
        <w:numPr>
          <w:ilvl w:val="0"/>
          <w:numId w:val="8"/>
        </w:numPr>
        <w:spacing w:after="160" w:line="360" w:lineRule="auto"/>
        <w:jc w:val="both"/>
      </w:pPr>
      <w:r>
        <w:t>Hansard</w:t>
      </w:r>
      <w:r w:rsidR="00F718EA">
        <w:t>.</w:t>
      </w:r>
      <w:r>
        <w:t xml:space="preserve"> (2023) </w:t>
      </w:r>
      <w:r w:rsidR="00F718EA">
        <w:t>‘</w:t>
      </w:r>
      <w:r>
        <w:t>Countess of Chester Hospital Inquiry, House of Commons Debate, 4 September 2023</w:t>
      </w:r>
      <w:r w:rsidR="00F718EA">
        <w:t>’</w:t>
      </w:r>
      <w:r>
        <w:t xml:space="preserve">. London: UK Parliament. Available at: </w:t>
      </w:r>
      <w:hyperlink r:id="rId25" w:history="1">
        <w:r w:rsidRPr="00507E3E">
          <w:rPr>
            <w:color w:val="0563C1"/>
            <w:u w:val="single"/>
          </w:rPr>
          <w:t>https://hansard.parliament.uk/commons/2023-09-04/debates/B18741EB-DC54-40D6-98B8-76FB066FFB26/CountessOfChesterHospitalInquiry</w:t>
        </w:r>
      </w:hyperlink>
      <w:r>
        <w:t xml:space="preserve"> (Accessed: 1 March 2026).</w:t>
      </w:r>
    </w:p>
    <w:p w14:paraId="05B4A32B" w14:textId="2413C343" w:rsidR="00507E3E" w:rsidRDefault="00507E3E" w:rsidP="00507E3E">
      <w:pPr>
        <w:pStyle w:val="ListParagraph"/>
        <w:numPr>
          <w:ilvl w:val="0"/>
          <w:numId w:val="8"/>
        </w:numPr>
        <w:spacing w:after="160" w:line="360" w:lineRule="auto"/>
        <w:jc w:val="both"/>
      </w:pPr>
      <w:r>
        <w:t xml:space="preserve">Helms, M.M. and Nixon, J. (2010) 'Exploring SWOT analysis – where are we now?', </w:t>
      </w:r>
      <w:hyperlink r:id="rId26" w:history="1">
        <w:r w:rsidRPr="00507E3E">
          <w:rPr>
            <w:color w:val="0563C1"/>
            <w:u w:val="single"/>
          </w:rPr>
          <w:t>Journal of Strategy and Management</w:t>
        </w:r>
      </w:hyperlink>
      <w:r>
        <w:t xml:space="preserve">, 3(3), pp. 215–251. </w:t>
      </w:r>
    </w:p>
    <w:p w14:paraId="038EA38A" w14:textId="091B955D" w:rsidR="00240FAB" w:rsidRDefault="00240FAB" w:rsidP="00507E3E">
      <w:pPr>
        <w:pStyle w:val="ListParagraph"/>
        <w:numPr>
          <w:ilvl w:val="0"/>
          <w:numId w:val="8"/>
        </w:numPr>
        <w:spacing w:after="160" w:line="360" w:lineRule="auto"/>
        <w:jc w:val="both"/>
      </w:pPr>
      <w:r w:rsidRPr="00240FAB">
        <w:t xml:space="preserve">Howick, J., Weston, A.B., Solomon, J., Nockels, K., Bostock, J. and Keshtkar, L. (2024) </w:t>
      </w:r>
      <w:r w:rsidR="00507E3E">
        <w:t>‘</w:t>
      </w:r>
      <w:r w:rsidRPr="00240FAB">
        <w:t>How does communication affect patient safety? Protocol for a systematic review and logic model</w:t>
      </w:r>
      <w:r w:rsidR="00507E3E">
        <w:t>’</w:t>
      </w:r>
      <w:r w:rsidRPr="00240FAB">
        <w:t>. BMJ Open,</w:t>
      </w:r>
      <w:r w:rsidR="004F0204">
        <w:t xml:space="preserve"> </w:t>
      </w:r>
      <w:r w:rsidRPr="00240FAB">
        <w:t>14(5), pp.1–8. doi:</w:t>
      </w:r>
      <w:r>
        <w:t xml:space="preserve"> </w:t>
      </w:r>
      <w:hyperlink r:id="rId27" w:history="1">
        <w:r w:rsidRPr="009E7B01">
          <w:rPr>
            <w:rStyle w:val="Hyperlink"/>
          </w:rPr>
          <w:t>https://doi.org/10.1136/bmjopen-2024-085312</w:t>
        </w:r>
      </w:hyperlink>
      <w:r>
        <w:t xml:space="preserve"> </w:t>
      </w:r>
    </w:p>
    <w:p w14:paraId="2D8B7122" w14:textId="3B179595" w:rsidR="000E62B7" w:rsidRDefault="000E62B7" w:rsidP="00507E3E">
      <w:pPr>
        <w:pStyle w:val="ListParagraph"/>
        <w:numPr>
          <w:ilvl w:val="0"/>
          <w:numId w:val="8"/>
        </w:numPr>
        <w:spacing w:after="160" w:line="360" w:lineRule="auto"/>
        <w:jc w:val="both"/>
      </w:pPr>
      <w:r w:rsidRPr="000E62B7">
        <w:t xml:space="preserve">Hostiuc, S. and Gherghiceanu, F. (2026) </w:t>
      </w:r>
      <w:r w:rsidR="00507E3E">
        <w:t>‘</w:t>
      </w:r>
      <w:r w:rsidRPr="000E62B7">
        <w:t xml:space="preserve">Burnout, PTSD, and Medical Error: The Medico-Legal Implications of the Mental Health Crisis Among Frontline </w:t>
      </w:r>
      <w:r w:rsidRPr="000E62B7">
        <w:lastRenderedPageBreak/>
        <w:t>Healthcare Professionals During COVID-19</w:t>
      </w:r>
      <w:r w:rsidR="00507E3E">
        <w:t>’</w:t>
      </w:r>
      <w:r w:rsidRPr="000E62B7">
        <w:t>. Medicina, 62(2), p.305. doi:</w:t>
      </w:r>
      <w:r>
        <w:t xml:space="preserve"> </w:t>
      </w:r>
      <w:hyperlink r:id="rId28" w:history="1">
        <w:r w:rsidRPr="009E7B01">
          <w:rPr>
            <w:rStyle w:val="Hyperlink"/>
          </w:rPr>
          <w:t>https://doi.org/10.3390/medicina62020305</w:t>
        </w:r>
      </w:hyperlink>
      <w:r>
        <w:t xml:space="preserve"> </w:t>
      </w:r>
    </w:p>
    <w:p w14:paraId="4106DBB2" w14:textId="67DB0042" w:rsidR="0016368E" w:rsidRDefault="00B81C82" w:rsidP="00507E3E">
      <w:pPr>
        <w:pStyle w:val="ListParagraph"/>
        <w:numPr>
          <w:ilvl w:val="0"/>
          <w:numId w:val="8"/>
        </w:numPr>
        <w:spacing w:after="160" w:line="360" w:lineRule="auto"/>
        <w:jc w:val="both"/>
      </w:pPr>
      <w:r>
        <w:t>Kark Review</w:t>
      </w:r>
      <w:r w:rsidR="00507E3E">
        <w:t>.</w:t>
      </w:r>
      <w:r>
        <w:t xml:space="preserve"> (2019) </w:t>
      </w:r>
      <w:r w:rsidR="00507E3E" w:rsidRPr="00507E3E">
        <w:rPr>
          <w:u w:val="single"/>
        </w:rPr>
        <w:t>‘</w:t>
      </w:r>
      <w:hyperlink r:id="rId29" w:history="1">
        <w:r w:rsidR="0016368E" w:rsidRPr="00507E3E">
          <w:rPr>
            <w:u w:val="single"/>
          </w:rPr>
          <w:t>Taking it on Trust: A Review of How Boards of NHS Trusts and NHS Foundation Trusts Get Assurance on the Quality and Safety of Care</w:t>
        </w:r>
      </w:hyperlink>
      <w:r w:rsidR="00D56E4E">
        <w:rPr>
          <w:u w:val="single"/>
        </w:rPr>
        <w:t>’</w:t>
      </w:r>
      <w:r>
        <w:t>. London: NHS Improvement. (Accessed: 2 March 2026).</w:t>
      </w:r>
    </w:p>
    <w:p w14:paraId="3F27052B" w14:textId="6B9F7006" w:rsidR="0016368E" w:rsidRDefault="00B81C82" w:rsidP="00507E3E">
      <w:pPr>
        <w:pStyle w:val="ListParagraph"/>
        <w:numPr>
          <w:ilvl w:val="0"/>
          <w:numId w:val="8"/>
        </w:numPr>
        <w:spacing w:after="160" w:line="360" w:lineRule="auto"/>
        <w:jc w:val="both"/>
      </w:pPr>
      <w:r>
        <w:t xml:space="preserve">Klein, S.M., Bigley, G.A. and Roberts, K.H. (1995) 'Organizational culture in high reliability organizations: An extension', </w:t>
      </w:r>
      <w:hyperlink r:id="rId30" w:history="1">
        <w:r w:rsidR="0016368E" w:rsidRPr="00507E3E">
          <w:rPr>
            <w:color w:val="0563C1"/>
            <w:u w:val="single"/>
          </w:rPr>
          <w:t>Human Relations</w:t>
        </w:r>
      </w:hyperlink>
      <w:r>
        <w:t>, 48(7), pp. 771–793.</w:t>
      </w:r>
    </w:p>
    <w:p w14:paraId="6EAD7FFE" w14:textId="5E6E6FE6" w:rsidR="0016368E" w:rsidRDefault="00B81C82" w:rsidP="00507E3E">
      <w:pPr>
        <w:pStyle w:val="ListParagraph"/>
        <w:numPr>
          <w:ilvl w:val="0"/>
          <w:numId w:val="8"/>
        </w:numPr>
        <w:spacing w:after="160" w:line="360" w:lineRule="auto"/>
        <w:jc w:val="both"/>
      </w:pPr>
      <w:r>
        <w:t>Knight, M., Bunch, K., Tuffnell, D. et al. (eds.) on behalf of MBRRACE-UK</w:t>
      </w:r>
      <w:r w:rsidR="00507E3E">
        <w:t>.</w:t>
      </w:r>
      <w:r>
        <w:t xml:space="preserve"> (2021) </w:t>
      </w:r>
      <w:r w:rsidR="00507E3E">
        <w:t>‘</w:t>
      </w:r>
      <w:hyperlink r:id="rId31" w:history="1">
        <w:r w:rsidR="00B95750" w:rsidRPr="00507E3E">
          <w:rPr>
            <w:color w:val="0563C1"/>
            <w:u w:val="single"/>
          </w:rPr>
          <w:t>Saving Lives, Improving Mothers' Care 2021</w:t>
        </w:r>
      </w:hyperlink>
      <w:r w:rsidR="00507E3E">
        <w:t>’</w:t>
      </w:r>
      <w:r>
        <w:t>. Oxford: National Perinatal Epidemiology Unit. (Accessed: 3 March 2026).</w:t>
      </w:r>
    </w:p>
    <w:p w14:paraId="111422EB" w14:textId="5E998F90" w:rsidR="0016368E" w:rsidRDefault="00B81C82" w:rsidP="00507E3E">
      <w:pPr>
        <w:pStyle w:val="ListParagraph"/>
        <w:numPr>
          <w:ilvl w:val="0"/>
          <w:numId w:val="8"/>
        </w:numPr>
        <w:spacing w:after="160" w:line="360" w:lineRule="auto"/>
        <w:jc w:val="both"/>
      </w:pPr>
      <w:r>
        <w:t xml:space="preserve">Leonard, M., Graham, S. and Bonacum, D. (2004) 'The human factor: The critical importance of effective teamwork and communication in providing safe care', </w:t>
      </w:r>
      <w:hyperlink r:id="rId32" w:history="1">
        <w:r w:rsidR="0016368E" w:rsidRPr="00507E3E">
          <w:rPr>
            <w:color w:val="0563C1"/>
            <w:u w:val="single"/>
          </w:rPr>
          <w:t>Quality and Safety in Health Care</w:t>
        </w:r>
      </w:hyperlink>
      <w:r>
        <w:t xml:space="preserve">, 13(Suppl 1), pp. i85–i90. </w:t>
      </w:r>
    </w:p>
    <w:p w14:paraId="3FF45F91" w14:textId="44256B0B" w:rsidR="0016368E" w:rsidRDefault="00B81C82" w:rsidP="00F718EA">
      <w:pPr>
        <w:pStyle w:val="ListParagraph"/>
        <w:numPr>
          <w:ilvl w:val="0"/>
          <w:numId w:val="8"/>
        </w:numPr>
        <w:spacing w:after="160" w:line="360" w:lineRule="auto"/>
        <w:jc w:val="both"/>
      </w:pPr>
      <w:r>
        <w:t xml:space="preserve">Mannion, R. and Davies, H.T. (2015) 'Cultures of silence and cultures of voice: The role of whistleblowing in healthcare organisations', </w:t>
      </w:r>
      <w:hyperlink r:id="rId33" w:history="1">
        <w:r w:rsidR="0016368E" w:rsidRPr="00F718EA">
          <w:rPr>
            <w:color w:val="0563C1"/>
            <w:u w:val="single"/>
          </w:rPr>
          <w:t>International Journal of Health Policy and Management</w:t>
        </w:r>
      </w:hyperlink>
      <w:r>
        <w:t xml:space="preserve">, 4(8), pp. 503–505. </w:t>
      </w:r>
    </w:p>
    <w:p w14:paraId="203A245B" w14:textId="093140E0" w:rsidR="00941E9E" w:rsidRDefault="00941E9E" w:rsidP="00941E9E">
      <w:pPr>
        <w:pStyle w:val="ListParagraph"/>
        <w:numPr>
          <w:ilvl w:val="0"/>
          <w:numId w:val="8"/>
        </w:numPr>
        <w:spacing w:after="160" w:line="360" w:lineRule="auto"/>
        <w:jc w:val="both"/>
      </w:pPr>
      <w:r w:rsidRPr="00240FAB">
        <w:t xml:space="preserve">Mladenova, I. (2022) </w:t>
      </w:r>
      <w:r>
        <w:t>‘</w:t>
      </w:r>
      <w:r w:rsidRPr="00240FAB">
        <w:t>Relation between Organizational Capacity for Change and Readiness for Change</w:t>
      </w:r>
      <w:r>
        <w:t>’</w:t>
      </w:r>
      <w:r w:rsidRPr="00240FAB">
        <w:t>. Administrative Sciences, 12(4), pp.1–15. doi:</w:t>
      </w:r>
      <w:r>
        <w:t xml:space="preserve"> </w:t>
      </w:r>
      <w:hyperlink r:id="rId34" w:history="1">
        <w:r w:rsidRPr="009E7B01">
          <w:rPr>
            <w:rStyle w:val="Hyperlink"/>
          </w:rPr>
          <w:t>https://doi.org/10.3390/admsci12040135</w:t>
        </w:r>
      </w:hyperlink>
      <w:r>
        <w:t xml:space="preserve"> </w:t>
      </w:r>
    </w:p>
    <w:p w14:paraId="19332509" w14:textId="01939FAD" w:rsidR="00240FAB" w:rsidRDefault="00240FAB" w:rsidP="00F718EA">
      <w:pPr>
        <w:pStyle w:val="ListParagraph"/>
        <w:numPr>
          <w:ilvl w:val="0"/>
          <w:numId w:val="8"/>
        </w:numPr>
        <w:spacing w:after="160" w:line="360" w:lineRule="auto"/>
        <w:jc w:val="both"/>
      </w:pPr>
      <w:r w:rsidRPr="00240FAB">
        <w:t xml:space="preserve">Nallamothu, B.K., Greif, R., Anderson, T.M., Huba Atiq, Thomaz Bittencourt Couto, Considine, J., Allan, Djärv, T., Doll, A., Douma, M.J., Edelson, D.P., Xu, F., Finn, J., Firestone, G., Saket Girotra, Kasper Glerup Lauridsen, Carrie Kah-Lai Leong, Swee Han Lim, Morley, P. and Morrison, L.J. (2023) </w:t>
      </w:r>
      <w:r w:rsidR="00F718EA">
        <w:t>‘</w:t>
      </w:r>
      <w:r w:rsidRPr="00240FAB">
        <w:t>Ten Steps Toward Improving In-Hospital Cardiac Arrest Quality of Care and Outcomes</w:t>
      </w:r>
      <w:r w:rsidR="00F718EA">
        <w:t>’</w:t>
      </w:r>
      <w:r w:rsidRPr="00240FAB">
        <w:t>. Circulation: Cardiovascular Quality and Outcomes</w:t>
      </w:r>
      <w:r w:rsidR="00C010F4">
        <w:t>’</w:t>
      </w:r>
      <w:r w:rsidRPr="00240FAB">
        <w:t>, 16(11). doi:</w:t>
      </w:r>
      <w:r>
        <w:t xml:space="preserve"> </w:t>
      </w:r>
      <w:hyperlink r:id="rId35" w:history="1">
        <w:r w:rsidRPr="009E7B01">
          <w:rPr>
            <w:rStyle w:val="Hyperlink"/>
          </w:rPr>
          <w:t>https://doi.org/10.1161/circoutcomes.123.010491</w:t>
        </w:r>
      </w:hyperlink>
      <w:r>
        <w:t xml:space="preserve"> </w:t>
      </w:r>
    </w:p>
    <w:p w14:paraId="1D0323F5" w14:textId="562C8310" w:rsidR="0016368E" w:rsidRDefault="00B81C82" w:rsidP="00F718EA">
      <w:pPr>
        <w:pStyle w:val="ListParagraph"/>
        <w:numPr>
          <w:ilvl w:val="0"/>
          <w:numId w:val="8"/>
        </w:numPr>
        <w:spacing w:after="160" w:line="360" w:lineRule="auto"/>
        <w:jc w:val="both"/>
      </w:pPr>
      <w:r>
        <w:t>NHS England</w:t>
      </w:r>
      <w:r w:rsidR="00F718EA">
        <w:t>.</w:t>
      </w:r>
      <w:r>
        <w:t xml:space="preserve"> (2019) </w:t>
      </w:r>
      <w:r w:rsidR="00F718EA">
        <w:t>‘</w:t>
      </w:r>
      <w:hyperlink r:id="rId36" w:history="1">
        <w:r w:rsidR="0016368E" w:rsidRPr="00F718EA">
          <w:rPr>
            <w:color w:val="0563C1"/>
            <w:u w:val="single"/>
          </w:rPr>
          <w:t>The NHS Patient Safety Strategy: Safer Culture, Safer Systems, Safer Patients</w:t>
        </w:r>
      </w:hyperlink>
      <w:r w:rsidR="00F718EA">
        <w:t>’</w:t>
      </w:r>
      <w:r>
        <w:t>. Leeds: NHS England. (Accessed: 3 March 2026).</w:t>
      </w:r>
    </w:p>
    <w:p w14:paraId="06C3215E" w14:textId="4A9FF985" w:rsidR="0016368E" w:rsidRDefault="00B81C82" w:rsidP="00F718EA">
      <w:pPr>
        <w:pStyle w:val="ListParagraph"/>
        <w:numPr>
          <w:ilvl w:val="0"/>
          <w:numId w:val="8"/>
        </w:numPr>
        <w:spacing w:after="160" w:line="360" w:lineRule="auto"/>
        <w:jc w:val="both"/>
      </w:pPr>
      <w:r>
        <w:lastRenderedPageBreak/>
        <w:t>NHS England</w:t>
      </w:r>
      <w:r w:rsidR="00F718EA">
        <w:t>.</w:t>
      </w:r>
      <w:r>
        <w:t xml:space="preserve"> (2022) </w:t>
      </w:r>
      <w:r w:rsidR="00F718EA">
        <w:t>‘</w:t>
      </w:r>
      <w:hyperlink r:id="rId37" w:history="1">
        <w:r w:rsidR="0016368E" w:rsidRPr="00F718EA">
          <w:rPr>
            <w:color w:val="0563C1"/>
            <w:u w:val="single"/>
          </w:rPr>
          <w:t>Patient Safety Incident Response Framework (PSIRF)</w:t>
        </w:r>
      </w:hyperlink>
      <w:r w:rsidR="00F718EA">
        <w:t>’</w:t>
      </w:r>
      <w:r>
        <w:t>. Leeds: NHS England. (Accessed: 3 March 2026).</w:t>
      </w:r>
    </w:p>
    <w:p w14:paraId="77D564DB" w14:textId="2CFB82BB" w:rsidR="00240FAB" w:rsidRDefault="00240FAB" w:rsidP="00F718EA">
      <w:pPr>
        <w:pStyle w:val="ListParagraph"/>
        <w:numPr>
          <w:ilvl w:val="0"/>
          <w:numId w:val="8"/>
        </w:numPr>
        <w:spacing w:after="160" w:line="360" w:lineRule="auto"/>
        <w:jc w:val="both"/>
      </w:pPr>
      <w:r w:rsidRPr="00240FAB">
        <w:t>Robayet Ferdous Syed</w:t>
      </w:r>
      <w:r w:rsidR="00F718EA">
        <w:t>.</w:t>
      </w:r>
      <w:r w:rsidRPr="00240FAB">
        <w:t xml:space="preserve"> (2024) </w:t>
      </w:r>
      <w:r w:rsidR="00F718EA">
        <w:t>‘</w:t>
      </w:r>
      <w:r w:rsidRPr="00240FAB">
        <w:t>Intertwine preventive (ex-ante) and deterrent (ex-post) mechanisms for compliance with and enforcement of labor laws: a comprehensive approach for Bangladesh</w:t>
      </w:r>
      <w:r w:rsidR="00F718EA">
        <w:t>’</w:t>
      </w:r>
      <w:r w:rsidRPr="00240FAB">
        <w:t>. Humanities and Social Sciences Communications, 11(1). doi:</w:t>
      </w:r>
      <w:r>
        <w:t xml:space="preserve"> </w:t>
      </w:r>
      <w:hyperlink r:id="rId38" w:history="1">
        <w:r w:rsidRPr="009E7B01">
          <w:rPr>
            <w:rStyle w:val="Hyperlink"/>
          </w:rPr>
          <w:t>https://doi.org/10.1057/s41599-024-03443-1</w:t>
        </w:r>
      </w:hyperlink>
      <w:r w:rsidRPr="00240FAB">
        <w:t>.</w:t>
      </w:r>
      <w:r>
        <w:t xml:space="preserve"> </w:t>
      </w:r>
    </w:p>
    <w:p w14:paraId="3DF7D0C0" w14:textId="156C83F5" w:rsidR="0016368E" w:rsidRDefault="00B81C82" w:rsidP="00F718EA">
      <w:pPr>
        <w:pStyle w:val="ListParagraph"/>
        <w:numPr>
          <w:ilvl w:val="0"/>
          <w:numId w:val="8"/>
        </w:numPr>
        <w:spacing w:after="160" w:line="360" w:lineRule="auto"/>
        <w:jc w:val="both"/>
      </w:pPr>
      <w:r>
        <w:t>Royal College of Nursing (RCN)</w:t>
      </w:r>
      <w:r w:rsidR="00F718EA">
        <w:t>.</w:t>
      </w:r>
      <w:r>
        <w:t xml:space="preserve"> (2022) </w:t>
      </w:r>
      <w:r w:rsidR="00F718EA">
        <w:t>‘</w:t>
      </w:r>
      <w:hyperlink r:id="rId39" w:history="1">
        <w:r w:rsidR="0016368E" w:rsidRPr="00F718EA">
          <w:rPr>
            <w:color w:val="0563C1"/>
            <w:u w:val="single"/>
          </w:rPr>
          <w:t>Safe and Effective Staffing: Nursing Against the Odds</w:t>
        </w:r>
      </w:hyperlink>
      <w:r>
        <w:t>. London: RCN. (Accessed: 4 March 2026).</w:t>
      </w:r>
    </w:p>
    <w:p w14:paraId="671030F0" w14:textId="310C635C" w:rsidR="0016368E" w:rsidRDefault="00240FAB" w:rsidP="00F718EA">
      <w:pPr>
        <w:pStyle w:val="ListParagraph"/>
        <w:numPr>
          <w:ilvl w:val="0"/>
          <w:numId w:val="8"/>
        </w:numPr>
        <w:spacing w:after="160" w:line="360" w:lineRule="auto"/>
        <w:jc w:val="both"/>
      </w:pPr>
      <w:r w:rsidRPr="00240FAB">
        <w:t xml:space="preserve">Silva, A.C., Vanzela, A.S., Pedrollo, L.F.S., Baker, J., de Carvalho, J.C.M., Sequeira, C.A. da C., Vedana, K.G.G. and Santos, J.C.P. dos (2024) </w:t>
      </w:r>
      <w:r w:rsidR="00F718EA">
        <w:t>‘</w:t>
      </w:r>
      <w:r w:rsidRPr="00240FAB">
        <w:t>Characteristics of surveillance systems for suicide and self-harm: A scoping review</w:t>
      </w:r>
      <w:r w:rsidR="00F718EA">
        <w:t>’</w:t>
      </w:r>
      <w:r w:rsidRPr="00240FAB">
        <w:t xml:space="preserve">. PLOS Global Public Health, </w:t>
      </w:r>
      <w:r w:rsidR="00F718EA">
        <w:t>(</w:t>
      </w:r>
      <w:r w:rsidRPr="00240FAB">
        <w:t>online</w:t>
      </w:r>
      <w:r w:rsidR="00F718EA">
        <w:t>)</w:t>
      </w:r>
      <w:r w:rsidRPr="00240FAB">
        <w:t xml:space="preserve"> 4(7), p.e0003292. doi:</w:t>
      </w:r>
      <w:r>
        <w:t xml:space="preserve"> </w:t>
      </w:r>
      <w:hyperlink r:id="rId40" w:history="1">
        <w:r w:rsidRPr="009E7B01">
          <w:rPr>
            <w:rStyle w:val="Hyperlink"/>
          </w:rPr>
          <w:t>https://doi.org/10.1371/journal.pgph.0003292</w:t>
        </w:r>
      </w:hyperlink>
      <w:r>
        <w:t xml:space="preserve"> </w:t>
      </w:r>
    </w:p>
    <w:p w14:paraId="6A48D776" w14:textId="4E7C63BB" w:rsidR="0016368E" w:rsidRDefault="00B81C82" w:rsidP="00F718EA">
      <w:pPr>
        <w:pStyle w:val="ListParagraph"/>
        <w:numPr>
          <w:ilvl w:val="0"/>
          <w:numId w:val="8"/>
        </w:numPr>
        <w:spacing w:after="160" w:line="360" w:lineRule="auto"/>
        <w:jc w:val="both"/>
      </w:pPr>
      <w:r>
        <w:t>Thirlwall Public Inquiry</w:t>
      </w:r>
      <w:r w:rsidR="00F718EA">
        <w:t>.</w:t>
      </w:r>
      <w:r>
        <w:t xml:space="preserve"> (2023)</w:t>
      </w:r>
      <w:r w:rsidR="00F718EA">
        <w:t xml:space="preserve"> ‘</w:t>
      </w:r>
      <w:r>
        <w:t>Terms of Reference</w:t>
      </w:r>
      <w:r w:rsidR="00F718EA">
        <w:t>’</w:t>
      </w:r>
      <w:r>
        <w:t xml:space="preserve">. Available at: </w:t>
      </w:r>
      <w:hyperlink r:id="rId41" w:history="1">
        <w:r w:rsidR="0016368E" w:rsidRPr="00F718EA">
          <w:rPr>
            <w:color w:val="0563C1"/>
            <w:u w:val="single"/>
          </w:rPr>
          <w:t>https://thirlwall.public-inquiry.uk/about/terms-of-reference/</w:t>
        </w:r>
      </w:hyperlink>
      <w:r>
        <w:t xml:space="preserve"> (Accessed: 1 March 2026).</w:t>
      </w:r>
    </w:p>
    <w:p w14:paraId="3ACD85A8" w14:textId="08BB844D" w:rsidR="0016368E" w:rsidRDefault="00B81C82" w:rsidP="00F718EA">
      <w:pPr>
        <w:pStyle w:val="ListParagraph"/>
        <w:numPr>
          <w:ilvl w:val="0"/>
          <w:numId w:val="8"/>
        </w:numPr>
        <w:spacing w:after="160" w:line="360" w:lineRule="auto"/>
        <w:jc w:val="both"/>
      </w:pPr>
      <w:r>
        <w:t>World Health Organi</w:t>
      </w:r>
      <w:r w:rsidR="00F718EA">
        <w:t>s</w:t>
      </w:r>
      <w:r>
        <w:t>ation (WHO)</w:t>
      </w:r>
      <w:r w:rsidR="00F718EA">
        <w:t>.</w:t>
      </w:r>
      <w:r>
        <w:t xml:space="preserve"> (2006) </w:t>
      </w:r>
      <w:r w:rsidR="00F718EA">
        <w:t>‘</w:t>
      </w:r>
      <w:hyperlink r:id="rId42" w:history="1">
        <w:r w:rsidR="0016368E" w:rsidRPr="00F718EA">
          <w:rPr>
            <w:color w:val="0563C1"/>
            <w:u w:val="single"/>
          </w:rPr>
          <w:t>Quality of Care: A Process for Making Strategic Choices in Health Systems</w:t>
        </w:r>
      </w:hyperlink>
      <w:r w:rsidR="00F718EA">
        <w:t>’</w:t>
      </w:r>
      <w:r>
        <w:t>. Geneva: WHO. (Accessed: 5 March 2026).</w:t>
      </w:r>
    </w:p>
    <w:p w14:paraId="671A11FA" w14:textId="77777777" w:rsidR="00492B3F" w:rsidRDefault="00492B3F" w:rsidP="00492B3F">
      <w:pPr>
        <w:pStyle w:val="ListParagraph"/>
        <w:spacing w:after="160" w:line="360" w:lineRule="auto"/>
        <w:ind w:left="720"/>
        <w:jc w:val="both"/>
      </w:pPr>
    </w:p>
    <w:p w14:paraId="5B33CA4C" w14:textId="77777777" w:rsidR="00492B3F" w:rsidRDefault="00492B3F" w:rsidP="00492B3F">
      <w:pPr>
        <w:pStyle w:val="ListParagraph"/>
        <w:spacing w:after="160" w:line="360" w:lineRule="auto"/>
        <w:ind w:left="720"/>
        <w:jc w:val="both"/>
      </w:pPr>
    </w:p>
    <w:sectPr w:rsidR="00492B3F">
      <w:footerReference w:type="default" r:id="rId43"/>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15140E" w14:textId="77777777" w:rsidR="00214CCD" w:rsidRDefault="00214CCD" w:rsidP="007350D5">
      <w:r>
        <w:separator/>
      </w:r>
    </w:p>
  </w:endnote>
  <w:endnote w:type="continuationSeparator" w:id="0">
    <w:p w14:paraId="4DB7F2CA" w14:textId="77777777" w:rsidR="00214CCD" w:rsidRDefault="00214CCD" w:rsidP="007350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3453256"/>
      <w:docPartObj>
        <w:docPartGallery w:val="Page Numbers (Bottom of Page)"/>
        <w:docPartUnique/>
      </w:docPartObj>
    </w:sdtPr>
    <w:sdtEndPr>
      <w:rPr>
        <w:noProof/>
      </w:rPr>
    </w:sdtEndPr>
    <w:sdtContent>
      <w:p w14:paraId="6611095B" w14:textId="0F9576C6" w:rsidR="007350D5" w:rsidRDefault="007350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6D2D7A" w14:textId="77777777" w:rsidR="007350D5" w:rsidRDefault="007350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476B31" w14:textId="77777777" w:rsidR="00214CCD" w:rsidRDefault="00214CCD" w:rsidP="007350D5">
      <w:r>
        <w:separator/>
      </w:r>
    </w:p>
  </w:footnote>
  <w:footnote w:type="continuationSeparator" w:id="0">
    <w:p w14:paraId="683ADC1A" w14:textId="77777777" w:rsidR="00214CCD" w:rsidRDefault="00214CCD" w:rsidP="007350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DA4C46"/>
    <w:multiLevelType w:val="hybridMultilevel"/>
    <w:tmpl w:val="AC909FB6"/>
    <w:lvl w:ilvl="0" w:tplc="ADCE3A8C">
      <w:start w:val="1"/>
      <w:numFmt w:val="bullet"/>
      <w:lvlText w:val="•"/>
      <w:lvlJc w:val="left"/>
      <w:pPr>
        <w:ind w:left="720" w:hanging="360"/>
      </w:pPr>
    </w:lvl>
    <w:lvl w:ilvl="1" w:tplc="93909FD8">
      <w:numFmt w:val="decimal"/>
      <w:lvlText w:val=""/>
      <w:lvlJc w:val="left"/>
    </w:lvl>
    <w:lvl w:ilvl="2" w:tplc="C3BA71D8">
      <w:numFmt w:val="decimal"/>
      <w:lvlText w:val=""/>
      <w:lvlJc w:val="left"/>
    </w:lvl>
    <w:lvl w:ilvl="3" w:tplc="F31AE5EC">
      <w:numFmt w:val="decimal"/>
      <w:lvlText w:val=""/>
      <w:lvlJc w:val="left"/>
    </w:lvl>
    <w:lvl w:ilvl="4" w:tplc="15082E34">
      <w:numFmt w:val="decimal"/>
      <w:lvlText w:val=""/>
      <w:lvlJc w:val="left"/>
    </w:lvl>
    <w:lvl w:ilvl="5" w:tplc="0068EC7C">
      <w:numFmt w:val="decimal"/>
      <w:lvlText w:val=""/>
      <w:lvlJc w:val="left"/>
    </w:lvl>
    <w:lvl w:ilvl="6" w:tplc="ECE6DC60">
      <w:numFmt w:val="decimal"/>
      <w:lvlText w:val=""/>
      <w:lvlJc w:val="left"/>
    </w:lvl>
    <w:lvl w:ilvl="7" w:tplc="D9623D0C">
      <w:numFmt w:val="decimal"/>
      <w:lvlText w:val=""/>
      <w:lvlJc w:val="left"/>
    </w:lvl>
    <w:lvl w:ilvl="8" w:tplc="7A4ADEF6">
      <w:numFmt w:val="decimal"/>
      <w:lvlText w:val=""/>
      <w:lvlJc w:val="left"/>
    </w:lvl>
  </w:abstractNum>
  <w:abstractNum w:abstractNumId="1" w15:restartNumberingAfterBreak="0">
    <w:nsid w:val="1DF213BD"/>
    <w:multiLevelType w:val="hybridMultilevel"/>
    <w:tmpl w:val="2C8444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A12AE4"/>
    <w:multiLevelType w:val="hybridMultilevel"/>
    <w:tmpl w:val="22F0C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386171"/>
    <w:multiLevelType w:val="hybridMultilevel"/>
    <w:tmpl w:val="DB306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B62228A"/>
    <w:multiLevelType w:val="hybridMultilevel"/>
    <w:tmpl w:val="EF7E7F4A"/>
    <w:lvl w:ilvl="0" w:tplc="98C2B742">
      <w:start w:val="1"/>
      <w:numFmt w:val="bullet"/>
      <w:lvlText w:val="●"/>
      <w:lvlJc w:val="left"/>
      <w:pPr>
        <w:ind w:left="720" w:hanging="360"/>
      </w:pPr>
    </w:lvl>
    <w:lvl w:ilvl="1" w:tplc="14AC5D74">
      <w:start w:val="1"/>
      <w:numFmt w:val="bullet"/>
      <w:lvlText w:val="○"/>
      <w:lvlJc w:val="left"/>
      <w:pPr>
        <w:ind w:left="1440" w:hanging="360"/>
      </w:pPr>
    </w:lvl>
    <w:lvl w:ilvl="2" w:tplc="AE9048F8">
      <w:start w:val="1"/>
      <w:numFmt w:val="bullet"/>
      <w:lvlText w:val="■"/>
      <w:lvlJc w:val="left"/>
      <w:pPr>
        <w:ind w:left="2160" w:hanging="360"/>
      </w:pPr>
    </w:lvl>
    <w:lvl w:ilvl="3" w:tplc="B2C6C29C">
      <w:start w:val="1"/>
      <w:numFmt w:val="bullet"/>
      <w:lvlText w:val="●"/>
      <w:lvlJc w:val="left"/>
      <w:pPr>
        <w:ind w:left="2880" w:hanging="360"/>
      </w:pPr>
    </w:lvl>
    <w:lvl w:ilvl="4" w:tplc="6DA4A388">
      <w:start w:val="1"/>
      <w:numFmt w:val="bullet"/>
      <w:lvlText w:val="○"/>
      <w:lvlJc w:val="left"/>
      <w:pPr>
        <w:ind w:left="3600" w:hanging="360"/>
      </w:pPr>
    </w:lvl>
    <w:lvl w:ilvl="5" w:tplc="41663C16">
      <w:start w:val="1"/>
      <w:numFmt w:val="bullet"/>
      <w:lvlText w:val="■"/>
      <w:lvlJc w:val="left"/>
      <w:pPr>
        <w:ind w:left="4320" w:hanging="360"/>
      </w:pPr>
    </w:lvl>
    <w:lvl w:ilvl="6" w:tplc="6D5869DA">
      <w:start w:val="1"/>
      <w:numFmt w:val="bullet"/>
      <w:lvlText w:val="●"/>
      <w:lvlJc w:val="left"/>
      <w:pPr>
        <w:ind w:left="5040" w:hanging="360"/>
      </w:pPr>
    </w:lvl>
    <w:lvl w:ilvl="7" w:tplc="517089FA">
      <w:start w:val="1"/>
      <w:numFmt w:val="bullet"/>
      <w:lvlText w:val="●"/>
      <w:lvlJc w:val="left"/>
      <w:pPr>
        <w:ind w:left="5760" w:hanging="360"/>
      </w:pPr>
    </w:lvl>
    <w:lvl w:ilvl="8" w:tplc="B01EF8D4">
      <w:start w:val="1"/>
      <w:numFmt w:val="bullet"/>
      <w:lvlText w:val="●"/>
      <w:lvlJc w:val="left"/>
      <w:pPr>
        <w:ind w:left="6480" w:hanging="360"/>
      </w:pPr>
    </w:lvl>
  </w:abstractNum>
  <w:abstractNum w:abstractNumId="5" w15:restartNumberingAfterBreak="0">
    <w:nsid w:val="50CB5436"/>
    <w:multiLevelType w:val="hybridMultilevel"/>
    <w:tmpl w:val="1E5868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9EF3EF7"/>
    <w:multiLevelType w:val="hybridMultilevel"/>
    <w:tmpl w:val="B7BC16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A70175A"/>
    <w:multiLevelType w:val="hybridMultilevel"/>
    <w:tmpl w:val="F90E1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93283547">
    <w:abstractNumId w:val="4"/>
    <w:lvlOverride w:ilvl="0">
      <w:startOverride w:val="1"/>
    </w:lvlOverride>
  </w:num>
  <w:num w:numId="2" w16cid:durableId="925459964">
    <w:abstractNumId w:val="0"/>
    <w:lvlOverride w:ilvl="0">
      <w:startOverride w:val="1"/>
    </w:lvlOverride>
  </w:num>
  <w:num w:numId="3" w16cid:durableId="263537456">
    <w:abstractNumId w:val="5"/>
  </w:num>
  <w:num w:numId="4" w16cid:durableId="24600166">
    <w:abstractNumId w:val="3"/>
  </w:num>
  <w:num w:numId="5" w16cid:durableId="1802069938">
    <w:abstractNumId w:val="7"/>
  </w:num>
  <w:num w:numId="6" w16cid:durableId="605231422">
    <w:abstractNumId w:val="1"/>
  </w:num>
  <w:num w:numId="7" w16cid:durableId="890920962">
    <w:abstractNumId w:val="6"/>
  </w:num>
  <w:num w:numId="8" w16cid:durableId="5772474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368E"/>
    <w:rsid w:val="000302B7"/>
    <w:rsid w:val="00033FA8"/>
    <w:rsid w:val="00055917"/>
    <w:rsid w:val="000E62B7"/>
    <w:rsid w:val="0016368E"/>
    <w:rsid w:val="00176367"/>
    <w:rsid w:val="001E0FF6"/>
    <w:rsid w:val="00207835"/>
    <w:rsid w:val="00214CCD"/>
    <w:rsid w:val="00220497"/>
    <w:rsid w:val="00220DA6"/>
    <w:rsid w:val="00240FAB"/>
    <w:rsid w:val="0025060B"/>
    <w:rsid w:val="00314DD7"/>
    <w:rsid w:val="00356BD0"/>
    <w:rsid w:val="0037412D"/>
    <w:rsid w:val="003E247B"/>
    <w:rsid w:val="00403CE5"/>
    <w:rsid w:val="00492B3F"/>
    <w:rsid w:val="004B6179"/>
    <w:rsid w:val="004C5239"/>
    <w:rsid w:val="004C6794"/>
    <w:rsid w:val="004F0204"/>
    <w:rsid w:val="004F2F59"/>
    <w:rsid w:val="00507E3E"/>
    <w:rsid w:val="00547119"/>
    <w:rsid w:val="005F15C7"/>
    <w:rsid w:val="006308C4"/>
    <w:rsid w:val="00665415"/>
    <w:rsid w:val="00701D8E"/>
    <w:rsid w:val="0071701A"/>
    <w:rsid w:val="007350D5"/>
    <w:rsid w:val="00745079"/>
    <w:rsid w:val="00790B96"/>
    <w:rsid w:val="007C2507"/>
    <w:rsid w:val="007F6E0B"/>
    <w:rsid w:val="00815411"/>
    <w:rsid w:val="00817848"/>
    <w:rsid w:val="00877A98"/>
    <w:rsid w:val="009209E4"/>
    <w:rsid w:val="00922229"/>
    <w:rsid w:val="00941E9E"/>
    <w:rsid w:val="00942221"/>
    <w:rsid w:val="00953DB8"/>
    <w:rsid w:val="00954749"/>
    <w:rsid w:val="00967FED"/>
    <w:rsid w:val="009B79A7"/>
    <w:rsid w:val="009E6DEC"/>
    <w:rsid w:val="00A67F59"/>
    <w:rsid w:val="00A8757A"/>
    <w:rsid w:val="00B03E7E"/>
    <w:rsid w:val="00B23079"/>
    <w:rsid w:val="00B2391A"/>
    <w:rsid w:val="00B40670"/>
    <w:rsid w:val="00B430CE"/>
    <w:rsid w:val="00B47458"/>
    <w:rsid w:val="00B50BFE"/>
    <w:rsid w:val="00B54C5B"/>
    <w:rsid w:val="00B56EA2"/>
    <w:rsid w:val="00B81C82"/>
    <w:rsid w:val="00B95750"/>
    <w:rsid w:val="00BC18D5"/>
    <w:rsid w:val="00C010F4"/>
    <w:rsid w:val="00C10A28"/>
    <w:rsid w:val="00C22867"/>
    <w:rsid w:val="00C22C2A"/>
    <w:rsid w:val="00C72E50"/>
    <w:rsid w:val="00CD42F0"/>
    <w:rsid w:val="00D106B6"/>
    <w:rsid w:val="00D56E4E"/>
    <w:rsid w:val="00D91F2E"/>
    <w:rsid w:val="00D97000"/>
    <w:rsid w:val="00DC0901"/>
    <w:rsid w:val="00DD04F9"/>
    <w:rsid w:val="00E319F6"/>
    <w:rsid w:val="00E767EF"/>
    <w:rsid w:val="00ED15C3"/>
    <w:rsid w:val="00F27088"/>
    <w:rsid w:val="00F718EA"/>
    <w:rsid w:val="00F97366"/>
    <w:rsid w:val="00FD0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49109"/>
  <w15:docId w15:val="{65355122-5D74-485D-BC92-1B0C05459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1F3864"/>
      <w:sz w:val="32"/>
      <w:szCs w:val="32"/>
    </w:rPr>
  </w:style>
  <w:style w:type="paragraph" w:styleId="Heading2">
    <w:name w:val="heading 2"/>
    <w:uiPriority w:val="9"/>
    <w:unhideWhenUsed/>
    <w:qFormat/>
    <w:pPr>
      <w:spacing w:before="240" w:after="120"/>
      <w:outlineLvl w:val="1"/>
    </w:pPr>
    <w:rPr>
      <w:b/>
      <w:bCs/>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Heading">
    <w:name w:val="TOC Heading"/>
    <w:basedOn w:val="Heading1"/>
    <w:next w:val="Normal"/>
    <w:uiPriority w:val="39"/>
    <w:unhideWhenUsed/>
    <w:qFormat/>
    <w:rsid w:val="009209E4"/>
    <w:pPr>
      <w:keepNext/>
      <w:keepLines/>
      <w:spacing w:before="240" w:after="0" w:line="259" w:lineRule="auto"/>
      <w:outlineLvl w:val="9"/>
    </w:pPr>
    <w:rPr>
      <w:rFonts w:asciiTheme="majorHAnsi" w:eastAsiaTheme="majorEastAsia" w:hAnsiTheme="majorHAnsi" w:cstheme="majorBidi"/>
      <w:b w:val="0"/>
      <w:bCs w:val="0"/>
      <w:color w:val="2F5496" w:themeColor="accent1" w:themeShade="BF"/>
    </w:rPr>
  </w:style>
  <w:style w:type="paragraph" w:styleId="TOC1">
    <w:name w:val="toc 1"/>
    <w:basedOn w:val="Normal"/>
    <w:next w:val="Normal"/>
    <w:autoRedefine/>
    <w:uiPriority w:val="39"/>
    <w:unhideWhenUsed/>
    <w:rsid w:val="009209E4"/>
    <w:pPr>
      <w:spacing w:after="100"/>
    </w:pPr>
  </w:style>
  <w:style w:type="paragraph" w:styleId="TOC2">
    <w:name w:val="toc 2"/>
    <w:basedOn w:val="Normal"/>
    <w:next w:val="Normal"/>
    <w:autoRedefine/>
    <w:uiPriority w:val="39"/>
    <w:unhideWhenUsed/>
    <w:rsid w:val="009209E4"/>
    <w:pPr>
      <w:spacing w:after="100"/>
      <w:ind w:left="240"/>
    </w:pPr>
  </w:style>
  <w:style w:type="character" w:styleId="UnresolvedMention">
    <w:name w:val="Unresolved Mention"/>
    <w:basedOn w:val="DefaultParagraphFont"/>
    <w:uiPriority w:val="99"/>
    <w:semiHidden/>
    <w:unhideWhenUsed/>
    <w:rsid w:val="00BC18D5"/>
    <w:rPr>
      <w:color w:val="605E5C"/>
      <w:shd w:val="clear" w:color="auto" w:fill="E1DFDD"/>
    </w:rPr>
  </w:style>
  <w:style w:type="paragraph" w:styleId="Header">
    <w:name w:val="header"/>
    <w:basedOn w:val="Normal"/>
    <w:link w:val="HeaderChar"/>
    <w:uiPriority w:val="99"/>
    <w:unhideWhenUsed/>
    <w:rsid w:val="007350D5"/>
    <w:pPr>
      <w:tabs>
        <w:tab w:val="center" w:pos="4680"/>
        <w:tab w:val="right" w:pos="9360"/>
      </w:tabs>
    </w:pPr>
  </w:style>
  <w:style w:type="character" w:customStyle="1" w:styleId="HeaderChar">
    <w:name w:val="Header Char"/>
    <w:basedOn w:val="DefaultParagraphFont"/>
    <w:link w:val="Header"/>
    <w:uiPriority w:val="99"/>
    <w:rsid w:val="007350D5"/>
  </w:style>
  <w:style w:type="paragraph" w:styleId="Footer">
    <w:name w:val="footer"/>
    <w:basedOn w:val="Normal"/>
    <w:link w:val="FooterChar"/>
    <w:uiPriority w:val="99"/>
    <w:unhideWhenUsed/>
    <w:rsid w:val="007350D5"/>
    <w:pPr>
      <w:tabs>
        <w:tab w:val="center" w:pos="4680"/>
        <w:tab w:val="right" w:pos="9360"/>
      </w:tabs>
    </w:pPr>
  </w:style>
  <w:style w:type="character" w:customStyle="1" w:styleId="FooterChar">
    <w:name w:val="Footer Char"/>
    <w:basedOn w:val="DefaultParagraphFont"/>
    <w:link w:val="Footer"/>
    <w:uiPriority w:val="99"/>
    <w:rsid w:val="007350D5"/>
  </w:style>
  <w:style w:type="paragraph" w:styleId="Caption">
    <w:name w:val="caption"/>
    <w:basedOn w:val="Normal"/>
    <w:next w:val="Normal"/>
    <w:uiPriority w:val="35"/>
    <w:unhideWhenUsed/>
    <w:qFormat/>
    <w:rsid w:val="00DD04F9"/>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77/014920639902500303" TargetMode="External"/><Relationship Id="rId18" Type="http://schemas.openxmlformats.org/officeDocument/2006/relationships/hyperlink" Target="https://www.cqc.org.uk/provider/RJR" TargetMode="External"/><Relationship Id="rId26" Type="http://schemas.openxmlformats.org/officeDocument/2006/relationships/hyperlink" Target="https://doi.org/10.1108/17554251011064837" TargetMode="External"/><Relationship Id="rId39" Type="http://schemas.openxmlformats.org/officeDocument/2006/relationships/hyperlink" Target="https://www.rcn.org.uk/professional-development/publications/rcn-staffing-levels-evidence-review-uk-pub-009-253" TargetMode="External"/><Relationship Id="rId21" Type="http://schemas.openxmlformats.org/officeDocument/2006/relationships/hyperlink" Target="https://www.gov.uk/government/publications/high-quality-care-for-all-nhs-next-stage-review-final-report" TargetMode="External"/><Relationship Id="rId34" Type="http://schemas.openxmlformats.org/officeDocument/2006/relationships/hyperlink" Target="https://doi.org/10.3390/admsci12040135" TargetMode="External"/><Relationship Id="rId42" Type="http://schemas.openxmlformats.org/officeDocument/2006/relationships/hyperlink" Target="https://iris.who.int/handle/10665/4347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apm.org/resources/80-optimal-arrangements-for-neonatal-intensive-care-units-in-the-uk-2001" TargetMode="External"/><Relationship Id="rId29" Type="http://schemas.openxmlformats.org/officeDocument/2006/relationships/hyperlink" Target="https://www.gov.uk/government/publications/kark-review-of-the-fit-and-proper-persons-tes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s2666-7568(24)00008-4" TargetMode="External"/><Relationship Id="rId24" Type="http://schemas.openxmlformats.org/officeDocument/2006/relationships/hyperlink" Target="https://doi.org/10.54327/set2025/v5.i1.157" TargetMode="External"/><Relationship Id="rId32" Type="http://schemas.openxmlformats.org/officeDocument/2006/relationships/hyperlink" Target="https://doi.org/10.1136/qhc.13.suppl_1.i85" TargetMode="External"/><Relationship Id="rId37" Type="http://schemas.openxmlformats.org/officeDocument/2006/relationships/hyperlink" Target="https://www.england.nhs.uk/patient-safety/incident-response-framework/" TargetMode="External"/><Relationship Id="rId40" Type="http://schemas.openxmlformats.org/officeDocument/2006/relationships/hyperlink" Target="https://doi.org/10.1371/journal.pgph.0003292"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90/ijerph20043374" TargetMode="External"/><Relationship Id="rId23" Type="http://schemas.openxmlformats.org/officeDocument/2006/relationships/hyperlink" Target="https://doi.org/10.2307/2666999" TargetMode="External"/><Relationship Id="rId28" Type="http://schemas.openxmlformats.org/officeDocument/2006/relationships/hyperlink" Target="https://doi.org/10.3390/medicina62020305" TargetMode="External"/><Relationship Id="rId36" Type="http://schemas.openxmlformats.org/officeDocument/2006/relationships/hyperlink" Target="https://www.england.nhs.uk/patient-safety/the-nhs-patient-safety-strategy/" TargetMode="External"/><Relationship Id="rId10" Type="http://schemas.openxmlformats.org/officeDocument/2006/relationships/image" Target="media/image3.png"/><Relationship Id="rId19" Type="http://schemas.openxmlformats.org/officeDocument/2006/relationships/hyperlink" Target="https://papers.ssrn.com/sol3/papers.cfm?abstract_id=5044428" TargetMode="External"/><Relationship Id="rId31" Type="http://schemas.openxmlformats.org/officeDocument/2006/relationships/hyperlink" Target="https://www.npeu.ox.ac.uk/mbrrace-uk/reports"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doi.org/10.1056/NEJMp1605101" TargetMode="External"/><Relationship Id="rId22" Type="http://schemas.openxmlformats.org/officeDocument/2006/relationships/hyperlink" Target="https://doi.org/10.1001/jama.260.12.1743" TargetMode="External"/><Relationship Id="rId27" Type="http://schemas.openxmlformats.org/officeDocument/2006/relationships/hyperlink" Target="https://doi.org/10.1136/bmjopen-2024-085312" TargetMode="External"/><Relationship Id="rId30" Type="http://schemas.openxmlformats.org/officeDocument/2006/relationships/hyperlink" Target="https://doi.org/10.1177/001872679504800703" TargetMode="External"/><Relationship Id="rId35" Type="http://schemas.openxmlformats.org/officeDocument/2006/relationships/hyperlink" Target="https://doi.org/10.1161/circoutcomes.123.010491"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108/17511870710829355" TargetMode="External"/><Relationship Id="rId17" Type="http://schemas.openxmlformats.org/officeDocument/2006/relationships/hyperlink" Target="https://www.cqc.org.uk/guidance-providers/regulations/regulation-20-duty-candour" TargetMode="External"/><Relationship Id="rId25" Type="http://schemas.openxmlformats.org/officeDocument/2006/relationships/hyperlink" Target="https://hansard.parliament.uk/commons/2023-09-04/debates/B18741EB-DC54-40D6-98B8-76FB066FFB26/CountessOfChesterHospitalInquiry" TargetMode="External"/><Relationship Id="rId33" Type="http://schemas.openxmlformats.org/officeDocument/2006/relationships/hyperlink" Target="https://doi.org/10.15171/ijhpm.2015.120" TargetMode="External"/><Relationship Id="rId38" Type="http://schemas.openxmlformats.org/officeDocument/2006/relationships/hyperlink" Target="https://doi.org/10.1057/s41599-024-03443-1" TargetMode="External"/><Relationship Id="rId20" Type="http://schemas.openxmlformats.org/officeDocument/2006/relationships/hyperlink" Target="https://doi.org/10.1016/j.clp.2023.02.002" TargetMode="External"/><Relationship Id="rId41" Type="http://schemas.openxmlformats.org/officeDocument/2006/relationships/hyperlink" Target="https://thirlwall.public-inquiry.uk/about/terms-of-refer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2907B1-F227-49EA-8AA3-9D09273C36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18</Pages>
  <Words>4561</Words>
  <Characters>25999</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Ashlene Barnes</cp:lastModifiedBy>
  <cp:revision>17</cp:revision>
  <dcterms:created xsi:type="dcterms:W3CDTF">2026-04-08T00:57:00Z</dcterms:created>
  <dcterms:modified xsi:type="dcterms:W3CDTF">2026-04-09T11:40:00Z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32d39919-c857-4b33-ad7f-d0085b7e86c3</vt:lpwstr>
  </property>
</Properties>
</file>