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6537FD" w14:textId="77777777" w:rsidR="00FC3FC2" w:rsidRPr="00D71AC2" w:rsidRDefault="00FC3FC2" w:rsidP="00D71AC2">
      <w:pPr>
        <w:spacing w:line="360" w:lineRule="auto"/>
        <w:jc w:val="center"/>
        <w:rPr>
          <w:rFonts w:eastAsiaTheme="minorEastAsia"/>
          <w:color w:val="000000"/>
          <w:sz w:val="40"/>
          <w:szCs w:val="40"/>
          <w:bdr w:val="none" w:sz="0" w:space="0" w:color="auto" w:frame="1"/>
        </w:rPr>
      </w:pPr>
      <w:r w:rsidRPr="00D71AC2">
        <w:rPr>
          <w:rFonts w:eastAsiaTheme="minorEastAsia"/>
          <w:b/>
          <w:bCs/>
          <w:color w:val="000000"/>
          <w:sz w:val="40"/>
          <w:szCs w:val="40"/>
          <w:bdr w:val="none" w:sz="0" w:space="0" w:color="auto" w:frame="1"/>
        </w:rPr>
        <w:t>Jade Sanders</w:t>
      </w:r>
    </w:p>
    <w:p w14:paraId="7121A220" w14:textId="77777777" w:rsidR="00FC3FC2" w:rsidRPr="00D71AC2" w:rsidRDefault="00FC3FC2" w:rsidP="00D71AC2">
      <w:pPr>
        <w:spacing w:line="360" w:lineRule="auto"/>
        <w:jc w:val="center"/>
        <w:rPr>
          <w:rFonts w:eastAsiaTheme="minorEastAsia"/>
          <w:color w:val="000000"/>
          <w:sz w:val="40"/>
          <w:szCs w:val="40"/>
          <w:bdr w:val="none" w:sz="0" w:space="0" w:color="auto" w:frame="1"/>
        </w:rPr>
      </w:pPr>
      <w:r w:rsidRPr="00D71AC2">
        <w:rPr>
          <w:rFonts w:eastAsiaTheme="minorEastAsia"/>
          <w:b/>
          <w:bCs/>
          <w:color w:val="000000"/>
          <w:sz w:val="40"/>
          <w:szCs w:val="40"/>
          <w:bdr w:val="none" w:sz="0" w:space="0" w:color="auto" w:frame="1"/>
        </w:rPr>
        <w:t>BSc Health and Social Care Swansea</w:t>
      </w:r>
    </w:p>
    <w:p w14:paraId="32558ED3" w14:textId="4C5B5594" w:rsidR="00FC3FC2" w:rsidRPr="00D71AC2" w:rsidRDefault="00FC3FC2" w:rsidP="00D71AC2">
      <w:pPr>
        <w:spacing w:line="360" w:lineRule="auto"/>
        <w:jc w:val="center"/>
        <w:rPr>
          <w:rFonts w:eastAsiaTheme="minorEastAsia"/>
          <w:color w:val="000000"/>
          <w:sz w:val="40"/>
          <w:szCs w:val="40"/>
          <w:bdr w:val="none" w:sz="0" w:space="0" w:color="auto" w:frame="1"/>
        </w:rPr>
      </w:pPr>
      <w:r w:rsidRPr="00D71AC2">
        <w:rPr>
          <w:rFonts w:eastAsiaTheme="minorEastAsia"/>
          <w:b/>
          <w:bCs/>
          <w:color w:val="000000"/>
          <w:sz w:val="40"/>
          <w:szCs w:val="40"/>
          <w:bdr w:val="none" w:sz="0" w:space="0" w:color="auto" w:frame="1"/>
        </w:rPr>
        <w:t>Introduction to Physiology</w:t>
      </w:r>
    </w:p>
    <w:p w14:paraId="17550F65" w14:textId="77777777" w:rsidR="00FC3FC2" w:rsidRPr="00D71AC2" w:rsidRDefault="00FC3FC2" w:rsidP="00D71AC2">
      <w:pPr>
        <w:spacing w:line="360" w:lineRule="auto"/>
        <w:jc w:val="center"/>
        <w:rPr>
          <w:rFonts w:eastAsiaTheme="minorEastAsia"/>
          <w:color w:val="000000"/>
          <w:sz w:val="40"/>
          <w:szCs w:val="40"/>
          <w:bdr w:val="none" w:sz="0" w:space="0" w:color="auto" w:frame="1"/>
        </w:rPr>
      </w:pPr>
      <w:r w:rsidRPr="00D71AC2">
        <w:rPr>
          <w:rFonts w:eastAsiaTheme="minorEastAsia"/>
          <w:b/>
          <w:bCs/>
          <w:color w:val="000000"/>
          <w:sz w:val="40"/>
          <w:szCs w:val="40"/>
          <w:bdr w:val="none" w:sz="0" w:space="0" w:color="auto" w:frame="1"/>
        </w:rPr>
        <w:t>Jade Sanders</w:t>
      </w:r>
    </w:p>
    <w:p w14:paraId="353C47E5" w14:textId="77777777" w:rsidR="00FC3FC2" w:rsidRPr="00D71AC2" w:rsidRDefault="00FC3FC2" w:rsidP="00D71AC2">
      <w:pPr>
        <w:spacing w:line="360" w:lineRule="auto"/>
        <w:jc w:val="center"/>
        <w:rPr>
          <w:rFonts w:eastAsiaTheme="minorEastAsia"/>
          <w:color w:val="000000"/>
          <w:sz w:val="40"/>
          <w:szCs w:val="40"/>
          <w:bdr w:val="none" w:sz="0" w:space="0" w:color="auto" w:frame="1"/>
        </w:rPr>
      </w:pPr>
      <w:r w:rsidRPr="00D71AC2">
        <w:rPr>
          <w:rFonts w:eastAsiaTheme="minorEastAsia"/>
          <w:b/>
          <w:bCs/>
          <w:color w:val="000000"/>
          <w:sz w:val="40"/>
          <w:szCs w:val="40"/>
          <w:bdr w:val="none" w:sz="0" w:space="0" w:color="auto" w:frame="1"/>
        </w:rPr>
        <w:t>BMHP5023</w:t>
      </w:r>
    </w:p>
    <w:p w14:paraId="649EEA7D" w14:textId="77777777" w:rsidR="00FC3FC2" w:rsidRPr="00D71AC2" w:rsidRDefault="00FC3FC2" w:rsidP="00D71AC2">
      <w:pPr>
        <w:spacing w:line="360" w:lineRule="auto"/>
        <w:jc w:val="center"/>
        <w:rPr>
          <w:rFonts w:eastAsiaTheme="minorEastAsia"/>
          <w:color w:val="000000"/>
          <w:sz w:val="40"/>
          <w:szCs w:val="40"/>
          <w:bdr w:val="none" w:sz="0" w:space="0" w:color="auto" w:frame="1"/>
        </w:rPr>
      </w:pPr>
      <w:r w:rsidRPr="00D71AC2">
        <w:rPr>
          <w:rFonts w:eastAsiaTheme="minorEastAsia"/>
          <w:b/>
          <w:bCs/>
          <w:color w:val="000000"/>
          <w:sz w:val="40"/>
          <w:szCs w:val="40"/>
          <w:bdr w:val="none" w:sz="0" w:space="0" w:color="auto" w:frame="1"/>
        </w:rPr>
        <w:t>2419579</w:t>
      </w:r>
    </w:p>
    <w:p w14:paraId="3F96B67F" w14:textId="497DEB49" w:rsidR="00FC3FC2" w:rsidRPr="00D71AC2" w:rsidRDefault="00FC3FC2" w:rsidP="00D71AC2">
      <w:pPr>
        <w:spacing w:line="360" w:lineRule="auto"/>
        <w:jc w:val="center"/>
        <w:rPr>
          <w:rFonts w:eastAsiaTheme="minorEastAsia"/>
          <w:color w:val="000000"/>
          <w:sz w:val="40"/>
          <w:szCs w:val="40"/>
          <w:bdr w:val="none" w:sz="0" w:space="0" w:color="auto" w:frame="1"/>
        </w:rPr>
      </w:pPr>
      <w:r w:rsidRPr="00D71AC2">
        <w:rPr>
          <w:rFonts w:eastAsiaTheme="minorEastAsia"/>
          <w:b/>
          <w:bCs/>
          <w:color w:val="000000"/>
          <w:sz w:val="40"/>
          <w:szCs w:val="40"/>
          <w:bdr w:val="none" w:sz="0" w:space="0" w:color="auto" w:frame="1"/>
        </w:rPr>
        <w:t>Case Study</w:t>
      </w:r>
      <w:r w:rsidR="00226B8A">
        <w:rPr>
          <w:rFonts w:eastAsiaTheme="minorEastAsia"/>
          <w:b/>
          <w:bCs/>
          <w:color w:val="000000"/>
          <w:sz w:val="40"/>
          <w:szCs w:val="40"/>
          <w:bdr w:val="none" w:sz="0" w:space="0" w:color="auto" w:frame="1"/>
        </w:rPr>
        <w:t xml:space="preserve"> Bob</w:t>
      </w:r>
    </w:p>
    <w:p w14:paraId="13E3EDFF"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b/>
          <w:bCs/>
          <w:color w:val="000000"/>
          <w:bdr w:val="none" w:sz="0" w:space="0" w:color="auto" w:frame="1"/>
        </w:rPr>
        <w:t> </w:t>
      </w:r>
    </w:p>
    <w:p w14:paraId="2A2E0A88" w14:textId="77777777" w:rsidR="00FC3FC2" w:rsidRDefault="00FC3FC2" w:rsidP="00C061EC">
      <w:pPr>
        <w:spacing w:line="360" w:lineRule="auto"/>
        <w:jc w:val="both"/>
        <w:rPr>
          <w:rFonts w:eastAsiaTheme="minorEastAsia"/>
          <w:b/>
          <w:bCs/>
          <w:color w:val="000000"/>
          <w:bdr w:val="none" w:sz="0" w:space="0" w:color="auto" w:frame="1"/>
        </w:rPr>
      </w:pPr>
      <w:r w:rsidRPr="00D71AC2">
        <w:rPr>
          <w:rFonts w:eastAsiaTheme="minorEastAsia"/>
          <w:b/>
          <w:bCs/>
          <w:color w:val="000000"/>
          <w:bdr w:val="none" w:sz="0" w:space="0" w:color="auto" w:frame="1"/>
        </w:rPr>
        <w:t> </w:t>
      </w:r>
    </w:p>
    <w:p w14:paraId="51147D02" w14:textId="77777777" w:rsidR="00D71AC2" w:rsidRDefault="00D71AC2" w:rsidP="00C061EC">
      <w:pPr>
        <w:spacing w:line="360" w:lineRule="auto"/>
        <w:jc w:val="both"/>
        <w:rPr>
          <w:rFonts w:eastAsiaTheme="minorEastAsia"/>
          <w:b/>
          <w:bCs/>
          <w:color w:val="000000"/>
          <w:bdr w:val="none" w:sz="0" w:space="0" w:color="auto" w:frame="1"/>
        </w:rPr>
      </w:pPr>
    </w:p>
    <w:p w14:paraId="6F203D04" w14:textId="77777777" w:rsidR="00D71AC2" w:rsidRDefault="00D71AC2" w:rsidP="00C061EC">
      <w:pPr>
        <w:spacing w:line="360" w:lineRule="auto"/>
        <w:jc w:val="both"/>
        <w:rPr>
          <w:rFonts w:eastAsiaTheme="minorEastAsia"/>
          <w:b/>
          <w:bCs/>
          <w:color w:val="000000"/>
          <w:bdr w:val="none" w:sz="0" w:space="0" w:color="auto" w:frame="1"/>
        </w:rPr>
      </w:pPr>
    </w:p>
    <w:p w14:paraId="0475F529" w14:textId="77777777" w:rsidR="00D71AC2" w:rsidRDefault="00D71AC2" w:rsidP="00C061EC">
      <w:pPr>
        <w:spacing w:line="360" w:lineRule="auto"/>
        <w:jc w:val="both"/>
        <w:rPr>
          <w:rFonts w:eastAsiaTheme="minorEastAsia"/>
          <w:b/>
          <w:bCs/>
          <w:color w:val="000000"/>
          <w:bdr w:val="none" w:sz="0" w:space="0" w:color="auto" w:frame="1"/>
        </w:rPr>
      </w:pPr>
    </w:p>
    <w:p w14:paraId="1F707874" w14:textId="77777777" w:rsidR="00D71AC2" w:rsidRDefault="00D71AC2" w:rsidP="00C061EC">
      <w:pPr>
        <w:spacing w:line="360" w:lineRule="auto"/>
        <w:jc w:val="both"/>
        <w:rPr>
          <w:rFonts w:eastAsiaTheme="minorEastAsia"/>
          <w:b/>
          <w:bCs/>
          <w:color w:val="000000"/>
          <w:bdr w:val="none" w:sz="0" w:space="0" w:color="auto" w:frame="1"/>
        </w:rPr>
      </w:pPr>
    </w:p>
    <w:p w14:paraId="2C80B349" w14:textId="77777777" w:rsidR="00D71AC2" w:rsidRDefault="00D71AC2" w:rsidP="00C061EC">
      <w:pPr>
        <w:spacing w:line="360" w:lineRule="auto"/>
        <w:jc w:val="both"/>
        <w:rPr>
          <w:rFonts w:eastAsiaTheme="minorEastAsia"/>
          <w:b/>
          <w:bCs/>
          <w:color w:val="000000"/>
          <w:bdr w:val="none" w:sz="0" w:space="0" w:color="auto" w:frame="1"/>
        </w:rPr>
      </w:pPr>
    </w:p>
    <w:p w14:paraId="7D02A72F" w14:textId="77777777" w:rsidR="00D71AC2" w:rsidRDefault="00D71AC2" w:rsidP="00C061EC">
      <w:pPr>
        <w:spacing w:line="360" w:lineRule="auto"/>
        <w:jc w:val="both"/>
        <w:rPr>
          <w:rFonts w:eastAsiaTheme="minorEastAsia"/>
          <w:b/>
          <w:bCs/>
          <w:color w:val="000000"/>
          <w:bdr w:val="none" w:sz="0" w:space="0" w:color="auto" w:frame="1"/>
        </w:rPr>
      </w:pPr>
    </w:p>
    <w:p w14:paraId="21BD63D2" w14:textId="77777777" w:rsidR="00D71AC2" w:rsidRDefault="00D71AC2" w:rsidP="00C061EC">
      <w:pPr>
        <w:spacing w:line="360" w:lineRule="auto"/>
        <w:jc w:val="both"/>
        <w:rPr>
          <w:rFonts w:eastAsiaTheme="minorEastAsia"/>
          <w:b/>
          <w:bCs/>
          <w:color w:val="000000"/>
          <w:bdr w:val="none" w:sz="0" w:space="0" w:color="auto" w:frame="1"/>
        </w:rPr>
      </w:pPr>
    </w:p>
    <w:p w14:paraId="35532B86" w14:textId="77777777" w:rsidR="00D71AC2" w:rsidRDefault="00D71AC2" w:rsidP="00C061EC">
      <w:pPr>
        <w:spacing w:line="360" w:lineRule="auto"/>
        <w:jc w:val="both"/>
        <w:rPr>
          <w:rFonts w:eastAsiaTheme="minorEastAsia"/>
          <w:b/>
          <w:bCs/>
          <w:color w:val="000000"/>
          <w:bdr w:val="none" w:sz="0" w:space="0" w:color="auto" w:frame="1"/>
        </w:rPr>
      </w:pPr>
    </w:p>
    <w:p w14:paraId="30BF5849" w14:textId="77777777" w:rsidR="00D71AC2" w:rsidRDefault="00D71AC2" w:rsidP="00C061EC">
      <w:pPr>
        <w:spacing w:line="360" w:lineRule="auto"/>
        <w:jc w:val="both"/>
        <w:rPr>
          <w:rFonts w:eastAsiaTheme="minorEastAsia"/>
          <w:b/>
          <w:bCs/>
          <w:color w:val="000000"/>
          <w:bdr w:val="none" w:sz="0" w:space="0" w:color="auto" w:frame="1"/>
        </w:rPr>
      </w:pPr>
    </w:p>
    <w:p w14:paraId="2CD81621" w14:textId="77777777" w:rsidR="00D71AC2" w:rsidRDefault="00D71AC2" w:rsidP="00C061EC">
      <w:pPr>
        <w:spacing w:line="360" w:lineRule="auto"/>
        <w:jc w:val="both"/>
        <w:rPr>
          <w:rFonts w:eastAsiaTheme="minorEastAsia"/>
          <w:b/>
          <w:bCs/>
          <w:color w:val="000000"/>
          <w:bdr w:val="none" w:sz="0" w:space="0" w:color="auto" w:frame="1"/>
        </w:rPr>
      </w:pPr>
    </w:p>
    <w:p w14:paraId="3BCC65C7" w14:textId="77777777" w:rsidR="00D71AC2" w:rsidRDefault="00D71AC2" w:rsidP="00C061EC">
      <w:pPr>
        <w:spacing w:line="360" w:lineRule="auto"/>
        <w:jc w:val="both"/>
        <w:rPr>
          <w:rFonts w:eastAsiaTheme="minorEastAsia"/>
          <w:b/>
          <w:bCs/>
          <w:color w:val="000000"/>
          <w:bdr w:val="none" w:sz="0" w:space="0" w:color="auto" w:frame="1"/>
        </w:rPr>
      </w:pPr>
    </w:p>
    <w:p w14:paraId="00835CEE" w14:textId="77777777" w:rsidR="00D71AC2" w:rsidRDefault="00D71AC2" w:rsidP="00C061EC">
      <w:pPr>
        <w:spacing w:line="360" w:lineRule="auto"/>
        <w:jc w:val="both"/>
        <w:rPr>
          <w:rFonts w:eastAsiaTheme="minorEastAsia"/>
          <w:b/>
          <w:bCs/>
          <w:color w:val="000000"/>
          <w:bdr w:val="none" w:sz="0" w:space="0" w:color="auto" w:frame="1"/>
        </w:rPr>
      </w:pPr>
    </w:p>
    <w:p w14:paraId="2E6F1B92" w14:textId="77777777" w:rsidR="00D71AC2" w:rsidRDefault="00D71AC2" w:rsidP="00C061EC">
      <w:pPr>
        <w:spacing w:line="360" w:lineRule="auto"/>
        <w:jc w:val="both"/>
        <w:rPr>
          <w:rFonts w:eastAsiaTheme="minorEastAsia"/>
          <w:b/>
          <w:bCs/>
          <w:color w:val="000000"/>
          <w:bdr w:val="none" w:sz="0" w:space="0" w:color="auto" w:frame="1"/>
        </w:rPr>
      </w:pPr>
    </w:p>
    <w:p w14:paraId="3DB34402" w14:textId="77777777" w:rsidR="00D71AC2" w:rsidRDefault="00D71AC2" w:rsidP="00C061EC">
      <w:pPr>
        <w:spacing w:line="360" w:lineRule="auto"/>
        <w:jc w:val="both"/>
        <w:rPr>
          <w:rFonts w:eastAsiaTheme="minorEastAsia"/>
          <w:b/>
          <w:bCs/>
          <w:color w:val="000000"/>
          <w:bdr w:val="none" w:sz="0" w:space="0" w:color="auto" w:frame="1"/>
        </w:rPr>
      </w:pPr>
    </w:p>
    <w:p w14:paraId="691A4300" w14:textId="77777777" w:rsidR="00D71AC2" w:rsidRDefault="00D71AC2" w:rsidP="00C061EC">
      <w:pPr>
        <w:spacing w:line="360" w:lineRule="auto"/>
        <w:jc w:val="both"/>
        <w:rPr>
          <w:rFonts w:eastAsiaTheme="minorEastAsia"/>
          <w:b/>
          <w:bCs/>
          <w:color w:val="000000"/>
          <w:bdr w:val="none" w:sz="0" w:space="0" w:color="auto" w:frame="1"/>
        </w:rPr>
      </w:pPr>
    </w:p>
    <w:p w14:paraId="420E8122" w14:textId="77777777" w:rsidR="00D71AC2" w:rsidRDefault="00D71AC2" w:rsidP="00C061EC">
      <w:pPr>
        <w:spacing w:line="360" w:lineRule="auto"/>
        <w:jc w:val="both"/>
        <w:rPr>
          <w:rFonts w:eastAsiaTheme="minorEastAsia"/>
          <w:b/>
          <w:bCs/>
          <w:color w:val="000000"/>
          <w:bdr w:val="none" w:sz="0" w:space="0" w:color="auto" w:frame="1"/>
        </w:rPr>
      </w:pPr>
    </w:p>
    <w:p w14:paraId="6BC9609C" w14:textId="77777777" w:rsidR="00D71AC2" w:rsidRDefault="00D71AC2" w:rsidP="00C061EC">
      <w:pPr>
        <w:spacing w:line="360" w:lineRule="auto"/>
        <w:jc w:val="both"/>
        <w:rPr>
          <w:rFonts w:eastAsiaTheme="minorEastAsia"/>
          <w:b/>
          <w:bCs/>
          <w:color w:val="000000"/>
          <w:bdr w:val="none" w:sz="0" w:space="0" w:color="auto" w:frame="1"/>
        </w:rPr>
      </w:pPr>
    </w:p>
    <w:p w14:paraId="47548925" w14:textId="77777777" w:rsidR="00D71AC2" w:rsidRDefault="00D71AC2" w:rsidP="00C061EC">
      <w:pPr>
        <w:spacing w:line="360" w:lineRule="auto"/>
        <w:jc w:val="both"/>
        <w:rPr>
          <w:rFonts w:eastAsiaTheme="minorEastAsia"/>
          <w:b/>
          <w:bCs/>
          <w:color w:val="000000"/>
          <w:bdr w:val="none" w:sz="0" w:space="0" w:color="auto" w:frame="1"/>
        </w:rPr>
      </w:pPr>
    </w:p>
    <w:p w14:paraId="4BDBCE41" w14:textId="77777777" w:rsidR="00D71AC2" w:rsidRDefault="00D71AC2" w:rsidP="00C061EC">
      <w:pPr>
        <w:spacing w:line="360" w:lineRule="auto"/>
        <w:jc w:val="both"/>
        <w:rPr>
          <w:rFonts w:eastAsiaTheme="minorEastAsia"/>
          <w:b/>
          <w:bCs/>
          <w:color w:val="000000"/>
          <w:bdr w:val="none" w:sz="0" w:space="0" w:color="auto" w:frame="1"/>
        </w:rPr>
      </w:pPr>
    </w:p>
    <w:p w14:paraId="53488541" w14:textId="77777777" w:rsidR="00D71AC2" w:rsidRDefault="00D71AC2" w:rsidP="00C061EC">
      <w:pPr>
        <w:spacing w:line="360" w:lineRule="auto"/>
        <w:jc w:val="both"/>
        <w:rPr>
          <w:rFonts w:eastAsiaTheme="minorEastAsia"/>
          <w:b/>
          <w:bCs/>
          <w:color w:val="000000"/>
          <w:bdr w:val="none" w:sz="0" w:space="0" w:color="auto" w:frame="1"/>
        </w:rPr>
      </w:pPr>
    </w:p>
    <w:p w14:paraId="778AC88A" w14:textId="4F3638BE" w:rsidR="00D71AC2" w:rsidRDefault="00D71AC2" w:rsidP="00C061EC">
      <w:pPr>
        <w:spacing w:line="360" w:lineRule="auto"/>
        <w:jc w:val="both"/>
        <w:rPr>
          <w:rFonts w:eastAsiaTheme="minorEastAsia"/>
          <w:b/>
          <w:bCs/>
          <w:color w:val="000000"/>
          <w:bdr w:val="none" w:sz="0" w:space="0" w:color="auto" w:frame="1"/>
        </w:rPr>
      </w:pPr>
      <w:r>
        <w:rPr>
          <w:rFonts w:eastAsiaTheme="minorEastAsia"/>
          <w:b/>
          <w:bCs/>
          <w:color w:val="000000"/>
          <w:bdr w:val="none" w:sz="0" w:space="0" w:color="auto" w:frame="1"/>
        </w:rPr>
        <w:lastRenderedPageBreak/>
        <w:t>Contents</w:t>
      </w:r>
    </w:p>
    <w:p w14:paraId="1D8B9AC1" w14:textId="457F9824" w:rsidR="00560B8F" w:rsidRDefault="00560B8F" w:rsidP="00560B8F">
      <w:pPr>
        <w:pStyle w:val="ListParagraph"/>
        <w:numPr>
          <w:ilvl w:val="0"/>
          <w:numId w:val="2"/>
        </w:numPr>
        <w:spacing w:line="360" w:lineRule="auto"/>
        <w:jc w:val="both"/>
        <w:rPr>
          <w:rFonts w:eastAsiaTheme="minorEastAsia"/>
          <w:b/>
          <w:bCs/>
          <w:color w:val="000000"/>
          <w:bdr w:val="none" w:sz="0" w:space="0" w:color="auto" w:frame="1"/>
        </w:rPr>
      </w:pPr>
      <w:r>
        <w:rPr>
          <w:rFonts w:eastAsiaTheme="minorEastAsia"/>
          <w:b/>
          <w:bCs/>
          <w:color w:val="000000"/>
          <w:bdr w:val="none" w:sz="0" w:space="0" w:color="auto" w:frame="1"/>
        </w:rPr>
        <w:t xml:space="preserve">Introduction </w:t>
      </w:r>
    </w:p>
    <w:p w14:paraId="51B2EF52" w14:textId="5A65CEFF" w:rsidR="00560B8F" w:rsidRDefault="00560B8F" w:rsidP="00560B8F">
      <w:pPr>
        <w:pStyle w:val="ListParagraph"/>
        <w:numPr>
          <w:ilvl w:val="0"/>
          <w:numId w:val="2"/>
        </w:numPr>
        <w:spacing w:line="360" w:lineRule="auto"/>
        <w:jc w:val="both"/>
        <w:rPr>
          <w:rFonts w:eastAsiaTheme="minorEastAsia"/>
          <w:b/>
          <w:bCs/>
          <w:color w:val="000000"/>
          <w:bdr w:val="none" w:sz="0" w:space="0" w:color="auto" w:frame="1"/>
        </w:rPr>
      </w:pPr>
      <w:r>
        <w:rPr>
          <w:rFonts w:eastAsiaTheme="minorEastAsia"/>
          <w:b/>
          <w:bCs/>
          <w:color w:val="000000"/>
          <w:bdr w:val="none" w:sz="0" w:space="0" w:color="auto" w:frame="1"/>
        </w:rPr>
        <w:t xml:space="preserve">Obesity </w:t>
      </w:r>
    </w:p>
    <w:p w14:paraId="655E7002" w14:textId="38AA44EC" w:rsidR="00560B8F" w:rsidRDefault="00560B8F" w:rsidP="00560B8F">
      <w:pPr>
        <w:pStyle w:val="ListParagraph"/>
        <w:numPr>
          <w:ilvl w:val="0"/>
          <w:numId w:val="2"/>
        </w:numPr>
        <w:spacing w:line="360" w:lineRule="auto"/>
        <w:jc w:val="both"/>
        <w:rPr>
          <w:rFonts w:eastAsiaTheme="minorEastAsia"/>
          <w:b/>
          <w:bCs/>
          <w:color w:val="000000"/>
          <w:bdr w:val="none" w:sz="0" w:space="0" w:color="auto" w:frame="1"/>
        </w:rPr>
      </w:pPr>
      <w:r>
        <w:rPr>
          <w:rFonts w:eastAsiaTheme="minorEastAsia"/>
          <w:b/>
          <w:bCs/>
          <w:color w:val="000000"/>
          <w:bdr w:val="none" w:sz="0" w:space="0" w:color="auto" w:frame="1"/>
        </w:rPr>
        <w:t xml:space="preserve">Sedentary lifestyle </w:t>
      </w:r>
    </w:p>
    <w:p w14:paraId="560EC3D0" w14:textId="4BAFFC07" w:rsidR="00560B8F" w:rsidRDefault="00C81154" w:rsidP="00560B8F">
      <w:pPr>
        <w:pStyle w:val="ListParagraph"/>
        <w:numPr>
          <w:ilvl w:val="0"/>
          <w:numId w:val="2"/>
        </w:numPr>
        <w:spacing w:line="360" w:lineRule="auto"/>
        <w:jc w:val="both"/>
        <w:rPr>
          <w:rFonts w:eastAsiaTheme="minorEastAsia"/>
          <w:b/>
          <w:bCs/>
          <w:color w:val="000000"/>
          <w:bdr w:val="none" w:sz="0" w:space="0" w:color="auto" w:frame="1"/>
        </w:rPr>
      </w:pPr>
      <w:r>
        <w:rPr>
          <w:rFonts w:eastAsiaTheme="minorEastAsia"/>
          <w:b/>
          <w:bCs/>
          <w:color w:val="000000"/>
          <w:bdr w:val="none" w:sz="0" w:space="0" w:color="auto" w:frame="1"/>
        </w:rPr>
        <w:t>Pre</w:t>
      </w:r>
      <w:r w:rsidR="0014774F">
        <w:rPr>
          <w:rFonts w:eastAsiaTheme="minorEastAsia"/>
          <w:b/>
          <w:bCs/>
          <w:color w:val="000000"/>
          <w:bdr w:val="none" w:sz="0" w:space="0" w:color="auto" w:frame="1"/>
        </w:rPr>
        <w:t>-</w:t>
      </w:r>
      <w:r>
        <w:rPr>
          <w:rFonts w:eastAsiaTheme="minorEastAsia"/>
          <w:b/>
          <w:bCs/>
          <w:color w:val="000000"/>
          <w:bdr w:val="none" w:sz="0" w:space="0" w:color="auto" w:frame="1"/>
        </w:rPr>
        <w:t>diabetes</w:t>
      </w:r>
      <w:r w:rsidR="00560B8F">
        <w:rPr>
          <w:rFonts w:eastAsiaTheme="minorEastAsia"/>
          <w:b/>
          <w:bCs/>
          <w:color w:val="000000"/>
          <w:bdr w:val="none" w:sz="0" w:space="0" w:color="auto" w:frame="1"/>
        </w:rPr>
        <w:t xml:space="preserve"> </w:t>
      </w:r>
    </w:p>
    <w:p w14:paraId="0DDA4470" w14:textId="77777777" w:rsidR="00560B8F" w:rsidRPr="00560B8F" w:rsidRDefault="00560B8F" w:rsidP="00560B8F">
      <w:pPr>
        <w:pStyle w:val="ListParagraph"/>
        <w:numPr>
          <w:ilvl w:val="0"/>
          <w:numId w:val="2"/>
        </w:numPr>
        <w:spacing w:line="360" w:lineRule="auto"/>
        <w:jc w:val="both"/>
        <w:rPr>
          <w:rFonts w:eastAsiaTheme="minorEastAsia"/>
          <w:color w:val="000000"/>
          <w:bdr w:val="none" w:sz="0" w:space="0" w:color="auto" w:frame="1"/>
        </w:rPr>
      </w:pPr>
      <w:r w:rsidRPr="00560B8F">
        <w:rPr>
          <w:rFonts w:eastAsiaTheme="minorEastAsia"/>
          <w:b/>
          <w:bCs/>
          <w:color w:val="000000"/>
          <w:bdr w:val="none" w:sz="0" w:space="0" w:color="auto" w:frame="1"/>
        </w:rPr>
        <w:t xml:space="preserve">Hypertension and </w:t>
      </w:r>
      <w:proofErr w:type="spellStart"/>
      <w:r w:rsidRPr="00560B8F">
        <w:rPr>
          <w:rFonts w:eastAsiaTheme="minorEastAsia"/>
          <w:b/>
          <w:bCs/>
          <w:color w:val="000000"/>
          <w:bdr w:val="none" w:sz="0" w:space="0" w:color="auto" w:frame="1"/>
        </w:rPr>
        <w:t>Hypercholesterolemia</w:t>
      </w:r>
      <w:proofErr w:type="spellEnd"/>
    </w:p>
    <w:p w14:paraId="58CB2AD7" w14:textId="09AC2DB6" w:rsidR="00560B8F" w:rsidRDefault="00560B8F" w:rsidP="00560B8F">
      <w:pPr>
        <w:pStyle w:val="ListParagraph"/>
        <w:numPr>
          <w:ilvl w:val="0"/>
          <w:numId w:val="2"/>
        </w:numPr>
        <w:spacing w:line="360" w:lineRule="auto"/>
        <w:jc w:val="both"/>
        <w:rPr>
          <w:rFonts w:eastAsiaTheme="minorEastAsia"/>
          <w:b/>
          <w:bCs/>
          <w:color w:val="000000"/>
          <w:bdr w:val="none" w:sz="0" w:space="0" w:color="auto" w:frame="1"/>
        </w:rPr>
      </w:pPr>
      <w:r>
        <w:rPr>
          <w:rFonts w:eastAsiaTheme="minorEastAsia"/>
          <w:b/>
          <w:bCs/>
          <w:color w:val="000000"/>
          <w:bdr w:val="none" w:sz="0" w:space="0" w:color="auto" w:frame="1"/>
        </w:rPr>
        <w:t xml:space="preserve">Smoking and alcohol </w:t>
      </w:r>
    </w:p>
    <w:p w14:paraId="658B792B" w14:textId="345A8618" w:rsidR="00951BA0" w:rsidRPr="00951BA0" w:rsidRDefault="00951BA0" w:rsidP="00951BA0">
      <w:pPr>
        <w:pStyle w:val="ListParagraph"/>
        <w:numPr>
          <w:ilvl w:val="0"/>
          <w:numId w:val="2"/>
        </w:numPr>
        <w:spacing w:line="360" w:lineRule="auto"/>
        <w:jc w:val="both"/>
        <w:rPr>
          <w:rFonts w:eastAsiaTheme="minorEastAsia"/>
          <w:color w:val="000000"/>
          <w:bdr w:val="none" w:sz="0" w:space="0" w:color="auto" w:frame="1"/>
        </w:rPr>
      </w:pPr>
      <w:r w:rsidRPr="00951BA0">
        <w:rPr>
          <w:rFonts w:eastAsiaTheme="minorEastAsia"/>
          <w:b/>
          <w:bCs/>
          <w:color w:val="000000"/>
          <w:bdr w:val="none" w:sz="0" w:space="0" w:color="auto" w:frame="1"/>
        </w:rPr>
        <w:t xml:space="preserve">Mental, </w:t>
      </w:r>
      <w:r w:rsidR="006233AD" w:rsidRPr="00951BA0">
        <w:rPr>
          <w:rFonts w:eastAsiaTheme="minorEastAsia"/>
          <w:b/>
          <w:bCs/>
          <w:color w:val="000000"/>
          <w:bdr w:val="none" w:sz="0" w:space="0" w:color="auto" w:frame="1"/>
        </w:rPr>
        <w:t>social,</w:t>
      </w:r>
      <w:r w:rsidRPr="00951BA0">
        <w:rPr>
          <w:rFonts w:eastAsiaTheme="minorEastAsia"/>
          <w:b/>
          <w:bCs/>
          <w:color w:val="000000"/>
          <w:bdr w:val="none" w:sz="0" w:space="0" w:color="auto" w:frame="1"/>
        </w:rPr>
        <w:t xml:space="preserve"> and intellectual wellbeing </w:t>
      </w:r>
    </w:p>
    <w:p w14:paraId="2D9D5EB2" w14:textId="4130AA70" w:rsidR="00560B8F" w:rsidRDefault="00951BA0" w:rsidP="00560B8F">
      <w:pPr>
        <w:pStyle w:val="ListParagraph"/>
        <w:numPr>
          <w:ilvl w:val="0"/>
          <w:numId w:val="2"/>
        </w:numPr>
        <w:spacing w:line="360" w:lineRule="auto"/>
        <w:jc w:val="both"/>
        <w:rPr>
          <w:rFonts w:eastAsiaTheme="minorEastAsia"/>
          <w:b/>
          <w:bCs/>
          <w:color w:val="000000"/>
          <w:bdr w:val="none" w:sz="0" w:space="0" w:color="auto" w:frame="1"/>
        </w:rPr>
      </w:pPr>
      <w:r>
        <w:rPr>
          <w:rFonts w:eastAsiaTheme="minorEastAsia"/>
          <w:b/>
          <w:bCs/>
          <w:color w:val="000000"/>
          <w:bdr w:val="none" w:sz="0" w:space="0" w:color="auto" w:frame="1"/>
        </w:rPr>
        <w:t xml:space="preserve">Recommendations </w:t>
      </w:r>
    </w:p>
    <w:p w14:paraId="4C359166" w14:textId="60DE336C" w:rsidR="00951BA0" w:rsidRDefault="00951BA0" w:rsidP="00560B8F">
      <w:pPr>
        <w:pStyle w:val="ListParagraph"/>
        <w:numPr>
          <w:ilvl w:val="0"/>
          <w:numId w:val="2"/>
        </w:numPr>
        <w:spacing w:line="360" w:lineRule="auto"/>
        <w:jc w:val="both"/>
        <w:rPr>
          <w:rFonts w:eastAsiaTheme="minorEastAsia"/>
          <w:b/>
          <w:bCs/>
          <w:color w:val="000000"/>
          <w:bdr w:val="none" w:sz="0" w:space="0" w:color="auto" w:frame="1"/>
        </w:rPr>
      </w:pPr>
      <w:r>
        <w:rPr>
          <w:rFonts w:eastAsiaTheme="minorEastAsia"/>
          <w:b/>
          <w:bCs/>
          <w:color w:val="000000"/>
          <w:bdr w:val="none" w:sz="0" w:space="0" w:color="auto" w:frame="1"/>
        </w:rPr>
        <w:t xml:space="preserve">Conclusion </w:t>
      </w:r>
    </w:p>
    <w:p w14:paraId="0FD7BFFE" w14:textId="2EB6D391" w:rsidR="006233AD" w:rsidRPr="00560B8F" w:rsidRDefault="006233AD" w:rsidP="00560B8F">
      <w:pPr>
        <w:pStyle w:val="ListParagraph"/>
        <w:numPr>
          <w:ilvl w:val="0"/>
          <w:numId w:val="2"/>
        </w:numPr>
        <w:spacing w:line="360" w:lineRule="auto"/>
        <w:jc w:val="both"/>
        <w:rPr>
          <w:rFonts w:eastAsiaTheme="minorEastAsia"/>
          <w:b/>
          <w:bCs/>
          <w:color w:val="000000"/>
          <w:bdr w:val="none" w:sz="0" w:space="0" w:color="auto" w:frame="1"/>
        </w:rPr>
      </w:pPr>
      <w:r>
        <w:rPr>
          <w:rFonts w:eastAsiaTheme="minorEastAsia"/>
          <w:b/>
          <w:bCs/>
          <w:color w:val="000000"/>
          <w:bdr w:val="none" w:sz="0" w:space="0" w:color="auto" w:frame="1"/>
        </w:rPr>
        <w:t>Reference list</w:t>
      </w:r>
    </w:p>
    <w:p w14:paraId="7FAF1413" w14:textId="77777777" w:rsidR="00D71AC2" w:rsidRDefault="00D71AC2" w:rsidP="00C061EC">
      <w:pPr>
        <w:spacing w:line="360" w:lineRule="auto"/>
        <w:jc w:val="both"/>
        <w:rPr>
          <w:rFonts w:eastAsiaTheme="minorEastAsia"/>
          <w:b/>
          <w:bCs/>
          <w:color w:val="000000"/>
          <w:bdr w:val="none" w:sz="0" w:space="0" w:color="auto" w:frame="1"/>
        </w:rPr>
      </w:pPr>
    </w:p>
    <w:p w14:paraId="38014975" w14:textId="77777777" w:rsidR="00D71AC2" w:rsidRDefault="00D71AC2" w:rsidP="00C061EC">
      <w:pPr>
        <w:spacing w:line="360" w:lineRule="auto"/>
        <w:jc w:val="both"/>
        <w:rPr>
          <w:rFonts w:eastAsiaTheme="minorEastAsia"/>
          <w:b/>
          <w:bCs/>
          <w:color w:val="000000"/>
          <w:bdr w:val="none" w:sz="0" w:space="0" w:color="auto" w:frame="1"/>
        </w:rPr>
      </w:pPr>
    </w:p>
    <w:p w14:paraId="577D9055" w14:textId="77777777" w:rsidR="00D71AC2" w:rsidRDefault="00D71AC2" w:rsidP="00C061EC">
      <w:pPr>
        <w:spacing w:line="360" w:lineRule="auto"/>
        <w:jc w:val="both"/>
        <w:rPr>
          <w:rFonts w:eastAsiaTheme="minorEastAsia"/>
          <w:b/>
          <w:bCs/>
          <w:color w:val="000000"/>
          <w:bdr w:val="none" w:sz="0" w:space="0" w:color="auto" w:frame="1"/>
        </w:rPr>
      </w:pPr>
    </w:p>
    <w:p w14:paraId="7B81F5A7" w14:textId="77777777" w:rsidR="00545B33" w:rsidRDefault="00545B33" w:rsidP="00C061EC">
      <w:pPr>
        <w:spacing w:line="360" w:lineRule="auto"/>
        <w:jc w:val="both"/>
        <w:rPr>
          <w:rFonts w:eastAsiaTheme="minorEastAsia"/>
          <w:b/>
          <w:bCs/>
          <w:color w:val="000000"/>
          <w:bdr w:val="none" w:sz="0" w:space="0" w:color="auto" w:frame="1"/>
        </w:rPr>
      </w:pPr>
    </w:p>
    <w:p w14:paraId="528D8A9A" w14:textId="77777777" w:rsidR="00545B33" w:rsidRDefault="00545B33" w:rsidP="00C061EC">
      <w:pPr>
        <w:spacing w:line="360" w:lineRule="auto"/>
        <w:jc w:val="both"/>
        <w:rPr>
          <w:rFonts w:eastAsiaTheme="minorEastAsia"/>
          <w:b/>
          <w:bCs/>
          <w:color w:val="000000"/>
          <w:bdr w:val="none" w:sz="0" w:space="0" w:color="auto" w:frame="1"/>
        </w:rPr>
      </w:pPr>
    </w:p>
    <w:p w14:paraId="157A2063" w14:textId="77777777" w:rsidR="00545B33" w:rsidRDefault="00545B33" w:rsidP="00C061EC">
      <w:pPr>
        <w:spacing w:line="360" w:lineRule="auto"/>
        <w:jc w:val="both"/>
        <w:rPr>
          <w:rFonts w:eastAsiaTheme="minorEastAsia"/>
          <w:b/>
          <w:bCs/>
          <w:color w:val="000000"/>
          <w:bdr w:val="none" w:sz="0" w:space="0" w:color="auto" w:frame="1"/>
        </w:rPr>
      </w:pPr>
    </w:p>
    <w:p w14:paraId="74C619E1" w14:textId="77777777" w:rsidR="00545B33" w:rsidRDefault="00545B33" w:rsidP="00C061EC">
      <w:pPr>
        <w:spacing w:line="360" w:lineRule="auto"/>
        <w:jc w:val="both"/>
        <w:rPr>
          <w:rFonts w:eastAsiaTheme="minorEastAsia"/>
          <w:b/>
          <w:bCs/>
          <w:color w:val="000000"/>
          <w:bdr w:val="none" w:sz="0" w:space="0" w:color="auto" w:frame="1"/>
        </w:rPr>
      </w:pPr>
    </w:p>
    <w:p w14:paraId="7EDC878B" w14:textId="77777777" w:rsidR="00545B33" w:rsidRDefault="00545B33" w:rsidP="00C061EC">
      <w:pPr>
        <w:spacing w:line="360" w:lineRule="auto"/>
        <w:jc w:val="both"/>
        <w:rPr>
          <w:rFonts w:eastAsiaTheme="minorEastAsia"/>
          <w:b/>
          <w:bCs/>
          <w:color w:val="000000"/>
          <w:bdr w:val="none" w:sz="0" w:space="0" w:color="auto" w:frame="1"/>
        </w:rPr>
      </w:pPr>
    </w:p>
    <w:p w14:paraId="1CF1C7D9" w14:textId="77777777" w:rsidR="00545B33" w:rsidRDefault="00545B33" w:rsidP="00C061EC">
      <w:pPr>
        <w:spacing w:line="360" w:lineRule="auto"/>
        <w:jc w:val="both"/>
        <w:rPr>
          <w:rFonts w:eastAsiaTheme="minorEastAsia"/>
          <w:b/>
          <w:bCs/>
          <w:color w:val="000000"/>
          <w:bdr w:val="none" w:sz="0" w:space="0" w:color="auto" w:frame="1"/>
        </w:rPr>
      </w:pPr>
    </w:p>
    <w:p w14:paraId="68420992" w14:textId="77777777" w:rsidR="00545B33" w:rsidRDefault="00545B33" w:rsidP="00C061EC">
      <w:pPr>
        <w:spacing w:line="360" w:lineRule="auto"/>
        <w:jc w:val="both"/>
        <w:rPr>
          <w:rFonts w:eastAsiaTheme="minorEastAsia"/>
          <w:b/>
          <w:bCs/>
          <w:color w:val="000000"/>
          <w:bdr w:val="none" w:sz="0" w:space="0" w:color="auto" w:frame="1"/>
        </w:rPr>
      </w:pPr>
    </w:p>
    <w:p w14:paraId="73A0EF7E" w14:textId="77777777" w:rsidR="00545B33" w:rsidRDefault="00545B33" w:rsidP="00C061EC">
      <w:pPr>
        <w:spacing w:line="360" w:lineRule="auto"/>
        <w:jc w:val="both"/>
        <w:rPr>
          <w:rFonts w:eastAsiaTheme="minorEastAsia"/>
          <w:b/>
          <w:bCs/>
          <w:color w:val="000000"/>
          <w:bdr w:val="none" w:sz="0" w:space="0" w:color="auto" w:frame="1"/>
        </w:rPr>
      </w:pPr>
    </w:p>
    <w:p w14:paraId="1D2F3EA8" w14:textId="77777777" w:rsidR="00545B33" w:rsidRDefault="00545B33" w:rsidP="00C061EC">
      <w:pPr>
        <w:spacing w:line="360" w:lineRule="auto"/>
        <w:jc w:val="both"/>
        <w:rPr>
          <w:rFonts w:eastAsiaTheme="minorEastAsia"/>
          <w:b/>
          <w:bCs/>
          <w:color w:val="000000"/>
          <w:bdr w:val="none" w:sz="0" w:space="0" w:color="auto" w:frame="1"/>
        </w:rPr>
      </w:pPr>
    </w:p>
    <w:p w14:paraId="26D7A7D1" w14:textId="77777777" w:rsidR="00545B33" w:rsidRDefault="00545B33" w:rsidP="00C061EC">
      <w:pPr>
        <w:spacing w:line="360" w:lineRule="auto"/>
        <w:jc w:val="both"/>
        <w:rPr>
          <w:rFonts w:eastAsiaTheme="minorEastAsia"/>
          <w:b/>
          <w:bCs/>
          <w:color w:val="000000"/>
          <w:bdr w:val="none" w:sz="0" w:space="0" w:color="auto" w:frame="1"/>
        </w:rPr>
      </w:pPr>
    </w:p>
    <w:p w14:paraId="5674578A" w14:textId="77777777" w:rsidR="00545B33" w:rsidRDefault="00545B33" w:rsidP="00C061EC">
      <w:pPr>
        <w:spacing w:line="360" w:lineRule="auto"/>
        <w:jc w:val="both"/>
        <w:rPr>
          <w:rFonts w:eastAsiaTheme="minorEastAsia"/>
          <w:b/>
          <w:bCs/>
          <w:color w:val="000000"/>
          <w:bdr w:val="none" w:sz="0" w:space="0" w:color="auto" w:frame="1"/>
        </w:rPr>
      </w:pPr>
    </w:p>
    <w:p w14:paraId="200E8FD8" w14:textId="77777777" w:rsidR="00545B33" w:rsidRDefault="00545B33" w:rsidP="00C061EC">
      <w:pPr>
        <w:spacing w:line="360" w:lineRule="auto"/>
        <w:jc w:val="both"/>
        <w:rPr>
          <w:rFonts w:eastAsiaTheme="minorEastAsia"/>
          <w:b/>
          <w:bCs/>
          <w:color w:val="000000"/>
          <w:bdr w:val="none" w:sz="0" w:space="0" w:color="auto" w:frame="1"/>
        </w:rPr>
      </w:pPr>
    </w:p>
    <w:p w14:paraId="4B9835BA" w14:textId="77777777" w:rsidR="00545B33" w:rsidRDefault="00545B33" w:rsidP="00C061EC">
      <w:pPr>
        <w:spacing w:line="360" w:lineRule="auto"/>
        <w:jc w:val="both"/>
        <w:rPr>
          <w:rFonts w:eastAsiaTheme="minorEastAsia"/>
          <w:b/>
          <w:bCs/>
          <w:color w:val="000000"/>
          <w:bdr w:val="none" w:sz="0" w:space="0" w:color="auto" w:frame="1"/>
        </w:rPr>
      </w:pPr>
    </w:p>
    <w:p w14:paraId="487F05A3" w14:textId="77777777" w:rsidR="00545B33" w:rsidRDefault="00545B33" w:rsidP="00C061EC">
      <w:pPr>
        <w:spacing w:line="360" w:lineRule="auto"/>
        <w:jc w:val="both"/>
        <w:rPr>
          <w:rFonts w:eastAsiaTheme="minorEastAsia"/>
          <w:b/>
          <w:bCs/>
          <w:color w:val="000000"/>
          <w:bdr w:val="none" w:sz="0" w:space="0" w:color="auto" w:frame="1"/>
        </w:rPr>
      </w:pPr>
    </w:p>
    <w:p w14:paraId="6C8A0E86" w14:textId="77777777" w:rsidR="00545B33" w:rsidRDefault="00545B33" w:rsidP="00C061EC">
      <w:pPr>
        <w:spacing w:line="360" w:lineRule="auto"/>
        <w:jc w:val="both"/>
        <w:rPr>
          <w:rFonts w:eastAsiaTheme="minorEastAsia"/>
          <w:b/>
          <w:bCs/>
          <w:color w:val="000000"/>
          <w:bdr w:val="none" w:sz="0" w:space="0" w:color="auto" w:frame="1"/>
        </w:rPr>
      </w:pPr>
    </w:p>
    <w:p w14:paraId="748A216B" w14:textId="77777777" w:rsidR="00545B33" w:rsidRDefault="00545B33" w:rsidP="00C061EC">
      <w:pPr>
        <w:spacing w:line="360" w:lineRule="auto"/>
        <w:jc w:val="both"/>
        <w:rPr>
          <w:rFonts w:eastAsiaTheme="minorEastAsia"/>
          <w:b/>
          <w:bCs/>
          <w:color w:val="000000"/>
          <w:bdr w:val="none" w:sz="0" w:space="0" w:color="auto" w:frame="1"/>
        </w:rPr>
      </w:pPr>
    </w:p>
    <w:p w14:paraId="5DAEB97A" w14:textId="77777777" w:rsidR="00545B33" w:rsidRDefault="00545B33" w:rsidP="00C061EC">
      <w:pPr>
        <w:spacing w:line="360" w:lineRule="auto"/>
        <w:jc w:val="both"/>
        <w:rPr>
          <w:rFonts w:eastAsiaTheme="minorEastAsia"/>
          <w:b/>
          <w:bCs/>
          <w:color w:val="000000"/>
          <w:bdr w:val="none" w:sz="0" w:space="0" w:color="auto" w:frame="1"/>
        </w:rPr>
      </w:pPr>
    </w:p>
    <w:p w14:paraId="2C76E06D" w14:textId="77777777" w:rsidR="00545B33" w:rsidRDefault="00545B33" w:rsidP="00C061EC">
      <w:pPr>
        <w:spacing w:line="360" w:lineRule="auto"/>
        <w:jc w:val="both"/>
        <w:rPr>
          <w:rFonts w:eastAsiaTheme="minorEastAsia"/>
          <w:b/>
          <w:bCs/>
          <w:color w:val="000000"/>
          <w:bdr w:val="none" w:sz="0" w:space="0" w:color="auto" w:frame="1"/>
        </w:rPr>
      </w:pPr>
    </w:p>
    <w:p w14:paraId="119F0475" w14:textId="77777777" w:rsidR="00545B33" w:rsidRDefault="00545B33" w:rsidP="00C061EC">
      <w:pPr>
        <w:spacing w:line="360" w:lineRule="auto"/>
        <w:jc w:val="both"/>
        <w:rPr>
          <w:rFonts w:eastAsiaTheme="minorEastAsia"/>
          <w:b/>
          <w:bCs/>
          <w:color w:val="000000"/>
          <w:bdr w:val="none" w:sz="0" w:space="0" w:color="auto" w:frame="1"/>
        </w:rPr>
      </w:pPr>
    </w:p>
    <w:p w14:paraId="1847085C" w14:textId="77777777" w:rsidR="00D71AC2" w:rsidRPr="00D71AC2" w:rsidRDefault="00D71AC2" w:rsidP="00C061EC">
      <w:pPr>
        <w:spacing w:line="360" w:lineRule="auto"/>
        <w:jc w:val="both"/>
        <w:rPr>
          <w:rFonts w:eastAsiaTheme="minorEastAsia"/>
          <w:color w:val="000000"/>
          <w:bdr w:val="none" w:sz="0" w:space="0" w:color="auto" w:frame="1"/>
        </w:rPr>
      </w:pPr>
    </w:p>
    <w:p w14:paraId="4356D467"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b/>
          <w:bCs/>
          <w:color w:val="000000"/>
          <w:bdr w:val="none" w:sz="0" w:space="0" w:color="auto" w:frame="1"/>
        </w:rPr>
        <w:t>Introduction </w:t>
      </w:r>
    </w:p>
    <w:p w14:paraId="751F5AD1"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4EEBF73D" w14:textId="4A29C0E3"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xml:space="preserve">This report critically evaluates the health and wellbeing of Bob, a fictional </w:t>
      </w:r>
      <w:r w:rsidR="006B768E" w:rsidRPr="00D71AC2">
        <w:rPr>
          <w:rFonts w:eastAsiaTheme="minorEastAsia"/>
          <w:color w:val="000000"/>
          <w:bdr w:val="none" w:sz="0" w:space="0" w:color="auto" w:frame="1"/>
        </w:rPr>
        <w:t>56-year-old</w:t>
      </w:r>
      <w:r w:rsidRPr="00D71AC2">
        <w:rPr>
          <w:rFonts w:eastAsiaTheme="minorEastAsia"/>
          <w:color w:val="000000"/>
          <w:bdr w:val="none" w:sz="0" w:space="0" w:color="auto" w:frame="1"/>
        </w:rPr>
        <w:t xml:space="preserve"> long distance lorry driver living in rural Wales. A holistic assessment is undertaken using the </w:t>
      </w:r>
      <w:proofErr w:type="spellStart"/>
      <w:r w:rsidRPr="00D71AC2">
        <w:rPr>
          <w:rFonts w:eastAsiaTheme="minorEastAsia"/>
          <w:color w:val="000000"/>
          <w:bdr w:val="none" w:sz="0" w:space="0" w:color="auto" w:frame="1"/>
        </w:rPr>
        <w:t>biopsychosocial</w:t>
      </w:r>
      <w:proofErr w:type="spellEnd"/>
      <w:r w:rsidRPr="00D71AC2">
        <w:rPr>
          <w:rFonts w:eastAsiaTheme="minorEastAsia"/>
          <w:color w:val="000000"/>
          <w:bdr w:val="none" w:sz="0" w:space="0" w:color="auto" w:frame="1"/>
        </w:rPr>
        <w:t xml:space="preserve"> model (Engel, 1977), which recognises that health is influenced by the complex interaction of biological, </w:t>
      </w:r>
      <w:r w:rsidR="0047255C" w:rsidRPr="00D71AC2">
        <w:rPr>
          <w:rFonts w:eastAsiaTheme="minorEastAsia"/>
          <w:color w:val="000000"/>
          <w:bdr w:val="none" w:sz="0" w:space="0" w:color="auto" w:frame="1"/>
        </w:rPr>
        <w:t>psychological,</w:t>
      </w:r>
      <w:r w:rsidRPr="00D71AC2">
        <w:rPr>
          <w:rFonts w:eastAsiaTheme="minorEastAsia"/>
          <w:color w:val="000000"/>
          <w:bdr w:val="none" w:sz="0" w:space="0" w:color="auto" w:frame="1"/>
        </w:rPr>
        <w:t xml:space="preserve"> and social factors rather than physical illness alone. This model is particularly appropriate for assessing Bob because his health is shaped not only by his medical conditions but also by his occupation, lifestyle and social circumstances. Bob presents with multiple modifiable risk factors, including obesity, hypertension, </w:t>
      </w:r>
      <w:proofErr w:type="spellStart"/>
      <w:r w:rsidRPr="00D71AC2">
        <w:rPr>
          <w:rFonts w:eastAsiaTheme="minorEastAsia"/>
          <w:color w:val="000000"/>
          <w:bdr w:val="none" w:sz="0" w:space="0" w:color="auto" w:frame="1"/>
        </w:rPr>
        <w:t>hypercholesterolaemia</w:t>
      </w:r>
      <w:proofErr w:type="spellEnd"/>
      <w:r w:rsidRPr="00D71AC2">
        <w:rPr>
          <w:rFonts w:eastAsiaTheme="minorEastAsia"/>
          <w:color w:val="000000"/>
          <w:bdr w:val="none" w:sz="0" w:space="0" w:color="auto" w:frame="1"/>
        </w:rPr>
        <w:t xml:space="preserve">, pre-diabetes, smoking, excessive alcohol consumption, physical </w:t>
      </w:r>
      <w:r w:rsidR="0047255C" w:rsidRPr="00D71AC2">
        <w:rPr>
          <w:rFonts w:eastAsiaTheme="minorEastAsia"/>
          <w:color w:val="000000"/>
          <w:bdr w:val="none" w:sz="0" w:space="0" w:color="auto" w:frame="1"/>
        </w:rPr>
        <w:t>inactivity,</w:t>
      </w:r>
      <w:r w:rsidRPr="00D71AC2">
        <w:rPr>
          <w:rFonts w:eastAsiaTheme="minorEastAsia"/>
          <w:color w:val="000000"/>
          <w:bdr w:val="none" w:sz="0" w:space="0" w:color="auto" w:frame="1"/>
        </w:rPr>
        <w:t xml:space="preserve"> and poor mental wellbeing. Collectively, these factors substantially increase his risk of cardiovascular disease and other </w:t>
      </w:r>
      <w:r w:rsidR="006B768E" w:rsidRPr="00D71AC2">
        <w:rPr>
          <w:rFonts w:eastAsiaTheme="minorEastAsia"/>
          <w:color w:val="000000"/>
          <w:bdr w:val="none" w:sz="0" w:space="0" w:color="auto" w:frame="1"/>
        </w:rPr>
        <w:t>long-term</w:t>
      </w:r>
      <w:r w:rsidRPr="00D71AC2">
        <w:rPr>
          <w:rFonts w:eastAsiaTheme="minorEastAsia"/>
          <w:color w:val="000000"/>
          <w:bdr w:val="none" w:sz="0" w:space="0" w:color="auto" w:frame="1"/>
        </w:rPr>
        <w:t xml:space="preserve"> conditions (NICE, 2019; British Heart Foundation, 2024). This report explores how Bob’s physical, mental, </w:t>
      </w:r>
      <w:r w:rsidR="004549DB" w:rsidRPr="00D71AC2">
        <w:rPr>
          <w:rFonts w:eastAsiaTheme="minorEastAsia"/>
          <w:color w:val="000000"/>
          <w:bdr w:val="none" w:sz="0" w:space="0" w:color="auto" w:frame="1"/>
        </w:rPr>
        <w:t>emotional,</w:t>
      </w:r>
      <w:r w:rsidRPr="00D71AC2">
        <w:rPr>
          <w:rFonts w:eastAsiaTheme="minorEastAsia"/>
          <w:color w:val="000000"/>
          <w:bdr w:val="none" w:sz="0" w:space="0" w:color="auto" w:frame="1"/>
        </w:rPr>
        <w:t xml:space="preserve"> and social health are interconnected and proposes evidence based, person centred recommendations, informed by current UK guidance, to improve his </w:t>
      </w:r>
      <w:r w:rsidR="006B768E" w:rsidRPr="00D71AC2">
        <w:rPr>
          <w:rFonts w:eastAsiaTheme="minorEastAsia"/>
          <w:color w:val="000000"/>
          <w:bdr w:val="none" w:sz="0" w:space="0" w:color="auto" w:frame="1"/>
        </w:rPr>
        <w:t>long-term</w:t>
      </w:r>
      <w:r w:rsidRPr="00D71AC2">
        <w:rPr>
          <w:rFonts w:eastAsiaTheme="minorEastAsia"/>
          <w:color w:val="000000"/>
          <w:bdr w:val="none" w:sz="0" w:space="0" w:color="auto" w:frame="1"/>
        </w:rPr>
        <w:t xml:space="preserve"> health outcomes and overall wellbeing.</w:t>
      </w:r>
    </w:p>
    <w:p w14:paraId="4D78CDFB"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b/>
          <w:bCs/>
          <w:color w:val="000000"/>
          <w:bdr w:val="none" w:sz="0" w:space="0" w:color="auto" w:frame="1"/>
        </w:rPr>
        <w:t> </w:t>
      </w:r>
    </w:p>
    <w:p w14:paraId="284E1269" w14:textId="77777777" w:rsidR="00545B33" w:rsidRDefault="00545B33" w:rsidP="00C061EC">
      <w:pPr>
        <w:spacing w:line="360" w:lineRule="auto"/>
        <w:jc w:val="both"/>
        <w:rPr>
          <w:rFonts w:eastAsiaTheme="minorEastAsia"/>
          <w:b/>
          <w:bCs/>
          <w:color w:val="000000"/>
          <w:bdr w:val="none" w:sz="0" w:space="0" w:color="auto" w:frame="1"/>
        </w:rPr>
      </w:pPr>
    </w:p>
    <w:p w14:paraId="67C7A98C" w14:textId="77777777" w:rsidR="00545B33" w:rsidRDefault="00545B33" w:rsidP="00C061EC">
      <w:pPr>
        <w:spacing w:line="360" w:lineRule="auto"/>
        <w:jc w:val="both"/>
        <w:rPr>
          <w:rFonts w:eastAsiaTheme="minorEastAsia"/>
          <w:b/>
          <w:bCs/>
          <w:color w:val="000000"/>
          <w:bdr w:val="none" w:sz="0" w:space="0" w:color="auto" w:frame="1"/>
        </w:rPr>
      </w:pPr>
    </w:p>
    <w:p w14:paraId="78A5C059" w14:textId="77777777" w:rsidR="00545B33" w:rsidRDefault="00545B33" w:rsidP="00C061EC">
      <w:pPr>
        <w:spacing w:line="360" w:lineRule="auto"/>
        <w:jc w:val="both"/>
        <w:rPr>
          <w:rFonts w:eastAsiaTheme="minorEastAsia"/>
          <w:b/>
          <w:bCs/>
          <w:color w:val="000000"/>
          <w:bdr w:val="none" w:sz="0" w:space="0" w:color="auto" w:frame="1"/>
        </w:rPr>
      </w:pPr>
    </w:p>
    <w:p w14:paraId="34F89BEA" w14:textId="77777777" w:rsidR="00545B33" w:rsidRDefault="00545B33" w:rsidP="00C061EC">
      <w:pPr>
        <w:spacing w:line="360" w:lineRule="auto"/>
        <w:jc w:val="both"/>
        <w:rPr>
          <w:rFonts w:eastAsiaTheme="minorEastAsia"/>
          <w:b/>
          <w:bCs/>
          <w:color w:val="000000"/>
          <w:bdr w:val="none" w:sz="0" w:space="0" w:color="auto" w:frame="1"/>
        </w:rPr>
      </w:pPr>
    </w:p>
    <w:p w14:paraId="5DEC7745" w14:textId="77777777" w:rsidR="00545B33" w:rsidRDefault="00545B33" w:rsidP="00C061EC">
      <w:pPr>
        <w:spacing w:line="360" w:lineRule="auto"/>
        <w:jc w:val="both"/>
        <w:rPr>
          <w:rFonts w:eastAsiaTheme="minorEastAsia"/>
          <w:b/>
          <w:bCs/>
          <w:color w:val="000000"/>
          <w:bdr w:val="none" w:sz="0" w:space="0" w:color="auto" w:frame="1"/>
        </w:rPr>
      </w:pPr>
    </w:p>
    <w:p w14:paraId="03A46264" w14:textId="77777777" w:rsidR="00545B33" w:rsidRDefault="00545B33" w:rsidP="00C061EC">
      <w:pPr>
        <w:spacing w:line="360" w:lineRule="auto"/>
        <w:jc w:val="both"/>
        <w:rPr>
          <w:rFonts w:eastAsiaTheme="minorEastAsia"/>
          <w:b/>
          <w:bCs/>
          <w:color w:val="000000"/>
          <w:bdr w:val="none" w:sz="0" w:space="0" w:color="auto" w:frame="1"/>
        </w:rPr>
      </w:pPr>
    </w:p>
    <w:p w14:paraId="668B1669" w14:textId="77777777" w:rsidR="00545B33" w:rsidRDefault="00545B33" w:rsidP="00C061EC">
      <w:pPr>
        <w:spacing w:line="360" w:lineRule="auto"/>
        <w:jc w:val="both"/>
        <w:rPr>
          <w:rFonts w:eastAsiaTheme="minorEastAsia"/>
          <w:b/>
          <w:bCs/>
          <w:color w:val="000000"/>
          <w:bdr w:val="none" w:sz="0" w:space="0" w:color="auto" w:frame="1"/>
        </w:rPr>
      </w:pPr>
    </w:p>
    <w:p w14:paraId="53666B34" w14:textId="77777777" w:rsidR="00545B33" w:rsidRDefault="00545B33" w:rsidP="00C061EC">
      <w:pPr>
        <w:spacing w:line="360" w:lineRule="auto"/>
        <w:jc w:val="both"/>
        <w:rPr>
          <w:rFonts w:eastAsiaTheme="minorEastAsia"/>
          <w:b/>
          <w:bCs/>
          <w:color w:val="000000"/>
          <w:bdr w:val="none" w:sz="0" w:space="0" w:color="auto" w:frame="1"/>
        </w:rPr>
      </w:pPr>
    </w:p>
    <w:p w14:paraId="70FEC7D5" w14:textId="77777777" w:rsidR="00545B33" w:rsidRDefault="00545B33" w:rsidP="00C061EC">
      <w:pPr>
        <w:spacing w:line="360" w:lineRule="auto"/>
        <w:jc w:val="both"/>
        <w:rPr>
          <w:rFonts w:eastAsiaTheme="minorEastAsia"/>
          <w:b/>
          <w:bCs/>
          <w:color w:val="000000"/>
          <w:bdr w:val="none" w:sz="0" w:space="0" w:color="auto" w:frame="1"/>
        </w:rPr>
      </w:pPr>
    </w:p>
    <w:p w14:paraId="6D2F5C30" w14:textId="77777777" w:rsidR="00545B33" w:rsidRDefault="00545B33" w:rsidP="00C061EC">
      <w:pPr>
        <w:spacing w:line="360" w:lineRule="auto"/>
        <w:jc w:val="both"/>
        <w:rPr>
          <w:rFonts w:eastAsiaTheme="minorEastAsia"/>
          <w:b/>
          <w:bCs/>
          <w:color w:val="000000"/>
          <w:bdr w:val="none" w:sz="0" w:space="0" w:color="auto" w:frame="1"/>
        </w:rPr>
      </w:pPr>
    </w:p>
    <w:p w14:paraId="4239183A" w14:textId="77777777" w:rsidR="00545B33" w:rsidRDefault="00545B33" w:rsidP="00C061EC">
      <w:pPr>
        <w:spacing w:line="360" w:lineRule="auto"/>
        <w:jc w:val="both"/>
        <w:rPr>
          <w:rFonts w:eastAsiaTheme="minorEastAsia"/>
          <w:b/>
          <w:bCs/>
          <w:color w:val="000000"/>
          <w:bdr w:val="none" w:sz="0" w:space="0" w:color="auto" w:frame="1"/>
        </w:rPr>
      </w:pPr>
    </w:p>
    <w:p w14:paraId="31E55800" w14:textId="77777777" w:rsidR="00545B33" w:rsidRDefault="00545B33" w:rsidP="00C061EC">
      <w:pPr>
        <w:spacing w:line="360" w:lineRule="auto"/>
        <w:jc w:val="both"/>
        <w:rPr>
          <w:rFonts w:eastAsiaTheme="minorEastAsia"/>
          <w:b/>
          <w:bCs/>
          <w:color w:val="000000"/>
          <w:bdr w:val="none" w:sz="0" w:space="0" w:color="auto" w:frame="1"/>
        </w:rPr>
      </w:pPr>
    </w:p>
    <w:p w14:paraId="7A8E7F83" w14:textId="77777777" w:rsidR="00545B33" w:rsidRDefault="00545B33" w:rsidP="00C061EC">
      <w:pPr>
        <w:spacing w:line="360" w:lineRule="auto"/>
        <w:jc w:val="both"/>
        <w:rPr>
          <w:rFonts w:eastAsiaTheme="minorEastAsia"/>
          <w:b/>
          <w:bCs/>
          <w:color w:val="000000"/>
          <w:bdr w:val="none" w:sz="0" w:space="0" w:color="auto" w:frame="1"/>
        </w:rPr>
      </w:pPr>
    </w:p>
    <w:p w14:paraId="7B909CED" w14:textId="77777777" w:rsidR="00545B33" w:rsidRDefault="00545B33" w:rsidP="00C061EC">
      <w:pPr>
        <w:spacing w:line="360" w:lineRule="auto"/>
        <w:jc w:val="both"/>
        <w:rPr>
          <w:rFonts w:eastAsiaTheme="minorEastAsia"/>
          <w:b/>
          <w:bCs/>
          <w:color w:val="000000"/>
          <w:bdr w:val="none" w:sz="0" w:space="0" w:color="auto" w:frame="1"/>
        </w:rPr>
      </w:pPr>
    </w:p>
    <w:p w14:paraId="586EC985" w14:textId="77777777" w:rsidR="00545B33" w:rsidRDefault="00545B33" w:rsidP="00C061EC">
      <w:pPr>
        <w:spacing w:line="360" w:lineRule="auto"/>
        <w:jc w:val="both"/>
        <w:rPr>
          <w:rFonts w:eastAsiaTheme="minorEastAsia"/>
          <w:b/>
          <w:bCs/>
          <w:color w:val="000000"/>
          <w:bdr w:val="none" w:sz="0" w:space="0" w:color="auto" w:frame="1"/>
        </w:rPr>
      </w:pPr>
    </w:p>
    <w:p w14:paraId="02ECD624" w14:textId="77777777" w:rsidR="00545B33" w:rsidRDefault="00545B33" w:rsidP="00C061EC">
      <w:pPr>
        <w:spacing w:line="360" w:lineRule="auto"/>
        <w:jc w:val="both"/>
        <w:rPr>
          <w:rFonts w:eastAsiaTheme="minorEastAsia"/>
          <w:b/>
          <w:bCs/>
          <w:color w:val="000000"/>
          <w:bdr w:val="none" w:sz="0" w:space="0" w:color="auto" w:frame="1"/>
        </w:rPr>
      </w:pPr>
    </w:p>
    <w:p w14:paraId="6EAA291B" w14:textId="77777777" w:rsidR="00545B33" w:rsidRDefault="00545B33" w:rsidP="00C061EC">
      <w:pPr>
        <w:spacing w:line="360" w:lineRule="auto"/>
        <w:jc w:val="both"/>
        <w:rPr>
          <w:rFonts w:eastAsiaTheme="minorEastAsia"/>
          <w:b/>
          <w:bCs/>
          <w:color w:val="000000"/>
          <w:bdr w:val="none" w:sz="0" w:space="0" w:color="auto" w:frame="1"/>
        </w:rPr>
      </w:pPr>
    </w:p>
    <w:p w14:paraId="2E82E276" w14:textId="52DFCC3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b/>
          <w:bCs/>
          <w:color w:val="000000"/>
          <w:bdr w:val="none" w:sz="0" w:space="0" w:color="auto" w:frame="1"/>
        </w:rPr>
        <w:t>Obesity</w:t>
      </w:r>
    </w:p>
    <w:p w14:paraId="6E369F42"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40889160" w14:textId="7EC8D03C"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xml:space="preserve">Bob’s body weight of 105kg and height of 1.83 metres gives him a body mass index (BMI) of approximately 31.4 kg/m2, classifying him as living with obesity (NICE, 2025). Although BMI is widely used to classify obesity, it does not distinguish between lean body mass and adipose tissue or account for fat distribution. Consequently, BMI may underestimate cardiovascular risk because visceral adipose tissue is more strongly associated with insulin resistance, </w:t>
      </w:r>
      <w:r w:rsidR="00880FA5" w:rsidRPr="00D71AC2">
        <w:rPr>
          <w:rFonts w:eastAsiaTheme="minorEastAsia"/>
          <w:color w:val="000000"/>
          <w:bdr w:val="none" w:sz="0" w:space="0" w:color="auto" w:frame="1"/>
        </w:rPr>
        <w:t>hypertension,</w:t>
      </w:r>
      <w:r w:rsidRPr="00D71AC2">
        <w:rPr>
          <w:rFonts w:eastAsiaTheme="minorEastAsia"/>
          <w:color w:val="000000"/>
          <w:bdr w:val="none" w:sz="0" w:space="0" w:color="auto" w:frame="1"/>
        </w:rPr>
        <w:t xml:space="preserve"> and cardiovascular disease than BMI alone (</w:t>
      </w:r>
      <w:proofErr w:type="spellStart"/>
      <w:r w:rsidRPr="00D71AC2">
        <w:rPr>
          <w:rFonts w:eastAsiaTheme="minorEastAsia"/>
          <w:color w:val="000000"/>
          <w:bdr w:val="none" w:sz="0" w:space="0" w:color="auto" w:frame="1"/>
        </w:rPr>
        <w:t>Tanasescu</w:t>
      </w:r>
      <w:proofErr w:type="spellEnd"/>
      <w:r w:rsidRPr="00D71AC2">
        <w:rPr>
          <w:rFonts w:eastAsiaTheme="minorEastAsia"/>
          <w:color w:val="000000"/>
          <w:bdr w:val="none" w:sz="0" w:space="0" w:color="auto" w:frame="1"/>
        </w:rPr>
        <w:t xml:space="preserve"> et al., 2025; </w:t>
      </w:r>
      <w:proofErr w:type="spellStart"/>
      <w:r w:rsidRPr="00D71AC2">
        <w:rPr>
          <w:rFonts w:eastAsiaTheme="minorEastAsia"/>
          <w:color w:val="000000"/>
          <w:bdr w:val="none" w:sz="0" w:space="0" w:color="auto" w:frame="1"/>
        </w:rPr>
        <w:t>Neeland</w:t>
      </w:r>
      <w:proofErr w:type="spellEnd"/>
      <w:r w:rsidRPr="00D71AC2">
        <w:rPr>
          <w:rFonts w:eastAsiaTheme="minorEastAsia"/>
          <w:color w:val="000000"/>
          <w:bdr w:val="none" w:sz="0" w:space="0" w:color="auto" w:frame="1"/>
        </w:rPr>
        <w:t xml:space="preserve"> et al., 2018). Research suggests that excessive abdominal fat is a stronger predictor of cardio-metabolic disease because visceral adipose tissue is metabolically active, contributing to chronic inflammation, endothelial </w:t>
      </w:r>
      <w:r w:rsidR="004549DB" w:rsidRPr="00D71AC2">
        <w:rPr>
          <w:rFonts w:eastAsiaTheme="minorEastAsia"/>
          <w:color w:val="000000"/>
          <w:bdr w:val="none" w:sz="0" w:space="0" w:color="auto" w:frame="1"/>
        </w:rPr>
        <w:t>dysfunction,</w:t>
      </w:r>
      <w:r w:rsidRPr="00D71AC2">
        <w:rPr>
          <w:rFonts w:eastAsiaTheme="minorEastAsia"/>
          <w:color w:val="000000"/>
          <w:bdr w:val="none" w:sz="0" w:space="0" w:color="auto" w:frame="1"/>
        </w:rPr>
        <w:t xml:space="preserve"> and atherosclerosis (Powell-Wiley et al., 2021; </w:t>
      </w:r>
      <w:proofErr w:type="spellStart"/>
      <w:r w:rsidRPr="00D71AC2">
        <w:rPr>
          <w:rFonts w:eastAsiaTheme="minorEastAsia"/>
          <w:color w:val="000000"/>
          <w:bdr w:val="none" w:sz="0" w:space="0" w:color="auto" w:frame="1"/>
        </w:rPr>
        <w:t>Silveira</w:t>
      </w:r>
      <w:proofErr w:type="spellEnd"/>
      <w:r w:rsidRPr="00D71AC2">
        <w:rPr>
          <w:rFonts w:eastAsiaTheme="minorEastAsia"/>
          <w:color w:val="000000"/>
          <w:bdr w:val="none" w:sz="0" w:space="0" w:color="auto" w:frame="1"/>
        </w:rPr>
        <w:t xml:space="preserve"> et al., 2021). </w:t>
      </w:r>
    </w:p>
    <w:p w14:paraId="523DE704"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2BD467CF" w14:textId="415C6983"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xml:space="preserve">Bob’s obesity is likely to contribute directly to his existing hypertension and pre-diabetes by promoting insulin resistance, chronic </w:t>
      </w:r>
      <w:r w:rsidR="006B768E" w:rsidRPr="00D71AC2">
        <w:rPr>
          <w:rFonts w:eastAsiaTheme="minorEastAsia"/>
          <w:color w:val="000000"/>
          <w:bdr w:val="none" w:sz="0" w:space="0" w:color="auto" w:frame="1"/>
        </w:rPr>
        <w:t>low-grade</w:t>
      </w:r>
      <w:r w:rsidRPr="00D71AC2">
        <w:rPr>
          <w:rFonts w:eastAsiaTheme="minorEastAsia"/>
          <w:color w:val="000000"/>
          <w:bdr w:val="none" w:sz="0" w:space="0" w:color="auto" w:frame="1"/>
        </w:rPr>
        <w:t xml:space="preserve"> </w:t>
      </w:r>
      <w:r w:rsidR="00880FA5" w:rsidRPr="00D71AC2">
        <w:rPr>
          <w:rFonts w:eastAsiaTheme="minorEastAsia"/>
          <w:color w:val="000000"/>
          <w:bdr w:val="none" w:sz="0" w:space="0" w:color="auto" w:frame="1"/>
        </w:rPr>
        <w:t>inflammation,</w:t>
      </w:r>
      <w:r w:rsidRPr="00D71AC2">
        <w:rPr>
          <w:rFonts w:eastAsiaTheme="minorEastAsia"/>
          <w:color w:val="000000"/>
          <w:bdr w:val="none" w:sz="0" w:space="0" w:color="auto" w:frame="1"/>
        </w:rPr>
        <w:t xml:space="preserve"> and endothelial dysfunction, all of which accelerate the development of cardiovascular disease (Powell-Wiley et al., 2021). These conditions interact to amplify his overall cardiovascular risk, demonstrating how modifiable risk factors rarely occur in isolation but instead compound one another over time (British Heart Foundation, 2024). Furthermore, Bob reports experiencing breathlessness when climbing stairs, suggesting that his obesity is already impairing his physical functioning and cardiovascular fitness rather than representing only a future health risk (NICE, 2025).</w:t>
      </w:r>
    </w:p>
    <w:p w14:paraId="0E9F447F"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0F137CE1" w14:textId="780918E4"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xml:space="preserve">Bob’s occupation as a </w:t>
      </w:r>
      <w:r w:rsidR="006B768E" w:rsidRPr="00D71AC2">
        <w:rPr>
          <w:rFonts w:eastAsiaTheme="minorEastAsia"/>
          <w:color w:val="000000"/>
          <w:bdr w:val="none" w:sz="0" w:space="0" w:color="auto" w:frame="1"/>
        </w:rPr>
        <w:t>long-distance</w:t>
      </w:r>
      <w:r w:rsidRPr="00D71AC2">
        <w:rPr>
          <w:rFonts w:eastAsiaTheme="minorEastAsia"/>
          <w:color w:val="000000"/>
          <w:bdr w:val="none" w:sz="0" w:space="0" w:color="auto" w:frame="1"/>
        </w:rPr>
        <w:t xml:space="preserve"> lorry driver is also likely to contribute to his obesity. Spending prolonged periods sitting, limiting opportunities for physical activity and reliance on readily available convenience foods while travelling create significant barriers to maintaining a healthy weight (World Health Organisation, 2025). From a </w:t>
      </w:r>
      <w:proofErr w:type="spellStart"/>
      <w:r w:rsidRPr="00D71AC2">
        <w:rPr>
          <w:rFonts w:eastAsiaTheme="minorEastAsia"/>
          <w:color w:val="000000"/>
          <w:bdr w:val="none" w:sz="0" w:space="0" w:color="auto" w:frame="1"/>
        </w:rPr>
        <w:t>biopsychosocial</w:t>
      </w:r>
      <w:proofErr w:type="spellEnd"/>
      <w:r w:rsidRPr="00D71AC2">
        <w:rPr>
          <w:rFonts w:eastAsiaTheme="minorEastAsia"/>
          <w:color w:val="000000"/>
          <w:bdr w:val="none" w:sz="0" w:space="0" w:color="auto" w:frame="1"/>
        </w:rPr>
        <w:t xml:space="preserve"> perspective, Bob’s obesity should therefore not be viewed solely as the result of individual lifestyle choice but as the consequences of interacting biological, </w:t>
      </w:r>
      <w:r w:rsidR="004549DB" w:rsidRPr="00D71AC2">
        <w:rPr>
          <w:rFonts w:eastAsiaTheme="minorEastAsia"/>
          <w:color w:val="000000"/>
          <w:bdr w:val="none" w:sz="0" w:space="0" w:color="auto" w:frame="1"/>
        </w:rPr>
        <w:t>occupational,</w:t>
      </w:r>
      <w:r w:rsidRPr="00D71AC2">
        <w:rPr>
          <w:rFonts w:eastAsiaTheme="minorEastAsia"/>
          <w:color w:val="000000"/>
          <w:bdr w:val="none" w:sz="0" w:space="0" w:color="auto" w:frame="1"/>
        </w:rPr>
        <w:t xml:space="preserve"> and environmental factors that influence his ability to adopt healthier behaviours (Engel, 1977). This highlights the importance for realistic, </w:t>
      </w:r>
      <w:r w:rsidR="00F84B9D" w:rsidRPr="00D71AC2">
        <w:rPr>
          <w:rFonts w:eastAsiaTheme="minorEastAsia"/>
          <w:color w:val="000000"/>
          <w:bdr w:val="none" w:sz="0" w:space="0" w:color="auto" w:frame="1"/>
        </w:rPr>
        <w:t>person-centred</w:t>
      </w:r>
      <w:r w:rsidRPr="00D71AC2">
        <w:rPr>
          <w:rFonts w:eastAsiaTheme="minorEastAsia"/>
          <w:color w:val="000000"/>
          <w:bdr w:val="none" w:sz="0" w:space="0" w:color="auto" w:frame="1"/>
        </w:rPr>
        <w:t xml:space="preserve"> interventions that are tailored to Bob’s working routine, as lifestyle interventions are more likely to be successful when they reflect an individual’s circumstances, </w:t>
      </w:r>
      <w:r w:rsidR="004549DB" w:rsidRPr="00D71AC2">
        <w:rPr>
          <w:rFonts w:eastAsiaTheme="minorEastAsia"/>
          <w:color w:val="000000"/>
          <w:bdr w:val="none" w:sz="0" w:space="0" w:color="auto" w:frame="1"/>
        </w:rPr>
        <w:t>preferences,</w:t>
      </w:r>
      <w:r w:rsidRPr="00D71AC2">
        <w:rPr>
          <w:rFonts w:eastAsiaTheme="minorEastAsia"/>
          <w:color w:val="000000"/>
          <w:bdr w:val="none" w:sz="0" w:space="0" w:color="auto" w:frame="1"/>
        </w:rPr>
        <w:t xml:space="preserve"> and ability to sustain long term behaviour change (NICE, 2025)</w:t>
      </w:r>
    </w:p>
    <w:p w14:paraId="79AA74D0"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1B504ECB"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lastRenderedPageBreak/>
        <w:t> </w:t>
      </w:r>
    </w:p>
    <w:p w14:paraId="72EB858E"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b/>
          <w:bCs/>
          <w:color w:val="000000"/>
          <w:bdr w:val="none" w:sz="0" w:space="0" w:color="auto" w:frame="1"/>
        </w:rPr>
        <w:t>Sedentary lifestyle </w:t>
      </w:r>
    </w:p>
    <w:p w14:paraId="506F812F"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60BBD7CA" w14:textId="25F9CEF9"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xml:space="preserve">Bob’s occupation as a </w:t>
      </w:r>
      <w:r w:rsidR="00F84B9D" w:rsidRPr="00D71AC2">
        <w:rPr>
          <w:rFonts w:eastAsiaTheme="minorEastAsia"/>
          <w:color w:val="000000"/>
          <w:bdr w:val="none" w:sz="0" w:space="0" w:color="auto" w:frame="1"/>
        </w:rPr>
        <w:t>long-distance</w:t>
      </w:r>
      <w:r w:rsidRPr="00D71AC2">
        <w:rPr>
          <w:rFonts w:eastAsiaTheme="minorEastAsia"/>
          <w:color w:val="000000"/>
          <w:bdr w:val="none" w:sz="0" w:space="0" w:color="auto" w:frame="1"/>
        </w:rPr>
        <w:t xml:space="preserve"> lorry driver requires him to remain seated for prolonged periods with limited opportunities for physical activity. Sedentary behaviour is defined as any waking behaviour characterised by an energy expenditure of 1.5 metabolic equivalents while in a sitting, </w:t>
      </w:r>
      <w:r w:rsidR="0097378C" w:rsidRPr="00D71AC2">
        <w:rPr>
          <w:rFonts w:eastAsiaTheme="minorEastAsia"/>
          <w:color w:val="000000"/>
          <w:bdr w:val="none" w:sz="0" w:space="0" w:color="auto" w:frame="1"/>
        </w:rPr>
        <w:t>reclining,</w:t>
      </w:r>
      <w:r w:rsidRPr="00D71AC2">
        <w:rPr>
          <w:rFonts w:eastAsiaTheme="minorEastAsia"/>
          <w:color w:val="000000"/>
          <w:bdr w:val="none" w:sz="0" w:space="0" w:color="auto" w:frame="1"/>
        </w:rPr>
        <w:t xml:space="preserve"> or lying posture (Tremblay et al.,2017). Prolonged occupational sitting has been associated with an increased risk of obesity, cardiovascular disease, type 2 </w:t>
      </w:r>
      <w:r w:rsidR="004549DB" w:rsidRPr="00D71AC2">
        <w:rPr>
          <w:rFonts w:eastAsiaTheme="minorEastAsia"/>
          <w:color w:val="000000"/>
          <w:bdr w:val="none" w:sz="0" w:space="0" w:color="auto" w:frame="1"/>
        </w:rPr>
        <w:t>diabetes,</w:t>
      </w:r>
      <w:r w:rsidRPr="00D71AC2">
        <w:rPr>
          <w:rFonts w:eastAsiaTheme="minorEastAsia"/>
          <w:color w:val="000000"/>
          <w:bdr w:val="none" w:sz="0" w:space="0" w:color="auto" w:frame="1"/>
        </w:rPr>
        <w:t xml:space="preserve"> and premature mortality, even among individuals who undertake some physical activity outside working hours (</w:t>
      </w:r>
      <w:proofErr w:type="spellStart"/>
      <w:r w:rsidRPr="00D71AC2">
        <w:rPr>
          <w:rFonts w:eastAsiaTheme="minorEastAsia"/>
          <w:color w:val="000000"/>
          <w:bdr w:val="none" w:sz="0" w:space="0" w:color="auto" w:frame="1"/>
        </w:rPr>
        <w:t>Ekelund</w:t>
      </w:r>
      <w:proofErr w:type="spellEnd"/>
      <w:r w:rsidRPr="00D71AC2">
        <w:rPr>
          <w:rFonts w:eastAsiaTheme="minorEastAsia"/>
          <w:color w:val="000000"/>
          <w:bdr w:val="none" w:sz="0" w:space="0" w:color="auto" w:frame="1"/>
        </w:rPr>
        <w:t xml:space="preserve"> et al., 2019)</w:t>
      </w:r>
    </w:p>
    <w:p w14:paraId="215259EB"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6F5057AC" w14:textId="31D620C3"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xml:space="preserve">Bob’s working pattern is likely to contribute to his obesity, </w:t>
      </w:r>
      <w:r w:rsidR="0097378C" w:rsidRPr="00D71AC2">
        <w:rPr>
          <w:rFonts w:eastAsiaTheme="minorEastAsia"/>
          <w:color w:val="000000"/>
          <w:bdr w:val="none" w:sz="0" w:space="0" w:color="auto" w:frame="1"/>
        </w:rPr>
        <w:t>hypertension,</w:t>
      </w:r>
      <w:r w:rsidRPr="00D71AC2">
        <w:rPr>
          <w:rFonts w:eastAsiaTheme="minorEastAsia"/>
          <w:color w:val="000000"/>
          <w:bdr w:val="none" w:sz="0" w:space="0" w:color="auto" w:frame="1"/>
        </w:rPr>
        <w:t xml:space="preserve"> and pre-diabetes by reducing his daily energy expenditure and increasing the amount of uninterrupted sitting accumulated throughout the week. Prolonged sedentary behaviour has been shown to impair glucose metabolism, reduce insulin sensitivity and negatively affect lipid metabolism, all of which contribute to an increased </w:t>
      </w:r>
      <w:proofErr w:type="spellStart"/>
      <w:r w:rsidRPr="00D71AC2">
        <w:rPr>
          <w:rFonts w:eastAsiaTheme="minorEastAsia"/>
          <w:color w:val="000000"/>
          <w:bdr w:val="none" w:sz="0" w:space="0" w:color="auto" w:frame="1"/>
        </w:rPr>
        <w:t>cardiometobolic</w:t>
      </w:r>
      <w:proofErr w:type="spellEnd"/>
      <w:r w:rsidRPr="00D71AC2">
        <w:rPr>
          <w:rFonts w:eastAsiaTheme="minorEastAsia"/>
          <w:color w:val="000000"/>
          <w:bdr w:val="none" w:sz="0" w:space="0" w:color="auto" w:frame="1"/>
        </w:rPr>
        <w:t xml:space="preserve"> risk (</w:t>
      </w:r>
      <w:proofErr w:type="spellStart"/>
      <w:r w:rsidRPr="00D71AC2">
        <w:rPr>
          <w:rFonts w:eastAsiaTheme="minorEastAsia"/>
          <w:color w:val="000000"/>
          <w:bdr w:val="none" w:sz="0" w:space="0" w:color="auto" w:frame="1"/>
        </w:rPr>
        <w:t>Reichel</w:t>
      </w:r>
      <w:proofErr w:type="spellEnd"/>
      <w:r w:rsidRPr="00D71AC2">
        <w:rPr>
          <w:rFonts w:eastAsiaTheme="minorEastAsia"/>
          <w:color w:val="000000"/>
          <w:bdr w:val="none" w:sz="0" w:space="0" w:color="auto" w:frame="1"/>
        </w:rPr>
        <w:t xml:space="preserve"> et al., 2022). </w:t>
      </w:r>
    </w:p>
    <w:p w14:paraId="78405060"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56586C7C"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Research also suggests that prolonged sedentary behaviour and limited opportunities for physical activity are associated with increased symptoms of depression and anxiety, particularly when sedentary time is accumulated without regular movement breaks (</w:t>
      </w:r>
      <w:proofErr w:type="spellStart"/>
      <w:r w:rsidRPr="00D71AC2">
        <w:rPr>
          <w:rFonts w:eastAsiaTheme="minorEastAsia"/>
          <w:color w:val="000000"/>
          <w:bdr w:val="none" w:sz="0" w:space="0" w:color="auto" w:frame="1"/>
        </w:rPr>
        <w:t>Hallgren</w:t>
      </w:r>
      <w:proofErr w:type="spellEnd"/>
      <w:r w:rsidRPr="00D71AC2">
        <w:rPr>
          <w:rFonts w:eastAsiaTheme="minorEastAsia"/>
          <w:color w:val="000000"/>
          <w:bdr w:val="none" w:sz="0" w:space="0" w:color="auto" w:frame="1"/>
        </w:rPr>
        <w:t xml:space="preserve"> et al., 2020). Bob’s reported loneliness, poor sleep and anxiety may therefore be influenced not only by the demands of his occupation but also by the prolonged inactivity and social isolation associated with long distance driving, this highlights the interaction between biological, psychological and social factors described by the </w:t>
      </w:r>
      <w:proofErr w:type="spellStart"/>
      <w:r w:rsidRPr="00D71AC2">
        <w:rPr>
          <w:rFonts w:eastAsiaTheme="minorEastAsia"/>
          <w:color w:val="000000"/>
          <w:bdr w:val="none" w:sz="0" w:space="0" w:color="auto" w:frame="1"/>
        </w:rPr>
        <w:t>biopsychosocial</w:t>
      </w:r>
      <w:proofErr w:type="spellEnd"/>
      <w:r w:rsidRPr="00D71AC2">
        <w:rPr>
          <w:rFonts w:eastAsiaTheme="minorEastAsia"/>
          <w:color w:val="000000"/>
          <w:bdr w:val="none" w:sz="0" w:space="0" w:color="auto" w:frame="1"/>
        </w:rPr>
        <w:t xml:space="preserve"> model (Engel, 1977)</w:t>
      </w:r>
    </w:p>
    <w:p w14:paraId="1946A365"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45F72512"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Although Bob’s occupation limits the amount of structured exercise he can undertake during the working week, evidence suggests that interrupting prolonged sitting with short bouts of light physical activity or walking can improve glucose regulation, circulation and overall cardiometabolic health (World Health Organisation, 2025). Consequently, even small, realistic changes to Bob’s daily routine may provide a more achievable approach to long term behaviour change than expecting major lifestyle changes all at once.</w:t>
      </w:r>
    </w:p>
    <w:p w14:paraId="3555F30A"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3D5995C2" w14:textId="77777777" w:rsidR="00FC3F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0F8498B1" w14:textId="77777777" w:rsidR="00545B33" w:rsidRDefault="00545B33" w:rsidP="00C061EC">
      <w:pPr>
        <w:spacing w:line="360" w:lineRule="auto"/>
        <w:jc w:val="both"/>
        <w:rPr>
          <w:rFonts w:eastAsiaTheme="minorEastAsia"/>
          <w:color w:val="000000"/>
          <w:bdr w:val="none" w:sz="0" w:space="0" w:color="auto" w:frame="1"/>
        </w:rPr>
      </w:pPr>
    </w:p>
    <w:p w14:paraId="480DFBA0" w14:textId="77777777" w:rsidR="00545B33" w:rsidRPr="00D71AC2" w:rsidRDefault="00545B33" w:rsidP="00C061EC">
      <w:pPr>
        <w:spacing w:line="360" w:lineRule="auto"/>
        <w:jc w:val="both"/>
        <w:rPr>
          <w:rFonts w:eastAsiaTheme="minorEastAsia"/>
          <w:color w:val="000000"/>
          <w:bdr w:val="none" w:sz="0" w:space="0" w:color="auto" w:frame="1"/>
        </w:rPr>
      </w:pPr>
    </w:p>
    <w:p w14:paraId="30D30620"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b/>
          <w:bCs/>
          <w:color w:val="000000"/>
          <w:bdr w:val="none" w:sz="0" w:space="0" w:color="auto" w:frame="1"/>
        </w:rPr>
        <w:t>Pre-Diabetes</w:t>
      </w:r>
    </w:p>
    <w:p w14:paraId="2A9EBA84"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266618F8" w14:textId="610C4D86"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xml:space="preserve">Bob’s obesity, sedentary </w:t>
      </w:r>
      <w:r w:rsidR="005A733C" w:rsidRPr="00D71AC2">
        <w:rPr>
          <w:rFonts w:eastAsiaTheme="minorEastAsia"/>
          <w:color w:val="000000"/>
          <w:bdr w:val="none" w:sz="0" w:space="0" w:color="auto" w:frame="1"/>
        </w:rPr>
        <w:t>lifestyle,</w:t>
      </w:r>
      <w:r w:rsidRPr="00D71AC2">
        <w:rPr>
          <w:rFonts w:eastAsiaTheme="minorEastAsia"/>
          <w:color w:val="000000"/>
          <w:bdr w:val="none" w:sz="0" w:space="0" w:color="auto" w:frame="1"/>
        </w:rPr>
        <w:t xml:space="preserve"> and poor dietary habits place him at a significantly increased risk of progressing from pre-diabetes to type 2 diabetes. Pre-diabetes is characterised by blood glucose levels that are higher than normal but not yet within the diagnostic range for type 2 diabetes, indicating impaired glucose regulation and an increased risk of future diabetes and cardiovascular disease </w:t>
      </w:r>
      <w:r w:rsidR="00811BBB" w:rsidRPr="00D71AC2">
        <w:rPr>
          <w:rFonts w:eastAsiaTheme="minorEastAsia"/>
          <w:color w:val="000000"/>
          <w:bdr w:val="none" w:sz="0" w:space="0" w:color="auto" w:frame="1"/>
        </w:rPr>
        <w:t>(NICE</w:t>
      </w:r>
      <w:r w:rsidRPr="00D71AC2">
        <w:rPr>
          <w:rFonts w:eastAsiaTheme="minorEastAsia"/>
          <w:color w:val="000000"/>
          <w:bdr w:val="none" w:sz="0" w:space="0" w:color="auto" w:frame="1"/>
        </w:rPr>
        <w:t>, 2022). Without appropriate intervention, many individuals with pre-diabetes will progress to type 2 diabetes, however, this progression can often be delayed or prevented through sustainable lifestyle modifications (</w:t>
      </w:r>
      <w:proofErr w:type="spellStart"/>
      <w:r w:rsidRPr="00D71AC2">
        <w:rPr>
          <w:rFonts w:eastAsiaTheme="minorEastAsia"/>
          <w:color w:val="000000"/>
          <w:bdr w:val="none" w:sz="0" w:space="0" w:color="auto" w:frame="1"/>
        </w:rPr>
        <w:t>Galaviz</w:t>
      </w:r>
      <w:proofErr w:type="spellEnd"/>
      <w:r w:rsidRPr="00D71AC2">
        <w:rPr>
          <w:rFonts w:eastAsiaTheme="minorEastAsia"/>
          <w:color w:val="000000"/>
          <w:bdr w:val="none" w:sz="0" w:space="0" w:color="auto" w:frame="1"/>
        </w:rPr>
        <w:t xml:space="preserve"> et al., 2018)</w:t>
      </w:r>
    </w:p>
    <w:p w14:paraId="35D8B2B8"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554D0167"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Several of Bob’s modifiable risk factors are likely to contribute to insulin resistance. His obesity, particularly excess abdominal adiposity, combined with prolonged physical inactivity and a diet high in processed foods, salt and sugar, reduces the body’s ability to use insulin effectively, resulting in elevated blood glucose levels (Diabetes UK, 2026). Furthermore, his long working hours and limited opportunities to prepare nutritious meals make it more difficult to maintain healthy eating habits, increasing the likelihood of disease progression. These occupational demands limit his ability to make healthier lifestyle choices, reinforcing the importance of realistic and achievable interventions</w:t>
      </w:r>
    </w:p>
    <w:p w14:paraId="063BADFA"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3A8E1654"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xml:space="preserve">Pre-diabetes also substantially increases bobs long term risk of cardiovascular disease. Individuals with impaired glucose regulation are more likely to develop hypertension, </w:t>
      </w:r>
      <w:proofErr w:type="spellStart"/>
      <w:r w:rsidRPr="00D71AC2">
        <w:rPr>
          <w:rFonts w:eastAsiaTheme="minorEastAsia"/>
          <w:color w:val="000000"/>
          <w:bdr w:val="none" w:sz="0" w:space="0" w:color="auto" w:frame="1"/>
        </w:rPr>
        <w:t>dyslipidaemia</w:t>
      </w:r>
      <w:proofErr w:type="spellEnd"/>
      <w:r w:rsidRPr="00D71AC2">
        <w:rPr>
          <w:rFonts w:eastAsiaTheme="minorEastAsia"/>
          <w:color w:val="000000"/>
          <w:bdr w:val="none" w:sz="0" w:space="0" w:color="auto" w:frame="1"/>
        </w:rPr>
        <w:t xml:space="preserve"> and endothelial dysfunction before diabetes is formally diagnosed, demonstrating that cardiovascular damage often begins during the pre-diabetes stage (Huang et al., 2016). </w:t>
      </w:r>
    </w:p>
    <w:p w14:paraId="77FB6B6E"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03554FC7" w14:textId="77777777" w:rsidR="00FC3F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1AB47DD1" w14:textId="77777777" w:rsidR="00545B33" w:rsidRDefault="00545B33" w:rsidP="00C061EC">
      <w:pPr>
        <w:spacing w:line="360" w:lineRule="auto"/>
        <w:jc w:val="both"/>
        <w:rPr>
          <w:rFonts w:eastAsiaTheme="minorEastAsia"/>
          <w:color w:val="000000"/>
          <w:bdr w:val="none" w:sz="0" w:space="0" w:color="auto" w:frame="1"/>
        </w:rPr>
      </w:pPr>
    </w:p>
    <w:p w14:paraId="0004DE01" w14:textId="77777777" w:rsidR="00545B33" w:rsidRDefault="00545B33" w:rsidP="00C061EC">
      <w:pPr>
        <w:spacing w:line="360" w:lineRule="auto"/>
        <w:jc w:val="both"/>
        <w:rPr>
          <w:rFonts w:eastAsiaTheme="minorEastAsia"/>
          <w:color w:val="000000"/>
          <w:bdr w:val="none" w:sz="0" w:space="0" w:color="auto" w:frame="1"/>
        </w:rPr>
      </w:pPr>
    </w:p>
    <w:p w14:paraId="15A0A2F4" w14:textId="77777777" w:rsidR="00545B33" w:rsidRDefault="00545B33" w:rsidP="00C061EC">
      <w:pPr>
        <w:spacing w:line="360" w:lineRule="auto"/>
        <w:jc w:val="both"/>
        <w:rPr>
          <w:rFonts w:eastAsiaTheme="minorEastAsia"/>
          <w:color w:val="000000"/>
          <w:bdr w:val="none" w:sz="0" w:space="0" w:color="auto" w:frame="1"/>
        </w:rPr>
      </w:pPr>
    </w:p>
    <w:p w14:paraId="3DD94A49" w14:textId="77777777" w:rsidR="00545B33" w:rsidRDefault="00545B33" w:rsidP="00C061EC">
      <w:pPr>
        <w:spacing w:line="360" w:lineRule="auto"/>
        <w:jc w:val="both"/>
        <w:rPr>
          <w:rFonts w:eastAsiaTheme="minorEastAsia"/>
          <w:color w:val="000000"/>
          <w:bdr w:val="none" w:sz="0" w:space="0" w:color="auto" w:frame="1"/>
        </w:rPr>
      </w:pPr>
    </w:p>
    <w:p w14:paraId="2AB90573" w14:textId="77777777" w:rsidR="00545B33" w:rsidRDefault="00545B33" w:rsidP="00C061EC">
      <w:pPr>
        <w:spacing w:line="360" w:lineRule="auto"/>
        <w:jc w:val="both"/>
        <w:rPr>
          <w:rFonts w:eastAsiaTheme="minorEastAsia"/>
          <w:color w:val="000000"/>
          <w:bdr w:val="none" w:sz="0" w:space="0" w:color="auto" w:frame="1"/>
        </w:rPr>
      </w:pPr>
    </w:p>
    <w:p w14:paraId="4AA4B2E4" w14:textId="77777777" w:rsidR="00545B33" w:rsidRDefault="00545B33" w:rsidP="00C061EC">
      <w:pPr>
        <w:spacing w:line="360" w:lineRule="auto"/>
        <w:jc w:val="both"/>
        <w:rPr>
          <w:rFonts w:eastAsiaTheme="minorEastAsia"/>
          <w:color w:val="000000"/>
          <w:bdr w:val="none" w:sz="0" w:space="0" w:color="auto" w:frame="1"/>
        </w:rPr>
      </w:pPr>
    </w:p>
    <w:p w14:paraId="7587138F" w14:textId="77777777" w:rsidR="00545B33" w:rsidRDefault="00545B33" w:rsidP="00C061EC">
      <w:pPr>
        <w:spacing w:line="360" w:lineRule="auto"/>
        <w:jc w:val="both"/>
        <w:rPr>
          <w:rFonts w:eastAsiaTheme="minorEastAsia"/>
          <w:color w:val="000000"/>
          <w:bdr w:val="none" w:sz="0" w:space="0" w:color="auto" w:frame="1"/>
        </w:rPr>
      </w:pPr>
    </w:p>
    <w:p w14:paraId="3EA1BA7D" w14:textId="77777777" w:rsidR="00545B33" w:rsidRPr="00D71AC2" w:rsidRDefault="00545B33" w:rsidP="00C061EC">
      <w:pPr>
        <w:spacing w:line="360" w:lineRule="auto"/>
        <w:jc w:val="both"/>
        <w:rPr>
          <w:rFonts w:eastAsiaTheme="minorEastAsia"/>
          <w:color w:val="000000"/>
          <w:bdr w:val="none" w:sz="0" w:space="0" w:color="auto" w:frame="1"/>
        </w:rPr>
      </w:pPr>
    </w:p>
    <w:p w14:paraId="7AE23FA9"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b/>
          <w:bCs/>
          <w:color w:val="000000"/>
          <w:bdr w:val="none" w:sz="0" w:space="0" w:color="auto" w:frame="1"/>
        </w:rPr>
        <w:t xml:space="preserve">Hypertension and </w:t>
      </w:r>
      <w:proofErr w:type="spellStart"/>
      <w:r w:rsidRPr="00D71AC2">
        <w:rPr>
          <w:rFonts w:eastAsiaTheme="minorEastAsia"/>
          <w:b/>
          <w:bCs/>
          <w:color w:val="000000"/>
          <w:bdr w:val="none" w:sz="0" w:space="0" w:color="auto" w:frame="1"/>
        </w:rPr>
        <w:t>Hypercholesterolemia</w:t>
      </w:r>
      <w:proofErr w:type="spellEnd"/>
    </w:p>
    <w:p w14:paraId="54B12357"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2AA5B56C" w14:textId="0B686F06"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xml:space="preserve">Bob’s blood pressure of 160/99 mmHg is classified as stage 2 hypertension, placing Bob at an increased risk of cardiovascular disease, stroke and kidney disease if left unmanaged (NICE, 2023). His obesity, physical inactivity, high salt intake, </w:t>
      </w:r>
      <w:r w:rsidR="005A733C" w:rsidRPr="00D71AC2">
        <w:rPr>
          <w:rFonts w:eastAsiaTheme="minorEastAsia"/>
          <w:color w:val="000000"/>
          <w:bdr w:val="none" w:sz="0" w:space="0" w:color="auto" w:frame="1"/>
        </w:rPr>
        <w:t>smoking,</w:t>
      </w:r>
      <w:r w:rsidRPr="00D71AC2">
        <w:rPr>
          <w:rFonts w:eastAsiaTheme="minorEastAsia"/>
          <w:color w:val="000000"/>
          <w:bdr w:val="none" w:sz="0" w:space="0" w:color="auto" w:frame="1"/>
        </w:rPr>
        <w:t xml:space="preserve"> and alcohol consumption are all recognised modifiable risk factors that contribute to elevated blood pressure and increase cardiovascular strain (Whelton et al.,2018). The presence of multiple interacting risk factors further compounds Bob’s likelihood of developing serious cardiovascular complications, emphasising the importance of early intervention and effective </w:t>
      </w:r>
      <w:r w:rsidR="00B603D9" w:rsidRPr="00D71AC2">
        <w:rPr>
          <w:rFonts w:eastAsiaTheme="minorEastAsia"/>
          <w:color w:val="000000"/>
          <w:bdr w:val="none" w:sz="0" w:space="0" w:color="auto" w:frame="1"/>
        </w:rPr>
        <w:t>long-term</w:t>
      </w:r>
      <w:r w:rsidRPr="00D71AC2">
        <w:rPr>
          <w:rFonts w:eastAsiaTheme="minorEastAsia"/>
          <w:color w:val="000000"/>
          <w:bdr w:val="none" w:sz="0" w:space="0" w:color="auto" w:frame="1"/>
        </w:rPr>
        <w:t xml:space="preserve"> management.</w:t>
      </w:r>
    </w:p>
    <w:p w14:paraId="322DAA88"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1CF3E306" w14:textId="4652846E"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xml:space="preserve">Bob’s </w:t>
      </w:r>
      <w:proofErr w:type="spellStart"/>
      <w:r w:rsidRPr="00D71AC2">
        <w:rPr>
          <w:rFonts w:eastAsiaTheme="minorEastAsia"/>
          <w:color w:val="000000"/>
          <w:bdr w:val="none" w:sz="0" w:space="0" w:color="auto" w:frame="1"/>
        </w:rPr>
        <w:t>hypercholesterolemia</w:t>
      </w:r>
      <w:proofErr w:type="spellEnd"/>
      <w:r w:rsidRPr="00D71AC2">
        <w:rPr>
          <w:rFonts w:eastAsiaTheme="minorEastAsia"/>
          <w:color w:val="000000"/>
          <w:bdr w:val="none" w:sz="0" w:space="0" w:color="auto" w:frame="1"/>
        </w:rPr>
        <w:t xml:space="preserve"> further increases this risk. Elevated </w:t>
      </w:r>
      <w:r w:rsidR="00B603D9" w:rsidRPr="00D71AC2">
        <w:rPr>
          <w:rFonts w:eastAsiaTheme="minorEastAsia"/>
          <w:color w:val="000000"/>
          <w:bdr w:val="none" w:sz="0" w:space="0" w:color="auto" w:frame="1"/>
        </w:rPr>
        <w:t>low-density</w:t>
      </w:r>
      <w:r w:rsidRPr="00D71AC2">
        <w:rPr>
          <w:rFonts w:eastAsiaTheme="minorEastAsia"/>
          <w:color w:val="000000"/>
          <w:bdr w:val="none" w:sz="0" w:space="0" w:color="auto" w:frame="1"/>
        </w:rPr>
        <w:t xml:space="preserve"> lipoprotein (LDL) cholesterol promotes the formation of atherosclerotic plaques within the arterial walls, narrowing arteries and increasing the likelihood of myocardial infraction and stroke (Ference et al., 2017). Bob’s diet, which consists largely of convenience foods high in saturated fat and salt, is likely to contribute to both raised cholesterol and hypertension. As many processed foods already contain </w:t>
      </w:r>
      <w:r w:rsidR="00901F9F" w:rsidRPr="00D71AC2">
        <w:rPr>
          <w:rFonts w:eastAsiaTheme="minorEastAsia"/>
          <w:color w:val="000000"/>
          <w:bdr w:val="none" w:sz="0" w:space="0" w:color="auto" w:frame="1"/>
        </w:rPr>
        <w:t>prominent levels</w:t>
      </w:r>
      <w:r w:rsidRPr="00D71AC2">
        <w:rPr>
          <w:rFonts w:eastAsiaTheme="minorEastAsia"/>
          <w:color w:val="000000"/>
          <w:bdr w:val="none" w:sz="0" w:space="0" w:color="auto" w:frame="1"/>
        </w:rPr>
        <w:t xml:space="preserve"> of sodium, Bob’s habit of adding extra salt to meals may further elevate his blood pressure and increase his overall cardiovascular risk (</w:t>
      </w:r>
      <w:proofErr w:type="spellStart"/>
      <w:r w:rsidRPr="00D71AC2">
        <w:rPr>
          <w:rFonts w:eastAsiaTheme="minorEastAsia"/>
          <w:color w:val="000000"/>
          <w:bdr w:val="none" w:sz="0" w:space="0" w:color="auto" w:frame="1"/>
        </w:rPr>
        <w:t>Grillo</w:t>
      </w:r>
      <w:proofErr w:type="spellEnd"/>
      <w:r w:rsidRPr="00D71AC2">
        <w:rPr>
          <w:rFonts w:eastAsiaTheme="minorEastAsia"/>
          <w:color w:val="000000"/>
          <w:bdr w:val="none" w:sz="0" w:space="0" w:color="auto" w:frame="1"/>
        </w:rPr>
        <w:t xml:space="preserve"> et al., 2019). </w:t>
      </w:r>
    </w:p>
    <w:p w14:paraId="535918D2"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1C1A209C" w14:textId="77777777" w:rsidR="00FC3F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7EE674D3" w14:textId="77777777" w:rsidR="00545B33" w:rsidRDefault="00545B33" w:rsidP="00C061EC">
      <w:pPr>
        <w:spacing w:line="360" w:lineRule="auto"/>
        <w:jc w:val="both"/>
        <w:rPr>
          <w:rFonts w:eastAsiaTheme="minorEastAsia"/>
          <w:color w:val="000000"/>
          <w:bdr w:val="none" w:sz="0" w:space="0" w:color="auto" w:frame="1"/>
        </w:rPr>
      </w:pPr>
    </w:p>
    <w:p w14:paraId="6AEDCE6E" w14:textId="77777777" w:rsidR="00545B33" w:rsidRDefault="00545B33" w:rsidP="00C061EC">
      <w:pPr>
        <w:spacing w:line="360" w:lineRule="auto"/>
        <w:jc w:val="both"/>
        <w:rPr>
          <w:rFonts w:eastAsiaTheme="minorEastAsia"/>
          <w:color w:val="000000"/>
          <w:bdr w:val="none" w:sz="0" w:space="0" w:color="auto" w:frame="1"/>
        </w:rPr>
      </w:pPr>
    </w:p>
    <w:p w14:paraId="08D376EA" w14:textId="77777777" w:rsidR="00545B33" w:rsidRDefault="00545B33" w:rsidP="00C061EC">
      <w:pPr>
        <w:spacing w:line="360" w:lineRule="auto"/>
        <w:jc w:val="both"/>
        <w:rPr>
          <w:rFonts w:eastAsiaTheme="minorEastAsia"/>
          <w:color w:val="000000"/>
          <w:bdr w:val="none" w:sz="0" w:space="0" w:color="auto" w:frame="1"/>
        </w:rPr>
      </w:pPr>
    </w:p>
    <w:p w14:paraId="27CE6B32" w14:textId="77777777" w:rsidR="00545B33" w:rsidRDefault="00545B33" w:rsidP="00C061EC">
      <w:pPr>
        <w:spacing w:line="360" w:lineRule="auto"/>
        <w:jc w:val="both"/>
        <w:rPr>
          <w:rFonts w:eastAsiaTheme="minorEastAsia"/>
          <w:color w:val="000000"/>
          <w:bdr w:val="none" w:sz="0" w:space="0" w:color="auto" w:frame="1"/>
        </w:rPr>
      </w:pPr>
    </w:p>
    <w:p w14:paraId="6FC8E798" w14:textId="77777777" w:rsidR="00545B33" w:rsidRDefault="00545B33" w:rsidP="00C061EC">
      <w:pPr>
        <w:spacing w:line="360" w:lineRule="auto"/>
        <w:jc w:val="both"/>
        <w:rPr>
          <w:rFonts w:eastAsiaTheme="minorEastAsia"/>
          <w:color w:val="000000"/>
          <w:bdr w:val="none" w:sz="0" w:space="0" w:color="auto" w:frame="1"/>
        </w:rPr>
      </w:pPr>
    </w:p>
    <w:p w14:paraId="37534661" w14:textId="77777777" w:rsidR="00545B33" w:rsidRDefault="00545B33" w:rsidP="00C061EC">
      <w:pPr>
        <w:spacing w:line="360" w:lineRule="auto"/>
        <w:jc w:val="both"/>
        <w:rPr>
          <w:rFonts w:eastAsiaTheme="minorEastAsia"/>
          <w:color w:val="000000"/>
          <w:bdr w:val="none" w:sz="0" w:space="0" w:color="auto" w:frame="1"/>
        </w:rPr>
      </w:pPr>
    </w:p>
    <w:p w14:paraId="2B150ECF" w14:textId="77777777" w:rsidR="00545B33" w:rsidRDefault="00545B33" w:rsidP="00C061EC">
      <w:pPr>
        <w:spacing w:line="360" w:lineRule="auto"/>
        <w:jc w:val="both"/>
        <w:rPr>
          <w:rFonts w:eastAsiaTheme="minorEastAsia"/>
          <w:color w:val="000000"/>
          <w:bdr w:val="none" w:sz="0" w:space="0" w:color="auto" w:frame="1"/>
        </w:rPr>
      </w:pPr>
    </w:p>
    <w:p w14:paraId="4AA098B7" w14:textId="77777777" w:rsidR="00545B33" w:rsidRDefault="00545B33" w:rsidP="00C061EC">
      <w:pPr>
        <w:spacing w:line="360" w:lineRule="auto"/>
        <w:jc w:val="both"/>
        <w:rPr>
          <w:rFonts w:eastAsiaTheme="minorEastAsia"/>
          <w:color w:val="000000"/>
          <w:bdr w:val="none" w:sz="0" w:space="0" w:color="auto" w:frame="1"/>
        </w:rPr>
      </w:pPr>
    </w:p>
    <w:p w14:paraId="02CFC894" w14:textId="77777777" w:rsidR="00545B33" w:rsidRDefault="00545B33" w:rsidP="00C061EC">
      <w:pPr>
        <w:spacing w:line="360" w:lineRule="auto"/>
        <w:jc w:val="both"/>
        <w:rPr>
          <w:rFonts w:eastAsiaTheme="minorEastAsia"/>
          <w:color w:val="000000"/>
          <w:bdr w:val="none" w:sz="0" w:space="0" w:color="auto" w:frame="1"/>
        </w:rPr>
      </w:pPr>
    </w:p>
    <w:p w14:paraId="775B880D" w14:textId="77777777" w:rsidR="00545B33" w:rsidRDefault="00545B33" w:rsidP="00C061EC">
      <w:pPr>
        <w:spacing w:line="360" w:lineRule="auto"/>
        <w:jc w:val="both"/>
        <w:rPr>
          <w:rFonts w:eastAsiaTheme="minorEastAsia"/>
          <w:color w:val="000000"/>
          <w:bdr w:val="none" w:sz="0" w:space="0" w:color="auto" w:frame="1"/>
        </w:rPr>
      </w:pPr>
    </w:p>
    <w:p w14:paraId="65AE376F" w14:textId="77777777" w:rsidR="00545B33" w:rsidRDefault="00545B33" w:rsidP="00C061EC">
      <w:pPr>
        <w:spacing w:line="360" w:lineRule="auto"/>
        <w:jc w:val="both"/>
        <w:rPr>
          <w:rFonts w:eastAsiaTheme="minorEastAsia"/>
          <w:color w:val="000000"/>
          <w:bdr w:val="none" w:sz="0" w:space="0" w:color="auto" w:frame="1"/>
        </w:rPr>
      </w:pPr>
    </w:p>
    <w:p w14:paraId="569D4980" w14:textId="77777777" w:rsidR="00545B33" w:rsidRDefault="00545B33" w:rsidP="00C061EC">
      <w:pPr>
        <w:spacing w:line="360" w:lineRule="auto"/>
        <w:jc w:val="both"/>
        <w:rPr>
          <w:rFonts w:eastAsiaTheme="minorEastAsia"/>
          <w:color w:val="000000"/>
          <w:bdr w:val="none" w:sz="0" w:space="0" w:color="auto" w:frame="1"/>
        </w:rPr>
      </w:pPr>
    </w:p>
    <w:p w14:paraId="50BFD837" w14:textId="77777777" w:rsidR="00545B33" w:rsidRDefault="00545B33" w:rsidP="00C061EC">
      <w:pPr>
        <w:spacing w:line="360" w:lineRule="auto"/>
        <w:jc w:val="both"/>
        <w:rPr>
          <w:rFonts w:eastAsiaTheme="minorEastAsia"/>
          <w:color w:val="000000"/>
          <w:bdr w:val="none" w:sz="0" w:space="0" w:color="auto" w:frame="1"/>
        </w:rPr>
      </w:pPr>
    </w:p>
    <w:p w14:paraId="4280D22C" w14:textId="77777777" w:rsidR="00545B33" w:rsidRPr="00D71AC2" w:rsidRDefault="00545B33" w:rsidP="00C061EC">
      <w:pPr>
        <w:spacing w:line="360" w:lineRule="auto"/>
        <w:jc w:val="both"/>
        <w:rPr>
          <w:rFonts w:eastAsiaTheme="minorEastAsia"/>
          <w:color w:val="000000"/>
          <w:bdr w:val="none" w:sz="0" w:space="0" w:color="auto" w:frame="1"/>
        </w:rPr>
      </w:pPr>
    </w:p>
    <w:p w14:paraId="3161BEDD"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b/>
          <w:bCs/>
          <w:color w:val="000000"/>
          <w:bdr w:val="none" w:sz="0" w:space="0" w:color="auto" w:frame="1"/>
        </w:rPr>
        <w:t>Smoking and alcohol </w:t>
      </w:r>
    </w:p>
    <w:p w14:paraId="0DE3F4FC"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7D3A3312" w14:textId="65595139"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xml:space="preserve">Bob’s </w:t>
      </w:r>
      <w:r w:rsidR="00901F9F" w:rsidRPr="00D71AC2">
        <w:rPr>
          <w:rFonts w:eastAsiaTheme="minorEastAsia"/>
          <w:color w:val="000000"/>
          <w:bdr w:val="none" w:sz="0" w:space="0" w:color="auto" w:frame="1"/>
        </w:rPr>
        <w:t>30-year</w:t>
      </w:r>
      <w:r w:rsidRPr="00D71AC2">
        <w:rPr>
          <w:rFonts w:eastAsiaTheme="minorEastAsia"/>
          <w:color w:val="000000"/>
          <w:bdr w:val="none" w:sz="0" w:space="0" w:color="auto" w:frame="1"/>
        </w:rPr>
        <w:t xml:space="preserve"> smoking history and regular alcohol consumption substantially increase his already elevated cardiovascular risk. Cigarette smoking damages the vascular endothelium, promotes chronic inflammation and accelerates the development of atherosclerosis, acting synergistically with hypertension, </w:t>
      </w:r>
      <w:r w:rsidR="009275B1" w:rsidRPr="00D71AC2">
        <w:rPr>
          <w:rFonts w:eastAsiaTheme="minorEastAsia"/>
          <w:color w:val="000000"/>
          <w:bdr w:val="none" w:sz="0" w:space="0" w:color="auto" w:frame="1"/>
        </w:rPr>
        <w:t>obesity,</w:t>
      </w:r>
      <w:r w:rsidRPr="00D71AC2">
        <w:rPr>
          <w:rFonts w:eastAsiaTheme="minorEastAsia"/>
          <w:color w:val="000000"/>
          <w:bdr w:val="none" w:sz="0" w:space="0" w:color="auto" w:frame="1"/>
        </w:rPr>
        <w:t xml:space="preserve"> and </w:t>
      </w:r>
      <w:proofErr w:type="spellStart"/>
      <w:r w:rsidRPr="00D71AC2">
        <w:rPr>
          <w:rFonts w:eastAsiaTheme="minorEastAsia"/>
          <w:color w:val="000000"/>
          <w:bdr w:val="none" w:sz="0" w:space="0" w:color="auto" w:frame="1"/>
        </w:rPr>
        <w:t>hypercholesterolemia</w:t>
      </w:r>
      <w:proofErr w:type="spellEnd"/>
      <w:r w:rsidRPr="00D71AC2">
        <w:rPr>
          <w:rFonts w:eastAsiaTheme="minorEastAsia"/>
          <w:color w:val="000000"/>
          <w:bdr w:val="none" w:sz="0" w:space="0" w:color="auto" w:frame="1"/>
        </w:rPr>
        <w:t xml:space="preserve"> to increase the risk of myocardial infraction and stroke (Morris et al.,2015; Ference et al., 2017). Given that Bob has smoked approximately one pack of cigarettes daily for many years, Bob’s cumulative tobacco exposure is likely to have contributed significantly to his current cardiovascular risk profile, raising the likelihood of heart attacks, strokes and blood vessel damage (Jay et al., 2016).</w:t>
      </w:r>
    </w:p>
    <w:p w14:paraId="3CC63D57"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1C2BF991" w14:textId="6BD5BFE2"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xml:space="preserve">Bob’s alcohol intake is also a cause for concern. Regular consumption above recommended limits </w:t>
      </w:r>
      <w:r w:rsidR="00C56D1A" w:rsidRPr="00D71AC2">
        <w:rPr>
          <w:rFonts w:eastAsiaTheme="minorEastAsia"/>
          <w:color w:val="000000"/>
          <w:bdr w:val="none" w:sz="0" w:space="0" w:color="auto" w:frame="1"/>
        </w:rPr>
        <w:t>have</w:t>
      </w:r>
      <w:r w:rsidRPr="00D71AC2">
        <w:rPr>
          <w:rFonts w:eastAsiaTheme="minorEastAsia"/>
          <w:color w:val="000000"/>
          <w:bdr w:val="none" w:sz="0" w:space="0" w:color="auto" w:frame="1"/>
        </w:rPr>
        <w:t xml:space="preserve"> been associated with increased blood pressure, weight </w:t>
      </w:r>
      <w:r w:rsidR="001F18AA" w:rsidRPr="00D71AC2">
        <w:rPr>
          <w:rFonts w:eastAsiaTheme="minorEastAsia"/>
          <w:color w:val="000000"/>
          <w:bdr w:val="none" w:sz="0" w:space="0" w:color="auto" w:frame="1"/>
        </w:rPr>
        <w:t>gain,</w:t>
      </w:r>
      <w:r w:rsidRPr="00D71AC2">
        <w:rPr>
          <w:rFonts w:eastAsiaTheme="minorEastAsia"/>
          <w:color w:val="000000"/>
          <w:bdr w:val="none" w:sz="0" w:space="0" w:color="auto" w:frame="1"/>
        </w:rPr>
        <w:t xml:space="preserve"> and a greater risk of cardiovascular disease (World Health Organisation, 2025). Combined with Bob’s poor diet, sedentary occupation and existing health conditions, these factors further compound his overall cardiovascular risk (Powell-Wiley et al.,2021). Bob’s long working hours, occupational stress and limited access to healthier lifestyle choices may make smoking cessation and alcohol reduction particularly challenging. Therefore, person centred support, alongside referral to NHS Stop Smoking Services and brief alcohol support interventions through primary care, is likely to improve his </w:t>
      </w:r>
      <w:r w:rsidR="00C56D1A" w:rsidRPr="00D71AC2">
        <w:rPr>
          <w:rFonts w:eastAsiaTheme="minorEastAsia"/>
          <w:color w:val="000000"/>
          <w:bdr w:val="none" w:sz="0" w:space="0" w:color="auto" w:frame="1"/>
        </w:rPr>
        <w:t>long-term</w:t>
      </w:r>
      <w:r w:rsidRPr="00D71AC2">
        <w:rPr>
          <w:rFonts w:eastAsiaTheme="minorEastAsia"/>
          <w:color w:val="000000"/>
          <w:bdr w:val="none" w:sz="0" w:space="0" w:color="auto" w:frame="1"/>
        </w:rPr>
        <w:t xml:space="preserve"> health outcomes (Engel, 1977; NICE, 2021; NHS England, 2024)</w:t>
      </w:r>
    </w:p>
    <w:p w14:paraId="5E11E3AD" w14:textId="77777777" w:rsidR="00FC3F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51ECB972" w14:textId="77777777" w:rsidR="00545B33" w:rsidRDefault="00545B33" w:rsidP="00C061EC">
      <w:pPr>
        <w:spacing w:line="360" w:lineRule="auto"/>
        <w:jc w:val="both"/>
        <w:rPr>
          <w:rFonts w:eastAsiaTheme="minorEastAsia"/>
          <w:color w:val="000000"/>
          <w:bdr w:val="none" w:sz="0" w:space="0" w:color="auto" w:frame="1"/>
        </w:rPr>
      </w:pPr>
    </w:p>
    <w:p w14:paraId="08D675C4" w14:textId="77777777" w:rsidR="00545B33" w:rsidRDefault="00545B33" w:rsidP="00C061EC">
      <w:pPr>
        <w:spacing w:line="360" w:lineRule="auto"/>
        <w:jc w:val="both"/>
        <w:rPr>
          <w:rFonts w:eastAsiaTheme="minorEastAsia"/>
          <w:color w:val="000000"/>
          <w:bdr w:val="none" w:sz="0" w:space="0" w:color="auto" w:frame="1"/>
        </w:rPr>
      </w:pPr>
    </w:p>
    <w:p w14:paraId="48E10BBF" w14:textId="77777777" w:rsidR="00545B33" w:rsidRDefault="00545B33" w:rsidP="00C061EC">
      <w:pPr>
        <w:spacing w:line="360" w:lineRule="auto"/>
        <w:jc w:val="both"/>
        <w:rPr>
          <w:rFonts w:eastAsiaTheme="minorEastAsia"/>
          <w:color w:val="000000"/>
          <w:bdr w:val="none" w:sz="0" w:space="0" w:color="auto" w:frame="1"/>
        </w:rPr>
      </w:pPr>
    </w:p>
    <w:p w14:paraId="3236BE81" w14:textId="77777777" w:rsidR="00545B33" w:rsidRDefault="00545B33" w:rsidP="00C061EC">
      <w:pPr>
        <w:spacing w:line="360" w:lineRule="auto"/>
        <w:jc w:val="both"/>
        <w:rPr>
          <w:rFonts w:eastAsiaTheme="minorEastAsia"/>
          <w:color w:val="000000"/>
          <w:bdr w:val="none" w:sz="0" w:space="0" w:color="auto" w:frame="1"/>
        </w:rPr>
      </w:pPr>
    </w:p>
    <w:p w14:paraId="52D452C1" w14:textId="77777777" w:rsidR="00545B33" w:rsidRDefault="00545B33" w:rsidP="00C061EC">
      <w:pPr>
        <w:spacing w:line="360" w:lineRule="auto"/>
        <w:jc w:val="both"/>
        <w:rPr>
          <w:rFonts w:eastAsiaTheme="minorEastAsia"/>
          <w:color w:val="000000"/>
          <w:bdr w:val="none" w:sz="0" w:space="0" w:color="auto" w:frame="1"/>
        </w:rPr>
      </w:pPr>
    </w:p>
    <w:p w14:paraId="27836B27" w14:textId="77777777" w:rsidR="00545B33" w:rsidRDefault="00545B33" w:rsidP="00C061EC">
      <w:pPr>
        <w:spacing w:line="360" w:lineRule="auto"/>
        <w:jc w:val="both"/>
        <w:rPr>
          <w:rFonts w:eastAsiaTheme="minorEastAsia"/>
          <w:color w:val="000000"/>
          <w:bdr w:val="none" w:sz="0" w:space="0" w:color="auto" w:frame="1"/>
        </w:rPr>
      </w:pPr>
    </w:p>
    <w:p w14:paraId="1843CD78" w14:textId="77777777" w:rsidR="00545B33" w:rsidRDefault="00545B33" w:rsidP="00C061EC">
      <w:pPr>
        <w:spacing w:line="360" w:lineRule="auto"/>
        <w:jc w:val="both"/>
        <w:rPr>
          <w:rFonts w:eastAsiaTheme="minorEastAsia"/>
          <w:color w:val="000000"/>
          <w:bdr w:val="none" w:sz="0" w:space="0" w:color="auto" w:frame="1"/>
        </w:rPr>
      </w:pPr>
    </w:p>
    <w:p w14:paraId="15D49D66" w14:textId="77777777" w:rsidR="00545B33" w:rsidRDefault="00545B33" w:rsidP="00C061EC">
      <w:pPr>
        <w:spacing w:line="360" w:lineRule="auto"/>
        <w:jc w:val="both"/>
        <w:rPr>
          <w:rFonts w:eastAsiaTheme="minorEastAsia"/>
          <w:color w:val="000000"/>
          <w:bdr w:val="none" w:sz="0" w:space="0" w:color="auto" w:frame="1"/>
        </w:rPr>
      </w:pPr>
    </w:p>
    <w:p w14:paraId="5B217D5A" w14:textId="77777777" w:rsidR="00545B33" w:rsidRDefault="00545B33" w:rsidP="00C061EC">
      <w:pPr>
        <w:spacing w:line="360" w:lineRule="auto"/>
        <w:jc w:val="both"/>
        <w:rPr>
          <w:rFonts w:eastAsiaTheme="minorEastAsia"/>
          <w:color w:val="000000"/>
          <w:bdr w:val="none" w:sz="0" w:space="0" w:color="auto" w:frame="1"/>
        </w:rPr>
      </w:pPr>
    </w:p>
    <w:p w14:paraId="685AE1CC" w14:textId="77777777" w:rsidR="00545B33" w:rsidRDefault="00545B33" w:rsidP="00C061EC">
      <w:pPr>
        <w:spacing w:line="360" w:lineRule="auto"/>
        <w:jc w:val="both"/>
        <w:rPr>
          <w:rFonts w:eastAsiaTheme="minorEastAsia"/>
          <w:color w:val="000000"/>
          <w:bdr w:val="none" w:sz="0" w:space="0" w:color="auto" w:frame="1"/>
        </w:rPr>
      </w:pPr>
    </w:p>
    <w:p w14:paraId="57418B0B" w14:textId="77777777" w:rsidR="00545B33" w:rsidRDefault="00545B33" w:rsidP="00C061EC">
      <w:pPr>
        <w:spacing w:line="360" w:lineRule="auto"/>
        <w:jc w:val="both"/>
        <w:rPr>
          <w:rFonts w:eastAsiaTheme="minorEastAsia"/>
          <w:color w:val="000000"/>
          <w:bdr w:val="none" w:sz="0" w:space="0" w:color="auto" w:frame="1"/>
        </w:rPr>
      </w:pPr>
    </w:p>
    <w:p w14:paraId="3587C507" w14:textId="77777777" w:rsidR="00545B33" w:rsidRPr="00D71AC2" w:rsidRDefault="00545B33" w:rsidP="00C061EC">
      <w:pPr>
        <w:spacing w:line="360" w:lineRule="auto"/>
        <w:jc w:val="both"/>
        <w:rPr>
          <w:rFonts w:eastAsiaTheme="minorEastAsia"/>
          <w:color w:val="000000"/>
          <w:bdr w:val="none" w:sz="0" w:space="0" w:color="auto" w:frame="1"/>
        </w:rPr>
      </w:pPr>
    </w:p>
    <w:p w14:paraId="6F583FEF" w14:textId="019A6C29"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b/>
          <w:bCs/>
          <w:color w:val="000000"/>
          <w:bdr w:val="none" w:sz="0" w:space="0" w:color="auto" w:frame="1"/>
        </w:rPr>
        <w:t xml:space="preserve">Mental, </w:t>
      </w:r>
      <w:r w:rsidR="00D8185C" w:rsidRPr="00D71AC2">
        <w:rPr>
          <w:rFonts w:eastAsiaTheme="minorEastAsia"/>
          <w:b/>
          <w:bCs/>
          <w:color w:val="000000"/>
          <w:bdr w:val="none" w:sz="0" w:space="0" w:color="auto" w:frame="1"/>
        </w:rPr>
        <w:t>social,</w:t>
      </w:r>
      <w:r w:rsidRPr="00D71AC2">
        <w:rPr>
          <w:rFonts w:eastAsiaTheme="minorEastAsia"/>
          <w:b/>
          <w:bCs/>
          <w:color w:val="000000"/>
          <w:bdr w:val="none" w:sz="0" w:space="0" w:color="auto" w:frame="1"/>
        </w:rPr>
        <w:t xml:space="preserve"> and intellectual wellbeing </w:t>
      </w:r>
    </w:p>
    <w:p w14:paraId="279996BB"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4A3854C8" w14:textId="3EA5A552"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xml:space="preserve">Bob’s occupation also has a significant impact on his mental, </w:t>
      </w:r>
      <w:r w:rsidR="00192D9E" w:rsidRPr="00D71AC2">
        <w:rPr>
          <w:rFonts w:eastAsiaTheme="minorEastAsia"/>
          <w:color w:val="000000"/>
          <w:bdr w:val="none" w:sz="0" w:space="0" w:color="auto" w:frame="1"/>
        </w:rPr>
        <w:t>social,</w:t>
      </w:r>
      <w:r w:rsidRPr="00D71AC2">
        <w:rPr>
          <w:rFonts w:eastAsiaTheme="minorEastAsia"/>
          <w:color w:val="000000"/>
          <w:bdr w:val="none" w:sz="0" w:space="0" w:color="auto" w:frame="1"/>
        </w:rPr>
        <w:t xml:space="preserve"> and intellectual wellbeing. Spending </w:t>
      </w:r>
      <w:r w:rsidR="00554A51" w:rsidRPr="00D71AC2">
        <w:rPr>
          <w:rFonts w:eastAsiaTheme="minorEastAsia"/>
          <w:color w:val="000000"/>
          <w:bdr w:val="none" w:sz="0" w:space="0" w:color="auto" w:frame="1"/>
        </w:rPr>
        <w:t>protracted periods</w:t>
      </w:r>
      <w:r w:rsidRPr="00D71AC2">
        <w:rPr>
          <w:rFonts w:eastAsiaTheme="minorEastAsia"/>
          <w:color w:val="000000"/>
          <w:bdr w:val="none" w:sz="0" w:space="0" w:color="auto" w:frame="1"/>
        </w:rPr>
        <w:t xml:space="preserve"> away from home has left him feeling isolated from his family and local community, increasing his risk of loneliness, </w:t>
      </w:r>
      <w:r w:rsidR="00192D9E" w:rsidRPr="00D71AC2">
        <w:rPr>
          <w:rFonts w:eastAsiaTheme="minorEastAsia"/>
          <w:color w:val="000000"/>
          <w:bdr w:val="none" w:sz="0" w:space="0" w:color="auto" w:frame="1"/>
        </w:rPr>
        <w:t>anxiety,</w:t>
      </w:r>
      <w:r w:rsidRPr="00D71AC2">
        <w:rPr>
          <w:rFonts w:eastAsiaTheme="minorEastAsia"/>
          <w:color w:val="000000"/>
          <w:bdr w:val="none" w:sz="0" w:space="0" w:color="auto" w:frame="1"/>
        </w:rPr>
        <w:t xml:space="preserve"> and low mood. Professional truck drivers experience higher levels of psychological distress than the general population due to prolonged social isolation, demanding working conditions, disrupted sleep and limited access to healthcare, all of which can negatively affect mental wellbeing (</w:t>
      </w:r>
      <w:proofErr w:type="spellStart"/>
      <w:r w:rsidRPr="00D71AC2">
        <w:rPr>
          <w:rFonts w:eastAsiaTheme="minorEastAsia"/>
          <w:color w:val="000000"/>
          <w:bdr w:val="none" w:sz="0" w:space="0" w:color="auto" w:frame="1"/>
        </w:rPr>
        <w:t>Garbarino</w:t>
      </w:r>
      <w:proofErr w:type="spellEnd"/>
      <w:r w:rsidRPr="00D71AC2">
        <w:rPr>
          <w:rFonts w:eastAsiaTheme="minorEastAsia"/>
          <w:color w:val="000000"/>
          <w:bdr w:val="none" w:sz="0" w:space="0" w:color="auto" w:frame="1"/>
        </w:rPr>
        <w:t xml:space="preserve"> et al., 2018). Furthermore, Bob’s poor sleep, caused by sleeping in his lorry and maintaining irregular working hours, is likely to contribute to fatigue, reduced concentration and emotional distress, while chronic sleep disruption has been linked to impaired cognitive function and poorer psychological wellbeing (Medic et al., 2017). From a </w:t>
      </w:r>
      <w:proofErr w:type="spellStart"/>
      <w:r w:rsidRPr="00D71AC2">
        <w:rPr>
          <w:rFonts w:eastAsiaTheme="minorEastAsia"/>
          <w:color w:val="000000"/>
          <w:bdr w:val="none" w:sz="0" w:space="0" w:color="auto" w:frame="1"/>
        </w:rPr>
        <w:t>biopsychosocial</w:t>
      </w:r>
      <w:proofErr w:type="spellEnd"/>
      <w:r w:rsidRPr="00D71AC2">
        <w:rPr>
          <w:rFonts w:eastAsiaTheme="minorEastAsia"/>
          <w:color w:val="000000"/>
          <w:bdr w:val="none" w:sz="0" w:space="0" w:color="auto" w:frame="1"/>
        </w:rPr>
        <w:t xml:space="preserve"> perspective, these interacting biological, </w:t>
      </w:r>
      <w:r w:rsidR="00FD43CB" w:rsidRPr="00D71AC2">
        <w:rPr>
          <w:rFonts w:eastAsiaTheme="minorEastAsia"/>
          <w:color w:val="000000"/>
          <w:bdr w:val="none" w:sz="0" w:space="0" w:color="auto" w:frame="1"/>
        </w:rPr>
        <w:t>psychological,</w:t>
      </w:r>
      <w:r w:rsidRPr="00D71AC2">
        <w:rPr>
          <w:rFonts w:eastAsiaTheme="minorEastAsia"/>
          <w:color w:val="000000"/>
          <w:bdr w:val="none" w:sz="0" w:space="0" w:color="auto" w:frame="1"/>
        </w:rPr>
        <w:t xml:space="preserve"> and social factors may reduce Bob’s motivation to adopt healthier behaviours and negatively affect his quality of life (Engel, 1977). Supporting Bob to reconnect with meaningful hobbies such as cycling, swimming, football, reading and cooking, alongside strengthening family relationships and improving his work life balance, could enhance his mental well being, increase social connectedness and encourage long term lifestyle change (Cleary et al., 2025).</w:t>
      </w:r>
    </w:p>
    <w:p w14:paraId="6E19561E" w14:textId="77777777" w:rsidR="00FC3F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3E879A13" w14:textId="77777777" w:rsidR="00545B33" w:rsidRDefault="00545B33" w:rsidP="00C061EC">
      <w:pPr>
        <w:spacing w:line="360" w:lineRule="auto"/>
        <w:jc w:val="both"/>
        <w:rPr>
          <w:rFonts w:eastAsiaTheme="minorEastAsia"/>
          <w:color w:val="000000"/>
          <w:bdr w:val="none" w:sz="0" w:space="0" w:color="auto" w:frame="1"/>
        </w:rPr>
      </w:pPr>
    </w:p>
    <w:p w14:paraId="606173F6" w14:textId="77777777" w:rsidR="00545B33" w:rsidRDefault="00545B33" w:rsidP="00C061EC">
      <w:pPr>
        <w:spacing w:line="360" w:lineRule="auto"/>
        <w:jc w:val="both"/>
        <w:rPr>
          <w:rFonts w:eastAsiaTheme="minorEastAsia"/>
          <w:color w:val="000000"/>
          <w:bdr w:val="none" w:sz="0" w:space="0" w:color="auto" w:frame="1"/>
        </w:rPr>
      </w:pPr>
    </w:p>
    <w:p w14:paraId="4925C403" w14:textId="77777777" w:rsidR="00545B33" w:rsidRDefault="00545B33" w:rsidP="00C061EC">
      <w:pPr>
        <w:spacing w:line="360" w:lineRule="auto"/>
        <w:jc w:val="both"/>
        <w:rPr>
          <w:rFonts w:eastAsiaTheme="minorEastAsia"/>
          <w:color w:val="000000"/>
          <w:bdr w:val="none" w:sz="0" w:space="0" w:color="auto" w:frame="1"/>
        </w:rPr>
      </w:pPr>
    </w:p>
    <w:p w14:paraId="741E0256" w14:textId="77777777" w:rsidR="00545B33" w:rsidRDefault="00545B33" w:rsidP="00C061EC">
      <w:pPr>
        <w:spacing w:line="360" w:lineRule="auto"/>
        <w:jc w:val="both"/>
        <w:rPr>
          <w:rFonts w:eastAsiaTheme="minorEastAsia"/>
          <w:color w:val="000000"/>
          <w:bdr w:val="none" w:sz="0" w:space="0" w:color="auto" w:frame="1"/>
        </w:rPr>
      </w:pPr>
    </w:p>
    <w:p w14:paraId="1D15A698" w14:textId="77777777" w:rsidR="00545B33" w:rsidRDefault="00545B33" w:rsidP="00C061EC">
      <w:pPr>
        <w:spacing w:line="360" w:lineRule="auto"/>
        <w:jc w:val="both"/>
        <w:rPr>
          <w:rFonts w:eastAsiaTheme="minorEastAsia"/>
          <w:color w:val="000000"/>
          <w:bdr w:val="none" w:sz="0" w:space="0" w:color="auto" w:frame="1"/>
        </w:rPr>
      </w:pPr>
    </w:p>
    <w:p w14:paraId="67F8F7B8" w14:textId="77777777" w:rsidR="00545B33" w:rsidRDefault="00545B33" w:rsidP="00C061EC">
      <w:pPr>
        <w:spacing w:line="360" w:lineRule="auto"/>
        <w:jc w:val="both"/>
        <w:rPr>
          <w:rFonts w:eastAsiaTheme="minorEastAsia"/>
          <w:color w:val="000000"/>
          <w:bdr w:val="none" w:sz="0" w:space="0" w:color="auto" w:frame="1"/>
        </w:rPr>
      </w:pPr>
    </w:p>
    <w:p w14:paraId="37959DFD" w14:textId="77777777" w:rsidR="00545B33" w:rsidRDefault="00545B33" w:rsidP="00C061EC">
      <w:pPr>
        <w:spacing w:line="360" w:lineRule="auto"/>
        <w:jc w:val="both"/>
        <w:rPr>
          <w:rFonts w:eastAsiaTheme="minorEastAsia"/>
          <w:color w:val="000000"/>
          <w:bdr w:val="none" w:sz="0" w:space="0" w:color="auto" w:frame="1"/>
        </w:rPr>
      </w:pPr>
    </w:p>
    <w:p w14:paraId="436C0239" w14:textId="77777777" w:rsidR="00545B33" w:rsidRDefault="00545B33" w:rsidP="00C061EC">
      <w:pPr>
        <w:spacing w:line="360" w:lineRule="auto"/>
        <w:jc w:val="both"/>
        <w:rPr>
          <w:rFonts w:eastAsiaTheme="minorEastAsia"/>
          <w:color w:val="000000"/>
          <w:bdr w:val="none" w:sz="0" w:space="0" w:color="auto" w:frame="1"/>
        </w:rPr>
      </w:pPr>
    </w:p>
    <w:p w14:paraId="484EFD52" w14:textId="77777777" w:rsidR="00545B33" w:rsidRDefault="00545B33" w:rsidP="00C061EC">
      <w:pPr>
        <w:spacing w:line="360" w:lineRule="auto"/>
        <w:jc w:val="both"/>
        <w:rPr>
          <w:rFonts w:eastAsiaTheme="minorEastAsia"/>
          <w:color w:val="000000"/>
          <w:bdr w:val="none" w:sz="0" w:space="0" w:color="auto" w:frame="1"/>
        </w:rPr>
      </w:pPr>
    </w:p>
    <w:p w14:paraId="095A41C0" w14:textId="77777777" w:rsidR="00545B33" w:rsidRDefault="00545B33" w:rsidP="00C061EC">
      <w:pPr>
        <w:spacing w:line="360" w:lineRule="auto"/>
        <w:jc w:val="both"/>
        <w:rPr>
          <w:rFonts w:eastAsiaTheme="minorEastAsia"/>
          <w:color w:val="000000"/>
          <w:bdr w:val="none" w:sz="0" w:space="0" w:color="auto" w:frame="1"/>
        </w:rPr>
      </w:pPr>
    </w:p>
    <w:p w14:paraId="18195637" w14:textId="77777777" w:rsidR="00545B33" w:rsidRDefault="00545B33" w:rsidP="00C061EC">
      <w:pPr>
        <w:spacing w:line="360" w:lineRule="auto"/>
        <w:jc w:val="both"/>
        <w:rPr>
          <w:rFonts w:eastAsiaTheme="minorEastAsia"/>
          <w:color w:val="000000"/>
          <w:bdr w:val="none" w:sz="0" w:space="0" w:color="auto" w:frame="1"/>
        </w:rPr>
      </w:pPr>
    </w:p>
    <w:p w14:paraId="56D9F913" w14:textId="77777777" w:rsidR="00545B33" w:rsidRDefault="00545B33" w:rsidP="00C061EC">
      <w:pPr>
        <w:spacing w:line="360" w:lineRule="auto"/>
        <w:jc w:val="both"/>
        <w:rPr>
          <w:rFonts w:eastAsiaTheme="minorEastAsia"/>
          <w:color w:val="000000"/>
          <w:bdr w:val="none" w:sz="0" w:space="0" w:color="auto" w:frame="1"/>
        </w:rPr>
      </w:pPr>
    </w:p>
    <w:p w14:paraId="2884BE3C" w14:textId="77777777" w:rsidR="00545B33" w:rsidRDefault="00545B33" w:rsidP="00C061EC">
      <w:pPr>
        <w:spacing w:line="360" w:lineRule="auto"/>
        <w:jc w:val="both"/>
        <w:rPr>
          <w:rFonts w:eastAsiaTheme="minorEastAsia"/>
          <w:color w:val="000000"/>
          <w:bdr w:val="none" w:sz="0" w:space="0" w:color="auto" w:frame="1"/>
        </w:rPr>
      </w:pPr>
    </w:p>
    <w:p w14:paraId="3D30DBEF" w14:textId="77777777" w:rsidR="00545B33" w:rsidRDefault="00545B33" w:rsidP="00C061EC">
      <w:pPr>
        <w:spacing w:line="360" w:lineRule="auto"/>
        <w:jc w:val="both"/>
        <w:rPr>
          <w:rFonts w:eastAsiaTheme="minorEastAsia"/>
          <w:color w:val="000000"/>
          <w:bdr w:val="none" w:sz="0" w:space="0" w:color="auto" w:frame="1"/>
        </w:rPr>
      </w:pPr>
    </w:p>
    <w:p w14:paraId="33F90483" w14:textId="77777777" w:rsidR="00545B33" w:rsidRPr="00D71AC2" w:rsidRDefault="00545B33" w:rsidP="00C061EC">
      <w:pPr>
        <w:spacing w:line="360" w:lineRule="auto"/>
        <w:jc w:val="both"/>
        <w:rPr>
          <w:rFonts w:eastAsiaTheme="minorEastAsia"/>
          <w:color w:val="000000"/>
          <w:bdr w:val="none" w:sz="0" w:space="0" w:color="auto" w:frame="1"/>
        </w:rPr>
      </w:pPr>
    </w:p>
    <w:p w14:paraId="5D09B874"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b/>
          <w:bCs/>
          <w:color w:val="000000"/>
          <w:bdr w:val="none" w:sz="0" w:space="0" w:color="auto" w:frame="1"/>
        </w:rPr>
        <w:t>Recommendations </w:t>
      </w:r>
    </w:p>
    <w:p w14:paraId="58F62836"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b/>
          <w:bCs/>
          <w:color w:val="000000"/>
          <w:bdr w:val="none" w:sz="0" w:space="0" w:color="auto" w:frame="1"/>
        </w:rPr>
        <w:t> </w:t>
      </w:r>
    </w:p>
    <w:p w14:paraId="767172EF"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b/>
          <w:bCs/>
          <w:color w:val="000000"/>
          <w:bdr w:val="none" w:sz="0" w:space="0" w:color="auto" w:frame="1"/>
        </w:rPr>
        <w:t>Weight management </w:t>
      </w:r>
    </w:p>
    <w:p w14:paraId="79533A6D"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b/>
          <w:bCs/>
          <w:color w:val="000000"/>
          <w:bdr w:val="none" w:sz="0" w:space="0" w:color="auto" w:frame="1"/>
        </w:rPr>
        <w:t> </w:t>
      </w:r>
    </w:p>
    <w:p w14:paraId="08F54E54" w14:textId="2C316465"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xml:space="preserve">Referral to a structured weight management programme through Bob’s GP would provide dietary advice tailored to his occupation and support sustainable behaviour change. Adopting the DASH eating pattern and reducing sodium intake could improve blood pressure, promote weight </w:t>
      </w:r>
      <w:r w:rsidR="00D8185C" w:rsidRPr="00D71AC2">
        <w:rPr>
          <w:rFonts w:eastAsiaTheme="minorEastAsia"/>
          <w:color w:val="000000"/>
          <w:bdr w:val="none" w:sz="0" w:space="0" w:color="auto" w:frame="1"/>
        </w:rPr>
        <w:t>loss,</w:t>
      </w:r>
      <w:r w:rsidRPr="00D71AC2">
        <w:rPr>
          <w:rFonts w:eastAsiaTheme="minorEastAsia"/>
          <w:color w:val="000000"/>
          <w:bdr w:val="none" w:sz="0" w:space="0" w:color="auto" w:frame="1"/>
        </w:rPr>
        <w:t xml:space="preserve"> and reduce his risk of cardiovascular disease and type 2 diabetes. Setting realistic </w:t>
      </w:r>
      <w:r w:rsidR="00D8185C" w:rsidRPr="00D71AC2">
        <w:rPr>
          <w:rFonts w:eastAsiaTheme="minorEastAsia"/>
          <w:color w:val="000000"/>
          <w:bdr w:val="none" w:sz="0" w:space="0" w:color="auto" w:frame="1"/>
        </w:rPr>
        <w:t>person-centred</w:t>
      </w:r>
      <w:r w:rsidRPr="00D71AC2">
        <w:rPr>
          <w:rFonts w:eastAsiaTheme="minorEastAsia"/>
          <w:color w:val="000000"/>
          <w:bdr w:val="none" w:sz="0" w:space="0" w:color="auto" w:frame="1"/>
        </w:rPr>
        <w:t xml:space="preserve"> goals is more likely to improve long term adherence to lifestyle changes (Appel et al., 1997; NICE, 2025).</w:t>
      </w:r>
    </w:p>
    <w:p w14:paraId="45CAA131"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0996A2E1"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72F34F8D"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b/>
          <w:bCs/>
          <w:color w:val="000000"/>
          <w:bdr w:val="none" w:sz="0" w:space="0" w:color="auto" w:frame="1"/>
        </w:rPr>
        <w:t>Physical activity</w:t>
      </w:r>
    </w:p>
    <w:p w14:paraId="7B3FCECD"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59ED94F8"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xml:space="preserve">Gradually increasing physical activity through short walks during driving breaks and returning to hobbies such as cycling and swimming would provide a realistic approach to improving Bob’s health. Even modest increases in regular physical activity can improve blood pressure, insulin sensitivity and cardiovascular health while reducing the risk of type 2 diabetes and premature mortality (Bull et al., 2020; </w:t>
      </w:r>
      <w:proofErr w:type="spellStart"/>
      <w:r w:rsidRPr="00D71AC2">
        <w:rPr>
          <w:rFonts w:eastAsiaTheme="minorEastAsia"/>
          <w:color w:val="000000"/>
          <w:bdr w:val="none" w:sz="0" w:space="0" w:color="auto" w:frame="1"/>
        </w:rPr>
        <w:t>Ekelund</w:t>
      </w:r>
      <w:proofErr w:type="spellEnd"/>
      <w:r w:rsidRPr="00D71AC2">
        <w:rPr>
          <w:rFonts w:eastAsiaTheme="minorEastAsia"/>
          <w:color w:val="000000"/>
          <w:bdr w:val="none" w:sz="0" w:space="0" w:color="auto" w:frame="1"/>
        </w:rPr>
        <w:t xml:space="preserve"> et al., 2019).</w:t>
      </w:r>
    </w:p>
    <w:p w14:paraId="0A78C9BC"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56DFEA64"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b/>
          <w:bCs/>
          <w:color w:val="000000"/>
          <w:bdr w:val="none" w:sz="0" w:space="0" w:color="auto" w:frame="1"/>
        </w:rPr>
        <w:t>Smoking cessation and alcohol reduction </w:t>
      </w:r>
    </w:p>
    <w:p w14:paraId="672FE7E6"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33E06023" w14:textId="47202ED8"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xml:space="preserve">Referral to NHS Stop Smoking Services, alongside behavioural support and brief alcohol interventions through primary care, would help Bob reduce two major modifiable cardiovascular risk factors. Stopping smoking and reducing alcohol consumption would improve blood pressure, lower his cardiovascular </w:t>
      </w:r>
      <w:r w:rsidR="00D8185C" w:rsidRPr="00D71AC2">
        <w:rPr>
          <w:rFonts w:eastAsiaTheme="minorEastAsia"/>
          <w:color w:val="000000"/>
          <w:bdr w:val="none" w:sz="0" w:space="0" w:color="auto" w:frame="1"/>
        </w:rPr>
        <w:t>risk,</w:t>
      </w:r>
      <w:r w:rsidRPr="00D71AC2">
        <w:rPr>
          <w:rFonts w:eastAsiaTheme="minorEastAsia"/>
          <w:color w:val="000000"/>
          <w:bdr w:val="none" w:sz="0" w:space="0" w:color="auto" w:frame="1"/>
        </w:rPr>
        <w:t xml:space="preserve"> and support his overall health. Combining behavioural support with pharmacological treatment has been shown to significantly improve long term smoking cessation rates (Stead et al., 2016; NICE, 2021).</w:t>
      </w:r>
    </w:p>
    <w:p w14:paraId="41D4E2AD"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1F08D706" w14:textId="06091F1A"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b/>
          <w:bCs/>
          <w:color w:val="000000"/>
          <w:bdr w:val="none" w:sz="0" w:space="0" w:color="auto" w:frame="1"/>
        </w:rPr>
        <w:t xml:space="preserve">Monitoring and </w:t>
      </w:r>
      <w:r w:rsidR="00DE5C7D" w:rsidRPr="00D71AC2">
        <w:rPr>
          <w:rFonts w:eastAsiaTheme="minorEastAsia"/>
          <w:b/>
          <w:bCs/>
          <w:color w:val="000000"/>
          <w:bdr w:val="none" w:sz="0" w:space="0" w:color="auto" w:frame="1"/>
        </w:rPr>
        <w:t>person-centred</w:t>
      </w:r>
      <w:r w:rsidRPr="00D71AC2">
        <w:rPr>
          <w:rFonts w:eastAsiaTheme="minorEastAsia"/>
          <w:b/>
          <w:bCs/>
          <w:color w:val="000000"/>
          <w:bdr w:val="none" w:sz="0" w:space="0" w:color="auto" w:frame="1"/>
        </w:rPr>
        <w:t xml:space="preserve"> care</w:t>
      </w:r>
    </w:p>
    <w:p w14:paraId="312DC24B"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43838B2A"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xml:space="preserve">Bob should attend regular GP reviews to monitor his blood pressure, weight, HbA1c and cholesterol, enabling early identification of any deterioration and timely adjustments to his care </w:t>
      </w:r>
      <w:r w:rsidRPr="00D71AC2">
        <w:rPr>
          <w:rFonts w:eastAsiaTheme="minorEastAsia"/>
          <w:color w:val="000000"/>
          <w:bdr w:val="none" w:sz="0" w:space="0" w:color="auto" w:frame="1"/>
        </w:rPr>
        <w:lastRenderedPageBreak/>
        <w:t>plan. These reviews should involve shared decision-making to ensure that agreed goals remain realistic and tailored to Bob’s individual needs (NICE, 2023)</w:t>
      </w:r>
    </w:p>
    <w:p w14:paraId="287EB4E2"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1FEE07CA" w14:textId="77777777" w:rsidR="00FC3F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6A67C359" w14:textId="77777777" w:rsidR="00545B33" w:rsidRDefault="00545B33" w:rsidP="00C061EC">
      <w:pPr>
        <w:spacing w:line="360" w:lineRule="auto"/>
        <w:jc w:val="both"/>
        <w:rPr>
          <w:rFonts w:eastAsiaTheme="minorEastAsia"/>
          <w:color w:val="000000"/>
          <w:bdr w:val="none" w:sz="0" w:space="0" w:color="auto" w:frame="1"/>
        </w:rPr>
      </w:pPr>
    </w:p>
    <w:p w14:paraId="7B90245C" w14:textId="77777777" w:rsidR="00545B33" w:rsidRDefault="00545B33" w:rsidP="00C061EC">
      <w:pPr>
        <w:spacing w:line="360" w:lineRule="auto"/>
        <w:jc w:val="both"/>
        <w:rPr>
          <w:rFonts w:eastAsiaTheme="minorEastAsia"/>
          <w:color w:val="000000"/>
          <w:bdr w:val="none" w:sz="0" w:space="0" w:color="auto" w:frame="1"/>
        </w:rPr>
      </w:pPr>
    </w:p>
    <w:p w14:paraId="35513916" w14:textId="77777777" w:rsidR="00545B33" w:rsidRDefault="00545B33" w:rsidP="00C061EC">
      <w:pPr>
        <w:spacing w:line="360" w:lineRule="auto"/>
        <w:jc w:val="both"/>
        <w:rPr>
          <w:rFonts w:eastAsiaTheme="minorEastAsia"/>
          <w:color w:val="000000"/>
          <w:bdr w:val="none" w:sz="0" w:space="0" w:color="auto" w:frame="1"/>
        </w:rPr>
      </w:pPr>
    </w:p>
    <w:p w14:paraId="2C1040D8" w14:textId="77777777" w:rsidR="00545B33" w:rsidRDefault="00545B33" w:rsidP="00C061EC">
      <w:pPr>
        <w:spacing w:line="360" w:lineRule="auto"/>
        <w:jc w:val="both"/>
        <w:rPr>
          <w:rFonts w:eastAsiaTheme="minorEastAsia"/>
          <w:color w:val="000000"/>
          <w:bdr w:val="none" w:sz="0" w:space="0" w:color="auto" w:frame="1"/>
        </w:rPr>
      </w:pPr>
    </w:p>
    <w:p w14:paraId="05154BB3" w14:textId="77777777" w:rsidR="00545B33" w:rsidRDefault="00545B33" w:rsidP="00C061EC">
      <w:pPr>
        <w:spacing w:line="360" w:lineRule="auto"/>
        <w:jc w:val="both"/>
        <w:rPr>
          <w:rFonts w:eastAsiaTheme="minorEastAsia"/>
          <w:color w:val="000000"/>
          <w:bdr w:val="none" w:sz="0" w:space="0" w:color="auto" w:frame="1"/>
        </w:rPr>
      </w:pPr>
    </w:p>
    <w:p w14:paraId="01515938" w14:textId="77777777" w:rsidR="00545B33" w:rsidRDefault="00545B33" w:rsidP="00C061EC">
      <w:pPr>
        <w:spacing w:line="360" w:lineRule="auto"/>
        <w:jc w:val="both"/>
        <w:rPr>
          <w:rFonts w:eastAsiaTheme="minorEastAsia"/>
          <w:color w:val="000000"/>
          <w:bdr w:val="none" w:sz="0" w:space="0" w:color="auto" w:frame="1"/>
        </w:rPr>
      </w:pPr>
    </w:p>
    <w:p w14:paraId="1409CC7D" w14:textId="77777777" w:rsidR="00545B33" w:rsidRDefault="00545B33" w:rsidP="00C061EC">
      <w:pPr>
        <w:spacing w:line="360" w:lineRule="auto"/>
        <w:jc w:val="both"/>
        <w:rPr>
          <w:rFonts w:eastAsiaTheme="minorEastAsia"/>
          <w:color w:val="000000"/>
          <w:bdr w:val="none" w:sz="0" w:space="0" w:color="auto" w:frame="1"/>
        </w:rPr>
      </w:pPr>
    </w:p>
    <w:p w14:paraId="4BF45FCB" w14:textId="77777777" w:rsidR="00545B33" w:rsidRDefault="00545B33" w:rsidP="00C061EC">
      <w:pPr>
        <w:spacing w:line="360" w:lineRule="auto"/>
        <w:jc w:val="both"/>
        <w:rPr>
          <w:rFonts w:eastAsiaTheme="minorEastAsia"/>
          <w:color w:val="000000"/>
          <w:bdr w:val="none" w:sz="0" w:space="0" w:color="auto" w:frame="1"/>
        </w:rPr>
      </w:pPr>
    </w:p>
    <w:p w14:paraId="5753EF0C" w14:textId="77777777" w:rsidR="00545B33" w:rsidRDefault="00545B33" w:rsidP="00C061EC">
      <w:pPr>
        <w:spacing w:line="360" w:lineRule="auto"/>
        <w:jc w:val="both"/>
        <w:rPr>
          <w:rFonts w:eastAsiaTheme="minorEastAsia"/>
          <w:color w:val="000000"/>
          <w:bdr w:val="none" w:sz="0" w:space="0" w:color="auto" w:frame="1"/>
        </w:rPr>
      </w:pPr>
    </w:p>
    <w:p w14:paraId="76502097" w14:textId="77777777" w:rsidR="00545B33" w:rsidRDefault="00545B33" w:rsidP="00C061EC">
      <w:pPr>
        <w:spacing w:line="360" w:lineRule="auto"/>
        <w:jc w:val="both"/>
        <w:rPr>
          <w:rFonts w:eastAsiaTheme="minorEastAsia"/>
          <w:color w:val="000000"/>
          <w:bdr w:val="none" w:sz="0" w:space="0" w:color="auto" w:frame="1"/>
        </w:rPr>
      </w:pPr>
    </w:p>
    <w:p w14:paraId="2E78224D" w14:textId="77777777" w:rsidR="00545B33" w:rsidRDefault="00545B33" w:rsidP="00C061EC">
      <w:pPr>
        <w:spacing w:line="360" w:lineRule="auto"/>
        <w:jc w:val="both"/>
        <w:rPr>
          <w:rFonts w:eastAsiaTheme="minorEastAsia"/>
          <w:color w:val="000000"/>
          <w:bdr w:val="none" w:sz="0" w:space="0" w:color="auto" w:frame="1"/>
        </w:rPr>
      </w:pPr>
    </w:p>
    <w:p w14:paraId="19105550" w14:textId="77777777" w:rsidR="00545B33" w:rsidRDefault="00545B33" w:rsidP="00C061EC">
      <w:pPr>
        <w:spacing w:line="360" w:lineRule="auto"/>
        <w:jc w:val="both"/>
        <w:rPr>
          <w:rFonts w:eastAsiaTheme="minorEastAsia"/>
          <w:color w:val="000000"/>
          <w:bdr w:val="none" w:sz="0" w:space="0" w:color="auto" w:frame="1"/>
        </w:rPr>
      </w:pPr>
    </w:p>
    <w:p w14:paraId="455166DB" w14:textId="77777777" w:rsidR="00545B33" w:rsidRDefault="00545B33" w:rsidP="00C061EC">
      <w:pPr>
        <w:spacing w:line="360" w:lineRule="auto"/>
        <w:jc w:val="both"/>
        <w:rPr>
          <w:rFonts w:eastAsiaTheme="minorEastAsia"/>
          <w:color w:val="000000"/>
          <w:bdr w:val="none" w:sz="0" w:space="0" w:color="auto" w:frame="1"/>
        </w:rPr>
      </w:pPr>
    </w:p>
    <w:p w14:paraId="61914C9F" w14:textId="77777777" w:rsidR="00545B33" w:rsidRDefault="00545B33" w:rsidP="00C061EC">
      <w:pPr>
        <w:spacing w:line="360" w:lineRule="auto"/>
        <w:jc w:val="both"/>
        <w:rPr>
          <w:rFonts w:eastAsiaTheme="minorEastAsia"/>
          <w:color w:val="000000"/>
          <w:bdr w:val="none" w:sz="0" w:space="0" w:color="auto" w:frame="1"/>
        </w:rPr>
      </w:pPr>
    </w:p>
    <w:p w14:paraId="7FB10F75" w14:textId="77777777" w:rsidR="00545B33" w:rsidRDefault="00545B33" w:rsidP="00C061EC">
      <w:pPr>
        <w:spacing w:line="360" w:lineRule="auto"/>
        <w:jc w:val="both"/>
        <w:rPr>
          <w:rFonts w:eastAsiaTheme="minorEastAsia"/>
          <w:color w:val="000000"/>
          <w:bdr w:val="none" w:sz="0" w:space="0" w:color="auto" w:frame="1"/>
        </w:rPr>
      </w:pPr>
    </w:p>
    <w:p w14:paraId="253FC644" w14:textId="77777777" w:rsidR="00545B33" w:rsidRDefault="00545B33" w:rsidP="00C061EC">
      <w:pPr>
        <w:spacing w:line="360" w:lineRule="auto"/>
        <w:jc w:val="both"/>
        <w:rPr>
          <w:rFonts w:eastAsiaTheme="minorEastAsia"/>
          <w:color w:val="000000"/>
          <w:bdr w:val="none" w:sz="0" w:space="0" w:color="auto" w:frame="1"/>
        </w:rPr>
      </w:pPr>
    </w:p>
    <w:p w14:paraId="69937CD1" w14:textId="77777777" w:rsidR="00545B33" w:rsidRDefault="00545B33" w:rsidP="00C061EC">
      <w:pPr>
        <w:spacing w:line="360" w:lineRule="auto"/>
        <w:jc w:val="both"/>
        <w:rPr>
          <w:rFonts w:eastAsiaTheme="minorEastAsia"/>
          <w:color w:val="000000"/>
          <w:bdr w:val="none" w:sz="0" w:space="0" w:color="auto" w:frame="1"/>
        </w:rPr>
      </w:pPr>
    </w:p>
    <w:p w14:paraId="56826E42" w14:textId="77777777" w:rsidR="00545B33" w:rsidRDefault="00545B33" w:rsidP="00C061EC">
      <w:pPr>
        <w:spacing w:line="360" w:lineRule="auto"/>
        <w:jc w:val="both"/>
        <w:rPr>
          <w:rFonts w:eastAsiaTheme="minorEastAsia"/>
          <w:color w:val="000000"/>
          <w:bdr w:val="none" w:sz="0" w:space="0" w:color="auto" w:frame="1"/>
        </w:rPr>
      </w:pPr>
    </w:p>
    <w:p w14:paraId="1E5730DD" w14:textId="77777777" w:rsidR="00545B33" w:rsidRDefault="00545B33" w:rsidP="00C061EC">
      <w:pPr>
        <w:spacing w:line="360" w:lineRule="auto"/>
        <w:jc w:val="both"/>
        <w:rPr>
          <w:rFonts w:eastAsiaTheme="minorEastAsia"/>
          <w:color w:val="000000"/>
          <w:bdr w:val="none" w:sz="0" w:space="0" w:color="auto" w:frame="1"/>
        </w:rPr>
      </w:pPr>
    </w:p>
    <w:p w14:paraId="4C3D5F08" w14:textId="77777777" w:rsidR="00545B33" w:rsidRDefault="00545B33" w:rsidP="00C061EC">
      <w:pPr>
        <w:spacing w:line="360" w:lineRule="auto"/>
        <w:jc w:val="both"/>
        <w:rPr>
          <w:rFonts w:eastAsiaTheme="minorEastAsia"/>
          <w:color w:val="000000"/>
          <w:bdr w:val="none" w:sz="0" w:space="0" w:color="auto" w:frame="1"/>
        </w:rPr>
      </w:pPr>
    </w:p>
    <w:p w14:paraId="1377EBE1" w14:textId="77777777" w:rsidR="00545B33" w:rsidRDefault="00545B33" w:rsidP="00C061EC">
      <w:pPr>
        <w:spacing w:line="360" w:lineRule="auto"/>
        <w:jc w:val="both"/>
        <w:rPr>
          <w:rFonts w:eastAsiaTheme="minorEastAsia"/>
          <w:color w:val="000000"/>
          <w:bdr w:val="none" w:sz="0" w:space="0" w:color="auto" w:frame="1"/>
        </w:rPr>
      </w:pPr>
    </w:p>
    <w:p w14:paraId="04E7D840" w14:textId="77777777" w:rsidR="00545B33" w:rsidRDefault="00545B33" w:rsidP="00C061EC">
      <w:pPr>
        <w:spacing w:line="360" w:lineRule="auto"/>
        <w:jc w:val="both"/>
        <w:rPr>
          <w:rFonts w:eastAsiaTheme="minorEastAsia"/>
          <w:color w:val="000000"/>
          <w:bdr w:val="none" w:sz="0" w:space="0" w:color="auto" w:frame="1"/>
        </w:rPr>
      </w:pPr>
    </w:p>
    <w:p w14:paraId="70700C34" w14:textId="77777777" w:rsidR="00545B33" w:rsidRDefault="00545B33" w:rsidP="00C061EC">
      <w:pPr>
        <w:spacing w:line="360" w:lineRule="auto"/>
        <w:jc w:val="both"/>
        <w:rPr>
          <w:rFonts w:eastAsiaTheme="minorEastAsia"/>
          <w:color w:val="000000"/>
          <w:bdr w:val="none" w:sz="0" w:space="0" w:color="auto" w:frame="1"/>
        </w:rPr>
      </w:pPr>
    </w:p>
    <w:p w14:paraId="780689F8" w14:textId="77777777" w:rsidR="00545B33" w:rsidRDefault="00545B33" w:rsidP="00C061EC">
      <w:pPr>
        <w:spacing w:line="360" w:lineRule="auto"/>
        <w:jc w:val="both"/>
        <w:rPr>
          <w:rFonts w:eastAsiaTheme="minorEastAsia"/>
          <w:color w:val="000000"/>
          <w:bdr w:val="none" w:sz="0" w:space="0" w:color="auto" w:frame="1"/>
        </w:rPr>
      </w:pPr>
    </w:p>
    <w:p w14:paraId="3494F6A3" w14:textId="77777777" w:rsidR="00545B33" w:rsidRDefault="00545B33" w:rsidP="00C061EC">
      <w:pPr>
        <w:spacing w:line="360" w:lineRule="auto"/>
        <w:jc w:val="both"/>
        <w:rPr>
          <w:rFonts w:eastAsiaTheme="minorEastAsia"/>
          <w:color w:val="000000"/>
          <w:bdr w:val="none" w:sz="0" w:space="0" w:color="auto" w:frame="1"/>
        </w:rPr>
      </w:pPr>
    </w:p>
    <w:p w14:paraId="4C358194" w14:textId="77777777" w:rsidR="00545B33" w:rsidRDefault="00545B33" w:rsidP="00C061EC">
      <w:pPr>
        <w:spacing w:line="360" w:lineRule="auto"/>
        <w:jc w:val="both"/>
        <w:rPr>
          <w:rFonts w:eastAsiaTheme="minorEastAsia"/>
          <w:color w:val="000000"/>
          <w:bdr w:val="none" w:sz="0" w:space="0" w:color="auto" w:frame="1"/>
        </w:rPr>
      </w:pPr>
    </w:p>
    <w:p w14:paraId="3E214BC0" w14:textId="77777777" w:rsidR="00545B33" w:rsidRDefault="00545B33" w:rsidP="00C061EC">
      <w:pPr>
        <w:spacing w:line="360" w:lineRule="auto"/>
        <w:jc w:val="both"/>
        <w:rPr>
          <w:rFonts w:eastAsiaTheme="minorEastAsia"/>
          <w:color w:val="000000"/>
          <w:bdr w:val="none" w:sz="0" w:space="0" w:color="auto" w:frame="1"/>
        </w:rPr>
      </w:pPr>
    </w:p>
    <w:p w14:paraId="7703482C" w14:textId="77777777" w:rsidR="00545B33" w:rsidRDefault="00545B33" w:rsidP="00C061EC">
      <w:pPr>
        <w:spacing w:line="360" w:lineRule="auto"/>
        <w:jc w:val="both"/>
        <w:rPr>
          <w:rFonts w:eastAsiaTheme="minorEastAsia"/>
          <w:color w:val="000000"/>
          <w:bdr w:val="none" w:sz="0" w:space="0" w:color="auto" w:frame="1"/>
        </w:rPr>
      </w:pPr>
    </w:p>
    <w:p w14:paraId="6F69A403" w14:textId="77777777" w:rsidR="00545B33" w:rsidRDefault="00545B33" w:rsidP="00C061EC">
      <w:pPr>
        <w:spacing w:line="360" w:lineRule="auto"/>
        <w:jc w:val="both"/>
        <w:rPr>
          <w:rFonts w:eastAsiaTheme="minorEastAsia"/>
          <w:color w:val="000000"/>
          <w:bdr w:val="none" w:sz="0" w:space="0" w:color="auto" w:frame="1"/>
        </w:rPr>
      </w:pPr>
    </w:p>
    <w:p w14:paraId="40944B1E" w14:textId="77777777" w:rsidR="00545B33" w:rsidRPr="00D71AC2" w:rsidRDefault="00545B33" w:rsidP="00C061EC">
      <w:pPr>
        <w:spacing w:line="360" w:lineRule="auto"/>
        <w:jc w:val="both"/>
        <w:rPr>
          <w:rFonts w:eastAsiaTheme="minorEastAsia"/>
          <w:color w:val="000000"/>
          <w:bdr w:val="none" w:sz="0" w:space="0" w:color="auto" w:frame="1"/>
        </w:rPr>
      </w:pPr>
    </w:p>
    <w:p w14:paraId="09AD8104"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b/>
          <w:bCs/>
          <w:color w:val="000000"/>
          <w:bdr w:val="none" w:sz="0" w:space="0" w:color="auto" w:frame="1"/>
        </w:rPr>
        <w:lastRenderedPageBreak/>
        <w:t>Conclusion </w:t>
      </w:r>
    </w:p>
    <w:p w14:paraId="603B2582" w14:textId="77777777"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w:t>
      </w:r>
    </w:p>
    <w:p w14:paraId="581AC8C3" w14:textId="28B5D42A" w:rsidR="00FC3FC2" w:rsidRPr="00D71AC2" w:rsidRDefault="00FC3FC2" w:rsidP="00C061EC">
      <w:pPr>
        <w:spacing w:line="360" w:lineRule="auto"/>
        <w:jc w:val="both"/>
        <w:rPr>
          <w:rFonts w:eastAsiaTheme="minorEastAsia"/>
          <w:color w:val="000000"/>
          <w:bdr w:val="none" w:sz="0" w:space="0" w:color="auto" w:frame="1"/>
        </w:rPr>
      </w:pPr>
      <w:r w:rsidRPr="00D71AC2">
        <w:rPr>
          <w:rFonts w:eastAsiaTheme="minorEastAsia"/>
          <w:color w:val="000000"/>
          <w:bdr w:val="none" w:sz="0" w:space="0" w:color="auto" w:frame="1"/>
        </w:rPr>
        <w:t xml:space="preserve">In conclusion, Bob’s health and wellbeing are influenced by a combination of biological, </w:t>
      </w:r>
      <w:r w:rsidR="003F766E" w:rsidRPr="00D71AC2">
        <w:rPr>
          <w:rFonts w:eastAsiaTheme="minorEastAsia"/>
          <w:color w:val="000000"/>
          <w:bdr w:val="none" w:sz="0" w:space="0" w:color="auto" w:frame="1"/>
        </w:rPr>
        <w:t>psychological,</w:t>
      </w:r>
      <w:r w:rsidRPr="00D71AC2">
        <w:rPr>
          <w:rFonts w:eastAsiaTheme="minorEastAsia"/>
          <w:color w:val="000000"/>
          <w:bdr w:val="none" w:sz="0" w:space="0" w:color="auto" w:frame="1"/>
        </w:rPr>
        <w:t xml:space="preserve"> and social factors, demonstrating the importance of the </w:t>
      </w:r>
      <w:proofErr w:type="spellStart"/>
      <w:r w:rsidRPr="00D71AC2">
        <w:rPr>
          <w:rFonts w:eastAsiaTheme="minorEastAsia"/>
          <w:color w:val="000000"/>
          <w:bdr w:val="none" w:sz="0" w:space="0" w:color="auto" w:frame="1"/>
        </w:rPr>
        <w:t>biopsychosocial</w:t>
      </w:r>
      <w:proofErr w:type="spellEnd"/>
      <w:r w:rsidRPr="00D71AC2">
        <w:rPr>
          <w:rFonts w:eastAsiaTheme="minorEastAsia"/>
          <w:color w:val="000000"/>
          <w:bdr w:val="none" w:sz="0" w:space="0" w:color="auto" w:frame="1"/>
        </w:rPr>
        <w:t xml:space="preserve"> model in holistic health assessment. His obesity, hypertension, pre-diabetes, smoking, alcohol consumption, sedentary </w:t>
      </w:r>
      <w:r w:rsidR="003F766E" w:rsidRPr="00D71AC2">
        <w:rPr>
          <w:rFonts w:eastAsiaTheme="minorEastAsia"/>
          <w:color w:val="000000"/>
          <w:bdr w:val="none" w:sz="0" w:space="0" w:color="auto" w:frame="1"/>
        </w:rPr>
        <w:t>lifestyle,</w:t>
      </w:r>
      <w:r w:rsidRPr="00D71AC2">
        <w:rPr>
          <w:rFonts w:eastAsiaTheme="minorEastAsia"/>
          <w:color w:val="000000"/>
          <w:bdr w:val="none" w:sz="0" w:space="0" w:color="auto" w:frame="1"/>
        </w:rPr>
        <w:t xml:space="preserve"> and social isolation interact to increase his risk of chronic disease and negatively affect his quality of life. Implementing realistic, </w:t>
      </w:r>
      <w:r w:rsidR="003F766E" w:rsidRPr="00D71AC2">
        <w:rPr>
          <w:rFonts w:eastAsiaTheme="minorEastAsia"/>
          <w:color w:val="000000"/>
          <w:bdr w:val="none" w:sz="0" w:space="0" w:color="auto" w:frame="1"/>
        </w:rPr>
        <w:t>person-centred</w:t>
      </w:r>
      <w:r w:rsidRPr="00D71AC2">
        <w:rPr>
          <w:rFonts w:eastAsiaTheme="minorEastAsia"/>
          <w:color w:val="000000"/>
          <w:bdr w:val="none" w:sz="0" w:space="0" w:color="auto" w:frame="1"/>
        </w:rPr>
        <w:t xml:space="preserve"> interventions, alongside regular monitoring and ongoing support, could significantly improve Bob’s long term health outcomes and overall wellbeing.</w:t>
      </w:r>
    </w:p>
    <w:p w14:paraId="1694C732" w14:textId="77777777" w:rsidR="00FC3FC2" w:rsidRPr="00FC3FC2" w:rsidRDefault="00FC3FC2" w:rsidP="00FC3FC2"/>
    <w:p w14:paraId="47CE7EE4" w14:textId="77777777" w:rsidR="00FC3FC2" w:rsidRDefault="00FC3FC2">
      <w:pPr>
        <w:spacing w:after="240" w:line="360" w:lineRule="auto"/>
        <w:rPr>
          <w:sz w:val="36"/>
          <w:szCs w:val="36"/>
        </w:rPr>
      </w:pPr>
    </w:p>
    <w:p w14:paraId="4D27A637" w14:textId="77777777" w:rsidR="00FC3FC2" w:rsidRDefault="00FC3FC2">
      <w:pPr>
        <w:spacing w:after="240" w:line="360" w:lineRule="auto"/>
        <w:rPr>
          <w:sz w:val="36"/>
          <w:szCs w:val="36"/>
        </w:rPr>
      </w:pPr>
    </w:p>
    <w:p w14:paraId="29E94D19" w14:textId="77777777" w:rsidR="00545B33" w:rsidRDefault="00545B33">
      <w:pPr>
        <w:spacing w:after="240" w:line="360" w:lineRule="auto"/>
        <w:rPr>
          <w:sz w:val="36"/>
          <w:szCs w:val="36"/>
        </w:rPr>
      </w:pPr>
    </w:p>
    <w:p w14:paraId="7EE506E1" w14:textId="77777777" w:rsidR="00545B33" w:rsidRDefault="00545B33">
      <w:pPr>
        <w:spacing w:after="240" w:line="360" w:lineRule="auto"/>
        <w:rPr>
          <w:sz w:val="36"/>
          <w:szCs w:val="36"/>
        </w:rPr>
      </w:pPr>
    </w:p>
    <w:p w14:paraId="19CCF4BC" w14:textId="77777777" w:rsidR="00545B33" w:rsidRDefault="00545B33">
      <w:pPr>
        <w:spacing w:after="240" w:line="360" w:lineRule="auto"/>
        <w:rPr>
          <w:sz w:val="36"/>
          <w:szCs w:val="36"/>
        </w:rPr>
      </w:pPr>
    </w:p>
    <w:p w14:paraId="28FEEB2A" w14:textId="77777777" w:rsidR="00545B33" w:rsidRDefault="00545B33">
      <w:pPr>
        <w:spacing w:after="240" w:line="360" w:lineRule="auto"/>
        <w:rPr>
          <w:sz w:val="36"/>
          <w:szCs w:val="36"/>
        </w:rPr>
      </w:pPr>
    </w:p>
    <w:p w14:paraId="7C405D44" w14:textId="77777777" w:rsidR="00545B33" w:rsidRDefault="00545B33">
      <w:pPr>
        <w:spacing w:after="240" w:line="360" w:lineRule="auto"/>
        <w:rPr>
          <w:sz w:val="36"/>
          <w:szCs w:val="36"/>
        </w:rPr>
      </w:pPr>
    </w:p>
    <w:p w14:paraId="59896F7A" w14:textId="77777777" w:rsidR="00545B33" w:rsidRDefault="00545B33">
      <w:pPr>
        <w:spacing w:after="240" w:line="360" w:lineRule="auto"/>
        <w:rPr>
          <w:sz w:val="36"/>
          <w:szCs w:val="36"/>
        </w:rPr>
      </w:pPr>
    </w:p>
    <w:p w14:paraId="2D966609" w14:textId="77777777" w:rsidR="00545B33" w:rsidRDefault="00545B33">
      <w:pPr>
        <w:spacing w:after="240" w:line="360" w:lineRule="auto"/>
        <w:rPr>
          <w:sz w:val="36"/>
          <w:szCs w:val="36"/>
        </w:rPr>
      </w:pPr>
    </w:p>
    <w:p w14:paraId="19F0D160" w14:textId="77777777" w:rsidR="006233AD" w:rsidRDefault="006233AD">
      <w:pPr>
        <w:spacing w:after="240" w:line="360" w:lineRule="auto"/>
        <w:rPr>
          <w:sz w:val="36"/>
          <w:szCs w:val="36"/>
        </w:rPr>
      </w:pPr>
    </w:p>
    <w:p w14:paraId="12009513" w14:textId="77777777" w:rsidR="006233AD" w:rsidRDefault="006233AD">
      <w:pPr>
        <w:spacing w:after="240" w:line="360" w:lineRule="auto"/>
        <w:rPr>
          <w:sz w:val="36"/>
          <w:szCs w:val="36"/>
        </w:rPr>
      </w:pPr>
    </w:p>
    <w:p w14:paraId="4EAF159C" w14:textId="77777777" w:rsidR="006233AD" w:rsidRDefault="006233AD">
      <w:pPr>
        <w:spacing w:after="240" w:line="360" w:lineRule="auto"/>
        <w:rPr>
          <w:sz w:val="36"/>
          <w:szCs w:val="36"/>
        </w:rPr>
      </w:pPr>
    </w:p>
    <w:p w14:paraId="64C7E28C" w14:textId="57E6D289" w:rsidR="00E976C2" w:rsidRDefault="00E57902">
      <w:pPr>
        <w:spacing w:after="240" w:line="360" w:lineRule="auto"/>
        <w:rPr>
          <w:b/>
          <w:bCs/>
        </w:rPr>
      </w:pPr>
      <w:r w:rsidRPr="006233AD">
        <w:rPr>
          <w:b/>
          <w:bCs/>
        </w:rPr>
        <w:lastRenderedPageBreak/>
        <w:t>Reference list</w:t>
      </w:r>
    </w:p>
    <w:p w14:paraId="3322F45F" w14:textId="77777777" w:rsidR="004E3272" w:rsidRPr="006233AD" w:rsidRDefault="004E3272">
      <w:pPr>
        <w:spacing w:after="240" w:line="360" w:lineRule="auto"/>
        <w:rPr>
          <w:b/>
          <w:bCs/>
        </w:rPr>
      </w:pPr>
    </w:p>
    <w:p w14:paraId="634B0553" w14:textId="485BD0D5" w:rsidR="00E976C2" w:rsidRDefault="00E57902">
      <w:pPr>
        <w:spacing w:after="240" w:line="360" w:lineRule="auto"/>
      </w:pPr>
      <w:r>
        <w:t xml:space="preserve">Appel, L.J., Moore, T.J., </w:t>
      </w:r>
      <w:proofErr w:type="spellStart"/>
      <w:r>
        <w:t>Obarzanek</w:t>
      </w:r>
      <w:proofErr w:type="spellEnd"/>
      <w:r>
        <w:t xml:space="preserve">, E., </w:t>
      </w:r>
      <w:proofErr w:type="spellStart"/>
      <w:r>
        <w:t>Vollmer</w:t>
      </w:r>
      <w:proofErr w:type="spellEnd"/>
      <w:r>
        <w:t xml:space="preserve">, W.M., </w:t>
      </w:r>
      <w:proofErr w:type="spellStart"/>
      <w:r>
        <w:t>Svetkey</w:t>
      </w:r>
      <w:proofErr w:type="spellEnd"/>
      <w:r>
        <w:t xml:space="preserve">, L.P., Sacks, F.M., Bray, G.A., Vogt, T.M., Cutler, J.A., </w:t>
      </w:r>
      <w:proofErr w:type="spellStart"/>
      <w:r>
        <w:t>Windhauser</w:t>
      </w:r>
      <w:proofErr w:type="spellEnd"/>
      <w:r>
        <w:t xml:space="preserve">, M.M., Lin, P.-H., </w:t>
      </w:r>
      <w:proofErr w:type="spellStart"/>
      <w:r>
        <w:t>Karanja</w:t>
      </w:r>
      <w:proofErr w:type="spellEnd"/>
      <w:r>
        <w:t xml:space="preserve">, N., Simons-Morton, D., McCullough, M., Swain, J., Steele, P., Evans, M.A., Miller, E.R. and </w:t>
      </w:r>
      <w:proofErr w:type="spellStart"/>
      <w:r>
        <w:t>Harsha</w:t>
      </w:r>
      <w:proofErr w:type="spellEnd"/>
      <w:r>
        <w:t xml:space="preserve">, D.W. (1997). A Clinical Trial of the Effects of Dietary Patterns on Blood Pressure. </w:t>
      </w:r>
      <w:r>
        <w:rPr>
          <w:i/>
          <w:iCs/>
        </w:rPr>
        <w:t>New England Journal of Medicine</w:t>
      </w:r>
      <w:r>
        <w:t xml:space="preserve">, [online] </w:t>
      </w:r>
      <w:r w:rsidR="00221B20">
        <w:t xml:space="preserve">Available at: </w:t>
      </w:r>
      <w:hyperlink r:id="rId5" w:history="1">
        <w:r w:rsidR="0009663C" w:rsidRPr="002123B6">
          <w:rPr>
            <w:rStyle w:val="Hyperlink"/>
          </w:rPr>
          <w:t>https://www.nejm.org/doi/full/10.1056/NEJM199704173361601</w:t>
        </w:r>
      </w:hyperlink>
    </w:p>
    <w:p w14:paraId="46DF7132" w14:textId="77777777" w:rsidR="00655B2D" w:rsidRDefault="00655B2D">
      <w:pPr>
        <w:spacing w:after="240" w:line="360" w:lineRule="auto"/>
      </w:pPr>
    </w:p>
    <w:p w14:paraId="501833A4" w14:textId="52FCD49C" w:rsidR="00E976C2" w:rsidRDefault="00E57902">
      <w:pPr>
        <w:spacing w:after="240" w:line="360" w:lineRule="auto"/>
      </w:pPr>
      <w:r>
        <w:t xml:space="preserve">Bull, F.C., </w:t>
      </w:r>
      <w:proofErr w:type="spellStart"/>
      <w:r>
        <w:t>Al-Ansari</w:t>
      </w:r>
      <w:proofErr w:type="spellEnd"/>
      <w:r>
        <w:t xml:space="preserve">, S.S., Biddle, S., </w:t>
      </w:r>
      <w:proofErr w:type="spellStart"/>
      <w:r>
        <w:t>Borodulin</w:t>
      </w:r>
      <w:proofErr w:type="spellEnd"/>
      <w:r>
        <w:t xml:space="preserve">, K., </w:t>
      </w:r>
      <w:proofErr w:type="spellStart"/>
      <w:r>
        <w:t>Buman</w:t>
      </w:r>
      <w:proofErr w:type="spellEnd"/>
      <w:r>
        <w:t xml:space="preserve">, M.P., </w:t>
      </w:r>
      <w:proofErr w:type="spellStart"/>
      <w:r>
        <w:t>Cardon</w:t>
      </w:r>
      <w:proofErr w:type="spellEnd"/>
      <w:r>
        <w:t xml:space="preserve">, G., </w:t>
      </w:r>
      <w:proofErr w:type="spellStart"/>
      <w:r>
        <w:t>Carty</w:t>
      </w:r>
      <w:proofErr w:type="spellEnd"/>
      <w:r>
        <w:t xml:space="preserve">, C., </w:t>
      </w:r>
      <w:proofErr w:type="spellStart"/>
      <w:r>
        <w:t>Chaput</w:t>
      </w:r>
      <w:proofErr w:type="spellEnd"/>
      <w:r>
        <w:t xml:space="preserve">, J.-P., Chastin, S., Chou, R., Dempsey, P.C., </w:t>
      </w:r>
      <w:proofErr w:type="spellStart"/>
      <w:r>
        <w:t>DiPietro</w:t>
      </w:r>
      <w:proofErr w:type="spellEnd"/>
      <w:r>
        <w:t xml:space="preserve">, L., </w:t>
      </w:r>
      <w:proofErr w:type="spellStart"/>
      <w:r>
        <w:t>Ekelund</w:t>
      </w:r>
      <w:proofErr w:type="spellEnd"/>
      <w:r>
        <w:t xml:space="preserve">, U., Firth, J., </w:t>
      </w:r>
      <w:proofErr w:type="spellStart"/>
      <w:r>
        <w:t>Friedenreich</w:t>
      </w:r>
      <w:proofErr w:type="spellEnd"/>
      <w:r>
        <w:t xml:space="preserve">, C.M., Garcia, L., </w:t>
      </w:r>
      <w:proofErr w:type="spellStart"/>
      <w:r>
        <w:t>Gichu</w:t>
      </w:r>
      <w:proofErr w:type="spellEnd"/>
      <w:r>
        <w:t xml:space="preserve">, M., </w:t>
      </w:r>
      <w:proofErr w:type="spellStart"/>
      <w:r>
        <w:t>Jago</w:t>
      </w:r>
      <w:proofErr w:type="spellEnd"/>
      <w:r>
        <w:t xml:space="preserve">, R., </w:t>
      </w:r>
      <w:proofErr w:type="spellStart"/>
      <w:r>
        <w:t>Katzmarzyk</w:t>
      </w:r>
      <w:proofErr w:type="spellEnd"/>
      <w:r>
        <w:t xml:space="preserve">, P.T., Lambert, E., </w:t>
      </w:r>
      <w:proofErr w:type="spellStart"/>
      <w:r>
        <w:t>Leitzmann</w:t>
      </w:r>
      <w:proofErr w:type="spellEnd"/>
      <w:r>
        <w:t xml:space="preserve">, M., Milton, K., Ortega, F.B., </w:t>
      </w:r>
      <w:proofErr w:type="spellStart"/>
      <w:r>
        <w:t>Ranasinghe</w:t>
      </w:r>
      <w:proofErr w:type="spellEnd"/>
      <w:r>
        <w:t xml:space="preserve">, C., </w:t>
      </w:r>
      <w:proofErr w:type="spellStart"/>
      <w:r>
        <w:t>Stamatakis</w:t>
      </w:r>
      <w:proofErr w:type="spellEnd"/>
      <w:r>
        <w:t xml:space="preserve">, E., </w:t>
      </w:r>
      <w:proofErr w:type="spellStart"/>
      <w:r>
        <w:t>Tiedemann</w:t>
      </w:r>
      <w:proofErr w:type="spellEnd"/>
      <w:r>
        <w:t xml:space="preserve">, A., </w:t>
      </w:r>
      <w:proofErr w:type="spellStart"/>
      <w:r>
        <w:t>Troiano</w:t>
      </w:r>
      <w:proofErr w:type="spellEnd"/>
      <w:r>
        <w:t xml:space="preserve">, R.P., van </w:t>
      </w:r>
      <w:proofErr w:type="spellStart"/>
      <w:r>
        <w:t>der</w:t>
      </w:r>
      <w:proofErr w:type="spellEnd"/>
      <w:r>
        <w:t xml:space="preserve"> </w:t>
      </w:r>
      <w:proofErr w:type="spellStart"/>
      <w:r>
        <w:t>Ploeg</w:t>
      </w:r>
      <w:proofErr w:type="spellEnd"/>
      <w:r>
        <w:t xml:space="preserve">, H.P., </w:t>
      </w:r>
      <w:proofErr w:type="spellStart"/>
      <w:r>
        <w:t>Wari</w:t>
      </w:r>
      <w:proofErr w:type="spellEnd"/>
      <w:r>
        <w:t xml:space="preserve">, V. and </w:t>
      </w:r>
      <w:proofErr w:type="spellStart"/>
      <w:r>
        <w:t>Willumsen</w:t>
      </w:r>
      <w:proofErr w:type="spellEnd"/>
      <w:r>
        <w:t xml:space="preserve">, J.F. (2020). World Health Organization 2020 Guidelines on Physical Activity and Sedentary Behaviour. </w:t>
      </w:r>
      <w:r>
        <w:rPr>
          <w:i/>
          <w:iCs/>
        </w:rPr>
        <w:t>British Journal of Sports Medicine</w:t>
      </w:r>
      <w:r>
        <w:t xml:space="preserve">, [online] </w:t>
      </w:r>
      <w:r w:rsidR="002D22A2">
        <w:t xml:space="preserve">Available at: </w:t>
      </w:r>
      <w:hyperlink r:id="rId6" w:history="1">
        <w:r w:rsidR="00E57387" w:rsidRPr="002123B6">
          <w:rPr>
            <w:rStyle w:val="Hyperlink"/>
          </w:rPr>
          <w:t>https://bjsm.bmj.com/content/54/24/1451</w:t>
        </w:r>
      </w:hyperlink>
    </w:p>
    <w:p w14:paraId="3488F332" w14:textId="77777777" w:rsidR="00AA734E" w:rsidRDefault="00AA734E">
      <w:pPr>
        <w:spacing w:after="240" w:line="360" w:lineRule="auto"/>
      </w:pPr>
    </w:p>
    <w:p w14:paraId="4B820966" w14:textId="28C91E1B" w:rsidR="00E976C2" w:rsidRDefault="00E57902">
      <w:pPr>
        <w:spacing w:after="240" w:line="360" w:lineRule="auto"/>
      </w:pPr>
      <w:r>
        <w:t xml:space="preserve">Cleary, M., Le </w:t>
      </w:r>
      <w:proofErr w:type="spellStart"/>
      <w:r>
        <w:t>Lagadec</w:t>
      </w:r>
      <w:proofErr w:type="spellEnd"/>
      <w:r>
        <w:t xml:space="preserve">, D., </w:t>
      </w:r>
      <w:proofErr w:type="spellStart"/>
      <w:r>
        <w:t>Thapa</w:t>
      </w:r>
      <w:proofErr w:type="spellEnd"/>
      <w:r>
        <w:t xml:space="preserve">, D.K. and </w:t>
      </w:r>
      <w:proofErr w:type="spellStart"/>
      <w:r>
        <w:t>Kornhaber</w:t>
      </w:r>
      <w:proofErr w:type="spellEnd"/>
      <w:r>
        <w:t xml:space="preserve">, R. (2025). Exploring the Impact of Hobbies on Mental Health and Well-being: A Scoping Review. </w:t>
      </w:r>
      <w:r>
        <w:rPr>
          <w:i/>
          <w:iCs/>
        </w:rPr>
        <w:t>Issues in Mental Health Nursing</w:t>
      </w:r>
      <w:r w:rsidR="00805E79">
        <w:t xml:space="preserve">. [online] Available at: </w:t>
      </w:r>
      <w:hyperlink r:id="rId7" w:history="1">
        <w:r w:rsidR="0088086D" w:rsidRPr="002123B6">
          <w:rPr>
            <w:rStyle w:val="Hyperlink"/>
          </w:rPr>
          <w:t>https://pubmed.ncbi.nlm.nih.gov/40489730/</w:t>
        </w:r>
      </w:hyperlink>
    </w:p>
    <w:p w14:paraId="1AFC805A" w14:textId="77777777" w:rsidR="00656CA6" w:rsidRDefault="00656CA6">
      <w:pPr>
        <w:spacing w:after="240" w:line="360" w:lineRule="auto"/>
      </w:pPr>
    </w:p>
    <w:p w14:paraId="30A63E9B" w14:textId="7F0C1E8A" w:rsidR="00C732BA" w:rsidRDefault="00E57902">
      <w:pPr>
        <w:spacing w:after="240" w:line="360" w:lineRule="auto"/>
      </w:pPr>
      <w:r>
        <w:t xml:space="preserve">Coulter, A. and Oldham, J. (2016). Person-centred care: What is it and how do we get there? </w:t>
      </w:r>
      <w:r>
        <w:rPr>
          <w:i/>
          <w:iCs/>
        </w:rPr>
        <w:t>Future Hospital Journal</w:t>
      </w:r>
      <w:r>
        <w:t xml:space="preserve">, [online] </w:t>
      </w:r>
      <w:r w:rsidR="007D4CDC">
        <w:t>available at</w:t>
      </w:r>
      <w:r w:rsidR="008C4686">
        <w:t>:</w:t>
      </w:r>
      <w:r w:rsidR="007D4CDC">
        <w:t xml:space="preserve"> </w:t>
      </w:r>
      <w:hyperlink r:id="rId8" w:history="1">
        <w:r w:rsidR="008C4686" w:rsidRPr="002123B6">
          <w:rPr>
            <w:rStyle w:val="Hyperlink"/>
          </w:rPr>
          <w:t>https://pubmed.ncbi.nlm.nih.gov/31098200/</w:t>
        </w:r>
      </w:hyperlink>
    </w:p>
    <w:p w14:paraId="1E26DE45" w14:textId="77777777" w:rsidR="00AA734E" w:rsidRDefault="00AA734E">
      <w:pPr>
        <w:spacing w:after="240" w:line="360" w:lineRule="auto"/>
      </w:pPr>
    </w:p>
    <w:p w14:paraId="07F3A29F" w14:textId="0698C432" w:rsidR="00B17EC0" w:rsidRDefault="00E57902">
      <w:pPr>
        <w:spacing w:after="240" w:line="360" w:lineRule="auto"/>
      </w:pPr>
      <w:r>
        <w:t xml:space="preserve">Diabetes UK (2023). </w:t>
      </w:r>
      <w:r>
        <w:rPr>
          <w:i/>
          <w:iCs/>
        </w:rPr>
        <w:t>Type 2 Diabetes</w:t>
      </w:r>
      <w:r>
        <w:t xml:space="preserve">. [online] </w:t>
      </w:r>
      <w:r>
        <w:rPr>
          <w:i/>
          <w:iCs/>
        </w:rPr>
        <w:t>Diabetes UK</w:t>
      </w:r>
      <w:r>
        <w:t xml:space="preserve">. Available at: </w:t>
      </w:r>
      <w:hyperlink r:id="rId9" w:history="1">
        <w:r w:rsidR="00B17EC0" w:rsidRPr="002123B6">
          <w:rPr>
            <w:rStyle w:val="Hyperlink"/>
          </w:rPr>
          <w:t>https://www.diabetes.org.uk/about-diabetes/type-2-diabetes</w:t>
        </w:r>
      </w:hyperlink>
      <w:r>
        <w:t xml:space="preserve"> </w:t>
      </w:r>
    </w:p>
    <w:p w14:paraId="20294546" w14:textId="385135A1" w:rsidR="00E976C2" w:rsidRDefault="00E976C2">
      <w:pPr>
        <w:spacing w:after="240" w:line="360" w:lineRule="auto"/>
      </w:pPr>
    </w:p>
    <w:p w14:paraId="2B3AAAB6" w14:textId="5D649533" w:rsidR="002C50ED" w:rsidRDefault="00E57902">
      <w:pPr>
        <w:spacing w:after="240" w:line="360" w:lineRule="auto"/>
      </w:pPr>
      <w:r>
        <w:lastRenderedPageBreak/>
        <w:t xml:space="preserve">Diabetes UK (2026). </w:t>
      </w:r>
      <w:r>
        <w:rPr>
          <w:i/>
          <w:iCs/>
        </w:rPr>
        <w:t>Type 2 Diabetes Prevention</w:t>
      </w:r>
      <w:r>
        <w:t xml:space="preserve">. [online] </w:t>
      </w:r>
      <w:r>
        <w:rPr>
          <w:i/>
          <w:iCs/>
        </w:rPr>
        <w:t>Diabetes UK</w:t>
      </w:r>
      <w:r>
        <w:t xml:space="preserve">. Available at: </w:t>
      </w:r>
      <w:hyperlink r:id="rId10" w:history="1">
        <w:r w:rsidR="002C50ED" w:rsidRPr="002123B6">
          <w:rPr>
            <w:rStyle w:val="Hyperlink"/>
          </w:rPr>
          <w:t>https://www.diabetes.org.uk/about-diabetes/type-2-diabetes/prevention</w:t>
        </w:r>
      </w:hyperlink>
    </w:p>
    <w:p w14:paraId="6A535276" w14:textId="6308B20A" w:rsidR="00E976C2" w:rsidRDefault="00E976C2">
      <w:pPr>
        <w:spacing w:after="240" w:line="360" w:lineRule="auto"/>
      </w:pPr>
    </w:p>
    <w:p w14:paraId="3A0E0434" w14:textId="04F9CFB7" w:rsidR="00337ADA" w:rsidRDefault="00337ADA">
      <w:pPr>
        <w:pStyle w:val="NormalWeb"/>
        <w:spacing w:before="0" w:beforeAutospacing="0" w:after="240" w:afterAutospacing="0" w:line="360" w:lineRule="atLeast"/>
        <w:rPr>
          <w:color w:val="000000"/>
        </w:rPr>
      </w:pPr>
      <w:r>
        <w:rPr>
          <w:color w:val="000000"/>
        </w:rPr>
        <w:t>Engel , G.L. (1977).</w:t>
      </w:r>
      <w:r>
        <w:rPr>
          <w:rStyle w:val="apple-converted-space"/>
          <w:color w:val="000000"/>
        </w:rPr>
        <w:t> </w:t>
      </w:r>
      <w:r>
        <w:rPr>
          <w:i/>
          <w:iCs/>
          <w:color w:val="000000"/>
        </w:rPr>
        <w:t>The need for w new medical model, a challenge for biomedicine</w:t>
      </w:r>
      <w:r>
        <w:rPr>
          <w:rStyle w:val="apple-converted-space"/>
          <w:i/>
          <w:iCs/>
          <w:color w:val="000000"/>
        </w:rPr>
        <w:t> </w:t>
      </w:r>
      <w:r>
        <w:rPr>
          <w:color w:val="000000"/>
        </w:rPr>
        <w:t xml:space="preserve">. </w:t>
      </w:r>
      <w:hyperlink r:id="rId11" w:history="1">
        <w:r w:rsidR="00977D8B" w:rsidRPr="002123B6">
          <w:rPr>
            <w:rStyle w:val="Hyperlink"/>
          </w:rPr>
          <w:t>https://me001ned.edis.at/publichealth/archiv/artikel/1977_Engel_Biopsychosocial%20model.pdf</w:t>
        </w:r>
      </w:hyperlink>
      <w:r>
        <w:rPr>
          <w:color w:val="000000"/>
        </w:rPr>
        <w:t>.</w:t>
      </w:r>
    </w:p>
    <w:p w14:paraId="01BDC37E" w14:textId="77777777" w:rsidR="00337ADA" w:rsidRDefault="00337ADA">
      <w:pPr>
        <w:spacing w:after="240" w:line="360" w:lineRule="auto"/>
      </w:pPr>
    </w:p>
    <w:p w14:paraId="198F7660" w14:textId="45DFA85E" w:rsidR="00E976C2" w:rsidRDefault="00E57902">
      <w:pPr>
        <w:spacing w:after="240" w:line="360" w:lineRule="auto"/>
      </w:pPr>
      <w:r>
        <w:t xml:space="preserve">England, N. (2026). </w:t>
      </w:r>
      <w:r>
        <w:rPr>
          <w:i/>
          <w:iCs/>
        </w:rPr>
        <w:t>NHS England » NHS Diabetes Prevention Programme (NHS DPP)</w:t>
      </w:r>
      <w:r>
        <w:t xml:space="preserve">. [online] </w:t>
      </w:r>
      <w:r>
        <w:rPr>
          <w:i/>
          <w:iCs/>
        </w:rPr>
        <w:t>England.nhs.uk</w:t>
      </w:r>
      <w:r>
        <w:t xml:space="preserve">. Available at: </w:t>
      </w:r>
      <w:hyperlink r:id="rId12" w:history="1">
        <w:r w:rsidR="006C41F4" w:rsidRPr="002123B6">
          <w:rPr>
            <w:rStyle w:val="Hyperlink"/>
          </w:rPr>
          <w:t>https://www.england.nhs.uk/diabetes/diabetes-prevention/?utm</w:t>
        </w:r>
      </w:hyperlink>
    </w:p>
    <w:p w14:paraId="486027D7" w14:textId="77777777" w:rsidR="00AA734E" w:rsidRDefault="00AA734E">
      <w:pPr>
        <w:spacing w:after="240" w:line="360" w:lineRule="auto"/>
      </w:pPr>
    </w:p>
    <w:p w14:paraId="2FBCFDDE" w14:textId="5BCEB21E" w:rsidR="00E976C2" w:rsidRDefault="00E57902">
      <w:pPr>
        <w:spacing w:after="240" w:line="360" w:lineRule="auto"/>
      </w:pPr>
      <w:r>
        <w:t xml:space="preserve">Ference, B.A., Ginsberg, H.N., Graham, I., Ray, K.K., Packard, C.J., </w:t>
      </w:r>
      <w:proofErr w:type="spellStart"/>
      <w:r>
        <w:t>Bruckert</w:t>
      </w:r>
      <w:proofErr w:type="spellEnd"/>
      <w:r>
        <w:t xml:space="preserve">, E., </w:t>
      </w:r>
      <w:proofErr w:type="spellStart"/>
      <w:r>
        <w:t>Hegele</w:t>
      </w:r>
      <w:proofErr w:type="spellEnd"/>
      <w:r>
        <w:t xml:space="preserve">, R.A., Krauss, R.M., </w:t>
      </w:r>
      <w:proofErr w:type="spellStart"/>
      <w:r>
        <w:t>Raal</w:t>
      </w:r>
      <w:proofErr w:type="spellEnd"/>
      <w:r>
        <w:t xml:space="preserve">, F.J., </w:t>
      </w:r>
      <w:proofErr w:type="spellStart"/>
      <w:r>
        <w:t>Schunkert</w:t>
      </w:r>
      <w:proofErr w:type="spellEnd"/>
      <w:r>
        <w:t xml:space="preserve">, H., Watts, G.F., </w:t>
      </w:r>
      <w:proofErr w:type="spellStart"/>
      <w:r>
        <w:t>Borén</w:t>
      </w:r>
      <w:proofErr w:type="spellEnd"/>
      <w:r>
        <w:t xml:space="preserve">, J., Fazio, S., Horton, J.D., </w:t>
      </w:r>
      <w:proofErr w:type="spellStart"/>
      <w:r>
        <w:t>Masana</w:t>
      </w:r>
      <w:proofErr w:type="spellEnd"/>
      <w:r>
        <w:t xml:space="preserve">, L., Nicholls, S.J., </w:t>
      </w:r>
      <w:proofErr w:type="spellStart"/>
      <w:r>
        <w:t>Nordestgaard</w:t>
      </w:r>
      <w:proofErr w:type="spellEnd"/>
      <w:r>
        <w:t xml:space="preserve">, B.G., van de </w:t>
      </w:r>
      <w:proofErr w:type="spellStart"/>
      <w:r>
        <w:t>Sluis</w:t>
      </w:r>
      <w:proofErr w:type="spellEnd"/>
      <w:r>
        <w:t xml:space="preserve">, B., </w:t>
      </w:r>
      <w:proofErr w:type="spellStart"/>
      <w:r>
        <w:t>Taskinen</w:t>
      </w:r>
      <w:proofErr w:type="spellEnd"/>
      <w:r>
        <w:t xml:space="preserve">, M.-R., </w:t>
      </w:r>
      <w:proofErr w:type="spellStart"/>
      <w:r>
        <w:t>Tokgözoğlu</w:t>
      </w:r>
      <w:proofErr w:type="spellEnd"/>
      <w:r>
        <w:t xml:space="preserve">, L., </w:t>
      </w:r>
      <w:proofErr w:type="spellStart"/>
      <w:r>
        <w:t>Landmesser</w:t>
      </w:r>
      <w:proofErr w:type="spellEnd"/>
      <w:r>
        <w:t xml:space="preserve">, U., </w:t>
      </w:r>
      <w:proofErr w:type="spellStart"/>
      <w:r>
        <w:t>Laufs</w:t>
      </w:r>
      <w:proofErr w:type="spellEnd"/>
      <w:r>
        <w:t xml:space="preserve">, U., Wiklund, O., Stock, J.K., Chapman, M.J. and </w:t>
      </w:r>
      <w:proofErr w:type="spellStart"/>
      <w:r>
        <w:t>Catapano</w:t>
      </w:r>
      <w:proofErr w:type="spellEnd"/>
      <w:r>
        <w:t xml:space="preserve">, A.L. (2017). Low-density lipoproteins cause atherosclerotic cardiovascular disease. 1. Evidence from genetic, </w:t>
      </w:r>
      <w:proofErr w:type="spellStart"/>
      <w:r>
        <w:t>epidemiologic</w:t>
      </w:r>
      <w:proofErr w:type="spellEnd"/>
      <w:r>
        <w:t>, and clinical studies. A consensus statement from the European Atherosclerosis Society Con</w:t>
      </w:r>
      <w:r>
        <w:t xml:space="preserve">sensus Panel. </w:t>
      </w:r>
      <w:r>
        <w:rPr>
          <w:i/>
          <w:iCs/>
        </w:rPr>
        <w:t>European Heart Journal</w:t>
      </w:r>
      <w:r>
        <w:t xml:space="preserve">, [online] </w:t>
      </w:r>
      <w:r w:rsidR="00CB296E">
        <w:t xml:space="preserve">Available at: </w:t>
      </w:r>
      <w:hyperlink r:id="rId13" w:history="1">
        <w:r w:rsidR="00CB296E" w:rsidRPr="002123B6">
          <w:rPr>
            <w:rStyle w:val="Hyperlink"/>
          </w:rPr>
          <w:t>https://academic.oup.com/eurheartj/article/38/32/2459/3745109</w:t>
        </w:r>
      </w:hyperlink>
    </w:p>
    <w:p w14:paraId="14CEE827" w14:textId="77777777" w:rsidR="00850051" w:rsidRDefault="00850051">
      <w:pPr>
        <w:spacing w:after="240" w:line="360" w:lineRule="auto"/>
      </w:pPr>
    </w:p>
    <w:p w14:paraId="006401F2" w14:textId="028FCB01" w:rsidR="00E976C2" w:rsidRDefault="00E57902">
      <w:pPr>
        <w:spacing w:after="240" w:line="360" w:lineRule="auto"/>
      </w:pPr>
      <w:proofErr w:type="spellStart"/>
      <w:r>
        <w:t>Galaviz</w:t>
      </w:r>
      <w:proofErr w:type="spellEnd"/>
      <w:r>
        <w:t xml:space="preserve">, K.I., Narayan, K.M.V., </w:t>
      </w:r>
      <w:proofErr w:type="spellStart"/>
      <w:r>
        <w:t>Lobelo</w:t>
      </w:r>
      <w:proofErr w:type="spellEnd"/>
      <w:r>
        <w:t xml:space="preserve">, F. and Weber, M.B. (2019a). Lifestyle and the Prevention of Type 2 Diabetes: A Status Report. </w:t>
      </w:r>
      <w:r>
        <w:rPr>
          <w:i/>
          <w:iCs/>
        </w:rPr>
        <w:t xml:space="preserve">American Journal of Lifestyle </w:t>
      </w:r>
      <w:proofErr w:type="spellStart"/>
      <w:r>
        <w:rPr>
          <w:i/>
          <w:iCs/>
        </w:rPr>
        <w:t>Medicin</w:t>
      </w:r>
      <w:proofErr w:type="spellEnd"/>
      <w:r w:rsidR="006E2781">
        <w:rPr>
          <w:i/>
          <w:iCs/>
        </w:rPr>
        <w:t xml:space="preserve"> </w:t>
      </w:r>
      <w:r w:rsidR="006E2781">
        <w:t>[</w:t>
      </w:r>
      <w:proofErr w:type="spellStart"/>
      <w:r w:rsidR="006E2781">
        <w:t>onlinw</w:t>
      </w:r>
      <w:proofErr w:type="spellEnd"/>
      <w:r w:rsidR="006E2781">
        <w:t xml:space="preserve">] Available at: </w:t>
      </w:r>
      <w:hyperlink r:id="rId14" w:history="1">
        <w:r w:rsidR="005F154F" w:rsidRPr="002123B6">
          <w:rPr>
            <w:rStyle w:val="Hyperlink"/>
          </w:rPr>
          <w:t>https://pmc.ncbi.nlm.nih.gov/articles/PMC6125024/</w:t>
        </w:r>
      </w:hyperlink>
    </w:p>
    <w:p w14:paraId="3A3EC6D2" w14:textId="77777777" w:rsidR="00CF6309" w:rsidRDefault="00CF6309">
      <w:pPr>
        <w:spacing w:after="240" w:line="360" w:lineRule="auto"/>
      </w:pPr>
    </w:p>
    <w:p w14:paraId="11F2E868" w14:textId="5D637391" w:rsidR="00E976C2" w:rsidRDefault="00E57902">
      <w:pPr>
        <w:spacing w:after="240" w:line="360" w:lineRule="auto"/>
      </w:pPr>
      <w:proofErr w:type="spellStart"/>
      <w:r>
        <w:t>Garbarino</w:t>
      </w:r>
      <w:proofErr w:type="spellEnd"/>
      <w:r>
        <w:t xml:space="preserve">, S., </w:t>
      </w:r>
      <w:proofErr w:type="spellStart"/>
      <w:r>
        <w:t>Guglielmi</w:t>
      </w:r>
      <w:proofErr w:type="spellEnd"/>
      <w:r>
        <w:t xml:space="preserve">, O., </w:t>
      </w:r>
      <w:proofErr w:type="spellStart"/>
      <w:r>
        <w:t>Sannita</w:t>
      </w:r>
      <w:proofErr w:type="spellEnd"/>
      <w:r>
        <w:t xml:space="preserve">, W., </w:t>
      </w:r>
      <w:proofErr w:type="spellStart"/>
      <w:r>
        <w:t>Magnavita</w:t>
      </w:r>
      <w:proofErr w:type="spellEnd"/>
      <w:r>
        <w:t xml:space="preserve">, N. and </w:t>
      </w:r>
      <w:proofErr w:type="spellStart"/>
      <w:r>
        <w:t>Lanteri</w:t>
      </w:r>
      <w:proofErr w:type="spellEnd"/>
      <w:r>
        <w:t xml:space="preserve">, P. (2018b). Sleep and mental health in truck drivers: Descriptive review of the current evidence and proposal of strategies for primary prevention. </w:t>
      </w:r>
      <w:r>
        <w:rPr>
          <w:i/>
          <w:iCs/>
        </w:rPr>
        <w:t>International Journal of Environmental Research and Public Health</w:t>
      </w:r>
      <w:r w:rsidR="00C616CD">
        <w:t xml:space="preserve"> [online] Available at: </w:t>
      </w:r>
      <w:hyperlink r:id="rId15" w:history="1">
        <w:r w:rsidR="00C616CD" w:rsidRPr="002123B6">
          <w:rPr>
            <w:rStyle w:val="Hyperlink"/>
          </w:rPr>
          <w:t>https://pmc.ncbi.nlm.nih.gov/articles/PMC6164547/</w:t>
        </w:r>
      </w:hyperlink>
    </w:p>
    <w:p w14:paraId="586AEAB7" w14:textId="77777777" w:rsidR="00CF6309" w:rsidRDefault="00CF6309">
      <w:pPr>
        <w:spacing w:after="240" w:line="360" w:lineRule="auto"/>
      </w:pPr>
    </w:p>
    <w:p w14:paraId="664AA702" w14:textId="1D6172EE" w:rsidR="00CF6309" w:rsidRDefault="00E57902">
      <w:pPr>
        <w:spacing w:after="240" w:line="360" w:lineRule="auto"/>
      </w:pPr>
      <w:proofErr w:type="spellStart"/>
      <w:r>
        <w:t>Grillo</w:t>
      </w:r>
      <w:proofErr w:type="spellEnd"/>
      <w:r>
        <w:t xml:space="preserve">, A., </w:t>
      </w:r>
      <w:proofErr w:type="spellStart"/>
      <w:r>
        <w:t>Salvi</w:t>
      </w:r>
      <w:proofErr w:type="spellEnd"/>
      <w:r>
        <w:t xml:space="preserve">, L., </w:t>
      </w:r>
      <w:proofErr w:type="spellStart"/>
      <w:r>
        <w:t>Coruzzi</w:t>
      </w:r>
      <w:proofErr w:type="spellEnd"/>
      <w:r>
        <w:t xml:space="preserve">, P., </w:t>
      </w:r>
      <w:proofErr w:type="spellStart"/>
      <w:r>
        <w:t>Salvi</w:t>
      </w:r>
      <w:proofErr w:type="spellEnd"/>
      <w:r>
        <w:t xml:space="preserve">, P. and </w:t>
      </w:r>
      <w:proofErr w:type="spellStart"/>
      <w:r>
        <w:t>Parati</w:t>
      </w:r>
      <w:proofErr w:type="spellEnd"/>
      <w:r>
        <w:t xml:space="preserve">, G. (2019). Sodium Intake and Hypertension. </w:t>
      </w:r>
      <w:r>
        <w:rPr>
          <w:i/>
          <w:iCs/>
        </w:rPr>
        <w:t>Nutrients</w:t>
      </w:r>
      <w:r>
        <w:t xml:space="preserve">, [online] </w:t>
      </w:r>
      <w:r w:rsidR="007A5DC4">
        <w:t xml:space="preserve">Available at: </w:t>
      </w:r>
      <w:hyperlink r:id="rId16" w:history="1">
        <w:r w:rsidR="007A5DC4" w:rsidRPr="002123B6">
          <w:rPr>
            <w:rStyle w:val="Hyperlink"/>
          </w:rPr>
          <w:t>https://pmc.ncbi.nlm.nih.gov/articles/PMC6770596/</w:t>
        </w:r>
      </w:hyperlink>
    </w:p>
    <w:p w14:paraId="2F1BE128" w14:textId="7C0DB335" w:rsidR="00E976C2" w:rsidRDefault="00E57902">
      <w:pPr>
        <w:spacing w:after="240" w:line="360" w:lineRule="auto"/>
      </w:pPr>
      <w:proofErr w:type="spellStart"/>
      <w:r>
        <w:t>Hallgren</w:t>
      </w:r>
      <w:proofErr w:type="spellEnd"/>
      <w:r>
        <w:t xml:space="preserve">, M., Nguyen, T.-T.-D., Owen, N., </w:t>
      </w:r>
      <w:proofErr w:type="spellStart"/>
      <w:r>
        <w:t>Vancampfort</w:t>
      </w:r>
      <w:proofErr w:type="spellEnd"/>
      <w:r>
        <w:t xml:space="preserve">, D., Smith, L., Dunstan, D.W., Andersson, G., Wallin, P. and </w:t>
      </w:r>
      <w:proofErr w:type="spellStart"/>
      <w:r>
        <w:t>Ekblom-Bak</w:t>
      </w:r>
      <w:proofErr w:type="spellEnd"/>
      <w:r>
        <w:t xml:space="preserve">, E. (2020). Associations of interruptions to leisure-time sedentary behaviour with symptoms of depression and anxiety. </w:t>
      </w:r>
      <w:r>
        <w:rPr>
          <w:i/>
          <w:iCs/>
        </w:rPr>
        <w:t>Translational Psychiatry</w:t>
      </w:r>
      <w:r w:rsidR="007551AB">
        <w:t xml:space="preserve"> [online] available at: </w:t>
      </w:r>
      <w:hyperlink r:id="rId17" w:history="1">
        <w:r w:rsidR="001F59D1" w:rsidRPr="002123B6">
          <w:rPr>
            <w:rStyle w:val="Hyperlink"/>
          </w:rPr>
          <w:t>https://www.nature.com/articles/s41398-020-0810-1</w:t>
        </w:r>
      </w:hyperlink>
    </w:p>
    <w:p w14:paraId="6B80A1CF" w14:textId="77777777" w:rsidR="00CF6309" w:rsidRDefault="00CF6309">
      <w:pPr>
        <w:spacing w:after="240" w:line="360" w:lineRule="auto"/>
      </w:pPr>
    </w:p>
    <w:p w14:paraId="5B997560" w14:textId="67852184" w:rsidR="00E976C2" w:rsidRDefault="00E57902">
      <w:pPr>
        <w:spacing w:after="240" w:line="360" w:lineRule="auto"/>
      </w:pPr>
      <w:r>
        <w:t xml:space="preserve">Huang, Y., </w:t>
      </w:r>
      <w:proofErr w:type="spellStart"/>
      <w:r>
        <w:t>Cai</w:t>
      </w:r>
      <w:proofErr w:type="spellEnd"/>
      <w:r>
        <w:t xml:space="preserve">, X., Mai, W., Li, M. and Hu, Y. (2016). Association Between </w:t>
      </w:r>
      <w:proofErr w:type="spellStart"/>
      <w:r>
        <w:t>Prediabetes</w:t>
      </w:r>
      <w:proofErr w:type="spellEnd"/>
      <w:r>
        <w:t xml:space="preserve"> and Risk of Cardiovascular Disease and All Cause Mortality: Systematic Review and Meta-Analysis. </w:t>
      </w:r>
      <w:r w:rsidR="004C7635">
        <w:t xml:space="preserve">[online] Available at: </w:t>
      </w:r>
      <w:hyperlink r:id="rId18" w:history="1">
        <w:r w:rsidR="00E96296" w:rsidRPr="002123B6">
          <w:rPr>
            <w:rStyle w:val="Hyperlink"/>
          </w:rPr>
          <w:t>https://www.bmj.com/content/355/bmj.i5953</w:t>
        </w:r>
      </w:hyperlink>
    </w:p>
    <w:p w14:paraId="7D77A068" w14:textId="77777777" w:rsidR="00CF6309" w:rsidRDefault="00CF6309">
      <w:pPr>
        <w:spacing w:after="240" w:line="360" w:lineRule="auto"/>
      </w:pPr>
    </w:p>
    <w:p w14:paraId="2938C668" w14:textId="595A387C" w:rsidR="00E976C2" w:rsidRDefault="00E57902">
      <w:pPr>
        <w:spacing w:after="240" w:line="360" w:lineRule="auto"/>
      </w:pPr>
      <w:r>
        <w:t xml:space="preserve">Jones, D.W., Ferdinand, K.C., Taler, S.J., Johnson, H.M., Daichi </w:t>
      </w:r>
      <w:proofErr w:type="spellStart"/>
      <w:r>
        <w:t>Shimbo</w:t>
      </w:r>
      <w:proofErr w:type="spellEnd"/>
      <w:r>
        <w:t xml:space="preserve">, </w:t>
      </w:r>
      <w:proofErr w:type="spellStart"/>
      <w:r>
        <w:t>Abdalla</w:t>
      </w:r>
      <w:proofErr w:type="spellEnd"/>
      <w:r>
        <w:t xml:space="preserve">, M., Altieri, M.M., </w:t>
      </w:r>
      <w:proofErr w:type="spellStart"/>
      <w:r>
        <w:t>Bansal</w:t>
      </w:r>
      <w:proofErr w:type="spellEnd"/>
      <w:r>
        <w:t xml:space="preserve">, N., Bello, N.A., </w:t>
      </w:r>
      <w:proofErr w:type="spellStart"/>
      <w:r>
        <w:t>Bress</w:t>
      </w:r>
      <w:proofErr w:type="spellEnd"/>
      <w:r>
        <w:t xml:space="preserve">, A.P., Carter, J., Cohen, J.B., Collins, K.J., </w:t>
      </w:r>
      <w:proofErr w:type="spellStart"/>
      <w:r>
        <w:t>Commodore-Mensah</w:t>
      </w:r>
      <w:proofErr w:type="spellEnd"/>
      <w:r>
        <w:t xml:space="preserve">, Y., Davis, L.L., Egan, B., Khan, S.S., Lloyd-Jones, D.M., </w:t>
      </w:r>
      <w:proofErr w:type="spellStart"/>
      <w:r>
        <w:t>Melnyk</w:t>
      </w:r>
      <w:proofErr w:type="spellEnd"/>
      <w:r>
        <w:t xml:space="preserve">, B.M., Mistry, E.A., </w:t>
      </w:r>
      <w:proofErr w:type="spellStart"/>
      <w:r>
        <w:t>Ogunniyi</w:t>
      </w:r>
      <w:proofErr w:type="spellEnd"/>
      <w:r>
        <w:t xml:space="preserve">, M.O., </w:t>
      </w:r>
      <w:proofErr w:type="spellStart"/>
      <w:r>
        <w:t>Schott</w:t>
      </w:r>
      <w:proofErr w:type="spellEnd"/>
      <w:r>
        <w:t xml:space="preserve">, S.L., Smith, S.C., Talbot, A.W., </w:t>
      </w:r>
      <w:proofErr w:type="spellStart"/>
      <w:r>
        <w:t>Wanpen</w:t>
      </w:r>
      <w:proofErr w:type="spellEnd"/>
      <w:r>
        <w:t xml:space="preserve"> </w:t>
      </w:r>
      <w:proofErr w:type="spellStart"/>
      <w:r>
        <w:t>Vongpatanasin</w:t>
      </w:r>
      <w:proofErr w:type="spellEnd"/>
      <w:r>
        <w:t>, Watson, K.E., Whelton, P.K. and Williamson, J. D (2025). 2025 AHA/ACC/AANP/AAPA/ABC/ACCP/ACPM/AGS/AMA/ASPC/NMA/PCNA/SGIM Guideline for the Prevention, Detection, Evaluation and Management of High Blood Pressure in A</w:t>
      </w:r>
      <w:r>
        <w:t xml:space="preserve">dults: A Report of the American College of Cardiology/American Heart Association Joint Committee on Clinical Practice Guidelines. </w:t>
      </w:r>
      <w:r>
        <w:rPr>
          <w:i/>
          <w:iCs/>
        </w:rPr>
        <w:t>PubMed</w:t>
      </w:r>
      <w:r w:rsidR="001216DB">
        <w:t xml:space="preserve"> [online) Available at: </w:t>
      </w:r>
      <w:hyperlink r:id="rId19" w:history="1">
        <w:r w:rsidR="00DF5C5F" w:rsidRPr="002123B6">
          <w:rPr>
            <w:rStyle w:val="Hyperlink"/>
          </w:rPr>
          <w:t>https://www.ahajournals.org/doi/10.1161/CIR.0000000000001356</w:t>
        </w:r>
      </w:hyperlink>
    </w:p>
    <w:p w14:paraId="5E1A19C5" w14:textId="77777777" w:rsidR="00A0712D" w:rsidRDefault="00A0712D">
      <w:pPr>
        <w:spacing w:after="240" w:line="360" w:lineRule="auto"/>
      </w:pPr>
    </w:p>
    <w:p w14:paraId="2DE297E0" w14:textId="1E9309BF" w:rsidR="00E976C2" w:rsidRDefault="00E57902">
      <w:pPr>
        <w:spacing w:after="240" w:line="360" w:lineRule="auto"/>
      </w:pPr>
      <w:r>
        <w:t xml:space="preserve">Maria-Daniela </w:t>
      </w:r>
      <w:proofErr w:type="spellStart"/>
      <w:r>
        <w:t>Tanasescu</w:t>
      </w:r>
      <w:proofErr w:type="spellEnd"/>
      <w:r>
        <w:t xml:space="preserve">, </w:t>
      </w:r>
      <w:proofErr w:type="spellStart"/>
      <w:r>
        <w:t>Rosu</w:t>
      </w:r>
      <w:proofErr w:type="spellEnd"/>
      <w:r>
        <w:t xml:space="preserve">, A.-M., </w:t>
      </w:r>
      <w:proofErr w:type="spellStart"/>
      <w:r>
        <w:t>Alexandru</w:t>
      </w:r>
      <w:proofErr w:type="spellEnd"/>
      <w:r>
        <w:t xml:space="preserve"> </w:t>
      </w:r>
      <w:proofErr w:type="spellStart"/>
      <w:r>
        <w:t>Minca</w:t>
      </w:r>
      <w:proofErr w:type="spellEnd"/>
      <w:r>
        <w:t xml:space="preserve">, </w:t>
      </w:r>
      <w:proofErr w:type="spellStart"/>
      <w:r>
        <w:t>Rosu</w:t>
      </w:r>
      <w:proofErr w:type="spellEnd"/>
      <w:r>
        <w:t xml:space="preserve">, A.-L., </w:t>
      </w:r>
      <w:proofErr w:type="spellStart"/>
      <w:r>
        <w:t>Maria-Mihaela</w:t>
      </w:r>
      <w:proofErr w:type="spellEnd"/>
      <w:r>
        <w:t xml:space="preserve"> </w:t>
      </w:r>
      <w:proofErr w:type="spellStart"/>
      <w:r>
        <w:t>Grigorie</w:t>
      </w:r>
      <w:proofErr w:type="spellEnd"/>
      <w:r>
        <w:t xml:space="preserve">, </w:t>
      </w:r>
      <w:proofErr w:type="spellStart"/>
      <w:r>
        <w:t>Timofte</w:t>
      </w:r>
      <w:proofErr w:type="spellEnd"/>
      <w:r>
        <w:t xml:space="preserve">, D. and </w:t>
      </w:r>
      <w:proofErr w:type="spellStart"/>
      <w:r>
        <w:t>Ionescu</w:t>
      </w:r>
      <w:proofErr w:type="spellEnd"/>
      <w:r>
        <w:t xml:space="preserve">, D. (2025). Beyond </w:t>
      </w:r>
      <w:proofErr w:type="spellStart"/>
      <w:r>
        <w:t>Bmi</w:t>
      </w:r>
      <w:proofErr w:type="spellEnd"/>
      <w:r>
        <w:t xml:space="preserve">: Rethinking Obesity Metrics and Cardiovascular Risk in the Era of Precision Medicine. </w:t>
      </w:r>
      <w:r>
        <w:rPr>
          <w:i/>
          <w:iCs/>
        </w:rPr>
        <w:t>Diagnostics</w:t>
      </w:r>
      <w:r>
        <w:t xml:space="preserve">, [online] </w:t>
      </w:r>
      <w:r w:rsidR="00BE3726">
        <w:t xml:space="preserve">Available at: </w:t>
      </w:r>
      <w:hyperlink r:id="rId20" w:history="1">
        <w:r w:rsidR="008F3F03" w:rsidRPr="002123B6">
          <w:rPr>
            <w:rStyle w:val="Hyperlink"/>
          </w:rPr>
          <w:t>https://pmc.ncbi.nlm.nih.gov/articles/PMC12691488/</w:t>
        </w:r>
      </w:hyperlink>
    </w:p>
    <w:p w14:paraId="16253690" w14:textId="77777777" w:rsidR="00A0712D" w:rsidRDefault="00A0712D">
      <w:pPr>
        <w:spacing w:after="240" w:line="360" w:lineRule="auto"/>
      </w:pPr>
    </w:p>
    <w:p w14:paraId="68E93FB2" w14:textId="2B3B1670" w:rsidR="00E976C2" w:rsidRDefault="00E57902">
      <w:pPr>
        <w:spacing w:after="240" w:line="360" w:lineRule="auto"/>
      </w:pPr>
      <w:r>
        <w:t xml:space="preserve">Medic, G., Wille, M. and </w:t>
      </w:r>
      <w:proofErr w:type="spellStart"/>
      <w:r>
        <w:t>Hemels</w:t>
      </w:r>
      <w:proofErr w:type="spellEnd"/>
      <w:r>
        <w:t xml:space="preserve">, M. (2017). Short- and long-term health consequences of sleep disruption. </w:t>
      </w:r>
      <w:r>
        <w:rPr>
          <w:i/>
          <w:iCs/>
        </w:rPr>
        <w:t>Nature and Science of Sleep</w:t>
      </w:r>
      <w:r w:rsidR="00AE7A8D">
        <w:t xml:space="preserve">. [online] Available at: </w:t>
      </w:r>
      <w:hyperlink r:id="rId21" w:history="1">
        <w:r w:rsidR="00AE7A8D" w:rsidRPr="002123B6">
          <w:rPr>
            <w:rStyle w:val="Hyperlink"/>
          </w:rPr>
          <w:t>https://pmc.ncbi.nlm.nih.gov/articles/PMC5449130/</w:t>
        </w:r>
      </w:hyperlink>
    </w:p>
    <w:p w14:paraId="338BE490" w14:textId="77777777" w:rsidR="00A0712D" w:rsidRDefault="00A0712D">
      <w:pPr>
        <w:spacing w:after="240" w:line="360" w:lineRule="auto"/>
      </w:pPr>
    </w:p>
    <w:p w14:paraId="6F93FE04" w14:textId="55D76344" w:rsidR="00A0712D" w:rsidRDefault="00E57902">
      <w:pPr>
        <w:spacing w:after="240" w:line="360" w:lineRule="auto"/>
      </w:pPr>
      <w:r>
        <w:t xml:space="preserve">National Institute for Health and Care Excellence (2023). </w:t>
      </w:r>
      <w:r>
        <w:rPr>
          <w:i/>
          <w:iCs/>
        </w:rPr>
        <w:t>Cardiovascular disease: Risk Assessment and Reduction, Including Lipid Modification | Guidance | NICE</w:t>
      </w:r>
      <w:r>
        <w:t xml:space="preserve">. [online] </w:t>
      </w:r>
      <w:r>
        <w:rPr>
          <w:i/>
          <w:iCs/>
        </w:rPr>
        <w:t>www.nice.org.uk</w:t>
      </w:r>
      <w:r>
        <w:t xml:space="preserve">. Available at: </w:t>
      </w:r>
      <w:hyperlink r:id="rId22" w:history="1">
        <w:r w:rsidR="00A0712D" w:rsidRPr="002123B6">
          <w:rPr>
            <w:rStyle w:val="Hyperlink"/>
          </w:rPr>
          <w:t>https://www.nice.org.uk/guidance/ng238</w:t>
        </w:r>
      </w:hyperlink>
      <w:r>
        <w:t xml:space="preserve"> </w:t>
      </w:r>
    </w:p>
    <w:p w14:paraId="573D7FE8" w14:textId="571DCCAD" w:rsidR="00E976C2" w:rsidRDefault="00E976C2">
      <w:pPr>
        <w:spacing w:after="240" w:line="360" w:lineRule="auto"/>
      </w:pPr>
    </w:p>
    <w:p w14:paraId="14ABC475" w14:textId="56418367" w:rsidR="001A1F34" w:rsidRDefault="00E57902">
      <w:pPr>
        <w:spacing w:after="240" w:line="360" w:lineRule="auto"/>
      </w:pPr>
      <w:r>
        <w:t xml:space="preserve">National Institute for Health and Care Excellence (NICE) (2023). </w:t>
      </w:r>
      <w:r>
        <w:rPr>
          <w:i/>
          <w:iCs/>
        </w:rPr>
        <w:t>Hypertension in Adults: Diagnosis and Management</w:t>
      </w:r>
      <w:r>
        <w:t xml:space="preserve">. [online] </w:t>
      </w:r>
      <w:r>
        <w:rPr>
          <w:i/>
          <w:iCs/>
        </w:rPr>
        <w:t>Nice.org.uk</w:t>
      </w:r>
      <w:r>
        <w:t xml:space="preserve">. NICE. Available at: </w:t>
      </w:r>
      <w:hyperlink r:id="rId23" w:history="1">
        <w:r w:rsidR="001A1F34" w:rsidRPr="002123B6">
          <w:rPr>
            <w:rStyle w:val="Hyperlink"/>
          </w:rPr>
          <w:t>https://www.nice.org.uk/guidance/ng136</w:t>
        </w:r>
      </w:hyperlink>
    </w:p>
    <w:p w14:paraId="6D60C4DD" w14:textId="194CB378" w:rsidR="00E976C2" w:rsidRDefault="00E57902">
      <w:pPr>
        <w:spacing w:after="240" w:line="360" w:lineRule="auto"/>
      </w:pPr>
      <w:r>
        <w:t xml:space="preserve"> </w:t>
      </w:r>
    </w:p>
    <w:p w14:paraId="346D4D78" w14:textId="1D807B6F" w:rsidR="00E976C2" w:rsidRDefault="00E57902">
      <w:pPr>
        <w:spacing w:after="240" w:line="360" w:lineRule="auto"/>
      </w:pPr>
      <w:proofErr w:type="spellStart"/>
      <w:r>
        <w:t>Neeland</w:t>
      </w:r>
      <w:proofErr w:type="spellEnd"/>
      <w:r>
        <w:t xml:space="preserve">, I.J., </w:t>
      </w:r>
      <w:proofErr w:type="spellStart"/>
      <w:r>
        <w:t>Poirier</w:t>
      </w:r>
      <w:proofErr w:type="spellEnd"/>
      <w:r>
        <w:t xml:space="preserve">, P. and </w:t>
      </w:r>
      <w:proofErr w:type="spellStart"/>
      <w:r>
        <w:t>Després</w:t>
      </w:r>
      <w:proofErr w:type="spellEnd"/>
      <w:r>
        <w:t xml:space="preserve">, J.-P. (2018). Cardiovascular and Metabolic Heterogeneity of Obesity. </w:t>
      </w:r>
      <w:r>
        <w:rPr>
          <w:i/>
          <w:iCs/>
        </w:rPr>
        <w:t>Circulation</w:t>
      </w:r>
      <w:r w:rsidR="00797A95">
        <w:t xml:space="preserve"> [online] Available at: </w:t>
      </w:r>
      <w:hyperlink r:id="rId24" w:history="1">
        <w:r w:rsidR="005D554D" w:rsidRPr="002123B6">
          <w:rPr>
            <w:rStyle w:val="Hyperlink"/>
          </w:rPr>
          <w:t>https://pmc.ncbi.nlm.nih.gov/articles/PMC5875734/</w:t>
        </w:r>
      </w:hyperlink>
    </w:p>
    <w:p w14:paraId="0F62AC45" w14:textId="77777777" w:rsidR="005D554D" w:rsidRDefault="005D554D">
      <w:pPr>
        <w:spacing w:after="240" w:line="360" w:lineRule="auto"/>
      </w:pPr>
    </w:p>
    <w:p w14:paraId="67417EB2" w14:textId="2E58BF91" w:rsidR="00E21F14" w:rsidRDefault="00E57902">
      <w:pPr>
        <w:spacing w:after="240" w:line="360" w:lineRule="auto"/>
      </w:pPr>
      <w:r>
        <w:t xml:space="preserve">NHS (2022). </w:t>
      </w:r>
      <w:r>
        <w:rPr>
          <w:i/>
          <w:iCs/>
        </w:rPr>
        <w:t>The Risks of Drinking Too Much</w:t>
      </w:r>
      <w:r>
        <w:t xml:space="preserve">. [online] </w:t>
      </w:r>
      <w:r>
        <w:rPr>
          <w:i/>
          <w:iCs/>
        </w:rPr>
        <w:t>nhs.uk</w:t>
      </w:r>
      <w:r>
        <w:t xml:space="preserve">. Available at: </w:t>
      </w:r>
      <w:hyperlink r:id="rId25" w:history="1">
        <w:r w:rsidR="00E21F14" w:rsidRPr="002123B6">
          <w:rPr>
            <w:rStyle w:val="Hyperlink"/>
          </w:rPr>
          <w:t>https://www.nhs.uk/live-well/alcohol-advice/the-risks-of-drinking-too-much/</w:t>
        </w:r>
      </w:hyperlink>
      <w:r>
        <w:t xml:space="preserve"> </w:t>
      </w:r>
    </w:p>
    <w:p w14:paraId="6041BFBF" w14:textId="0959537A" w:rsidR="00E976C2" w:rsidRDefault="00E976C2">
      <w:pPr>
        <w:spacing w:after="240" w:line="360" w:lineRule="auto"/>
      </w:pPr>
    </w:p>
    <w:p w14:paraId="7E7101A0" w14:textId="4D9BCAEF" w:rsidR="00E21F14" w:rsidRDefault="00E57902">
      <w:pPr>
        <w:spacing w:after="240" w:line="360" w:lineRule="auto"/>
      </w:pPr>
      <w:r>
        <w:t xml:space="preserve">NHS (2025). </w:t>
      </w:r>
      <w:r>
        <w:rPr>
          <w:i/>
          <w:iCs/>
        </w:rPr>
        <w:t>Understanding the True Impact of Smoking - Better Health</w:t>
      </w:r>
      <w:r>
        <w:t xml:space="preserve">. [online] </w:t>
      </w:r>
      <w:r>
        <w:rPr>
          <w:i/>
          <w:iCs/>
        </w:rPr>
        <w:t>nhs.uk</w:t>
      </w:r>
      <w:r>
        <w:t xml:space="preserve">. Available at: </w:t>
      </w:r>
      <w:hyperlink r:id="rId26" w:history="1">
        <w:r w:rsidR="00E21F14" w:rsidRPr="002123B6">
          <w:rPr>
            <w:rStyle w:val="Hyperlink"/>
          </w:rPr>
          <w:t>https://www.nhs.uk/better-health/quit-smoking/why-quit-smoking/understanding-the-true-impact-of-smoking/</w:t>
        </w:r>
      </w:hyperlink>
      <w:r>
        <w:t xml:space="preserve"> </w:t>
      </w:r>
    </w:p>
    <w:p w14:paraId="5565E358" w14:textId="0E5381EB" w:rsidR="00E976C2" w:rsidRDefault="00E976C2">
      <w:pPr>
        <w:spacing w:after="240" w:line="360" w:lineRule="auto"/>
      </w:pPr>
    </w:p>
    <w:p w14:paraId="60863047" w14:textId="49E520AD" w:rsidR="00E21F14" w:rsidRDefault="00E57902">
      <w:pPr>
        <w:spacing w:after="240" w:line="360" w:lineRule="auto"/>
      </w:pPr>
      <w:r>
        <w:lastRenderedPageBreak/>
        <w:t xml:space="preserve">NHS England (2023). </w:t>
      </w:r>
      <w:proofErr w:type="spellStart"/>
      <w:r>
        <w:rPr>
          <w:i/>
          <w:iCs/>
        </w:rPr>
        <w:t>Nhs</w:t>
      </w:r>
      <w:proofErr w:type="spellEnd"/>
      <w:r>
        <w:rPr>
          <w:i/>
          <w:iCs/>
        </w:rPr>
        <w:t xml:space="preserve"> Diabetes Prevention Programme (NHS DPP)</w:t>
      </w:r>
      <w:r>
        <w:t xml:space="preserve">. [online] </w:t>
      </w:r>
      <w:r>
        <w:rPr>
          <w:i/>
          <w:iCs/>
        </w:rPr>
        <w:t>NHS England</w:t>
      </w:r>
      <w:r>
        <w:t xml:space="preserve">. NHS England. Available at: </w:t>
      </w:r>
      <w:hyperlink r:id="rId27" w:history="1">
        <w:r w:rsidR="00E21F14" w:rsidRPr="002123B6">
          <w:rPr>
            <w:rStyle w:val="Hyperlink"/>
          </w:rPr>
          <w:t>https://www.england.nhs.uk/diabetes/diabetes-prevention/</w:t>
        </w:r>
      </w:hyperlink>
      <w:r>
        <w:t xml:space="preserve"> </w:t>
      </w:r>
    </w:p>
    <w:p w14:paraId="40CF8275" w14:textId="51FCC248" w:rsidR="00E976C2" w:rsidRDefault="00E976C2">
      <w:pPr>
        <w:spacing w:after="240" w:line="360" w:lineRule="auto"/>
      </w:pPr>
    </w:p>
    <w:p w14:paraId="4912C97F" w14:textId="7B1C3275" w:rsidR="00E21F14" w:rsidRDefault="00E57902">
      <w:pPr>
        <w:spacing w:after="240" w:line="360" w:lineRule="auto"/>
      </w:pPr>
      <w:r>
        <w:t xml:space="preserve">NHS England (2024). </w:t>
      </w:r>
      <w:proofErr w:type="spellStart"/>
      <w:r>
        <w:rPr>
          <w:i/>
          <w:iCs/>
        </w:rPr>
        <w:t>Nhs</w:t>
      </w:r>
      <w:proofErr w:type="spellEnd"/>
      <w:r>
        <w:rPr>
          <w:i/>
          <w:iCs/>
        </w:rPr>
        <w:t xml:space="preserve"> England » Alcohol Dependency Programme</w:t>
      </w:r>
      <w:r>
        <w:t xml:space="preserve">. [online] </w:t>
      </w:r>
      <w:r>
        <w:rPr>
          <w:i/>
          <w:iCs/>
        </w:rPr>
        <w:t>www.england.nhs.uk</w:t>
      </w:r>
      <w:r>
        <w:t xml:space="preserve">. Available at: </w:t>
      </w:r>
      <w:hyperlink r:id="rId28" w:history="1">
        <w:r w:rsidR="00E21F14" w:rsidRPr="002123B6">
          <w:rPr>
            <w:rStyle w:val="Hyperlink"/>
          </w:rPr>
          <w:t>https://www.england.nhs.uk/ourwork/prevention/alcohol-dependency-programme/</w:t>
        </w:r>
      </w:hyperlink>
    </w:p>
    <w:p w14:paraId="73CC9406" w14:textId="15C243AA" w:rsidR="00E976C2" w:rsidRDefault="00E57902">
      <w:pPr>
        <w:spacing w:after="240" w:line="360" w:lineRule="auto"/>
      </w:pPr>
      <w:r>
        <w:t xml:space="preserve"> </w:t>
      </w:r>
    </w:p>
    <w:p w14:paraId="46C16CD0" w14:textId="5B078780" w:rsidR="00E21F14" w:rsidRDefault="00E57902">
      <w:pPr>
        <w:spacing w:after="240" w:line="360" w:lineRule="auto"/>
      </w:pPr>
      <w:r>
        <w:t xml:space="preserve">NICE (2015). </w:t>
      </w:r>
      <w:r>
        <w:rPr>
          <w:i/>
          <w:iCs/>
        </w:rPr>
        <w:t>Overview | Type 2 Diabetes in Adults: Management  | Guidance | NICE</w:t>
      </w:r>
      <w:r>
        <w:t xml:space="preserve">. [online] </w:t>
      </w:r>
      <w:r>
        <w:rPr>
          <w:i/>
          <w:iCs/>
        </w:rPr>
        <w:t>Nice.org.uk</w:t>
      </w:r>
      <w:r>
        <w:t xml:space="preserve">. NICE. Available at: </w:t>
      </w:r>
      <w:hyperlink r:id="rId29" w:history="1">
        <w:r w:rsidR="00E21F14" w:rsidRPr="002123B6">
          <w:rPr>
            <w:rStyle w:val="Hyperlink"/>
          </w:rPr>
          <w:t>https://www.nice.org.uk/guidance/ng28?UID=89436644020252820451&amp;utm</w:t>
        </w:r>
      </w:hyperlink>
    </w:p>
    <w:p w14:paraId="0A579C00" w14:textId="671A0D7B" w:rsidR="00E976C2" w:rsidRDefault="00E57902">
      <w:pPr>
        <w:spacing w:after="240" w:line="360" w:lineRule="auto"/>
      </w:pPr>
      <w:r>
        <w:t xml:space="preserve"> </w:t>
      </w:r>
    </w:p>
    <w:p w14:paraId="780D9BF0" w14:textId="0F6D0FFD" w:rsidR="00E21F14" w:rsidRDefault="00E57902">
      <w:pPr>
        <w:spacing w:after="240" w:line="360" w:lineRule="auto"/>
      </w:pPr>
      <w:r>
        <w:t xml:space="preserve">NICE (2021). </w:t>
      </w:r>
      <w:r>
        <w:rPr>
          <w:i/>
          <w:iCs/>
        </w:rPr>
        <w:t>Overview | Tobacco: Preventing Uptake, Promoting Quitting and Treating Dependence | Guidance | NICE</w:t>
      </w:r>
      <w:r>
        <w:t xml:space="preserve">. [online] </w:t>
      </w:r>
      <w:r>
        <w:rPr>
          <w:i/>
          <w:iCs/>
        </w:rPr>
        <w:t>www.nice.org.uk</w:t>
      </w:r>
      <w:r>
        <w:t xml:space="preserve">. Available at: </w:t>
      </w:r>
      <w:hyperlink r:id="rId30" w:history="1">
        <w:r w:rsidR="00E21F14" w:rsidRPr="002123B6">
          <w:rPr>
            <w:rStyle w:val="Hyperlink"/>
          </w:rPr>
          <w:t>https://www.nice.org.uk/guidance/ng209</w:t>
        </w:r>
      </w:hyperlink>
      <w:r>
        <w:t xml:space="preserve"> </w:t>
      </w:r>
    </w:p>
    <w:p w14:paraId="5E085C2D" w14:textId="5959C0CB" w:rsidR="00E976C2" w:rsidRDefault="00E976C2">
      <w:pPr>
        <w:spacing w:after="240" w:line="360" w:lineRule="auto"/>
      </w:pPr>
    </w:p>
    <w:p w14:paraId="5426D91D" w14:textId="0D14E37E" w:rsidR="00E21F14" w:rsidRDefault="00E57902">
      <w:pPr>
        <w:spacing w:after="240" w:line="360" w:lineRule="auto"/>
      </w:pPr>
      <w:r>
        <w:t xml:space="preserve">NICE (2023). </w:t>
      </w:r>
      <w:r>
        <w:rPr>
          <w:i/>
          <w:iCs/>
        </w:rPr>
        <w:t>Overview | Alcohol-use disorders: Diagnosis and Management | Quality Standards | NICE</w:t>
      </w:r>
      <w:r>
        <w:t xml:space="preserve">. [online] </w:t>
      </w:r>
      <w:r>
        <w:rPr>
          <w:i/>
          <w:iCs/>
        </w:rPr>
        <w:t>www.nice.org.uk</w:t>
      </w:r>
      <w:r>
        <w:t xml:space="preserve">. Available at: </w:t>
      </w:r>
      <w:hyperlink r:id="rId31" w:history="1">
        <w:r w:rsidR="00E21F14" w:rsidRPr="002123B6">
          <w:rPr>
            <w:rStyle w:val="Hyperlink"/>
          </w:rPr>
          <w:t>https://www.nice.org.uk/guidance/qs11</w:t>
        </w:r>
      </w:hyperlink>
    </w:p>
    <w:p w14:paraId="01C522B0" w14:textId="493472DB" w:rsidR="00E976C2" w:rsidRDefault="00E57902">
      <w:pPr>
        <w:spacing w:after="240" w:line="360" w:lineRule="auto"/>
      </w:pPr>
      <w:r>
        <w:t xml:space="preserve"> </w:t>
      </w:r>
    </w:p>
    <w:p w14:paraId="02D0627A" w14:textId="6C50F18A" w:rsidR="00E976C2" w:rsidRDefault="00E57902">
      <w:pPr>
        <w:spacing w:after="240" w:line="360" w:lineRule="auto"/>
      </w:pPr>
      <w:r>
        <w:t xml:space="preserve">NICE (2025). </w:t>
      </w:r>
      <w:r>
        <w:rPr>
          <w:i/>
          <w:iCs/>
        </w:rPr>
        <w:t>Overview | Overweight and Obesity Management | Guidance | NICE</w:t>
      </w:r>
      <w:r>
        <w:t xml:space="preserve">. [online] </w:t>
      </w:r>
      <w:r>
        <w:rPr>
          <w:i/>
          <w:iCs/>
        </w:rPr>
        <w:t>Nice.org.uk</w:t>
      </w:r>
      <w:r>
        <w:t xml:space="preserve">. NICE. Available at: </w:t>
      </w:r>
      <w:hyperlink r:id="rId32" w:history="1">
        <w:r w:rsidR="00E21F14" w:rsidRPr="002123B6">
          <w:rPr>
            <w:rStyle w:val="Hyperlink"/>
          </w:rPr>
          <w:t>https://www.nice.org.uk/guidance/ng246?utm</w:t>
        </w:r>
      </w:hyperlink>
    </w:p>
    <w:p w14:paraId="3E017889" w14:textId="77777777" w:rsidR="00295F83" w:rsidRDefault="00295F83">
      <w:pPr>
        <w:spacing w:after="240" w:line="360" w:lineRule="auto"/>
      </w:pPr>
    </w:p>
    <w:p w14:paraId="0F5EA011" w14:textId="0C418648" w:rsidR="00E976C2" w:rsidRDefault="00E57902">
      <w:pPr>
        <w:spacing w:after="240" w:line="360" w:lineRule="auto"/>
      </w:pPr>
      <w:proofErr w:type="spellStart"/>
      <w:r>
        <w:t>Reichel</w:t>
      </w:r>
      <w:proofErr w:type="spellEnd"/>
      <w:r>
        <w:t xml:space="preserve">, K., </w:t>
      </w:r>
      <w:proofErr w:type="spellStart"/>
      <w:r>
        <w:t>Prigge</w:t>
      </w:r>
      <w:proofErr w:type="spellEnd"/>
      <w:r>
        <w:t xml:space="preserve">, M., </w:t>
      </w:r>
      <w:proofErr w:type="spellStart"/>
      <w:r>
        <w:t>Latza</w:t>
      </w:r>
      <w:proofErr w:type="spellEnd"/>
      <w:r>
        <w:t xml:space="preserve">, U., </w:t>
      </w:r>
      <w:proofErr w:type="spellStart"/>
      <w:r>
        <w:t>Kurth</w:t>
      </w:r>
      <w:proofErr w:type="spellEnd"/>
      <w:r>
        <w:t xml:space="preserve">, T. and </w:t>
      </w:r>
      <w:proofErr w:type="spellStart"/>
      <w:r>
        <w:t>Backé</w:t>
      </w:r>
      <w:proofErr w:type="spellEnd"/>
      <w:r>
        <w:t>, E.-M. (2022). Association of Occupational Sitting with Cardiovascular Outcomes and Cardiometabolic Risk Factors: A Systematic Review with a Sex-Sensitive/Gender-Sensitive Perspective.</w:t>
      </w:r>
      <w:r w:rsidR="00CB778F">
        <w:t xml:space="preserve"> [online] Available at: </w:t>
      </w:r>
    </w:p>
    <w:p w14:paraId="0C5AA648" w14:textId="07EA3184" w:rsidR="00E21F14" w:rsidRDefault="00295F83">
      <w:pPr>
        <w:spacing w:after="240" w:line="360" w:lineRule="auto"/>
      </w:pPr>
      <w:hyperlink r:id="rId33" w:history="1">
        <w:r w:rsidRPr="002123B6">
          <w:rPr>
            <w:rStyle w:val="Hyperlink"/>
          </w:rPr>
          <w:t>https://pmc.ncbi.nlm.nih.gov/articles/PMC8830241/</w:t>
        </w:r>
      </w:hyperlink>
    </w:p>
    <w:p w14:paraId="5725D090" w14:textId="77777777" w:rsidR="00295F83" w:rsidRDefault="00295F83">
      <w:pPr>
        <w:spacing w:after="240" w:line="360" w:lineRule="auto"/>
      </w:pPr>
    </w:p>
    <w:p w14:paraId="3C2F6A10" w14:textId="5CFE671A" w:rsidR="00E976C2" w:rsidRDefault="00E57902">
      <w:pPr>
        <w:spacing w:after="240" w:line="360" w:lineRule="auto"/>
      </w:pPr>
      <w:proofErr w:type="spellStart"/>
      <w:r>
        <w:t>Silveira</w:t>
      </w:r>
      <w:proofErr w:type="spellEnd"/>
      <w:r>
        <w:t xml:space="preserve">, E.A., </w:t>
      </w:r>
      <w:proofErr w:type="spellStart"/>
      <w:r>
        <w:t>Kliemann</w:t>
      </w:r>
      <w:proofErr w:type="spellEnd"/>
      <w:r>
        <w:t xml:space="preserve">, N., </w:t>
      </w:r>
      <w:proofErr w:type="spellStart"/>
      <w:r>
        <w:t>Noll</w:t>
      </w:r>
      <w:proofErr w:type="spellEnd"/>
      <w:r>
        <w:t xml:space="preserve">, M., </w:t>
      </w:r>
      <w:proofErr w:type="spellStart"/>
      <w:r>
        <w:t>Sarrafzadegan</w:t>
      </w:r>
      <w:proofErr w:type="spellEnd"/>
      <w:r>
        <w:t xml:space="preserve">, N. and Oliveira, C. (2020). Visceral obesity and incident cancer and cardiovascular disease: An integrative review of the epidemiological evidence. </w:t>
      </w:r>
      <w:r>
        <w:rPr>
          <w:i/>
          <w:iCs/>
        </w:rPr>
        <w:t>Obesity Reviews</w:t>
      </w:r>
      <w:r w:rsidR="00872B9F">
        <w:t xml:space="preserve"> [online] Available at: </w:t>
      </w:r>
      <w:hyperlink r:id="rId34" w:history="1">
        <w:r w:rsidR="00C207F9" w:rsidRPr="002123B6">
          <w:rPr>
            <w:rStyle w:val="Hyperlink"/>
          </w:rPr>
          <w:t>https://pmc.ncbi.nlm.nih.gov/articles/PMC7757158/</w:t>
        </w:r>
      </w:hyperlink>
    </w:p>
    <w:p w14:paraId="6BD89649" w14:textId="77777777" w:rsidR="00E21F14" w:rsidRDefault="00E21F14">
      <w:pPr>
        <w:spacing w:after="240" w:line="360" w:lineRule="auto"/>
      </w:pPr>
    </w:p>
    <w:p w14:paraId="0204BB61" w14:textId="70D96FA4" w:rsidR="00E976C2" w:rsidRDefault="00E57902">
      <w:pPr>
        <w:spacing w:after="240" w:line="360" w:lineRule="auto"/>
      </w:pPr>
      <w:r>
        <w:t xml:space="preserve">Stead, L.F., </w:t>
      </w:r>
      <w:proofErr w:type="spellStart"/>
      <w:r>
        <w:t>Koilpillai</w:t>
      </w:r>
      <w:proofErr w:type="spellEnd"/>
      <w:r>
        <w:t xml:space="preserve">, P., Fanshawe, T.R. and Lancaster, T. (2016). Combined Pharmacotherapy and Behavioural Interventions for Smoking Cessation. </w:t>
      </w:r>
      <w:r>
        <w:rPr>
          <w:i/>
          <w:iCs/>
        </w:rPr>
        <w:t>The Cochrane database of systematic reviews</w:t>
      </w:r>
      <w:r>
        <w:t xml:space="preserve">, [online] </w:t>
      </w:r>
      <w:r w:rsidR="003010FF">
        <w:t xml:space="preserve">Available at: </w:t>
      </w:r>
      <w:hyperlink r:id="rId35" w:history="1">
        <w:r w:rsidR="00D646EB" w:rsidRPr="002123B6">
          <w:rPr>
            <w:rStyle w:val="Hyperlink"/>
          </w:rPr>
          <w:t>https://pubmed.ncbi.nlm.nih.gov/27009521/</w:t>
        </w:r>
      </w:hyperlink>
    </w:p>
    <w:p w14:paraId="7AB749DF" w14:textId="77777777" w:rsidR="00E21F14" w:rsidRDefault="00E21F14">
      <w:pPr>
        <w:spacing w:after="240" w:line="360" w:lineRule="auto"/>
      </w:pPr>
    </w:p>
    <w:p w14:paraId="0A953828" w14:textId="3EE043D6" w:rsidR="00E976C2" w:rsidRDefault="00E57902">
      <w:pPr>
        <w:spacing w:after="240" w:line="360" w:lineRule="auto"/>
      </w:pPr>
      <w:r>
        <w:t xml:space="preserve">Tremblay, M.S., Aubert, S., Barnes, J.D., Saunders, T.J., Carson, V., Latimer-Cheung, A.E., Chastin, S.F.M., </w:t>
      </w:r>
      <w:proofErr w:type="spellStart"/>
      <w:r>
        <w:t>Altenburg</w:t>
      </w:r>
      <w:proofErr w:type="spellEnd"/>
      <w:r>
        <w:t xml:space="preserve">, T.M. and </w:t>
      </w:r>
      <w:proofErr w:type="spellStart"/>
      <w:r>
        <w:t>Chinapaw</w:t>
      </w:r>
      <w:proofErr w:type="spellEnd"/>
      <w:r>
        <w:t xml:space="preserve">, M.J.M. (2017). Sedentary </w:t>
      </w:r>
      <w:proofErr w:type="spellStart"/>
      <w:r>
        <w:t>Behavior</w:t>
      </w:r>
      <w:proofErr w:type="spellEnd"/>
      <w:r>
        <w:t xml:space="preserve"> Research Network (SBRN) – Terminology Consensus Project Process and Outcome. </w:t>
      </w:r>
      <w:r>
        <w:rPr>
          <w:i/>
          <w:iCs/>
        </w:rPr>
        <w:t xml:space="preserve">International Journal of </w:t>
      </w:r>
      <w:proofErr w:type="spellStart"/>
      <w:r>
        <w:rPr>
          <w:i/>
          <w:iCs/>
        </w:rPr>
        <w:t>Behavioral</w:t>
      </w:r>
      <w:proofErr w:type="spellEnd"/>
      <w:r>
        <w:rPr>
          <w:i/>
          <w:iCs/>
        </w:rPr>
        <w:t xml:space="preserve"> Nutrition and Physical Activity</w:t>
      </w:r>
      <w:r w:rsidR="00525762">
        <w:t xml:space="preserve"> [online] Available at: </w:t>
      </w:r>
      <w:hyperlink r:id="rId36" w:history="1">
        <w:r w:rsidR="007F2270" w:rsidRPr="002123B6">
          <w:rPr>
            <w:rStyle w:val="Hyperlink"/>
          </w:rPr>
          <w:t>https://link.springer.com/article/10.1186/s12966-017-0525-8</w:t>
        </w:r>
      </w:hyperlink>
    </w:p>
    <w:p w14:paraId="07CA88B2" w14:textId="77777777" w:rsidR="00AB3D5A" w:rsidRDefault="00AB3D5A">
      <w:pPr>
        <w:spacing w:after="240" w:line="360" w:lineRule="auto"/>
      </w:pPr>
    </w:p>
    <w:p w14:paraId="786BBB66" w14:textId="13542BE8" w:rsidR="00E976C2" w:rsidRDefault="00E57902">
      <w:pPr>
        <w:spacing w:after="240" w:line="360" w:lineRule="auto"/>
      </w:pPr>
      <w:r>
        <w:t xml:space="preserve">Whelton, P.K., Carey, R.M., </w:t>
      </w:r>
      <w:proofErr w:type="spellStart"/>
      <w:r>
        <w:t>Aronow</w:t>
      </w:r>
      <w:proofErr w:type="spellEnd"/>
      <w:r>
        <w:t xml:space="preserve">, W.S., Casey, D.E., Collins, K.J., Dennison </w:t>
      </w:r>
      <w:proofErr w:type="spellStart"/>
      <w:r>
        <w:t>Himmelfarb</w:t>
      </w:r>
      <w:proofErr w:type="spellEnd"/>
      <w:r>
        <w:t xml:space="preserve">, C., DePalma, S.M., </w:t>
      </w:r>
      <w:proofErr w:type="spellStart"/>
      <w:r>
        <w:t>Gidding</w:t>
      </w:r>
      <w:proofErr w:type="spellEnd"/>
      <w:r>
        <w:t xml:space="preserve">, S., </w:t>
      </w:r>
      <w:proofErr w:type="spellStart"/>
      <w:r>
        <w:t>Jamerson</w:t>
      </w:r>
      <w:proofErr w:type="spellEnd"/>
      <w:r>
        <w:t xml:space="preserve">, K.A., Jones, D.W., MacLaughlin, E.J., </w:t>
      </w:r>
      <w:proofErr w:type="spellStart"/>
      <w:r>
        <w:t>Muntner</w:t>
      </w:r>
      <w:proofErr w:type="spellEnd"/>
      <w:r>
        <w:t xml:space="preserve">, P., </w:t>
      </w:r>
      <w:proofErr w:type="spellStart"/>
      <w:r>
        <w:t>Ovbiagele</w:t>
      </w:r>
      <w:proofErr w:type="spellEnd"/>
      <w:r>
        <w:t>, B., Smith, S.C., Spencer, C.C., Stafford, R.S., Taler, S.J., Thomas, R.J., Williams, K.A., Williamson, J.D. and Wright, J.T. (2018b). 2017 ACC/AHA/AAPA/ABC/ACPM/AGS/APHA/ASH/ASPC/NMA/PCNA guideline for the prevention, detection, evaluation, and management of high blood pressure in adults: A report of the American College of Cardiology/American</w:t>
      </w:r>
      <w:r>
        <w:t xml:space="preserve"> Heart Association Task Force on Clinical Practice Guidelines. </w:t>
      </w:r>
      <w:r>
        <w:rPr>
          <w:i/>
          <w:iCs/>
        </w:rPr>
        <w:t>Hypertension</w:t>
      </w:r>
      <w:r>
        <w:t xml:space="preserve">, [online] </w:t>
      </w:r>
      <w:r w:rsidR="00B72356">
        <w:t xml:space="preserve">Available at: </w:t>
      </w:r>
      <w:hyperlink r:id="rId37" w:history="1">
        <w:r w:rsidR="00B23538" w:rsidRPr="002123B6">
          <w:rPr>
            <w:rStyle w:val="Hyperlink"/>
          </w:rPr>
          <w:t>https://www.ahajournals.org/doi/10.1161/HYP.0000000000000065</w:t>
        </w:r>
      </w:hyperlink>
    </w:p>
    <w:p w14:paraId="6ED30A50" w14:textId="77777777" w:rsidR="00AB3D5A" w:rsidRDefault="00AB3D5A">
      <w:pPr>
        <w:spacing w:after="240" w:line="360" w:lineRule="auto"/>
      </w:pPr>
    </w:p>
    <w:p w14:paraId="58012C28" w14:textId="5312C76D" w:rsidR="00E976C2" w:rsidRDefault="00237D21">
      <w:pPr>
        <w:spacing w:after="240" w:line="360" w:lineRule="auto"/>
      </w:pPr>
      <w:r>
        <w:lastRenderedPageBreak/>
        <w:t>Powell-</w:t>
      </w:r>
      <w:r w:rsidR="00E57902">
        <w:t xml:space="preserve">Wiley, T.M.P., </w:t>
      </w:r>
      <w:proofErr w:type="spellStart"/>
      <w:r w:rsidR="00E57902">
        <w:t>Poirier</w:t>
      </w:r>
      <w:proofErr w:type="spellEnd"/>
      <w:r w:rsidR="00E57902">
        <w:t xml:space="preserve">, P., Burke, L.E., </w:t>
      </w:r>
      <w:proofErr w:type="spellStart"/>
      <w:r w:rsidR="00E57902">
        <w:t>Després</w:t>
      </w:r>
      <w:proofErr w:type="spellEnd"/>
      <w:r w:rsidR="00E57902">
        <w:t xml:space="preserve">, J.-P., Larsen, P.G., </w:t>
      </w:r>
      <w:proofErr w:type="spellStart"/>
      <w:r w:rsidR="00E57902">
        <w:t>Lavie</w:t>
      </w:r>
      <w:proofErr w:type="spellEnd"/>
      <w:r w:rsidR="00E57902">
        <w:t xml:space="preserve">, C.J., Lear, S.A., </w:t>
      </w:r>
      <w:proofErr w:type="spellStart"/>
      <w:r w:rsidR="00E57902">
        <w:t>Ndumele</w:t>
      </w:r>
      <w:proofErr w:type="spellEnd"/>
      <w:r w:rsidR="00E57902">
        <w:t xml:space="preserve">, C.E., </w:t>
      </w:r>
      <w:proofErr w:type="spellStart"/>
      <w:r w:rsidR="00E57902">
        <w:t>Neeland</w:t>
      </w:r>
      <w:proofErr w:type="spellEnd"/>
      <w:r w:rsidR="00E57902">
        <w:t xml:space="preserve">, I.J., Sanders, P. and St-Onge, M.-P. (2021). Obesity and Cardiovascular Disease: A Scientific Statement from the American Heart Association. </w:t>
      </w:r>
      <w:r w:rsidR="00E57902">
        <w:rPr>
          <w:i/>
          <w:iCs/>
        </w:rPr>
        <w:t>Circulation</w:t>
      </w:r>
      <w:r w:rsidR="00391414">
        <w:t xml:space="preserve"> [online] Available at: </w:t>
      </w:r>
      <w:hyperlink r:id="rId38" w:history="1">
        <w:r w:rsidR="009D0CB7" w:rsidRPr="002123B6">
          <w:rPr>
            <w:rStyle w:val="Hyperlink"/>
          </w:rPr>
          <w:t>https://pmc.ncbi.nlm.nih.gov/articles/PMC8493650/</w:t>
        </w:r>
      </w:hyperlink>
    </w:p>
    <w:p w14:paraId="70E4C46A" w14:textId="77777777" w:rsidR="00AB3D5A" w:rsidRDefault="00AB3D5A">
      <w:pPr>
        <w:spacing w:after="240" w:line="360" w:lineRule="auto"/>
      </w:pPr>
    </w:p>
    <w:p w14:paraId="7E8D6370" w14:textId="7B5BBC87" w:rsidR="00AB3D5A" w:rsidRDefault="00E57902">
      <w:pPr>
        <w:spacing w:after="240" w:line="360" w:lineRule="auto"/>
      </w:pPr>
      <w:r>
        <w:t xml:space="preserve">World Health Organization (2024). </w:t>
      </w:r>
      <w:r>
        <w:rPr>
          <w:i/>
          <w:iCs/>
        </w:rPr>
        <w:t>Physical Activity</w:t>
      </w:r>
      <w:r>
        <w:t xml:space="preserve">. [online] </w:t>
      </w:r>
      <w:r>
        <w:rPr>
          <w:i/>
          <w:iCs/>
        </w:rPr>
        <w:t>World Health Organization</w:t>
      </w:r>
      <w:r>
        <w:t xml:space="preserve">. Available at: </w:t>
      </w:r>
      <w:hyperlink r:id="rId39" w:history="1">
        <w:r w:rsidR="00AB3D5A" w:rsidRPr="002123B6">
          <w:rPr>
            <w:rStyle w:val="Hyperlink"/>
          </w:rPr>
          <w:t>https://www.who.int/news-room/fact-sheets/detail/physical-activity</w:t>
        </w:r>
      </w:hyperlink>
    </w:p>
    <w:p w14:paraId="4007D293" w14:textId="1257249A" w:rsidR="00E976C2" w:rsidRDefault="00E57902">
      <w:pPr>
        <w:spacing w:after="240" w:line="360" w:lineRule="auto"/>
      </w:pPr>
      <w:r>
        <w:t xml:space="preserve"> </w:t>
      </w:r>
    </w:p>
    <w:sectPr w:rsidR="00E976C2">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E7A0027"/>
    <w:multiLevelType w:val="hybridMultilevel"/>
    <w:tmpl w:val="FFFFFFFF"/>
    <w:lvl w:ilvl="0" w:tplc="1B04BF2E">
      <w:start w:val="1"/>
      <w:numFmt w:val="bullet"/>
      <w:lvlText w:val="●"/>
      <w:lvlJc w:val="left"/>
      <w:pPr>
        <w:ind w:left="720" w:hanging="360"/>
      </w:pPr>
    </w:lvl>
    <w:lvl w:ilvl="1" w:tplc="F5229A80">
      <w:start w:val="1"/>
      <w:numFmt w:val="bullet"/>
      <w:lvlText w:val="○"/>
      <w:lvlJc w:val="left"/>
      <w:pPr>
        <w:ind w:left="1440" w:hanging="360"/>
      </w:pPr>
    </w:lvl>
    <w:lvl w:ilvl="2" w:tplc="C62C344C">
      <w:start w:val="1"/>
      <w:numFmt w:val="bullet"/>
      <w:lvlText w:val="■"/>
      <w:lvlJc w:val="left"/>
      <w:pPr>
        <w:ind w:left="2160" w:hanging="360"/>
      </w:pPr>
    </w:lvl>
    <w:lvl w:ilvl="3" w:tplc="A1BAE246">
      <w:start w:val="1"/>
      <w:numFmt w:val="bullet"/>
      <w:lvlText w:val="●"/>
      <w:lvlJc w:val="left"/>
      <w:pPr>
        <w:ind w:left="2880" w:hanging="360"/>
      </w:pPr>
    </w:lvl>
    <w:lvl w:ilvl="4" w:tplc="2C2E2592">
      <w:start w:val="1"/>
      <w:numFmt w:val="bullet"/>
      <w:lvlText w:val="○"/>
      <w:lvlJc w:val="left"/>
      <w:pPr>
        <w:ind w:left="3600" w:hanging="360"/>
      </w:pPr>
    </w:lvl>
    <w:lvl w:ilvl="5" w:tplc="C92E7F4A">
      <w:start w:val="1"/>
      <w:numFmt w:val="bullet"/>
      <w:lvlText w:val="■"/>
      <w:lvlJc w:val="left"/>
      <w:pPr>
        <w:ind w:left="4320" w:hanging="360"/>
      </w:pPr>
    </w:lvl>
    <w:lvl w:ilvl="6" w:tplc="A412E08C">
      <w:start w:val="1"/>
      <w:numFmt w:val="bullet"/>
      <w:lvlText w:val="●"/>
      <w:lvlJc w:val="left"/>
      <w:pPr>
        <w:ind w:left="5040" w:hanging="360"/>
      </w:pPr>
    </w:lvl>
    <w:lvl w:ilvl="7" w:tplc="DFF0BAFE">
      <w:start w:val="1"/>
      <w:numFmt w:val="bullet"/>
      <w:lvlText w:val="●"/>
      <w:lvlJc w:val="left"/>
      <w:pPr>
        <w:ind w:left="5760" w:hanging="360"/>
      </w:pPr>
    </w:lvl>
    <w:lvl w:ilvl="8" w:tplc="277870DE">
      <w:start w:val="1"/>
      <w:numFmt w:val="bullet"/>
      <w:lvlText w:val="●"/>
      <w:lvlJc w:val="left"/>
      <w:pPr>
        <w:ind w:left="6480" w:hanging="360"/>
      </w:pPr>
    </w:lvl>
  </w:abstractNum>
  <w:abstractNum w:abstractNumId="1" w15:restartNumberingAfterBreak="0">
    <w:nsid w:val="455B729B"/>
    <w:multiLevelType w:val="hybridMultilevel"/>
    <w:tmpl w:val="DB6A3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2549410">
    <w:abstractNumId w:val="0"/>
    <w:lvlOverride w:ilvl="0">
      <w:startOverride w:val="1"/>
    </w:lvlOverride>
  </w:num>
  <w:num w:numId="2" w16cid:durableId="2041122174">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76C2"/>
    <w:rsid w:val="00070A78"/>
    <w:rsid w:val="0009663C"/>
    <w:rsid w:val="001216DB"/>
    <w:rsid w:val="0013117F"/>
    <w:rsid w:val="0014774F"/>
    <w:rsid w:val="001565D5"/>
    <w:rsid w:val="00192D9E"/>
    <w:rsid w:val="001A1F34"/>
    <w:rsid w:val="001A2D15"/>
    <w:rsid w:val="001C085B"/>
    <w:rsid w:val="001F18AA"/>
    <w:rsid w:val="001F59D1"/>
    <w:rsid w:val="00205C24"/>
    <w:rsid w:val="00221B20"/>
    <w:rsid w:val="00226B8A"/>
    <w:rsid w:val="00237D21"/>
    <w:rsid w:val="00266AB7"/>
    <w:rsid w:val="00295F83"/>
    <w:rsid w:val="002C50ED"/>
    <w:rsid w:val="002D22A2"/>
    <w:rsid w:val="003010FF"/>
    <w:rsid w:val="00337ADA"/>
    <w:rsid w:val="00391414"/>
    <w:rsid w:val="003F3121"/>
    <w:rsid w:val="003F766E"/>
    <w:rsid w:val="004549DB"/>
    <w:rsid w:val="0047255C"/>
    <w:rsid w:val="004746F8"/>
    <w:rsid w:val="004C7635"/>
    <w:rsid w:val="004E3272"/>
    <w:rsid w:val="00525762"/>
    <w:rsid w:val="00545B33"/>
    <w:rsid w:val="00550A4E"/>
    <w:rsid w:val="00554A51"/>
    <w:rsid w:val="005575E9"/>
    <w:rsid w:val="00560B8F"/>
    <w:rsid w:val="005A733C"/>
    <w:rsid w:val="005B4E05"/>
    <w:rsid w:val="005D554D"/>
    <w:rsid w:val="005D57B1"/>
    <w:rsid w:val="005F154F"/>
    <w:rsid w:val="005F6ECF"/>
    <w:rsid w:val="006233AD"/>
    <w:rsid w:val="00655B2D"/>
    <w:rsid w:val="00656CA6"/>
    <w:rsid w:val="006B768E"/>
    <w:rsid w:val="006C41F4"/>
    <w:rsid w:val="006E2781"/>
    <w:rsid w:val="007551AB"/>
    <w:rsid w:val="007607F0"/>
    <w:rsid w:val="00797A95"/>
    <w:rsid w:val="007A5DC4"/>
    <w:rsid w:val="007D4CDC"/>
    <w:rsid w:val="007F2270"/>
    <w:rsid w:val="00805E79"/>
    <w:rsid w:val="008104BA"/>
    <w:rsid w:val="00811BBB"/>
    <w:rsid w:val="00830A39"/>
    <w:rsid w:val="00850051"/>
    <w:rsid w:val="00872B9F"/>
    <w:rsid w:val="0088086D"/>
    <w:rsid w:val="00880FA5"/>
    <w:rsid w:val="008C4686"/>
    <w:rsid w:val="008F3F03"/>
    <w:rsid w:val="00901F9F"/>
    <w:rsid w:val="00911005"/>
    <w:rsid w:val="009275B1"/>
    <w:rsid w:val="00935078"/>
    <w:rsid w:val="00951BA0"/>
    <w:rsid w:val="0097378C"/>
    <w:rsid w:val="00977D8B"/>
    <w:rsid w:val="009D0CB7"/>
    <w:rsid w:val="00A0712D"/>
    <w:rsid w:val="00A363AD"/>
    <w:rsid w:val="00A56B5B"/>
    <w:rsid w:val="00A97DD7"/>
    <w:rsid w:val="00AA734E"/>
    <w:rsid w:val="00AB3D5A"/>
    <w:rsid w:val="00AE7A8D"/>
    <w:rsid w:val="00B17EC0"/>
    <w:rsid w:val="00B23538"/>
    <w:rsid w:val="00B374E5"/>
    <w:rsid w:val="00B603D9"/>
    <w:rsid w:val="00B72356"/>
    <w:rsid w:val="00BC78F5"/>
    <w:rsid w:val="00BE3726"/>
    <w:rsid w:val="00C061EC"/>
    <w:rsid w:val="00C17460"/>
    <w:rsid w:val="00C207F9"/>
    <w:rsid w:val="00C56D1A"/>
    <w:rsid w:val="00C616CD"/>
    <w:rsid w:val="00C71EC6"/>
    <w:rsid w:val="00C732BA"/>
    <w:rsid w:val="00C81154"/>
    <w:rsid w:val="00CB296E"/>
    <w:rsid w:val="00CB778F"/>
    <w:rsid w:val="00CF6309"/>
    <w:rsid w:val="00D079EA"/>
    <w:rsid w:val="00D42F01"/>
    <w:rsid w:val="00D646EB"/>
    <w:rsid w:val="00D71AC2"/>
    <w:rsid w:val="00D8185C"/>
    <w:rsid w:val="00DD71CC"/>
    <w:rsid w:val="00DE5C7D"/>
    <w:rsid w:val="00DF5C5F"/>
    <w:rsid w:val="00E21F14"/>
    <w:rsid w:val="00E323F3"/>
    <w:rsid w:val="00E43447"/>
    <w:rsid w:val="00E57387"/>
    <w:rsid w:val="00E57902"/>
    <w:rsid w:val="00E60ACB"/>
    <w:rsid w:val="00E96296"/>
    <w:rsid w:val="00E976C2"/>
    <w:rsid w:val="00EF20D7"/>
    <w:rsid w:val="00F84B9D"/>
    <w:rsid w:val="00FC3FC2"/>
    <w:rsid w:val="00FD4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8CF1D1"/>
  <w15:docId w15:val="{0DD68129-365D-C542-9F05-6667C192E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UnresolvedMention">
    <w:name w:val="Unresolved Mention"/>
    <w:basedOn w:val="DefaultParagraphFont"/>
    <w:uiPriority w:val="99"/>
    <w:semiHidden/>
    <w:unhideWhenUsed/>
    <w:rsid w:val="002C50ED"/>
    <w:rPr>
      <w:color w:val="605E5C"/>
      <w:shd w:val="clear" w:color="auto" w:fill="E1DFDD"/>
    </w:rPr>
  </w:style>
  <w:style w:type="character" w:customStyle="1" w:styleId="apple-converted-space">
    <w:name w:val="apple-converted-space"/>
    <w:basedOn w:val="DefaultParagraphFont"/>
    <w:rsid w:val="00FC3FC2"/>
  </w:style>
  <w:style w:type="paragraph" w:styleId="NormalWeb">
    <w:name w:val="Normal (Web)"/>
    <w:basedOn w:val="Normal"/>
    <w:uiPriority w:val="99"/>
    <w:semiHidden/>
    <w:unhideWhenUsed/>
    <w:rsid w:val="004E3272"/>
    <w:pPr>
      <w:spacing w:before="100" w:beforeAutospacing="1" w:after="100" w:afterAutospacing="1"/>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academic.oup.com/eurheartj/article/38/32/2459/3745109" TargetMode="External"/><Relationship Id="rId18" Type="http://schemas.openxmlformats.org/officeDocument/2006/relationships/hyperlink" Target="https://www.bmj.com/content/355/bmj.i5953" TargetMode="External"/><Relationship Id="rId26" Type="http://schemas.openxmlformats.org/officeDocument/2006/relationships/hyperlink" Target="https://www.nhs.uk/better-health/quit-smoking/why-quit-smoking/understanding-the-true-impact-of-smoking/" TargetMode="External"/><Relationship Id="rId39" Type="http://schemas.openxmlformats.org/officeDocument/2006/relationships/hyperlink" Target="https://www.who.int/news-room/fact-sheets/detail/physical-activity" TargetMode="External"/><Relationship Id="rId21" Type="http://schemas.openxmlformats.org/officeDocument/2006/relationships/hyperlink" Target="https://pmc.ncbi.nlm.nih.gov/articles/PMC5449130/" TargetMode="External"/><Relationship Id="rId34" Type="http://schemas.openxmlformats.org/officeDocument/2006/relationships/hyperlink" Target="https://pmc.ncbi.nlm.nih.gov/articles/PMC7757158/" TargetMode="External"/><Relationship Id="rId7" Type="http://schemas.openxmlformats.org/officeDocument/2006/relationships/hyperlink" Target="https://pubmed.ncbi.nlm.nih.gov/40489730/" TargetMode="External"/><Relationship Id="rId2" Type="http://schemas.openxmlformats.org/officeDocument/2006/relationships/styles" Target="styles.xml"/><Relationship Id="rId16" Type="http://schemas.openxmlformats.org/officeDocument/2006/relationships/hyperlink" Target="https://pmc.ncbi.nlm.nih.gov/articles/PMC6770596/" TargetMode="External"/><Relationship Id="rId20" Type="http://schemas.openxmlformats.org/officeDocument/2006/relationships/hyperlink" Target="https://pmc.ncbi.nlm.nih.gov/articles/PMC12691488/" TargetMode="External"/><Relationship Id="rId29" Type="http://schemas.openxmlformats.org/officeDocument/2006/relationships/hyperlink" Target="https://www.nice.org.uk/guidance/ng28?UID=89436644020252820451&amp;utm"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bjsm.bmj.com/content/54/24/1451" TargetMode="External"/><Relationship Id="rId11" Type="http://schemas.openxmlformats.org/officeDocument/2006/relationships/hyperlink" Target="https://me001ned.edis.at/publichealth/archiv/artikel/1977_Engel_Biopsychosocial%20model.pdf" TargetMode="External"/><Relationship Id="rId24" Type="http://schemas.openxmlformats.org/officeDocument/2006/relationships/hyperlink" Target="https://pmc.ncbi.nlm.nih.gov/articles/PMC5875734/" TargetMode="External"/><Relationship Id="rId32" Type="http://schemas.openxmlformats.org/officeDocument/2006/relationships/hyperlink" Target="https://www.nice.org.uk/guidance/ng246?utm" TargetMode="External"/><Relationship Id="rId37" Type="http://schemas.openxmlformats.org/officeDocument/2006/relationships/hyperlink" Target="https://www.ahajournals.org/doi/10.1161/HYP.0000000000000065" TargetMode="External"/><Relationship Id="rId40" Type="http://schemas.openxmlformats.org/officeDocument/2006/relationships/fontTable" Target="fontTable.xml"/><Relationship Id="rId5" Type="http://schemas.openxmlformats.org/officeDocument/2006/relationships/hyperlink" Target="https://www.nejm.org/doi/full/10.1056/NEJM199704173361601" TargetMode="External"/><Relationship Id="rId15" Type="http://schemas.openxmlformats.org/officeDocument/2006/relationships/hyperlink" Target="https://pmc.ncbi.nlm.nih.gov/articles/PMC6164547/" TargetMode="External"/><Relationship Id="rId23" Type="http://schemas.openxmlformats.org/officeDocument/2006/relationships/hyperlink" Target="https://www.nice.org.uk/guidance/ng136" TargetMode="External"/><Relationship Id="rId28" Type="http://schemas.openxmlformats.org/officeDocument/2006/relationships/hyperlink" Target="https://www.england.nhs.uk/ourwork/prevention/alcohol-dependency-programme/" TargetMode="External"/><Relationship Id="rId36" Type="http://schemas.openxmlformats.org/officeDocument/2006/relationships/hyperlink" Target="https://link.springer.com/article/10.1186/s12966-017-0525-8" TargetMode="External"/><Relationship Id="rId10" Type="http://schemas.openxmlformats.org/officeDocument/2006/relationships/hyperlink" Target="https://www.diabetes.org.uk/about-diabetes/type-2-diabetes/prevention" TargetMode="External"/><Relationship Id="rId19" Type="http://schemas.openxmlformats.org/officeDocument/2006/relationships/hyperlink" Target="https://www.ahajournals.org/doi/10.1161/CIR.0000000000001356" TargetMode="External"/><Relationship Id="rId31" Type="http://schemas.openxmlformats.org/officeDocument/2006/relationships/hyperlink" Target="https://www.nice.org.uk/guidance/qs11" TargetMode="External"/><Relationship Id="rId4" Type="http://schemas.openxmlformats.org/officeDocument/2006/relationships/webSettings" Target="webSettings.xml"/><Relationship Id="rId9" Type="http://schemas.openxmlformats.org/officeDocument/2006/relationships/hyperlink" Target="https://www.diabetes.org.uk/about-diabetes/type-2-diabetes" TargetMode="External"/><Relationship Id="rId14" Type="http://schemas.openxmlformats.org/officeDocument/2006/relationships/hyperlink" Target="https://pmc.ncbi.nlm.nih.gov/articles/PMC6125024/" TargetMode="External"/><Relationship Id="rId22" Type="http://schemas.openxmlformats.org/officeDocument/2006/relationships/hyperlink" Target="https://www.nice.org.uk/guidance/ng238" TargetMode="External"/><Relationship Id="rId27" Type="http://schemas.openxmlformats.org/officeDocument/2006/relationships/hyperlink" Target="https://www.england.nhs.uk/diabetes/diabetes-prevention/" TargetMode="External"/><Relationship Id="rId30" Type="http://schemas.openxmlformats.org/officeDocument/2006/relationships/hyperlink" Target="https://www.nice.org.uk/guidance/ng209" TargetMode="External"/><Relationship Id="rId35" Type="http://schemas.openxmlformats.org/officeDocument/2006/relationships/hyperlink" Target="https://pubmed.ncbi.nlm.nih.gov/27009521/" TargetMode="External"/><Relationship Id="rId8" Type="http://schemas.openxmlformats.org/officeDocument/2006/relationships/hyperlink" Target="https://pubmed.ncbi.nlm.nih.gov/31098200/" TargetMode="External"/><Relationship Id="rId3" Type="http://schemas.openxmlformats.org/officeDocument/2006/relationships/settings" Target="settings.xml"/><Relationship Id="rId12" Type="http://schemas.openxmlformats.org/officeDocument/2006/relationships/hyperlink" Target="https://www.england.nhs.uk/diabetes/diabetes-prevention/?utm" TargetMode="External"/><Relationship Id="rId17" Type="http://schemas.openxmlformats.org/officeDocument/2006/relationships/hyperlink" Target="https://www.nature.com/articles/s41398-020-0810-1" TargetMode="External"/><Relationship Id="rId25" Type="http://schemas.openxmlformats.org/officeDocument/2006/relationships/hyperlink" Target="https://www.nhs.uk/live-well/alcohol-advice/the-risks-of-drinking-too-much/" TargetMode="External"/><Relationship Id="rId33" Type="http://schemas.openxmlformats.org/officeDocument/2006/relationships/hyperlink" Target="https://pmc.ncbi.nlm.nih.gov/articles/PMC8830241/" TargetMode="External"/><Relationship Id="rId38" Type="http://schemas.openxmlformats.org/officeDocument/2006/relationships/hyperlink" Target="https://pmc.ncbi.nlm.nih.gov/articles/PMC84936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19</Pages>
  <Words>4145</Words>
  <Characters>23633</Characters>
  <Application>Microsoft Office Word</Application>
  <DocSecurity>0</DocSecurity>
  <Lines>196</Lines>
  <Paragraphs>55</Paragraphs>
  <ScaleCrop>false</ScaleCrop>
  <Company/>
  <LinksUpToDate>false</LinksUpToDate>
  <CharactersWithSpaces>27723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Jade Sanders (2419579)</cp:lastModifiedBy>
  <cp:revision>2</cp:revision>
  <dcterms:created xsi:type="dcterms:W3CDTF">2026-07-31T15:21:00Z</dcterms:created>
  <dcterms:modified xsi:type="dcterms:W3CDTF">2026-07-31T15:21:00Z</dcterms:modified>
</cp:coreProperties>
</file>