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9903D9" w14:textId="185B79FD" w:rsidR="006A4E0B" w:rsidRPr="00E977BC" w:rsidRDefault="0081757E" w:rsidP="00E977BC">
      <w:pPr>
        <w:spacing w:line="480" w:lineRule="auto"/>
        <w:rPr>
          <w:rFonts w:ascii="Times New Roman" w:hAnsi="Times New Roman" w:cs="Times New Roman"/>
          <w:szCs w:val="24"/>
        </w:rPr>
      </w:pPr>
      <w:r>
        <w:rPr>
          <w:noProof/>
        </w:rPr>
        <mc:AlternateContent>
          <mc:Choice Requires="wps">
            <w:drawing>
              <wp:anchor distT="0" distB="0" distL="114300" distR="114300" simplePos="0" relativeHeight="251661312" behindDoc="0" locked="0" layoutInCell="1" allowOverlap="1" wp14:anchorId="08638DBF" wp14:editId="7E42D34E">
                <wp:simplePos x="0" y="0"/>
                <wp:positionH relativeFrom="column">
                  <wp:posOffset>-714375</wp:posOffset>
                </wp:positionH>
                <wp:positionV relativeFrom="paragraph">
                  <wp:posOffset>-457200</wp:posOffset>
                </wp:positionV>
                <wp:extent cx="7315200" cy="1129665"/>
                <wp:effectExtent l="0" t="0" r="0" b="0"/>
                <wp:wrapNone/>
                <wp:docPr id="150" name="Rectangle 51"/>
                <wp:cNvGraphicFramePr/>
                <a:graphic xmlns:a="http://schemas.openxmlformats.org/drawingml/2006/main">
                  <a:graphicData uri="http://schemas.microsoft.com/office/word/2010/wordprocessingShape">
                    <wps:wsp>
                      <wps:cNvSpPr/>
                      <wps:spPr>
                        <a:xfrm>
                          <a:off x="0" y="0"/>
                          <a:ext cx="7315200" cy="1129665"/>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B045FEE" id="Rectangle 51" o:spid="_x0000_s1026" style="position:absolute;margin-left:-56.25pt;margin-top:-36pt;width:8in;height:88.95pt;z-index:251661312;visibility:visible;mso-wrap-style:square;mso-wrap-distance-left:9pt;mso-wrap-distance-top:0;mso-wrap-distance-right:9pt;mso-wrap-distance-bottom:0;mso-position-horizontal:absolute;mso-position-horizontal-relative:text;mso-position-vertical:absolute;mso-position-vertical-relative:text;v-text-anchor:middle" coordsize="7312660,112966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" path="m,l7312660,r,1129665l3619500,733425,,1091565,,xe" fillcolor="#4f81bd [3204]" stroked="f" strokeweight="2pt">
                <v:path arrowok="t" o:connecttype="custom" o:connectlocs="0,0;7315200,0;7315200,1129665;3620757,733425;0,1091565;0,0" o:connectangles="0,0,0,0,0,0"/>
              </v:shape>
            </w:pict>
          </mc:Fallback>
        </mc:AlternateContent>
      </w:r>
    </w:p>
    <w:p w14:paraId="41C3FDF2" w14:textId="3D9AC7CF" w:rsidR="006A4E0B" w:rsidRPr="00423D2A" w:rsidRDefault="006A4E0B" w:rsidP="00423D2A">
      <w:pPr>
        <w:pStyle w:val="BodyText"/>
        <w:spacing w:before="1" w:line="480" w:lineRule="auto"/>
        <w:ind w:right="125"/>
        <w:rPr>
          <w:rFonts w:ascii="Times New Roman" w:hAnsi="Times New Roman" w:cs="Times New Roman"/>
          <w:b/>
          <w:bCs/>
          <w:sz w:val="24"/>
          <w:szCs w:val="24"/>
        </w:rPr>
      </w:pPr>
    </w:p>
    <w:p w14:paraId="16F1FD3D" w14:textId="2541491A" w:rsidR="006A4E0B" w:rsidRPr="00E977BC" w:rsidRDefault="00423D2A" w:rsidP="00E977BC">
      <w:pPr>
        <w:spacing w:line="480" w:lineRule="auto"/>
        <w:rPr>
          <w:rFonts w:ascii="Times New Roman" w:hAnsi="Times New Roman" w:cs="Times New Roman"/>
          <w:szCs w:val="24"/>
        </w:rPr>
      </w:pPr>
      <w:r>
        <w:rPr>
          <w:noProof/>
        </w:rPr>
        <mc:AlternateContent>
          <mc:Choice Requires="wps">
            <w:drawing>
              <wp:anchor distT="0" distB="0" distL="114300" distR="114300" simplePos="0" relativeHeight="251659264" behindDoc="0" locked="0" layoutInCell="1" allowOverlap="1" wp14:anchorId="549E21F7" wp14:editId="33ED4470">
                <wp:simplePos x="0" y="0"/>
                <wp:positionH relativeFrom="margin">
                  <wp:align>center</wp:align>
                </wp:positionH>
                <wp:positionV relativeFrom="page">
                  <wp:posOffset>2335530</wp:posOffset>
                </wp:positionV>
                <wp:extent cx="7067550" cy="4182110"/>
                <wp:effectExtent l="0" t="0" r="19050" b="27940"/>
                <wp:wrapSquare wrapText="bothSides"/>
                <wp:docPr id="154" name="Text Box 163"/>
                <wp:cNvGraphicFramePr/>
                <a:graphic xmlns:a="http://schemas.openxmlformats.org/drawingml/2006/main">
                  <a:graphicData uri="http://schemas.microsoft.com/office/word/2010/wordprocessingShape">
                    <wps:wsp>
                      <wps:cNvSpPr txBox="1"/>
                      <wps:spPr>
                        <a:xfrm>
                          <a:off x="0" y="0"/>
                          <a:ext cx="7067550" cy="4182110"/>
                        </a:xfrm>
                        <a:prstGeom prst="rect">
                          <a:avLst/>
                        </a:prstGeom>
                        <a:noFill/>
                        <a:ln w="6350">
                          <a:solidFill>
                            <a:schemeClr val="accent1">
                              <a:lumMod val="60000"/>
                              <a:lumOff val="40000"/>
                            </a:schemeClr>
                          </a:solidFill>
                        </a:ln>
                        <a:effectLst/>
                      </wps:spPr>
                      <wps:style>
                        <a:lnRef idx="0">
                          <a:schemeClr val="accent1"/>
                        </a:lnRef>
                        <a:fillRef idx="0">
                          <a:schemeClr val="accent1"/>
                        </a:fillRef>
                        <a:effectRef idx="0">
                          <a:schemeClr val="accent1"/>
                        </a:effectRef>
                        <a:fontRef idx="minor">
                          <a:schemeClr val="dk1"/>
                        </a:fontRef>
                      </wps:style>
                      <wps:txbx>
                        <w:txbxContent>
                          <w:p w14:paraId="50D60972" w14:textId="77777777" w:rsidR="00423D2A" w:rsidRPr="00044D7D" w:rsidRDefault="00423D2A" w:rsidP="00423D2A">
                            <w:pPr>
                              <w:jc w:val="right"/>
                              <w:rPr>
                                <w:b/>
                                <w:bCs/>
                                <w:color w:val="1F497D"/>
                                <w:sz w:val="28"/>
                                <w:szCs w:val="28"/>
                              </w:rPr>
                            </w:pPr>
                            <w:r w:rsidRPr="00044D7D">
                              <w:rPr>
                                <w:color w:val="1F497D"/>
                                <w:sz w:val="28"/>
                                <w:szCs w:val="28"/>
                              </w:rPr>
                              <w:t>Title:</w:t>
                            </w:r>
                            <w:r w:rsidRPr="00044D7D">
                              <w:rPr>
                                <w:b/>
                                <w:bCs/>
                                <w:color w:val="1F497D"/>
                                <w:sz w:val="28"/>
                                <w:szCs w:val="28"/>
                              </w:rPr>
                              <w:t xml:space="preserve"> Assessment 2: Annotated Bibliography &amp; Short Report</w:t>
                            </w:r>
                          </w:p>
                          <w:p w14:paraId="3E352FAF" w14:textId="77777777" w:rsidR="00423D2A" w:rsidRPr="00044D7D" w:rsidRDefault="00423D2A" w:rsidP="00423D2A">
                            <w:pPr>
                              <w:jc w:val="right"/>
                              <w:rPr>
                                <w:color w:val="1F497D"/>
                                <w:sz w:val="28"/>
                                <w:szCs w:val="28"/>
                              </w:rPr>
                            </w:pPr>
                          </w:p>
                          <w:p w14:paraId="19731B2D" w14:textId="77777777" w:rsidR="00423D2A" w:rsidRPr="00044D7D" w:rsidRDefault="00423D2A" w:rsidP="00423D2A">
                            <w:pPr>
                              <w:jc w:val="right"/>
                              <w:rPr>
                                <w:b/>
                                <w:bCs/>
                                <w:color w:val="1F497D"/>
                                <w:sz w:val="28"/>
                                <w:szCs w:val="28"/>
                              </w:rPr>
                            </w:pPr>
                            <w:r w:rsidRPr="00044D7D">
                              <w:rPr>
                                <w:b/>
                                <w:bCs/>
                                <w:color w:val="1F497D"/>
                                <w:sz w:val="28"/>
                                <w:szCs w:val="28"/>
                              </w:rPr>
                              <w:t>Student Name: Tahmina Sultana</w:t>
                            </w:r>
                          </w:p>
                          <w:p w14:paraId="6FE65593" w14:textId="77777777" w:rsidR="00423D2A" w:rsidRPr="00044D7D" w:rsidRDefault="00423D2A" w:rsidP="00423D2A">
                            <w:pPr>
                              <w:jc w:val="right"/>
                              <w:rPr>
                                <w:b/>
                                <w:bCs/>
                                <w:color w:val="1F497D"/>
                                <w:sz w:val="28"/>
                                <w:szCs w:val="28"/>
                              </w:rPr>
                            </w:pPr>
                            <w:r w:rsidRPr="00044D7D">
                              <w:rPr>
                                <w:b/>
                                <w:bCs/>
                                <w:color w:val="1F497D"/>
                                <w:sz w:val="28"/>
                                <w:szCs w:val="28"/>
                              </w:rPr>
                              <w:t>Student Number: 2431922</w:t>
                            </w:r>
                          </w:p>
                          <w:p w14:paraId="726DEC80" w14:textId="77777777" w:rsidR="00423D2A" w:rsidRPr="00044D7D" w:rsidRDefault="00423D2A" w:rsidP="00423D2A">
                            <w:pPr>
                              <w:jc w:val="right"/>
                              <w:rPr>
                                <w:b/>
                                <w:color w:val="1F497D"/>
                                <w:sz w:val="28"/>
                                <w:szCs w:val="28"/>
                              </w:rPr>
                            </w:pPr>
                            <w:r w:rsidRPr="00044D7D">
                              <w:rPr>
                                <w:b/>
                                <w:bCs/>
                                <w:i/>
                                <w:iCs/>
                                <w:color w:val="1F497D"/>
                                <w:sz w:val="28"/>
                                <w:szCs w:val="28"/>
                              </w:rPr>
                              <w:t>Module Code:</w:t>
                            </w:r>
                            <w:r w:rsidRPr="00044D7D">
                              <w:rPr>
                                <w:color w:val="1F497D"/>
                                <w:sz w:val="28"/>
                                <w:szCs w:val="28"/>
                              </w:rPr>
                              <w:t xml:space="preserve"> </w:t>
                            </w:r>
                            <w:r w:rsidRPr="00044D7D">
                              <w:rPr>
                                <w:b/>
                                <w:color w:val="1F497D"/>
                                <w:sz w:val="28"/>
                                <w:szCs w:val="28"/>
                              </w:rPr>
                              <w:t>LCHS4010</w:t>
                            </w:r>
                          </w:p>
                          <w:p w14:paraId="7E16CD54" w14:textId="77777777" w:rsidR="00423D2A" w:rsidRPr="00044D7D" w:rsidRDefault="00423D2A" w:rsidP="00423D2A">
                            <w:pPr>
                              <w:jc w:val="right"/>
                              <w:rPr>
                                <w:color w:val="1F497D"/>
                                <w:sz w:val="28"/>
                                <w:szCs w:val="28"/>
                              </w:rPr>
                            </w:pPr>
                            <w:r w:rsidRPr="00044D7D">
                              <w:rPr>
                                <w:bCs/>
                                <w:color w:val="1F497D"/>
                                <w:sz w:val="28"/>
                                <w:szCs w:val="28"/>
                              </w:rPr>
                              <w:t>Module Name:</w:t>
                            </w:r>
                            <w:r w:rsidRPr="00044D7D">
                              <w:rPr>
                                <w:b/>
                                <w:color w:val="1F497D"/>
                                <w:sz w:val="28"/>
                                <w:szCs w:val="28"/>
                              </w:rPr>
                              <w:t xml:space="preserve"> Psychology in Health and Social Care</w:t>
                            </w:r>
                          </w:p>
                          <w:p w14:paraId="4BCFFFD5" w14:textId="77777777" w:rsidR="00423D2A" w:rsidRPr="00044D7D" w:rsidRDefault="00423D2A" w:rsidP="00423D2A">
                            <w:pPr>
                              <w:jc w:val="right"/>
                              <w:rPr>
                                <w:b/>
                                <w:bCs/>
                                <w:color w:val="1F497D"/>
                                <w:sz w:val="28"/>
                                <w:szCs w:val="28"/>
                              </w:rPr>
                            </w:pPr>
                            <w:r w:rsidRPr="00044D7D">
                              <w:rPr>
                                <w:color w:val="1F497D"/>
                                <w:sz w:val="28"/>
                                <w:szCs w:val="28"/>
                              </w:rPr>
                              <w:t xml:space="preserve">Module Lead: </w:t>
                            </w:r>
                            <w:r>
                              <w:rPr>
                                <w:b/>
                                <w:bCs/>
                                <w:color w:val="1F497D"/>
                                <w:sz w:val="28"/>
                                <w:szCs w:val="28"/>
                              </w:rPr>
                              <w:t>Dr Helen Parsons</w:t>
                            </w:r>
                          </w:p>
                          <w:p w14:paraId="05967303" w14:textId="1BE4B7A0" w:rsidR="00423D2A" w:rsidRPr="00044D7D" w:rsidRDefault="00423D2A" w:rsidP="00423D2A">
                            <w:pPr>
                              <w:jc w:val="right"/>
                              <w:rPr>
                                <w:color w:val="1F497D"/>
                                <w:sz w:val="28"/>
                                <w:szCs w:val="28"/>
                              </w:rPr>
                            </w:pPr>
                            <w:r w:rsidRPr="00044D7D">
                              <w:rPr>
                                <w:b/>
                                <w:bCs/>
                                <w:color w:val="1F497D"/>
                                <w:sz w:val="28"/>
                                <w:szCs w:val="28"/>
                              </w:rPr>
                              <w:t>Date:</w:t>
                            </w:r>
                            <w:r w:rsidR="001A1C8C">
                              <w:rPr>
                                <w:b/>
                                <w:bCs/>
                                <w:color w:val="1F497D"/>
                                <w:sz w:val="28"/>
                                <w:szCs w:val="28"/>
                              </w:rPr>
                              <w:t>28</w:t>
                            </w:r>
                            <w:r w:rsidRPr="00044D7D">
                              <w:rPr>
                                <w:b/>
                                <w:bCs/>
                                <w:color w:val="1F497D"/>
                                <w:sz w:val="28"/>
                                <w:szCs w:val="28"/>
                              </w:rPr>
                              <w:t xml:space="preserve"> July 2026</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549E21F7" id="_x0000_t202" coordsize="21600,21600" o:spt="202" path="m,l,21600r21600,l21600,xe">
                <v:stroke joinstyle="miter"/>
                <v:path gradientshapeok="t" o:connecttype="rect"/>
              </v:shapetype>
              <v:shape id="Text Box 163" o:spid="_x0000_s1026" type="#_x0000_t202" style="position:absolute;margin-left:0;margin-top:183.9pt;width:556.5pt;height:329.3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" filled="f" strokecolor="#95b3d7 [1940]" strokeweight=".5pt">
                <v:textbox inset="126pt,0,54pt,0">
                  <w:txbxContent>
                    <w:p w14:paraId="50D60972" w14:textId="77777777" w:rsidR="00423D2A" w:rsidRPr="00044D7D" w:rsidRDefault="00423D2A" w:rsidP="00423D2A">
                      <w:pPr>
                        <w:jc w:val="right"/>
                        <w:rPr>
                          <w:b/>
                          <w:bCs/>
                          <w:color w:val="1F497D"/>
                          <w:sz w:val="28"/>
                          <w:szCs w:val="28"/>
                        </w:rPr>
                      </w:pPr>
                      <w:r w:rsidRPr="00044D7D">
                        <w:rPr>
                          <w:color w:val="1F497D"/>
                          <w:sz w:val="28"/>
                          <w:szCs w:val="28"/>
                        </w:rPr>
                        <w:t>Title:</w:t>
                      </w:r>
                      <w:r w:rsidRPr="00044D7D">
                        <w:rPr>
                          <w:b/>
                          <w:bCs/>
                          <w:color w:val="1F497D"/>
                          <w:sz w:val="28"/>
                          <w:szCs w:val="28"/>
                        </w:rPr>
                        <w:t xml:space="preserve"> Assessment 2: Annotated Bibliography &amp; Short Report</w:t>
                      </w:r>
                    </w:p>
                    <w:p w14:paraId="3E352FAF" w14:textId="77777777" w:rsidR="00423D2A" w:rsidRPr="00044D7D" w:rsidRDefault="00423D2A" w:rsidP="00423D2A">
                      <w:pPr>
                        <w:jc w:val="right"/>
                        <w:rPr>
                          <w:color w:val="1F497D"/>
                          <w:sz w:val="28"/>
                          <w:szCs w:val="28"/>
                        </w:rPr>
                      </w:pPr>
                    </w:p>
                    <w:p w14:paraId="19731B2D" w14:textId="77777777" w:rsidR="00423D2A" w:rsidRPr="00044D7D" w:rsidRDefault="00423D2A" w:rsidP="00423D2A">
                      <w:pPr>
                        <w:jc w:val="right"/>
                        <w:rPr>
                          <w:b/>
                          <w:bCs/>
                          <w:color w:val="1F497D"/>
                          <w:sz w:val="28"/>
                          <w:szCs w:val="28"/>
                        </w:rPr>
                      </w:pPr>
                      <w:r w:rsidRPr="00044D7D">
                        <w:rPr>
                          <w:b/>
                          <w:bCs/>
                          <w:color w:val="1F497D"/>
                          <w:sz w:val="28"/>
                          <w:szCs w:val="28"/>
                        </w:rPr>
                        <w:t>Student Name: Tahmina Sultana</w:t>
                      </w:r>
                    </w:p>
                    <w:p w14:paraId="6FE65593" w14:textId="77777777" w:rsidR="00423D2A" w:rsidRPr="00044D7D" w:rsidRDefault="00423D2A" w:rsidP="00423D2A">
                      <w:pPr>
                        <w:jc w:val="right"/>
                        <w:rPr>
                          <w:b/>
                          <w:bCs/>
                          <w:color w:val="1F497D"/>
                          <w:sz w:val="28"/>
                          <w:szCs w:val="28"/>
                        </w:rPr>
                      </w:pPr>
                      <w:r w:rsidRPr="00044D7D">
                        <w:rPr>
                          <w:b/>
                          <w:bCs/>
                          <w:color w:val="1F497D"/>
                          <w:sz w:val="28"/>
                          <w:szCs w:val="28"/>
                        </w:rPr>
                        <w:t>Student Number: 2431922</w:t>
                      </w:r>
                    </w:p>
                    <w:p w14:paraId="726DEC80" w14:textId="77777777" w:rsidR="00423D2A" w:rsidRPr="00044D7D" w:rsidRDefault="00423D2A" w:rsidP="00423D2A">
                      <w:pPr>
                        <w:jc w:val="right"/>
                        <w:rPr>
                          <w:b/>
                          <w:color w:val="1F497D"/>
                          <w:sz w:val="28"/>
                          <w:szCs w:val="28"/>
                        </w:rPr>
                      </w:pPr>
                      <w:r w:rsidRPr="00044D7D">
                        <w:rPr>
                          <w:b/>
                          <w:bCs/>
                          <w:i/>
                          <w:iCs/>
                          <w:color w:val="1F497D"/>
                          <w:sz w:val="28"/>
                          <w:szCs w:val="28"/>
                        </w:rPr>
                        <w:t>Module Code:</w:t>
                      </w:r>
                      <w:r w:rsidRPr="00044D7D">
                        <w:rPr>
                          <w:color w:val="1F497D"/>
                          <w:sz w:val="28"/>
                          <w:szCs w:val="28"/>
                        </w:rPr>
                        <w:t xml:space="preserve"> </w:t>
                      </w:r>
                      <w:r w:rsidRPr="00044D7D">
                        <w:rPr>
                          <w:b/>
                          <w:color w:val="1F497D"/>
                          <w:sz w:val="28"/>
                          <w:szCs w:val="28"/>
                        </w:rPr>
                        <w:t>LCHS4010</w:t>
                      </w:r>
                    </w:p>
                    <w:p w14:paraId="7E16CD54" w14:textId="77777777" w:rsidR="00423D2A" w:rsidRPr="00044D7D" w:rsidRDefault="00423D2A" w:rsidP="00423D2A">
                      <w:pPr>
                        <w:jc w:val="right"/>
                        <w:rPr>
                          <w:color w:val="1F497D"/>
                          <w:sz w:val="28"/>
                          <w:szCs w:val="28"/>
                        </w:rPr>
                      </w:pPr>
                      <w:r w:rsidRPr="00044D7D">
                        <w:rPr>
                          <w:bCs/>
                          <w:color w:val="1F497D"/>
                          <w:sz w:val="28"/>
                          <w:szCs w:val="28"/>
                        </w:rPr>
                        <w:t>Module Name:</w:t>
                      </w:r>
                      <w:r w:rsidRPr="00044D7D">
                        <w:rPr>
                          <w:b/>
                          <w:color w:val="1F497D"/>
                          <w:sz w:val="28"/>
                          <w:szCs w:val="28"/>
                        </w:rPr>
                        <w:t xml:space="preserve"> Psychology in Health and Social Care</w:t>
                      </w:r>
                    </w:p>
                    <w:p w14:paraId="4BCFFFD5" w14:textId="77777777" w:rsidR="00423D2A" w:rsidRPr="00044D7D" w:rsidRDefault="00423D2A" w:rsidP="00423D2A">
                      <w:pPr>
                        <w:jc w:val="right"/>
                        <w:rPr>
                          <w:b/>
                          <w:bCs/>
                          <w:color w:val="1F497D"/>
                          <w:sz w:val="28"/>
                          <w:szCs w:val="28"/>
                        </w:rPr>
                      </w:pPr>
                      <w:r w:rsidRPr="00044D7D">
                        <w:rPr>
                          <w:color w:val="1F497D"/>
                          <w:sz w:val="28"/>
                          <w:szCs w:val="28"/>
                        </w:rPr>
                        <w:t xml:space="preserve">Module Lead: </w:t>
                      </w:r>
                      <w:r>
                        <w:rPr>
                          <w:b/>
                          <w:bCs/>
                          <w:color w:val="1F497D"/>
                          <w:sz w:val="28"/>
                          <w:szCs w:val="28"/>
                        </w:rPr>
                        <w:t>Dr Helen Parsons</w:t>
                      </w:r>
                    </w:p>
                    <w:p w14:paraId="05967303" w14:textId="1BE4B7A0" w:rsidR="00423D2A" w:rsidRPr="00044D7D" w:rsidRDefault="00423D2A" w:rsidP="00423D2A">
                      <w:pPr>
                        <w:jc w:val="right"/>
                        <w:rPr>
                          <w:color w:val="1F497D"/>
                          <w:sz w:val="28"/>
                          <w:szCs w:val="28"/>
                        </w:rPr>
                      </w:pPr>
                      <w:r w:rsidRPr="00044D7D">
                        <w:rPr>
                          <w:b/>
                          <w:bCs/>
                          <w:color w:val="1F497D"/>
                          <w:sz w:val="28"/>
                          <w:szCs w:val="28"/>
                        </w:rPr>
                        <w:t>Date:</w:t>
                      </w:r>
                      <w:r w:rsidR="001A1C8C">
                        <w:rPr>
                          <w:b/>
                          <w:bCs/>
                          <w:color w:val="1F497D"/>
                          <w:sz w:val="28"/>
                          <w:szCs w:val="28"/>
                        </w:rPr>
                        <w:t>28</w:t>
                      </w:r>
                      <w:r w:rsidRPr="00044D7D">
                        <w:rPr>
                          <w:b/>
                          <w:bCs/>
                          <w:color w:val="1F497D"/>
                          <w:sz w:val="28"/>
                          <w:szCs w:val="28"/>
                        </w:rPr>
                        <w:t xml:space="preserve"> July 2026</w:t>
                      </w:r>
                    </w:p>
                  </w:txbxContent>
                </v:textbox>
                <w10:wrap type="square" anchorx="margin" anchory="page"/>
              </v:shape>
            </w:pict>
          </mc:Fallback>
        </mc:AlternateContent>
      </w:r>
      <w:r w:rsidR="00116EB8" w:rsidRPr="00E977BC">
        <w:rPr>
          <w:rFonts w:ascii="Times New Roman" w:hAnsi="Times New Roman" w:cs="Times New Roman"/>
          <w:szCs w:val="24"/>
        </w:rPr>
        <w:br w:type="page"/>
      </w:r>
    </w:p>
    <w:p w14:paraId="5C8CDC35" w14:textId="77777777" w:rsidR="006A4E0B" w:rsidRPr="00F75BE1" w:rsidRDefault="00116EB8" w:rsidP="00F75BE1">
      <w:pPr>
        <w:spacing w:line="360" w:lineRule="auto"/>
        <w:jc w:val="center"/>
        <w:rPr>
          <w:rFonts w:ascii="Arial" w:hAnsi="Arial" w:cs="Arial"/>
          <w:b/>
          <w:bCs/>
          <w:sz w:val="22"/>
          <w:szCs w:val="22"/>
        </w:rPr>
      </w:pPr>
      <w:r w:rsidRPr="00F75BE1">
        <w:rPr>
          <w:rFonts w:ascii="Arial" w:hAnsi="Arial" w:cs="Arial"/>
          <w:b/>
          <w:bCs/>
          <w:sz w:val="22"/>
          <w:szCs w:val="22"/>
        </w:rPr>
        <w:lastRenderedPageBreak/>
        <w:t>Part A: Annotated Bibliography</w:t>
      </w:r>
    </w:p>
    <w:p w14:paraId="22E8CF4C" w14:textId="77777777" w:rsidR="00FB07CD" w:rsidRPr="00F75BE1" w:rsidRDefault="00116EB8" w:rsidP="00F75BE1">
      <w:pPr>
        <w:spacing w:line="360" w:lineRule="auto"/>
        <w:rPr>
          <w:rFonts w:ascii="Arial" w:hAnsi="Arial" w:cs="Arial"/>
          <w:color w:val="222222"/>
          <w:sz w:val="22"/>
          <w:szCs w:val="22"/>
          <w:shd w:val="clear" w:color="auto" w:fill="FFFFFF"/>
        </w:rPr>
      </w:pPr>
      <w:r w:rsidRPr="00F75BE1">
        <w:rPr>
          <w:rFonts w:ascii="Arial" w:hAnsi="Arial" w:cs="Arial"/>
          <w:b/>
          <w:bCs/>
          <w:sz w:val="22"/>
          <w:szCs w:val="22"/>
        </w:rPr>
        <w:t xml:space="preserve">Source 1: </w:t>
      </w:r>
      <w:r w:rsidR="00FB07CD" w:rsidRPr="00F75BE1">
        <w:rPr>
          <w:rFonts w:ascii="Arial" w:hAnsi="Arial" w:cs="Arial"/>
          <w:color w:val="222222"/>
          <w:sz w:val="22"/>
          <w:szCs w:val="22"/>
          <w:shd w:val="clear" w:color="auto" w:fill="FFFFFF"/>
        </w:rPr>
        <w:t>Kim, E.S., Tkatch, R., Martin, D., MacLeod, S., Sandy, L. and Yeh, C. (2021) ‘Resilient aging: Psychological well-being and social connectedness among older adults’, The Gerontologist, 61(5), pp. 745–755.</w:t>
      </w:r>
    </w:p>
    <w:p w14:paraId="58655B9E" w14:textId="728F4002" w:rsidR="00FB07CD" w:rsidRPr="00F75BE1" w:rsidRDefault="00FB07CD" w:rsidP="00F75BE1">
      <w:pPr>
        <w:spacing w:line="360" w:lineRule="auto"/>
        <w:rPr>
          <w:rFonts w:ascii="Arial" w:hAnsi="Arial" w:cs="Arial"/>
          <w:color w:val="222222"/>
          <w:sz w:val="22"/>
          <w:szCs w:val="22"/>
          <w:shd w:val="clear" w:color="auto" w:fill="FFFFFF"/>
        </w:rPr>
      </w:pPr>
      <w:r w:rsidRPr="00F75BE1">
        <w:rPr>
          <w:rFonts w:ascii="Arial" w:hAnsi="Arial" w:cs="Arial"/>
          <w:color w:val="222222"/>
          <w:sz w:val="22"/>
          <w:szCs w:val="22"/>
          <w:shd w:val="clear" w:color="auto" w:fill="FFFFFF"/>
        </w:rPr>
        <w:t xml:space="preserve">Kim et al. (2021) investigate the factors that contribute to psychological wellbeing among older adults. The study emphasizes that social connectedness, sense of purpose in life and resilience are </w:t>
      </w:r>
      <w:r w:rsidR="001F6A7E" w:rsidRPr="00F75BE1">
        <w:rPr>
          <w:rFonts w:ascii="Arial" w:hAnsi="Arial" w:cs="Arial"/>
          <w:color w:val="222222"/>
          <w:sz w:val="22"/>
          <w:szCs w:val="22"/>
          <w:shd w:val="clear" w:color="auto" w:fill="FFFFFF"/>
        </w:rPr>
        <w:t>crucial factors</w:t>
      </w:r>
      <w:r w:rsidRPr="00F75BE1">
        <w:rPr>
          <w:rFonts w:ascii="Arial" w:hAnsi="Arial" w:cs="Arial"/>
          <w:color w:val="222222"/>
          <w:sz w:val="22"/>
          <w:szCs w:val="22"/>
          <w:shd w:val="clear" w:color="auto" w:fill="FFFFFF"/>
        </w:rPr>
        <w:t xml:space="preserve"> in sustaining well-being in older adulthood. They discovered that older people who indicated that they had more meaningful social relationships and more life meaning indicated higher levels of emotional wellbeing, and less psychological distress. The findings of this study are in line with psychosocial development theory of Erikson which focuses on the process of reflecting on life experiences for psychological adjustment and wellbeing in older years and development of ego integrity. The article highlights the importance of maintaining meaningful relationships and having a positive self-concept to </w:t>
      </w:r>
      <w:r w:rsidR="00152FFE" w:rsidRPr="00F75BE1">
        <w:rPr>
          <w:rFonts w:ascii="Arial" w:hAnsi="Arial" w:cs="Arial"/>
          <w:color w:val="222222"/>
          <w:sz w:val="22"/>
          <w:szCs w:val="22"/>
          <w:shd w:val="clear" w:color="auto" w:fill="FFFFFF"/>
        </w:rPr>
        <w:t>manage</w:t>
      </w:r>
      <w:r w:rsidRPr="00F75BE1">
        <w:rPr>
          <w:rFonts w:ascii="Arial" w:hAnsi="Arial" w:cs="Arial"/>
          <w:color w:val="222222"/>
          <w:sz w:val="22"/>
          <w:szCs w:val="22"/>
          <w:shd w:val="clear" w:color="auto" w:fill="FFFFFF"/>
        </w:rPr>
        <w:t xml:space="preserve"> </w:t>
      </w:r>
      <w:r w:rsidR="0054388C" w:rsidRPr="00F75BE1">
        <w:rPr>
          <w:rFonts w:ascii="Arial" w:hAnsi="Arial" w:cs="Arial"/>
          <w:color w:val="222222"/>
          <w:sz w:val="22"/>
          <w:szCs w:val="22"/>
          <w:shd w:val="clear" w:color="auto" w:fill="FFFFFF"/>
        </w:rPr>
        <w:t>age</w:t>
      </w:r>
      <w:r w:rsidRPr="00F75BE1">
        <w:rPr>
          <w:rFonts w:ascii="Arial" w:hAnsi="Arial" w:cs="Arial"/>
          <w:color w:val="222222"/>
          <w:sz w:val="22"/>
          <w:szCs w:val="22"/>
          <w:shd w:val="clear" w:color="auto" w:fill="FFFFFF"/>
        </w:rPr>
        <w:t>-related concerns, including the loss of social status and poor health.</w:t>
      </w:r>
    </w:p>
    <w:p w14:paraId="4378A167" w14:textId="5AD2F18E" w:rsidR="00FB07CD" w:rsidRPr="00F75BE1" w:rsidRDefault="004D06D4" w:rsidP="00F75BE1">
      <w:pPr>
        <w:spacing w:line="360" w:lineRule="auto"/>
        <w:rPr>
          <w:rFonts w:ascii="Arial" w:hAnsi="Arial" w:cs="Arial"/>
          <w:color w:val="222222"/>
          <w:sz w:val="22"/>
          <w:szCs w:val="22"/>
          <w:shd w:val="clear" w:color="auto" w:fill="FFFFFF"/>
        </w:rPr>
      </w:pPr>
      <w:r w:rsidRPr="00F75BE1">
        <w:rPr>
          <w:rFonts w:ascii="Arial" w:hAnsi="Arial" w:cs="Arial"/>
          <w:color w:val="222222"/>
          <w:sz w:val="22"/>
          <w:szCs w:val="22"/>
          <w:shd w:val="clear" w:color="auto" w:fill="FFFFFF"/>
        </w:rPr>
        <w:t xml:space="preserve">Critically, this longitudinal study provides stronger evidence than cross-sectional research because it examines changes in wellbeing over time. It supports Erikson's concept that maintaining meaningful social roles promotes ego integrity during later life. However, retirement experiences differ </w:t>
      </w:r>
      <w:r w:rsidR="00152FFE" w:rsidRPr="00F75BE1">
        <w:rPr>
          <w:rFonts w:ascii="Arial" w:hAnsi="Arial" w:cs="Arial"/>
          <w:color w:val="222222"/>
          <w:sz w:val="22"/>
          <w:szCs w:val="22"/>
          <w:shd w:val="clear" w:color="auto" w:fill="FFFFFF"/>
        </w:rPr>
        <w:t>across</w:t>
      </w:r>
      <w:r w:rsidRPr="00F75BE1">
        <w:rPr>
          <w:rFonts w:ascii="Arial" w:hAnsi="Arial" w:cs="Arial"/>
          <w:color w:val="222222"/>
          <w:sz w:val="22"/>
          <w:szCs w:val="22"/>
          <w:shd w:val="clear" w:color="auto" w:fill="FFFFFF"/>
        </w:rPr>
        <w:t xml:space="preserve"> cultural and socioeconomic contexts, meaning the findings may not be equally applicable to all residential care populations. Further research involving </w:t>
      </w:r>
      <w:r w:rsidR="0054388C" w:rsidRPr="00F75BE1">
        <w:rPr>
          <w:rFonts w:ascii="Arial" w:hAnsi="Arial" w:cs="Arial"/>
          <w:color w:val="222222"/>
          <w:sz w:val="22"/>
          <w:szCs w:val="22"/>
          <w:shd w:val="clear" w:color="auto" w:fill="FFFFFF"/>
        </w:rPr>
        <w:t>care home</w:t>
      </w:r>
      <w:r w:rsidRPr="00F75BE1">
        <w:rPr>
          <w:rFonts w:ascii="Arial" w:hAnsi="Arial" w:cs="Arial"/>
          <w:color w:val="222222"/>
          <w:sz w:val="22"/>
          <w:szCs w:val="22"/>
          <w:shd w:val="clear" w:color="auto" w:fill="FFFFFF"/>
        </w:rPr>
        <w:t xml:space="preserve"> residents would improve the generalizability of these findings.</w:t>
      </w:r>
    </w:p>
    <w:p w14:paraId="05D4C091" w14:textId="77777777" w:rsidR="00FB07CD" w:rsidRPr="00F75BE1" w:rsidRDefault="00FB07CD" w:rsidP="00F75BE1">
      <w:pPr>
        <w:spacing w:line="360" w:lineRule="auto"/>
        <w:rPr>
          <w:rFonts w:ascii="Arial" w:hAnsi="Arial" w:cs="Arial"/>
          <w:color w:val="222222"/>
          <w:sz w:val="22"/>
          <w:szCs w:val="22"/>
          <w:shd w:val="clear" w:color="auto" w:fill="FFFFFF"/>
        </w:rPr>
      </w:pPr>
    </w:p>
    <w:p w14:paraId="4DEC2D7A" w14:textId="77777777" w:rsidR="00FB07CD" w:rsidRPr="00F75BE1" w:rsidRDefault="00FB07CD" w:rsidP="00F75BE1">
      <w:pPr>
        <w:spacing w:line="360" w:lineRule="auto"/>
        <w:rPr>
          <w:rFonts w:ascii="Arial" w:hAnsi="Arial" w:cs="Arial"/>
          <w:color w:val="222222"/>
          <w:sz w:val="22"/>
          <w:szCs w:val="22"/>
          <w:shd w:val="clear" w:color="auto" w:fill="FFFFFF"/>
        </w:rPr>
      </w:pPr>
      <w:r w:rsidRPr="00F75BE1">
        <w:rPr>
          <w:rFonts w:ascii="Arial" w:hAnsi="Arial" w:cs="Arial"/>
          <w:b/>
          <w:bCs/>
          <w:color w:val="222222"/>
          <w:sz w:val="22"/>
          <w:szCs w:val="22"/>
          <w:shd w:val="clear" w:color="auto" w:fill="FFFFFF"/>
        </w:rPr>
        <w:t xml:space="preserve">Source 2: </w:t>
      </w:r>
      <w:r w:rsidRPr="00F75BE1">
        <w:rPr>
          <w:rFonts w:ascii="Arial" w:hAnsi="Arial" w:cs="Arial"/>
          <w:color w:val="222222"/>
          <w:sz w:val="22"/>
          <w:szCs w:val="22"/>
          <w:shd w:val="clear" w:color="auto" w:fill="FFFFFF"/>
        </w:rPr>
        <w:t>Haslam, C., Lam, B. C., Ghafoori, E., Steffens, N. K., Haslam, S. A., Bentley, S. V., ... &amp; La Rue, C. J. (2023). A longitudinal examination of the role of social identity in supporting health and well-being in retirement. Psychology and aging, 38(7), 615.</w:t>
      </w:r>
    </w:p>
    <w:p w14:paraId="78998100" w14:textId="65281778" w:rsidR="00FB07CD" w:rsidRPr="00F75BE1" w:rsidRDefault="00FB07CD" w:rsidP="00F75BE1">
      <w:pPr>
        <w:spacing w:line="360" w:lineRule="auto"/>
        <w:rPr>
          <w:rFonts w:ascii="Arial" w:hAnsi="Arial" w:cs="Arial"/>
          <w:color w:val="222222"/>
          <w:sz w:val="22"/>
          <w:szCs w:val="22"/>
          <w:shd w:val="clear" w:color="auto" w:fill="FFFFFF"/>
        </w:rPr>
      </w:pPr>
      <w:r w:rsidRPr="00F75BE1">
        <w:rPr>
          <w:rFonts w:ascii="Arial" w:hAnsi="Arial" w:cs="Arial"/>
          <w:color w:val="222222"/>
          <w:sz w:val="22"/>
          <w:szCs w:val="22"/>
          <w:shd w:val="clear" w:color="auto" w:fill="FFFFFF"/>
        </w:rPr>
        <w:t xml:space="preserve">Haslam et al. (2023) explore the relationship between retirement and identity and psychological wellbeing in older adults. The study contends that retirement may be a considerable developmental transition which impacts self-esteem, </w:t>
      </w:r>
      <w:r w:rsidR="00314755" w:rsidRPr="00F75BE1">
        <w:rPr>
          <w:rFonts w:ascii="Arial" w:hAnsi="Arial" w:cs="Arial"/>
          <w:color w:val="222222"/>
          <w:sz w:val="22"/>
          <w:szCs w:val="22"/>
          <w:shd w:val="clear" w:color="auto" w:fill="FFFFFF"/>
        </w:rPr>
        <w:t>purpose,</w:t>
      </w:r>
      <w:r w:rsidRPr="00F75BE1">
        <w:rPr>
          <w:rFonts w:ascii="Arial" w:hAnsi="Arial" w:cs="Arial"/>
          <w:color w:val="222222"/>
          <w:sz w:val="22"/>
          <w:szCs w:val="22"/>
          <w:shd w:val="clear" w:color="auto" w:fill="FFFFFF"/>
        </w:rPr>
        <w:t xml:space="preserve"> and social involvement. The authors concluded that, when it comes to wellbeing, those who were successful in finding new roles and activities were more successful in adapting to retirement. Their results are in line with Erikson's theory as they indicate that an increase in his or her sense of identity and acceptance of life changes can lead to the development of ego integrity. On the other hand, problems with </w:t>
      </w:r>
      <w:r w:rsidRPr="00F75BE1">
        <w:rPr>
          <w:rFonts w:ascii="Arial" w:hAnsi="Arial" w:cs="Arial"/>
          <w:color w:val="222222"/>
          <w:sz w:val="22"/>
          <w:szCs w:val="22"/>
          <w:shd w:val="clear" w:color="auto" w:fill="FFFFFF"/>
        </w:rPr>
        <w:lastRenderedPageBreak/>
        <w:t xml:space="preserve">adjusting to retirement </w:t>
      </w:r>
      <w:proofErr w:type="gramStart"/>
      <w:r w:rsidRPr="00F75BE1">
        <w:rPr>
          <w:rFonts w:ascii="Arial" w:hAnsi="Arial" w:cs="Arial"/>
          <w:color w:val="222222"/>
          <w:sz w:val="22"/>
          <w:szCs w:val="22"/>
          <w:shd w:val="clear" w:color="auto" w:fill="FFFFFF"/>
        </w:rPr>
        <w:t>were connected</w:t>
      </w:r>
      <w:proofErr w:type="gramEnd"/>
      <w:r w:rsidRPr="00F75BE1">
        <w:rPr>
          <w:rFonts w:ascii="Arial" w:hAnsi="Arial" w:cs="Arial"/>
          <w:color w:val="222222"/>
          <w:sz w:val="22"/>
          <w:szCs w:val="22"/>
          <w:shd w:val="clear" w:color="auto" w:fill="FFFFFF"/>
        </w:rPr>
        <w:t xml:space="preserve"> to lower levels of wellbeing and greater reports of loss and uncertainty.</w:t>
      </w:r>
    </w:p>
    <w:p w14:paraId="33F6DB7B" w14:textId="77777777" w:rsidR="00FB07CD" w:rsidRPr="00F75BE1" w:rsidRDefault="00FB07CD" w:rsidP="00F75BE1">
      <w:pPr>
        <w:spacing w:line="360" w:lineRule="auto"/>
        <w:rPr>
          <w:rFonts w:ascii="Arial" w:hAnsi="Arial" w:cs="Arial"/>
          <w:color w:val="222222"/>
          <w:sz w:val="22"/>
          <w:szCs w:val="22"/>
          <w:shd w:val="clear" w:color="auto" w:fill="FFFFFF"/>
        </w:rPr>
      </w:pPr>
      <w:r w:rsidRPr="00F75BE1">
        <w:rPr>
          <w:rFonts w:ascii="Arial" w:hAnsi="Arial" w:cs="Arial"/>
          <w:color w:val="222222"/>
          <w:sz w:val="22"/>
          <w:szCs w:val="22"/>
          <w:shd w:val="clear" w:color="auto" w:fill="FFFFFF"/>
        </w:rPr>
        <w:t>Critically, it is important in the article because it illustrates the use of Erikson's concepts to actual changes that older adults encounter as they move through their lives. Emphasizes the need to encourage residents to keep their roles and activities meaningful. One restriction is that the retirement experience is different for diverse cultures and different socioeconomic groups and this may limit the generalizability of the results.</w:t>
      </w:r>
    </w:p>
    <w:p w14:paraId="204EC88A" w14:textId="77777777" w:rsidR="00FB07CD" w:rsidRPr="00F75BE1" w:rsidRDefault="00FB07CD" w:rsidP="00F75BE1">
      <w:pPr>
        <w:spacing w:line="360" w:lineRule="auto"/>
        <w:rPr>
          <w:rFonts w:ascii="Arial" w:hAnsi="Arial" w:cs="Arial"/>
          <w:b/>
          <w:bCs/>
          <w:color w:val="222222"/>
          <w:sz w:val="22"/>
          <w:szCs w:val="22"/>
          <w:shd w:val="clear" w:color="auto" w:fill="FFFFFF"/>
        </w:rPr>
      </w:pPr>
    </w:p>
    <w:p w14:paraId="09701B38" w14:textId="77777777" w:rsidR="006A4E0B" w:rsidRPr="00F75BE1" w:rsidRDefault="00FB07CD" w:rsidP="00F75BE1">
      <w:pPr>
        <w:spacing w:line="360" w:lineRule="auto"/>
        <w:rPr>
          <w:rFonts w:ascii="Arial" w:hAnsi="Arial" w:cs="Arial"/>
          <w:b/>
          <w:bCs/>
          <w:color w:val="222222"/>
          <w:sz w:val="22"/>
          <w:szCs w:val="22"/>
          <w:shd w:val="clear" w:color="auto" w:fill="FFFFFF"/>
        </w:rPr>
      </w:pPr>
      <w:r w:rsidRPr="00F75BE1">
        <w:rPr>
          <w:rFonts w:ascii="Arial" w:hAnsi="Arial" w:cs="Arial"/>
          <w:b/>
          <w:bCs/>
          <w:color w:val="222222"/>
          <w:sz w:val="22"/>
          <w:szCs w:val="22"/>
          <w:shd w:val="clear" w:color="auto" w:fill="FFFFFF"/>
        </w:rPr>
        <w:t xml:space="preserve">Source 3: </w:t>
      </w:r>
      <w:r w:rsidR="00116EB8" w:rsidRPr="00F75BE1">
        <w:rPr>
          <w:rFonts w:ascii="Arial" w:hAnsi="Arial" w:cs="Arial"/>
          <w:color w:val="222222"/>
          <w:sz w:val="22"/>
          <w:szCs w:val="22"/>
          <w:shd w:val="clear" w:color="auto" w:fill="FFFFFF"/>
        </w:rPr>
        <w:t>Carr, A., Cullen, K., Keeney, C., Canning, C., Mooney, O., Chinseallaigh, E., &amp; O’Dowd, A. (2021). Effectiveness of positive psychology interventions: a systematic review and meta-analysis. </w:t>
      </w:r>
      <w:r w:rsidR="00116EB8" w:rsidRPr="00F75BE1">
        <w:rPr>
          <w:rFonts w:ascii="Arial" w:hAnsi="Arial" w:cs="Arial"/>
          <w:i/>
          <w:iCs/>
          <w:color w:val="222222"/>
          <w:sz w:val="22"/>
          <w:szCs w:val="22"/>
          <w:shd w:val="clear" w:color="auto" w:fill="FFFFFF"/>
        </w:rPr>
        <w:t>The journal of positive psychology</w:t>
      </w:r>
      <w:r w:rsidR="00116EB8" w:rsidRPr="00F75BE1">
        <w:rPr>
          <w:rFonts w:ascii="Arial" w:hAnsi="Arial" w:cs="Arial"/>
          <w:color w:val="222222"/>
          <w:sz w:val="22"/>
          <w:szCs w:val="22"/>
          <w:shd w:val="clear" w:color="auto" w:fill="FFFFFF"/>
        </w:rPr>
        <w:t>, </w:t>
      </w:r>
      <w:r w:rsidR="00116EB8" w:rsidRPr="00F75BE1">
        <w:rPr>
          <w:rFonts w:ascii="Arial" w:hAnsi="Arial" w:cs="Arial"/>
          <w:i/>
          <w:iCs/>
          <w:color w:val="222222"/>
          <w:sz w:val="22"/>
          <w:szCs w:val="22"/>
          <w:shd w:val="clear" w:color="auto" w:fill="FFFFFF"/>
        </w:rPr>
        <w:t>16</w:t>
      </w:r>
      <w:r w:rsidR="00116EB8" w:rsidRPr="00F75BE1">
        <w:rPr>
          <w:rFonts w:ascii="Arial" w:hAnsi="Arial" w:cs="Arial"/>
          <w:color w:val="222222"/>
          <w:sz w:val="22"/>
          <w:szCs w:val="22"/>
          <w:shd w:val="clear" w:color="auto" w:fill="FFFFFF"/>
        </w:rPr>
        <w:t xml:space="preserve">(6), 749-769. </w:t>
      </w:r>
    </w:p>
    <w:p w14:paraId="2CD0F8F4" w14:textId="6342CE44" w:rsidR="006A4E0B" w:rsidRPr="00F75BE1" w:rsidRDefault="00116EB8" w:rsidP="00F75BE1">
      <w:pPr>
        <w:spacing w:line="360" w:lineRule="auto"/>
        <w:rPr>
          <w:rFonts w:ascii="Arial" w:hAnsi="Arial" w:cs="Arial"/>
          <w:sz w:val="22"/>
          <w:szCs w:val="22"/>
        </w:rPr>
      </w:pPr>
      <w:r w:rsidRPr="00F75BE1">
        <w:rPr>
          <w:rFonts w:ascii="Arial" w:hAnsi="Arial" w:cs="Arial"/>
          <w:sz w:val="22"/>
          <w:szCs w:val="22"/>
        </w:rPr>
        <w:t xml:space="preserve">In an SRA and meta-analysis to explore the effectiveness of positive psychology interventions for wellbeing, Carr et al. (2021) found them to be statistically significant. The research identified interventions targeting gratitude, optimism, strengths identification and </w:t>
      </w:r>
      <w:r w:rsidR="0054388C" w:rsidRPr="00F75BE1">
        <w:rPr>
          <w:rFonts w:ascii="Arial" w:hAnsi="Arial" w:cs="Arial"/>
          <w:sz w:val="22"/>
          <w:szCs w:val="22"/>
        </w:rPr>
        <w:t>meaning making</w:t>
      </w:r>
      <w:r w:rsidRPr="00F75BE1">
        <w:rPr>
          <w:rFonts w:ascii="Arial" w:hAnsi="Arial" w:cs="Arial"/>
          <w:sz w:val="22"/>
          <w:szCs w:val="22"/>
        </w:rPr>
        <w:t xml:space="preserve"> as having a significant impact on psychological wellbeing and life satisfaction. The authors contend that positive psychology takes the focus from disease and lack </w:t>
      </w:r>
      <w:r w:rsidR="0054388C" w:rsidRPr="00F75BE1">
        <w:rPr>
          <w:rFonts w:ascii="Arial" w:hAnsi="Arial" w:cs="Arial"/>
          <w:sz w:val="22"/>
          <w:szCs w:val="22"/>
        </w:rPr>
        <w:t>strength</w:t>
      </w:r>
      <w:r w:rsidRPr="00F75BE1">
        <w:rPr>
          <w:rFonts w:ascii="Arial" w:hAnsi="Arial" w:cs="Arial"/>
          <w:sz w:val="22"/>
          <w:szCs w:val="22"/>
        </w:rPr>
        <w:t xml:space="preserve">, </w:t>
      </w:r>
      <w:r w:rsidR="00314755" w:rsidRPr="00F75BE1">
        <w:rPr>
          <w:rFonts w:ascii="Arial" w:hAnsi="Arial" w:cs="Arial"/>
          <w:sz w:val="22"/>
          <w:szCs w:val="22"/>
        </w:rPr>
        <w:t>resilience,</w:t>
      </w:r>
      <w:r w:rsidRPr="00F75BE1">
        <w:rPr>
          <w:rFonts w:ascii="Arial" w:hAnsi="Arial" w:cs="Arial"/>
          <w:sz w:val="22"/>
          <w:szCs w:val="22"/>
        </w:rPr>
        <w:t xml:space="preserve"> and flourishing. Positive psychology interventions can motivate the elderly to participate, stay socially </w:t>
      </w:r>
      <w:r w:rsidR="00314755" w:rsidRPr="00F75BE1">
        <w:rPr>
          <w:rFonts w:ascii="Arial" w:hAnsi="Arial" w:cs="Arial"/>
          <w:sz w:val="22"/>
          <w:szCs w:val="22"/>
        </w:rPr>
        <w:t>active,</w:t>
      </w:r>
      <w:r w:rsidRPr="00F75BE1">
        <w:rPr>
          <w:rFonts w:ascii="Arial" w:hAnsi="Arial" w:cs="Arial"/>
          <w:sz w:val="22"/>
          <w:szCs w:val="22"/>
        </w:rPr>
        <w:t xml:space="preserve"> and have a positive emotional state despite the difficulties of ageing. The review shows that </w:t>
      </w:r>
      <w:r w:rsidR="00152FFE" w:rsidRPr="00F75BE1">
        <w:rPr>
          <w:rFonts w:ascii="Arial" w:hAnsi="Arial" w:cs="Arial"/>
          <w:sz w:val="22"/>
          <w:szCs w:val="22"/>
        </w:rPr>
        <w:t>simple</w:t>
      </w:r>
      <w:r w:rsidRPr="00F75BE1">
        <w:rPr>
          <w:rFonts w:ascii="Arial" w:hAnsi="Arial" w:cs="Arial"/>
          <w:sz w:val="22"/>
          <w:szCs w:val="22"/>
        </w:rPr>
        <w:t xml:space="preserve"> interventions that can </w:t>
      </w:r>
      <w:proofErr w:type="gramStart"/>
      <w:r w:rsidRPr="00F75BE1">
        <w:rPr>
          <w:rFonts w:ascii="Arial" w:hAnsi="Arial" w:cs="Arial"/>
          <w:sz w:val="22"/>
          <w:szCs w:val="22"/>
        </w:rPr>
        <w:t>be implemented</w:t>
      </w:r>
      <w:proofErr w:type="gramEnd"/>
      <w:r w:rsidRPr="00F75BE1">
        <w:rPr>
          <w:rFonts w:ascii="Arial" w:hAnsi="Arial" w:cs="Arial"/>
          <w:sz w:val="22"/>
          <w:szCs w:val="22"/>
        </w:rPr>
        <w:t xml:space="preserve"> in community or care settings can improve wellbeing.</w:t>
      </w:r>
    </w:p>
    <w:p w14:paraId="67EB78A9" w14:textId="548E2340" w:rsidR="006A4E0B" w:rsidRPr="00F75BE1" w:rsidRDefault="004D06D4" w:rsidP="00F75BE1">
      <w:pPr>
        <w:spacing w:line="360" w:lineRule="auto"/>
        <w:rPr>
          <w:rFonts w:ascii="Arial" w:hAnsi="Arial" w:cs="Arial"/>
          <w:sz w:val="22"/>
          <w:szCs w:val="22"/>
        </w:rPr>
      </w:pPr>
      <w:r w:rsidRPr="00F75BE1">
        <w:rPr>
          <w:rFonts w:ascii="Arial" w:hAnsi="Arial" w:cs="Arial"/>
          <w:sz w:val="22"/>
          <w:szCs w:val="22"/>
        </w:rPr>
        <w:t xml:space="preserve">These findings are consistent with Carr et al. (2021), who similarly reported improvements in wellbeing following positive psychology interventions that promote meaning and resilience. However, Boltvinik (2025) argues that wellbeing interventions should also consider wider social and environmental influences. Consequently, evidence </w:t>
      </w:r>
      <w:r w:rsidR="00152FFE" w:rsidRPr="00F75BE1">
        <w:rPr>
          <w:rFonts w:ascii="Arial" w:hAnsi="Arial" w:cs="Arial"/>
          <w:sz w:val="22"/>
          <w:szCs w:val="22"/>
        </w:rPr>
        <w:t>supports</w:t>
      </w:r>
      <w:r w:rsidRPr="00F75BE1">
        <w:rPr>
          <w:rFonts w:ascii="Arial" w:hAnsi="Arial" w:cs="Arial"/>
          <w:sz w:val="22"/>
          <w:szCs w:val="22"/>
        </w:rPr>
        <w:t xml:space="preserve"> reminiscence therapy, although its effectiveness may depend upon the broader care environment.</w:t>
      </w:r>
    </w:p>
    <w:p w14:paraId="4F80EB4C" w14:textId="77777777" w:rsidR="00FB07CD" w:rsidRPr="00F75BE1" w:rsidRDefault="00FB07CD" w:rsidP="00F75BE1">
      <w:pPr>
        <w:spacing w:line="360" w:lineRule="auto"/>
        <w:rPr>
          <w:rFonts w:ascii="Arial" w:hAnsi="Arial" w:cs="Arial"/>
          <w:b/>
          <w:bCs/>
          <w:sz w:val="22"/>
          <w:szCs w:val="22"/>
        </w:rPr>
      </w:pPr>
    </w:p>
    <w:p w14:paraId="1FCF9EC6" w14:textId="77777777" w:rsidR="006A4E0B" w:rsidRPr="00F75BE1" w:rsidRDefault="00116EB8" w:rsidP="00F75BE1">
      <w:pPr>
        <w:spacing w:line="360" w:lineRule="auto"/>
        <w:rPr>
          <w:rFonts w:ascii="Arial" w:hAnsi="Arial" w:cs="Arial"/>
          <w:color w:val="222222"/>
          <w:sz w:val="22"/>
          <w:szCs w:val="22"/>
          <w:shd w:val="clear" w:color="auto" w:fill="FFFFFF"/>
        </w:rPr>
      </w:pPr>
      <w:r w:rsidRPr="00F75BE1">
        <w:rPr>
          <w:rFonts w:ascii="Arial" w:hAnsi="Arial" w:cs="Arial"/>
          <w:b/>
          <w:bCs/>
          <w:sz w:val="22"/>
          <w:szCs w:val="22"/>
        </w:rPr>
        <w:t xml:space="preserve">Source 4: </w:t>
      </w:r>
      <w:r w:rsidR="00FB07CD" w:rsidRPr="00F75BE1">
        <w:rPr>
          <w:rFonts w:ascii="Arial" w:hAnsi="Arial" w:cs="Arial"/>
          <w:color w:val="222222"/>
          <w:sz w:val="22"/>
          <w:szCs w:val="22"/>
          <w:shd w:val="clear" w:color="auto" w:fill="FFFFFF"/>
        </w:rPr>
        <w:t>Boltvinik, J. (2025). Thomson, Gill, and Goodson’s Happiness, Flourishing and the Good Life: challenging the Flourishing/Well-being approaches. In From Poverty to Well-being and Human Flourishing (Volume 2) (pp. 217-228). Policy Press.</w:t>
      </w:r>
    </w:p>
    <w:p w14:paraId="7B0AD570" w14:textId="35CD77AA" w:rsidR="006A4E0B" w:rsidRPr="00F75BE1" w:rsidRDefault="002922D4" w:rsidP="00F75BE1">
      <w:pPr>
        <w:spacing w:line="360" w:lineRule="auto"/>
        <w:rPr>
          <w:rFonts w:ascii="Arial" w:hAnsi="Arial" w:cs="Arial"/>
          <w:sz w:val="22"/>
          <w:szCs w:val="22"/>
        </w:rPr>
      </w:pPr>
      <w:r w:rsidRPr="00F75BE1">
        <w:rPr>
          <w:rFonts w:ascii="Arial" w:hAnsi="Arial" w:cs="Arial"/>
          <w:color w:val="222222"/>
          <w:sz w:val="22"/>
          <w:szCs w:val="22"/>
          <w:shd w:val="clear" w:color="auto" w:fill="FFFFFF"/>
        </w:rPr>
        <w:t>Boltvinik</w:t>
      </w:r>
      <w:r w:rsidRPr="00F75BE1">
        <w:rPr>
          <w:rFonts w:ascii="Arial" w:hAnsi="Arial" w:cs="Arial"/>
          <w:sz w:val="22"/>
          <w:szCs w:val="22"/>
        </w:rPr>
        <w:t xml:space="preserve"> </w:t>
      </w:r>
      <w:r w:rsidR="00116EB8" w:rsidRPr="00F75BE1">
        <w:rPr>
          <w:rFonts w:ascii="Arial" w:hAnsi="Arial" w:cs="Arial"/>
          <w:sz w:val="22"/>
          <w:szCs w:val="22"/>
        </w:rPr>
        <w:t>(20</w:t>
      </w:r>
      <w:r w:rsidRPr="00F75BE1">
        <w:rPr>
          <w:rFonts w:ascii="Arial" w:hAnsi="Arial" w:cs="Arial"/>
          <w:sz w:val="22"/>
          <w:szCs w:val="22"/>
        </w:rPr>
        <w:t>25</w:t>
      </w:r>
      <w:r w:rsidR="00116EB8" w:rsidRPr="00F75BE1">
        <w:rPr>
          <w:rFonts w:ascii="Arial" w:hAnsi="Arial" w:cs="Arial"/>
          <w:sz w:val="22"/>
          <w:szCs w:val="22"/>
        </w:rPr>
        <w:t xml:space="preserve">) suggests a theory of wellbeing referred to as the PERMA model: Positive Emotion, Engagement, Relationships, Meaning and Accomplishment. The model proposes that </w:t>
      </w:r>
      <w:r w:rsidR="00116EB8" w:rsidRPr="00F75BE1">
        <w:rPr>
          <w:rFonts w:ascii="Arial" w:hAnsi="Arial" w:cs="Arial"/>
          <w:sz w:val="22"/>
          <w:szCs w:val="22"/>
        </w:rPr>
        <w:lastRenderedPageBreak/>
        <w:t xml:space="preserve">psychological wellbeing is not synonymous with the absence of mental disorder and </w:t>
      </w:r>
      <w:proofErr w:type="gramStart"/>
      <w:r w:rsidR="00116EB8" w:rsidRPr="00F75BE1">
        <w:rPr>
          <w:rFonts w:ascii="Arial" w:hAnsi="Arial" w:cs="Arial"/>
          <w:sz w:val="22"/>
          <w:szCs w:val="22"/>
        </w:rPr>
        <w:t>is actively developed</w:t>
      </w:r>
      <w:proofErr w:type="gramEnd"/>
      <w:r w:rsidR="00116EB8" w:rsidRPr="00F75BE1">
        <w:rPr>
          <w:rFonts w:ascii="Arial" w:hAnsi="Arial" w:cs="Arial"/>
          <w:sz w:val="22"/>
          <w:szCs w:val="22"/>
        </w:rPr>
        <w:t xml:space="preserve"> through the cultivation of positive experiences and strengths. Seligman stresses that relationships and activities are </w:t>
      </w:r>
      <w:r w:rsidR="001F6A7E" w:rsidRPr="00F75BE1">
        <w:rPr>
          <w:rFonts w:ascii="Arial" w:hAnsi="Arial" w:cs="Arial"/>
          <w:sz w:val="22"/>
          <w:szCs w:val="22"/>
        </w:rPr>
        <w:t>crucial factors</w:t>
      </w:r>
      <w:r w:rsidR="00116EB8" w:rsidRPr="00F75BE1">
        <w:rPr>
          <w:rFonts w:ascii="Arial" w:hAnsi="Arial" w:cs="Arial"/>
          <w:sz w:val="22"/>
          <w:szCs w:val="22"/>
        </w:rPr>
        <w:t xml:space="preserve"> in wellbeing in adulthood and the elderly. The theory is a guideline for developing interventions to enhance resilience and happiness and quality of life.</w:t>
      </w:r>
    </w:p>
    <w:p w14:paraId="69AB1CC6" w14:textId="3582325D" w:rsidR="006A4E0B" w:rsidRPr="00F75BE1" w:rsidRDefault="004D06D4" w:rsidP="00F75BE1">
      <w:pPr>
        <w:spacing w:line="360" w:lineRule="auto"/>
        <w:rPr>
          <w:rFonts w:ascii="Arial" w:hAnsi="Arial" w:cs="Arial"/>
          <w:sz w:val="22"/>
          <w:szCs w:val="22"/>
        </w:rPr>
      </w:pPr>
      <w:r w:rsidRPr="00F75BE1">
        <w:rPr>
          <w:rFonts w:ascii="Arial" w:hAnsi="Arial" w:cs="Arial"/>
          <w:sz w:val="22"/>
          <w:szCs w:val="22"/>
        </w:rPr>
        <w:t xml:space="preserve">Critically, the PERMA model offers a practical framework for designing interventions that promote emotional wellbeing, social </w:t>
      </w:r>
      <w:r w:rsidR="00314755" w:rsidRPr="00F75BE1">
        <w:rPr>
          <w:rFonts w:ascii="Arial" w:hAnsi="Arial" w:cs="Arial"/>
          <w:sz w:val="22"/>
          <w:szCs w:val="22"/>
        </w:rPr>
        <w:t>engagement,</w:t>
      </w:r>
      <w:r w:rsidRPr="00F75BE1">
        <w:rPr>
          <w:rFonts w:ascii="Arial" w:hAnsi="Arial" w:cs="Arial"/>
          <w:sz w:val="22"/>
          <w:szCs w:val="22"/>
        </w:rPr>
        <w:t xml:space="preserve"> and resilience within residential care settings. However, Boltvinik argues that flourishing approaches may place excessive emphasis on individual psychological strengths while giving insufficient attention to broader determinants such as poverty, </w:t>
      </w:r>
      <w:r w:rsidR="00314755" w:rsidRPr="00F75BE1">
        <w:rPr>
          <w:rFonts w:ascii="Arial" w:hAnsi="Arial" w:cs="Arial"/>
          <w:sz w:val="22"/>
          <w:szCs w:val="22"/>
        </w:rPr>
        <w:t>disability,</w:t>
      </w:r>
      <w:r w:rsidRPr="00F75BE1">
        <w:rPr>
          <w:rFonts w:ascii="Arial" w:hAnsi="Arial" w:cs="Arial"/>
          <w:sz w:val="22"/>
          <w:szCs w:val="22"/>
        </w:rPr>
        <w:t xml:space="preserve"> and social inequality. Consequently, PERMA should complement, rather than replace, holistic person-centred care that considers residents' physical, social and environmental circumstances</w:t>
      </w:r>
      <w:r w:rsidR="00116EB8" w:rsidRPr="00F75BE1">
        <w:rPr>
          <w:rFonts w:ascii="Arial" w:hAnsi="Arial" w:cs="Arial"/>
          <w:sz w:val="22"/>
          <w:szCs w:val="22"/>
        </w:rPr>
        <w:t>.</w:t>
      </w:r>
    </w:p>
    <w:p w14:paraId="647BD821" w14:textId="77777777" w:rsidR="006A4E0B" w:rsidRPr="00F75BE1" w:rsidRDefault="00116EB8" w:rsidP="00F75BE1">
      <w:pPr>
        <w:spacing w:line="360" w:lineRule="auto"/>
        <w:rPr>
          <w:rFonts w:ascii="Arial" w:hAnsi="Arial" w:cs="Arial"/>
          <w:b/>
          <w:bCs/>
          <w:sz w:val="22"/>
          <w:szCs w:val="22"/>
        </w:rPr>
      </w:pPr>
      <w:r w:rsidRPr="00F75BE1">
        <w:rPr>
          <w:rFonts w:ascii="Arial" w:hAnsi="Arial" w:cs="Arial"/>
          <w:b/>
          <w:bCs/>
          <w:sz w:val="22"/>
          <w:szCs w:val="22"/>
        </w:rPr>
        <w:br w:type="page"/>
      </w:r>
    </w:p>
    <w:p w14:paraId="7E1F6205" w14:textId="77777777" w:rsidR="006A4E0B" w:rsidRPr="00F75BE1" w:rsidRDefault="00116EB8" w:rsidP="00F75BE1">
      <w:pPr>
        <w:spacing w:line="360" w:lineRule="auto"/>
        <w:jc w:val="center"/>
        <w:rPr>
          <w:rFonts w:ascii="Arial" w:hAnsi="Arial" w:cs="Arial"/>
          <w:b/>
          <w:bCs/>
          <w:sz w:val="22"/>
          <w:szCs w:val="22"/>
        </w:rPr>
      </w:pPr>
      <w:r w:rsidRPr="00F75BE1">
        <w:rPr>
          <w:rFonts w:ascii="Arial" w:hAnsi="Arial" w:cs="Arial"/>
          <w:b/>
          <w:bCs/>
          <w:sz w:val="22"/>
          <w:szCs w:val="22"/>
        </w:rPr>
        <w:lastRenderedPageBreak/>
        <w:t>Part B: Short Report</w:t>
      </w:r>
    </w:p>
    <w:p w14:paraId="15005992" w14:textId="77777777" w:rsidR="006A4E0B" w:rsidRPr="00F75BE1" w:rsidRDefault="00116EB8" w:rsidP="00F75BE1">
      <w:pPr>
        <w:spacing w:line="360" w:lineRule="auto"/>
        <w:jc w:val="center"/>
        <w:rPr>
          <w:rFonts w:ascii="Arial" w:hAnsi="Arial" w:cs="Arial"/>
          <w:b/>
          <w:bCs/>
          <w:sz w:val="22"/>
          <w:szCs w:val="22"/>
        </w:rPr>
      </w:pPr>
      <w:r w:rsidRPr="00F75BE1">
        <w:rPr>
          <w:rFonts w:ascii="Arial" w:hAnsi="Arial" w:cs="Arial"/>
          <w:b/>
          <w:bCs/>
          <w:sz w:val="22"/>
          <w:szCs w:val="22"/>
        </w:rPr>
        <w:t>Introduction</w:t>
      </w:r>
    </w:p>
    <w:p w14:paraId="49790457" w14:textId="095ED572" w:rsidR="006A4E0B" w:rsidRPr="00F75BE1" w:rsidRDefault="00116EB8" w:rsidP="00F75BE1">
      <w:pPr>
        <w:spacing w:line="360" w:lineRule="auto"/>
        <w:rPr>
          <w:rFonts w:ascii="Arial" w:hAnsi="Arial" w:cs="Arial"/>
          <w:sz w:val="22"/>
          <w:szCs w:val="22"/>
        </w:rPr>
      </w:pPr>
      <w:r w:rsidRPr="00F75BE1">
        <w:rPr>
          <w:rFonts w:ascii="Arial" w:hAnsi="Arial" w:cs="Arial"/>
          <w:sz w:val="22"/>
          <w:szCs w:val="22"/>
        </w:rPr>
        <w:t>Factors related to psychological well-being are an important aspect of healthy ageing and healthy life for older people living in residential care (</w:t>
      </w:r>
      <w:r w:rsidR="002922D4" w:rsidRPr="00F75BE1">
        <w:rPr>
          <w:rFonts w:ascii="Arial" w:hAnsi="Arial" w:cs="Arial"/>
          <w:color w:val="222222"/>
          <w:sz w:val="22"/>
          <w:szCs w:val="22"/>
          <w:shd w:val="clear" w:color="auto" w:fill="FFFFFF"/>
        </w:rPr>
        <w:t>Donnellan, 2026</w:t>
      </w:r>
      <w:r w:rsidRPr="00F75BE1">
        <w:rPr>
          <w:rFonts w:ascii="Arial" w:hAnsi="Arial" w:cs="Arial"/>
          <w:sz w:val="22"/>
          <w:szCs w:val="22"/>
        </w:rPr>
        <w:t xml:space="preserve">). These experiences can make people feel lonely, </w:t>
      </w:r>
      <w:r w:rsidR="00B17480" w:rsidRPr="00F75BE1">
        <w:rPr>
          <w:rFonts w:ascii="Arial" w:hAnsi="Arial" w:cs="Arial"/>
          <w:sz w:val="22"/>
          <w:szCs w:val="22"/>
        </w:rPr>
        <w:t>depressed,</w:t>
      </w:r>
      <w:r w:rsidRPr="00F75BE1">
        <w:rPr>
          <w:rFonts w:ascii="Arial" w:hAnsi="Arial" w:cs="Arial"/>
          <w:sz w:val="22"/>
          <w:szCs w:val="22"/>
        </w:rPr>
        <w:t xml:space="preserve"> and less satisfied with life (</w:t>
      </w:r>
      <w:r w:rsidR="002922D4" w:rsidRPr="00F75BE1">
        <w:rPr>
          <w:rFonts w:ascii="Arial" w:hAnsi="Arial" w:cs="Arial"/>
          <w:color w:val="222222"/>
          <w:sz w:val="22"/>
          <w:szCs w:val="22"/>
          <w:shd w:val="clear" w:color="auto" w:fill="FFFFFF"/>
        </w:rPr>
        <w:t>Afrashteh et al., 2024)</w:t>
      </w:r>
      <w:r w:rsidRPr="00F75BE1">
        <w:rPr>
          <w:rFonts w:ascii="Arial" w:hAnsi="Arial" w:cs="Arial"/>
          <w:sz w:val="22"/>
          <w:szCs w:val="22"/>
        </w:rPr>
        <w:t>. Erikson's psychosocial theory is relevant because the last stage of his psychosocial theory, which concerns the psychological issues of late adulthood is specifically about ego integrity versus despair (</w:t>
      </w:r>
      <w:r w:rsidR="002922D4" w:rsidRPr="00F75BE1">
        <w:rPr>
          <w:rFonts w:ascii="Arial" w:hAnsi="Arial" w:cs="Arial"/>
          <w:color w:val="222222"/>
          <w:sz w:val="22"/>
          <w:szCs w:val="22"/>
          <w:shd w:val="clear" w:color="auto" w:fill="FFFFFF"/>
        </w:rPr>
        <w:t>Yuen &amp; Santo, 2025</w:t>
      </w:r>
      <w:r w:rsidRPr="00F75BE1">
        <w:rPr>
          <w:rFonts w:ascii="Arial" w:hAnsi="Arial" w:cs="Arial"/>
          <w:sz w:val="22"/>
          <w:szCs w:val="22"/>
        </w:rPr>
        <w:t>). The report focuses on the application of the theory of Erikson with respect to psychological wellbeing in residential care, offers a practical case scenario, and explores challenges and strategies to implementing the theory.</w:t>
      </w:r>
    </w:p>
    <w:p w14:paraId="42A85054" w14:textId="77777777" w:rsidR="006A4E0B" w:rsidRPr="00F75BE1" w:rsidRDefault="00116EB8" w:rsidP="00F75BE1">
      <w:pPr>
        <w:spacing w:line="360" w:lineRule="auto"/>
        <w:jc w:val="center"/>
        <w:rPr>
          <w:rFonts w:ascii="Arial" w:hAnsi="Arial" w:cs="Arial"/>
          <w:b/>
          <w:bCs/>
          <w:sz w:val="22"/>
          <w:szCs w:val="22"/>
        </w:rPr>
      </w:pPr>
      <w:r w:rsidRPr="00F75BE1">
        <w:rPr>
          <w:rFonts w:ascii="Arial" w:hAnsi="Arial" w:cs="Arial"/>
          <w:b/>
          <w:bCs/>
          <w:sz w:val="22"/>
          <w:szCs w:val="22"/>
        </w:rPr>
        <w:t>Erikson's Theory and Psychological Wellbeing in Later Life</w:t>
      </w:r>
    </w:p>
    <w:p w14:paraId="4E1E6E5F" w14:textId="4DD8AB4B" w:rsidR="006A4E0B" w:rsidRPr="00F75BE1" w:rsidRDefault="00116EB8" w:rsidP="00F75BE1">
      <w:pPr>
        <w:spacing w:line="360" w:lineRule="auto"/>
        <w:rPr>
          <w:rFonts w:ascii="Arial" w:hAnsi="Arial" w:cs="Arial"/>
          <w:sz w:val="22"/>
          <w:szCs w:val="22"/>
        </w:rPr>
      </w:pPr>
      <w:r w:rsidRPr="00F75BE1">
        <w:rPr>
          <w:rFonts w:ascii="Arial" w:hAnsi="Arial" w:cs="Arial"/>
          <w:sz w:val="22"/>
          <w:szCs w:val="22"/>
        </w:rPr>
        <w:t xml:space="preserve">According to the psychosocial theory of Erikson, a person goes through eight developmental phases throughout their life, each with a psychosocial crisis that needs to </w:t>
      </w:r>
      <w:proofErr w:type="gramStart"/>
      <w:r w:rsidRPr="00F75BE1">
        <w:rPr>
          <w:rFonts w:ascii="Arial" w:hAnsi="Arial" w:cs="Arial"/>
          <w:sz w:val="22"/>
          <w:szCs w:val="22"/>
        </w:rPr>
        <w:t>be faced</w:t>
      </w:r>
      <w:proofErr w:type="gramEnd"/>
      <w:r w:rsidRPr="00F75BE1">
        <w:rPr>
          <w:rFonts w:ascii="Arial" w:hAnsi="Arial" w:cs="Arial"/>
          <w:sz w:val="22"/>
          <w:szCs w:val="22"/>
        </w:rPr>
        <w:t xml:space="preserve"> and resolved to achieve healthy psychological development</w:t>
      </w:r>
      <w:r w:rsidR="002922D4" w:rsidRPr="00F75BE1">
        <w:rPr>
          <w:rFonts w:ascii="Arial" w:hAnsi="Arial" w:cs="Arial"/>
          <w:sz w:val="22"/>
          <w:szCs w:val="22"/>
        </w:rPr>
        <w:t xml:space="preserve"> (</w:t>
      </w:r>
      <w:r w:rsidR="002922D4" w:rsidRPr="00F75BE1">
        <w:rPr>
          <w:rFonts w:ascii="Arial" w:hAnsi="Arial" w:cs="Arial"/>
          <w:color w:val="222222"/>
          <w:sz w:val="22"/>
          <w:szCs w:val="22"/>
          <w:shd w:val="clear" w:color="auto" w:fill="FFFFFF"/>
        </w:rPr>
        <w:t>Yuen &amp; Santo, 2025)</w:t>
      </w:r>
      <w:r w:rsidRPr="00F75BE1">
        <w:rPr>
          <w:rFonts w:ascii="Arial" w:hAnsi="Arial" w:cs="Arial"/>
          <w:sz w:val="22"/>
          <w:szCs w:val="22"/>
        </w:rPr>
        <w:t>. Older people who have integrated both positive and negative events into a cohesive life story develop a sense of satisfaction, wisdom and acceptance and demonstrate ego integrity (</w:t>
      </w:r>
      <w:r w:rsidR="002922D4" w:rsidRPr="00F75BE1">
        <w:rPr>
          <w:rFonts w:ascii="Arial" w:hAnsi="Arial" w:cs="Arial"/>
          <w:color w:val="222222"/>
          <w:sz w:val="22"/>
          <w:szCs w:val="22"/>
          <w:shd w:val="clear" w:color="auto" w:fill="FFFFFF"/>
        </w:rPr>
        <w:t>Yuen &amp; Santo, 2025</w:t>
      </w:r>
      <w:r w:rsidRPr="00F75BE1">
        <w:rPr>
          <w:rFonts w:ascii="Arial" w:hAnsi="Arial" w:cs="Arial"/>
          <w:sz w:val="22"/>
          <w:szCs w:val="22"/>
        </w:rPr>
        <w:t xml:space="preserve">). Those who feel their lives are unfulfilled or unsuccessful might feel despair, </w:t>
      </w:r>
      <w:r w:rsidR="00B17480" w:rsidRPr="00F75BE1">
        <w:rPr>
          <w:rFonts w:ascii="Arial" w:hAnsi="Arial" w:cs="Arial"/>
          <w:sz w:val="22"/>
          <w:szCs w:val="22"/>
        </w:rPr>
        <w:t>regret,</w:t>
      </w:r>
      <w:r w:rsidRPr="00F75BE1">
        <w:rPr>
          <w:rFonts w:ascii="Arial" w:hAnsi="Arial" w:cs="Arial"/>
          <w:sz w:val="22"/>
          <w:szCs w:val="22"/>
        </w:rPr>
        <w:t xml:space="preserve"> and dissatisfaction. An increase in the development of </w:t>
      </w:r>
      <w:r w:rsidR="0054388C" w:rsidRPr="00F75BE1">
        <w:rPr>
          <w:rFonts w:ascii="Arial" w:hAnsi="Arial" w:cs="Arial"/>
          <w:sz w:val="22"/>
          <w:szCs w:val="22"/>
        </w:rPr>
        <w:t>ego</w:t>
      </w:r>
      <w:r w:rsidRPr="00F75BE1">
        <w:rPr>
          <w:rFonts w:ascii="Arial" w:hAnsi="Arial" w:cs="Arial"/>
          <w:sz w:val="22"/>
          <w:szCs w:val="22"/>
        </w:rPr>
        <w:t xml:space="preserve">-integrity </w:t>
      </w:r>
      <w:proofErr w:type="gramStart"/>
      <w:r w:rsidRPr="00F75BE1">
        <w:rPr>
          <w:rFonts w:ascii="Arial" w:hAnsi="Arial" w:cs="Arial"/>
          <w:sz w:val="22"/>
          <w:szCs w:val="22"/>
        </w:rPr>
        <w:t>is connected</w:t>
      </w:r>
      <w:proofErr w:type="gramEnd"/>
      <w:r w:rsidRPr="00F75BE1">
        <w:rPr>
          <w:rFonts w:ascii="Arial" w:hAnsi="Arial" w:cs="Arial"/>
          <w:sz w:val="22"/>
          <w:szCs w:val="22"/>
        </w:rPr>
        <w:t xml:space="preserve"> to increased life satisfaction, psychological wellbeing, and psychological resilience in older adults (</w:t>
      </w:r>
      <w:r w:rsidR="00D22238" w:rsidRPr="00F75BE1">
        <w:rPr>
          <w:rFonts w:ascii="Arial" w:hAnsi="Arial" w:cs="Arial"/>
          <w:color w:val="222222"/>
          <w:sz w:val="22"/>
          <w:szCs w:val="22"/>
          <w:shd w:val="clear" w:color="auto" w:fill="FFFFFF"/>
        </w:rPr>
        <w:t>Liao et al., 2022</w:t>
      </w:r>
      <w:r w:rsidRPr="00F75BE1">
        <w:rPr>
          <w:rFonts w:ascii="Arial" w:hAnsi="Arial" w:cs="Arial"/>
          <w:sz w:val="22"/>
          <w:szCs w:val="22"/>
        </w:rPr>
        <w:t xml:space="preserve">). Moreover, a connection between ego integrity and reduced depression and anxiety has </w:t>
      </w:r>
      <w:proofErr w:type="gramStart"/>
      <w:r w:rsidRPr="00F75BE1">
        <w:rPr>
          <w:rFonts w:ascii="Arial" w:hAnsi="Arial" w:cs="Arial"/>
          <w:sz w:val="22"/>
          <w:szCs w:val="22"/>
        </w:rPr>
        <w:t>been found</w:t>
      </w:r>
      <w:proofErr w:type="gramEnd"/>
      <w:r w:rsidRPr="00F75BE1">
        <w:rPr>
          <w:rFonts w:ascii="Arial" w:hAnsi="Arial" w:cs="Arial"/>
          <w:sz w:val="22"/>
          <w:szCs w:val="22"/>
        </w:rPr>
        <w:t>, indicating that successful psychosocial adjustment is also significant as one grows older (</w:t>
      </w:r>
      <w:r w:rsidR="00D22238" w:rsidRPr="00F75BE1">
        <w:rPr>
          <w:rFonts w:ascii="Arial" w:hAnsi="Arial" w:cs="Arial"/>
          <w:color w:val="222222"/>
          <w:sz w:val="22"/>
          <w:szCs w:val="22"/>
          <w:shd w:val="clear" w:color="auto" w:fill="FFFFFF"/>
        </w:rPr>
        <w:t>Liao et al., 2022</w:t>
      </w:r>
      <w:r w:rsidRPr="00F75BE1">
        <w:rPr>
          <w:rFonts w:ascii="Arial" w:hAnsi="Arial" w:cs="Arial"/>
          <w:sz w:val="22"/>
          <w:szCs w:val="22"/>
        </w:rPr>
        <w:t>).</w:t>
      </w:r>
    </w:p>
    <w:p w14:paraId="007D13C6" w14:textId="6206E0B9" w:rsidR="006A4E0B" w:rsidRPr="00F75BE1" w:rsidRDefault="00116EB8" w:rsidP="00F75BE1">
      <w:pPr>
        <w:spacing w:line="360" w:lineRule="auto"/>
        <w:rPr>
          <w:rFonts w:ascii="Arial" w:hAnsi="Arial" w:cs="Arial"/>
          <w:sz w:val="22"/>
          <w:szCs w:val="22"/>
        </w:rPr>
      </w:pPr>
      <w:r w:rsidRPr="00F75BE1">
        <w:rPr>
          <w:rFonts w:ascii="Arial" w:hAnsi="Arial" w:cs="Arial"/>
          <w:sz w:val="22"/>
          <w:szCs w:val="22"/>
        </w:rPr>
        <w:t xml:space="preserve">Erikson's theory is </w:t>
      </w:r>
      <w:r w:rsidR="001F6A7E" w:rsidRPr="00F75BE1">
        <w:rPr>
          <w:rFonts w:ascii="Arial" w:hAnsi="Arial" w:cs="Arial"/>
          <w:sz w:val="22"/>
          <w:szCs w:val="22"/>
        </w:rPr>
        <w:t>truly relevant</w:t>
      </w:r>
      <w:r w:rsidRPr="00F75BE1">
        <w:rPr>
          <w:rFonts w:ascii="Arial" w:hAnsi="Arial" w:cs="Arial"/>
          <w:sz w:val="22"/>
          <w:szCs w:val="22"/>
        </w:rPr>
        <w:t xml:space="preserve"> in the care home because </w:t>
      </w:r>
      <w:proofErr w:type="gramStart"/>
      <w:r w:rsidRPr="00F75BE1">
        <w:rPr>
          <w:rFonts w:ascii="Arial" w:hAnsi="Arial" w:cs="Arial"/>
          <w:sz w:val="22"/>
          <w:szCs w:val="22"/>
        </w:rPr>
        <w:t>many</w:t>
      </w:r>
      <w:proofErr w:type="gramEnd"/>
      <w:r w:rsidRPr="00F75BE1">
        <w:rPr>
          <w:rFonts w:ascii="Arial" w:hAnsi="Arial" w:cs="Arial"/>
          <w:sz w:val="22"/>
          <w:szCs w:val="22"/>
        </w:rPr>
        <w:t xml:space="preserve"> of the people who live in them have age-related losses such as ill health, bereavement and decreased social participation (</w:t>
      </w:r>
      <w:r w:rsidR="00D22238" w:rsidRPr="00F75BE1">
        <w:rPr>
          <w:rFonts w:ascii="Arial" w:hAnsi="Arial" w:cs="Arial"/>
          <w:color w:val="222222"/>
          <w:sz w:val="22"/>
          <w:szCs w:val="22"/>
          <w:shd w:val="clear" w:color="auto" w:fill="FFFFFF"/>
        </w:rPr>
        <w:t>Yuen &amp; Santo, 2025</w:t>
      </w:r>
      <w:r w:rsidRPr="00F75BE1">
        <w:rPr>
          <w:rFonts w:ascii="Arial" w:hAnsi="Arial" w:cs="Arial"/>
          <w:sz w:val="22"/>
          <w:szCs w:val="22"/>
        </w:rPr>
        <w:t xml:space="preserve">). </w:t>
      </w:r>
    </w:p>
    <w:p w14:paraId="596C3D90" w14:textId="77777777" w:rsidR="006A4E0B" w:rsidRPr="00F75BE1" w:rsidRDefault="00116EB8" w:rsidP="00F75BE1">
      <w:pPr>
        <w:spacing w:line="360" w:lineRule="auto"/>
        <w:jc w:val="center"/>
        <w:rPr>
          <w:rFonts w:ascii="Arial" w:hAnsi="Arial" w:cs="Arial"/>
          <w:b/>
          <w:bCs/>
          <w:sz w:val="22"/>
          <w:szCs w:val="22"/>
        </w:rPr>
      </w:pPr>
      <w:r w:rsidRPr="00F75BE1">
        <w:rPr>
          <w:rFonts w:ascii="Arial" w:hAnsi="Arial" w:cs="Arial"/>
          <w:b/>
          <w:bCs/>
          <w:sz w:val="22"/>
          <w:szCs w:val="22"/>
        </w:rPr>
        <w:t>Applying Erikson’s Theory in Residential Care</w:t>
      </w:r>
    </w:p>
    <w:p w14:paraId="2882A4B7" w14:textId="2DF76D24" w:rsidR="006A4E0B" w:rsidRPr="00F75BE1" w:rsidRDefault="00116EB8" w:rsidP="00F75BE1">
      <w:pPr>
        <w:spacing w:line="360" w:lineRule="auto"/>
        <w:rPr>
          <w:rFonts w:ascii="Arial" w:hAnsi="Arial" w:cs="Arial"/>
          <w:sz w:val="22"/>
          <w:szCs w:val="22"/>
        </w:rPr>
      </w:pPr>
      <w:r w:rsidRPr="00F75BE1">
        <w:rPr>
          <w:rFonts w:ascii="Arial" w:hAnsi="Arial" w:cs="Arial"/>
          <w:sz w:val="22"/>
          <w:szCs w:val="22"/>
        </w:rPr>
        <w:t xml:space="preserve">Reminiscence and life review interventions have been helpful applications of Erikson's theory in residential care. Reminiscence therapy is a way of engaging in structured conversations with older people, which helps them to remember </w:t>
      </w:r>
      <w:r w:rsidR="0054388C" w:rsidRPr="00F75BE1">
        <w:rPr>
          <w:rFonts w:ascii="Arial" w:hAnsi="Arial" w:cs="Arial"/>
          <w:sz w:val="22"/>
          <w:szCs w:val="22"/>
        </w:rPr>
        <w:t>important</w:t>
      </w:r>
      <w:r w:rsidRPr="00F75BE1">
        <w:rPr>
          <w:rFonts w:ascii="Arial" w:hAnsi="Arial" w:cs="Arial"/>
          <w:sz w:val="22"/>
          <w:szCs w:val="22"/>
        </w:rPr>
        <w:t xml:space="preserve"> life events, accomplishments, </w:t>
      </w:r>
      <w:r w:rsidR="00B17480" w:rsidRPr="00F75BE1">
        <w:rPr>
          <w:rFonts w:ascii="Arial" w:hAnsi="Arial" w:cs="Arial"/>
          <w:sz w:val="22"/>
          <w:szCs w:val="22"/>
        </w:rPr>
        <w:t>relationships,</w:t>
      </w:r>
      <w:r w:rsidRPr="00F75BE1">
        <w:rPr>
          <w:rFonts w:ascii="Arial" w:hAnsi="Arial" w:cs="Arial"/>
          <w:sz w:val="22"/>
          <w:szCs w:val="22"/>
        </w:rPr>
        <w:t xml:space="preserve"> and personal memories (</w:t>
      </w:r>
      <w:r w:rsidR="00D22238" w:rsidRPr="00F75BE1">
        <w:rPr>
          <w:rFonts w:ascii="Arial" w:hAnsi="Arial" w:cs="Arial"/>
          <w:color w:val="222222"/>
          <w:sz w:val="22"/>
          <w:szCs w:val="22"/>
          <w:shd w:val="clear" w:color="auto" w:fill="FFFFFF"/>
        </w:rPr>
        <w:t>Yuen &amp; Santo, 2025</w:t>
      </w:r>
      <w:r w:rsidRPr="00F75BE1">
        <w:rPr>
          <w:rFonts w:ascii="Arial" w:hAnsi="Arial" w:cs="Arial"/>
          <w:sz w:val="22"/>
          <w:szCs w:val="22"/>
        </w:rPr>
        <w:t xml:space="preserve">). </w:t>
      </w:r>
    </w:p>
    <w:p w14:paraId="36F5D8E6" w14:textId="145B9638" w:rsidR="006A4E0B" w:rsidRPr="00F75BE1" w:rsidRDefault="00116EB8" w:rsidP="00F75BE1">
      <w:pPr>
        <w:spacing w:line="360" w:lineRule="auto"/>
        <w:rPr>
          <w:rFonts w:ascii="Arial" w:hAnsi="Arial" w:cs="Arial"/>
          <w:sz w:val="22"/>
          <w:szCs w:val="22"/>
        </w:rPr>
      </w:pPr>
      <w:r w:rsidRPr="00F75BE1">
        <w:rPr>
          <w:rFonts w:ascii="Arial" w:hAnsi="Arial" w:cs="Arial"/>
          <w:sz w:val="22"/>
          <w:szCs w:val="22"/>
        </w:rPr>
        <w:lastRenderedPageBreak/>
        <w:t xml:space="preserve">There is evidence that reminiscence-based interventions have a significant positive effect on psychological wellbeing of older adults. </w:t>
      </w:r>
      <w:r w:rsidR="00D22238" w:rsidRPr="00F75BE1">
        <w:rPr>
          <w:rFonts w:ascii="Arial" w:hAnsi="Arial" w:cs="Arial"/>
          <w:color w:val="222222"/>
          <w:sz w:val="22"/>
          <w:szCs w:val="22"/>
          <w:shd w:val="clear" w:color="auto" w:fill="FFFFFF"/>
        </w:rPr>
        <w:t>Arslan</w:t>
      </w:r>
      <w:r w:rsidR="00D22238" w:rsidRPr="00F75BE1">
        <w:rPr>
          <w:rFonts w:ascii="Arial" w:hAnsi="Arial" w:cs="Arial"/>
          <w:sz w:val="22"/>
          <w:szCs w:val="22"/>
        </w:rPr>
        <w:t xml:space="preserve"> </w:t>
      </w:r>
      <w:r w:rsidRPr="00F75BE1">
        <w:rPr>
          <w:rFonts w:ascii="Arial" w:hAnsi="Arial" w:cs="Arial"/>
          <w:sz w:val="22"/>
          <w:szCs w:val="22"/>
        </w:rPr>
        <w:t>et al. (20</w:t>
      </w:r>
      <w:r w:rsidR="00D22238" w:rsidRPr="00F75BE1">
        <w:rPr>
          <w:rFonts w:ascii="Arial" w:hAnsi="Arial" w:cs="Arial"/>
          <w:sz w:val="22"/>
          <w:szCs w:val="22"/>
        </w:rPr>
        <w:t>25</w:t>
      </w:r>
      <w:r w:rsidRPr="00F75BE1">
        <w:rPr>
          <w:rFonts w:ascii="Arial" w:hAnsi="Arial" w:cs="Arial"/>
          <w:sz w:val="22"/>
          <w:szCs w:val="22"/>
        </w:rPr>
        <w:t xml:space="preserve">) argued that </w:t>
      </w:r>
      <w:r w:rsidR="008A1B50" w:rsidRPr="00F75BE1">
        <w:rPr>
          <w:rFonts w:ascii="Arial" w:hAnsi="Arial" w:cs="Arial"/>
          <w:sz w:val="22"/>
          <w:szCs w:val="22"/>
        </w:rPr>
        <w:t>there was a reduction</w:t>
      </w:r>
      <w:r w:rsidRPr="00F75BE1">
        <w:rPr>
          <w:rFonts w:ascii="Arial" w:hAnsi="Arial" w:cs="Arial"/>
          <w:sz w:val="22"/>
          <w:szCs w:val="22"/>
        </w:rPr>
        <w:t xml:space="preserve"> in depressive symptoms and an increase in life satisfaction. Likewise, </w:t>
      </w:r>
      <w:r w:rsidR="00D22238" w:rsidRPr="00F75BE1">
        <w:rPr>
          <w:rFonts w:ascii="Arial" w:hAnsi="Arial" w:cs="Arial"/>
          <w:color w:val="222222"/>
          <w:sz w:val="22"/>
          <w:szCs w:val="22"/>
          <w:shd w:val="clear" w:color="auto" w:fill="FFFFFF"/>
        </w:rPr>
        <w:t>Afrashteh</w:t>
      </w:r>
      <w:r w:rsidR="00D22238" w:rsidRPr="00F75BE1">
        <w:rPr>
          <w:rFonts w:ascii="Arial" w:hAnsi="Arial" w:cs="Arial"/>
          <w:sz w:val="22"/>
          <w:szCs w:val="22"/>
        </w:rPr>
        <w:t xml:space="preserve"> </w:t>
      </w:r>
      <w:r w:rsidRPr="00F75BE1">
        <w:rPr>
          <w:rFonts w:ascii="Arial" w:hAnsi="Arial" w:cs="Arial"/>
          <w:sz w:val="22"/>
          <w:szCs w:val="22"/>
        </w:rPr>
        <w:t>et al. (20</w:t>
      </w:r>
      <w:r w:rsidR="00D22238" w:rsidRPr="00F75BE1">
        <w:rPr>
          <w:rFonts w:ascii="Arial" w:hAnsi="Arial" w:cs="Arial"/>
          <w:sz w:val="22"/>
          <w:szCs w:val="22"/>
        </w:rPr>
        <w:t>24</w:t>
      </w:r>
      <w:r w:rsidRPr="00F75BE1">
        <w:rPr>
          <w:rFonts w:ascii="Arial" w:hAnsi="Arial" w:cs="Arial"/>
          <w:sz w:val="22"/>
          <w:szCs w:val="22"/>
        </w:rPr>
        <w:t xml:space="preserve">) found that self-esteem and emotional wellbeing of residents in care homes improved </w:t>
      </w:r>
      <w:r w:rsidR="00D618E1" w:rsidRPr="00F75BE1">
        <w:rPr>
          <w:rFonts w:ascii="Arial" w:hAnsi="Arial" w:cs="Arial"/>
          <w:sz w:val="22"/>
          <w:szCs w:val="22"/>
        </w:rPr>
        <w:t>because of</w:t>
      </w:r>
      <w:r w:rsidRPr="00F75BE1">
        <w:rPr>
          <w:rFonts w:ascii="Arial" w:hAnsi="Arial" w:cs="Arial"/>
          <w:sz w:val="22"/>
          <w:szCs w:val="22"/>
        </w:rPr>
        <w:t xml:space="preserve"> structured life review programmes. These results lend support to Erikson's hypothesis that introspection about experiences helps to foster the development of ego integrity (</w:t>
      </w:r>
      <w:r w:rsidR="00D22238" w:rsidRPr="00F75BE1">
        <w:rPr>
          <w:rFonts w:ascii="Arial" w:hAnsi="Arial" w:cs="Arial"/>
          <w:color w:val="222222"/>
          <w:sz w:val="22"/>
          <w:szCs w:val="22"/>
          <w:shd w:val="clear" w:color="auto" w:fill="FFFFFF"/>
        </w:rPr>
        <w:t>Yuen &amp; Santo, 2025</w:t>
      </w:r>
      <w:r w:rsidRPr="00F75BE1">
        <w:rPr>
          <w:rFonts w:ascii="Arial" w:hAnsi="Arial" w:cs="Arial"/>
          <w:sz w:val="22"/>
          <w:szCs w:val="22"/>
        </w:rPr>
        <w:t>).</w:t>
      </w:r>
    </w:p>
    <w:p w14:paraId="108EAFEC" w14:textId="1D9F1B90" w:rsidR="006A4E0B" w:rsidRPr="00F75BE1" w:rsidRDefault="00116EB8" w:rsidP="00F75BE1">
      <w:pPr>
        <w:spacing w:line="360" w:lineRule="auto"/>
        <w:rPr>
          <w:rFonts w:ascii="Arial" w:hAnsi="Arial" w:cs="Arial"/>
          <w:sz w:val="22"/>
          <w:szCs w:val="22"/>
        </w:rPr>
      </w:pPr>
      <w:r w:rsidRPr="00F75BE1">
        <w:rPr>
          <w:rFonts w:ascii="Arial" w:hAnsi="Arial" w:cs="Arial"/>
          <w:sz w:val="22"/>
          <w:szCs w:val="22"/>
        </w:rPr>
        <w:t xml:space="preserve">Furthermore, Erikson's theory is very closely related to the principles of person-centered care. </w:t>
      </w:r>
      <w:r w:rsidR="00D400F0" w:rsidRPr="00F75BE1">
        <w:rPr>
          <w:rFonts w:ascii="Arial" w:hAnsi="Arial" w:cs="Arial"/>
          <w:sz w:val="22"/>
          <w:szCs w:val="22"/>
        </w:rPr>
        <w:t>Person-centered</w:t>
      </w:r>
      <w:r w:rsidRPr="00F75BE1">
        <w:rPr>
          <w:rFonts w:ascii="Arial" w:hAnsi="Arial" w:cs="Arial"/>
          <w:sz w:val="22"/>
          <w:szCs w:val="22"/>
        </w:rPr>
        <w:t xml:space="preserve"> care is about seeing every resident as an individual, with a different history, </w:t>
      </w:r>
      <w:r w:rsidR="00B17480" w:rsidRPr="00F75BE1">
        <w:rPr>
          <w:rFonts w:ascii="Arial" w:hAnsi="Arial" w:cs="Arial"/>
          <w:sz w:val="22"/>
          <w:szCs w:val="22"/>
        </w:rPr>
        <w:t>identity,</w:t>
      </w:r>
      <w:r w:rsidRPr="00F75BE1">
        <w:rPr>
          <w:rFonts w:ascii="Arial" w:hAnsi="Arial" w:cs="Arial"/>
          <w:sz w:val="22"/>
          <w:szCs w:val="22"/>
        </w:rPr>
        <w:t xml:space="preserve"> and experiences of life (</w:t>
      </w:r>
      <w:r w:rsidR="00D22238" w:rsidRPr="00F75BE1">
        <w:rPr>
          <w:rFonts w:ascii="Arial" w:hAnsi="Arial" w:cs="Arial"/>
          <w:color w:val="222222"/>
          <w:sz w:val="22"/>
          <w:szCs w:val="22"/>
          <w:shd w:val="clear" w:color="auto" w:fill="FFFFFF"/>
        </w:rPr>
        <w:t>Yuen &amp; Santo, 2025</w:t>
      </w:r>
      <w:r w:rsidRPr="00F75BE1">
        <w:rPr>
          <w:rFonts w:ascii="Arial" w:hAnsi="Arial" w:cs="Arial"/>
          <w:sz w:val="22"/>
          <w:szCs w:val="22"/>
        </w:rPr>
        <w:t>).</w:t>
      </w:r>
    </w:p>
    <w:p w14:paraId="4CFFA555" w14:textId="77777777" w:rsidR="006A4E0B" w:rsidRPr="00F75BE1" w:rsidRDefault="00116EB8" w:rsidP="00F75BE1">
      <w:pPr>
        <w:spacing w:line="360" w:lineRule="auto"/>
        <w:jc w:val="center"/>
        <w:rPr>
          <w:rFonts w:ascii="Arial" w:hAnsi="Arial" w:cs="Arial"/>
          <w:b/>
          <w:bCs/>
          <w:sz w:val="22"/>
          <w:szCs w:val="22"/>
        </w:rPr>
      </w:pPr>
      <w:r w:rsidRPr="00F75BE1">
        <w:rPr>
          <w:rFonts w:ascii="Arial" w:hAnsi="Arial" w:cs="Arial"/>
          <w:b/>
          <w:bCs/>
          <w:sz w:val="22"/>
          <w:szCs w:val="22"/>
        </w:rPr>
        <w:t>Case Scenario</w:t>
      </w:r>
    </w:p>
    <w:p w14:paraId="06769B5A" w14:textId="77777777" w:rsidR="006A4E0B" w:rsidRPr="00F75BE1" w:rsidRDefault="00116EB8" w:rsidP="00F75BE1">
      <w:pPr>
        <w:spacing w:line="360" w:lineRule="auto"/>
        <w:rPr>
          <w:rFonts w:ascii="Arial" w:hAnsi="Arial" w:cs="Arial"/>
          <w:sz w:val="22"/>
          <w:szCs w:val="22"/>
        </w:rPr>
      </w:pPr>
      <w:r w:rsidRPr="00F75BE1">
        <w:rPr>
          <w:rFonts w:ascii="Arial" w:hAnsi="Arial" w:cs="Arial"/>
          <w:sz w:val="22"/>
          <w:szCs w:val="22"/>
        </w:rPr>
        <w:t xml:space="preserve">Mrs Smith is an 84-year-old widow who has come to live in a residential care home after the death of her husband. In the early months of her placement, she </w:t>
      </w:r>
      <w:proofErr w:type="gramStart"/>
      <w:r w:rsidRPr="00F75BE1">
        <w:rPr>
          <w:rFonts w:ascii="Arial" w:hAnsi="Arial" w:cs="Arial"/>
          <w:sz w:val="22"/>
          <w:szCs w:val="22"/>
        </w:rPr>
        <w:t>was found</w:t>
      </w:r>
      <w:proofErr w:type="gramEnd"/>
      <w:r w:rsidRPr="00F75BE1">
        <w:rPr>
          <w:rFonts w:ascii="Arial" w:hAnsi="Arial" w:cs="Arial"/>
          <w:sz w:val="22"/>
          <w:szCs w:val="22"/>
        </w:rPr>
        <w:t xml:space="preserve"> to </w:t>
      </w:r>
      <w:proofErr w:type="gramStart"/>
      <w:r w:rsidRPr="00F75BE1">
        <w:rPr>
          <w:rFonts w:ascii="Arial" w:hAnsi="Arial" w:cs="Arial"/>
          <w:sz w:val="22"/>
          <w:szCs w:val="22"/>
        </w:rPr>
        <w:t>be withdrawn</w:t>
      </w:r>
      <w:proofErr w:type="gramEnd"/>
      <w:r w:rsidRPr="00F75BE1">
        <w:rPr>
          <w:rFonts w:ascii="Arial" w:hAnsi="Arial" w:cs="Arial"/>
          <w:sz w:val="22"/>
          <w:szCs w:val="22"/>
        </w:rPr>
        <w:t xml:space="preserve">, sad and lacking in self-confidence. </w:t>
      </w:r>
    </w:p>
    <w:p w14:paraId="0F328DA3" w14:textId="3F471066" w:rsidR="006A4E0B" w:rsidRPr="00F75BE1" w:rsidRDefault="00116EB8" w:rsidP="00F75BE1">
      <w:pPr>
        <w:spacing w:line="360" w:lineRule="auto"/>
        <w:rPr>
          <w:rFonts w:ascii="Arial" w:hAnsi="Arial" w:cs="Arial"/>
          <w:sz w:val="22"/>
          <w:szCs w:val="22"/>
        </w:rPr>
      </w:pPr>
      <w:r w:rsidRPr="00F75BE1">
        <w:rPr>
          <w:rFonts w:ascii="Arial" w:hAnsi="Arial" w:cs="Arial"/>
          <w:sz w:val="22"/>
          <w:szCs w:val="22"/>
        </w:rPr>
        <w:t xml:space="preserve">After an assessment, a structured reminiscence programme </w:t>
      </w:r>
      <w:proofErr w:type="gramStart"/>
      <w:r w:rsidRPr="00F75BE1">
        <w:rPr>
          <w:rFonts w:ascii="Arial" w:hAnsi="Arial" w:cs="Arial"/>
          <w:sz w:val="22"/>
          <w:szCs w:val="22"/>
        </w:rPr>
        <w:t>was introduced</w:t>
      </w:r>
      <w:proofErr w:type="gramEnd"/>
      <w:r w:rsidRPr="00F75BE1">
        <w:rPr>
          <w:rFonts w:ascii="Arial" w:hAnsi="Arial" w:cs="Arial"/>
          <w:sz w:val="22"/>
          <w:szCs w:val="22"/>
        </w:rPr>
        <w:t xml:space="preserve"> to care staff, based on Erikson's theory</w:t>
      </w:r>
      <w:r w:rsidR="00D22238" w:rsidRPr="00F75BE1">
        <w:rPr>
          <w:rFonts w:ascii="Arial" w:hAnsi="Arial" w:cs="Arial"/>
          <w:sz w:val="22"/>
          <w:szCs w:val="22"/>
        </w:rPr>
        <w:t xml:space="preserve"> (</w:t>
      </w:r>
      <w:r w:rsidR="00D22238" w:rsidRPr="00F75BE1">
        <w:rPr>
          <w:rFonts w:ascii="Arial" w:hAnsi="Arial" w:cs="Arial"/>
          <w:color w:val="222222"/>
          <w:sz w:val="22"/>
          <w:szCs w:val="22"/>
          <w:shd w:val="clear" w:color="auto" w:fill="FFFFFF"/>
        </w:rPr>
        <w:t>Yuen &amp; Santo, 2025</w:t>
      </w:r>
      <w:r w:rsidR="00D22238" w:rsidRPr="00F75BE1">
        <w:rPr>
          <w:rFonts w:ascii="Arial" w:hAnsi="Arial" w:cs="Arial"/>
          <w:sz w:val="22"/>
          <w:szCs w:val="22"/>
        </w:rPr>
        <w:t>)</w:t>
      </w:r>
      <w:r w:rsidRPr="00F75BE1">
        <w:rPr>
          <w:rFonts w:ascii="Arial" w:hAnsi="Arial" w:cs="Arial"/>
          <w:sz w:val="22"/>
          <w:szCs w:val="22"/>
        </w:rPr>
        <w:t xml:space="preserve">. Weekly sessions motivated Mrs Smith to include key events from her life, such as raising her children, volunteering in her </w:t>
      </w:r>
      <w:r w:rsidR="00B17480" w:rsidRPr="00F75BE1">
        <w:rPr>
          <w:rFonts w:ascii="Arial" w:hAnsi="Arial" w:cs="Arial"/>
          <w:sz w:val="22"/>
          <w:szCs w:val="22"/>
        </w:rPr>
        <w:t>community,</w:t>
      </w:r>
      <w:r w:rsidRPr="00F75BE1">
        <w:rPr>
          <w:rFonts w:ascii="Arial" w:hAnsi="Arial" w:cs="Arial"/>
          <w:sz w:val="22"/>
          <w:szCs w:val="22"/>
        </w:rPr>
        <w:t xml:space="preserve"> and working towards her career aspirations. Photographs and personal memorabilia </w:t>
      </w:r>
      <w:proofErr w:type="gramStart"/>
      <w:r w:rsidRPr="00F75BE1">
        <w:rPr>
          <w:rFonts w:ascii="Arial" w:hAnsi="Arial" w:cs="Arial"/>
          <w:sz w:val="22"/>
          <w:szCs w:val="22"/>
        </w:rPr>
        <w:t>were provided</w:t>
      </w:r>
      <w:proofErr w:type="gramEnd"/>
      <w:r w:rsidRPr="00F75BE1">
        <w:rPr>
          <w:rFonts w:ascii="Arial" w:hAnsi="Arial" w:cs="Arial"/>
          <w:sz w:val="22"/>
          <w:szCs w:val="22"/>
        </w:rPr>
        <w:t xml:space="preserve"> to the process by family members.</w:t>
      </w:r>
    </w:p>
    <w:p w14:paraId="217053B3" w14:textId="4F746C19" w:rsidR="004D06D4" w:rsidRPr="00F75BE1" w:rsidRDefault="004D06D4" w:rsidP="00F75BE1">
      <w:pPr>
        <w:spacing w:line="360" w:lineRule="auto"/>
        <w:rPr>
          <w:rFonts w:ascii="Arial" w:hAnsi="Arial" w:cs="Arial"/>
          <w:sz w:val="22"/>
          <w:szCs w:val="22"/>
        </w:rPr>
      </w:pPr>
      <w:r w:rsidRPr="00F75BE1">
        <w:rPr>
          <w:rFonts w:ascii="Arial" w:hAnsi="Arial" w:cs="Arial"/>
          <w:sz w:val="22"/>
          <w:szCs w:val="22"/>
        </w:rPr>
        <w:t xml:space="preserve">Mrs Smith initially participated in individual 45-minute reminiscence sessions once a week for six weeks to establish trust and explore her personal history. Following improvement in confidence, she joined a weekly group reminiscence session with four other residents to encourage social interaction and reduce loneliness. Staff facilitating the sessions received training in person-centred communication, reminiscence </w:t>
      </w:r>
      <w:r w:rsidR="00B17480" w:rsidRPr="00F75BE1">
        <w:rPr>
          <w:rFonts w:ascii="Arial" w:hAnsi="Arial" w:cs="Arial"/>
          <w:sz w:val="22"/>
          <w:szCs w:val="22"/>
        </w:rPr>
        <w:t>techniques,</w:t>
      </w:r>
      <w:r w:rsidRPr="00F75BE1">
        <w:rPr>
          <w:rFonts w:ascii="Arial" w:hAnsi="Arial" w:cs="Arial"/>
          <w:sz w:val="22"/>
          <w:szCs w:val="22"/>
        </w:rPr>
        <w:t xml:space="preserve"> and dementia awareness. Progress </w:t>
      </w:r>
      <w:proofErr w:type="gramStart"/>
      <w:r w:rsidRPr="00F75BE1">
        <w:rPr>
          <w:rFonts w:ascii="Arial" w:hAnsi="Arial" w:cs="Arial"/>
          <w:sz w:val="22"/>
          <w:szCs w:val="22"/>
        </w:rPr>
        <w:t>was monitored</w:t>
      </w:r>
      <w:proofErr w:type="gramEnd"/>
      <w:r w:rsidRPr="00F75BE1">
        <w:rPr>
          <w:rFonts w:ascii="Arial" w:hAnsi="Arial" w:cs="Arial"/>
          <w:sz w:val="22"/>
          <w:szCs w:val="22"/>
        </w:rPr>
        <w:t xml:space="preserve"> through observations of mood, participation in activities and the Geriatric Depression Scale before and after the intervention. If Mrs Smith had moderate dementia, shorter sessions of 20–30 minutes using photographs, music and familiar objects would have </w:t>
      </w:r>
      <w:proofErr w:type="gramStart"/>
      <w:r w:rsidRPr="00F75BE1">
        <w:rPr>
          <w:rFonts w:ascii="Arial" w:hAnsi="Arial" w:cs="Arial"/>
          <w:sz w:val="22"/>
          <w:szCs w:val="22"/>
        </w:rPr>
        <w:t>been used</w:t>
      </w:r>
      <w:proofErr w:type="gramEnd"/>
      <w:r w:rsidRPr="00F75BE1">
        <w:rPr>
          <w:rFonts w:ascii="Arial" w:hAnsi="Arial" w:cs="Arial"/>
          <w:sz w:val="22"/>
          <w:szCs w:val="22"/>
        </w:rPr>
        <w:t xml:space="preserve"> to support memory recall and engagement.</w:t>
      </w:r>
    </w:p>
    <w:p w14:paraId="6D47B751" w14:textId="77777777" w:rsidR="006A4E0B" w:rsidRPr="00F75BE1" w:rsidRDefault="00116EB8" w:rsidP="00F75BE1">
      <w:pPr>
        <w:spacing w:line="360" w:lineRule="auto"/>
        <w:jc w:val="center"/>
        <w:rPr>
          <w:rFonts w:ascii="Arial" w:hAnsi="Arial" w:cs="Arial"/>
          <w:b/>
          <w:bCs/>
          <w:sz w:val="22"/>
          <w:szCs w:val="22"/>
        </w:rPr>
      </w:pPr>
      <w:r w:rsidRPr="00F75BE1">
        <w:rPr>
          <w:rFonts w:ascii="Arial" w:hAnsi="Arial" w:cs="Arial"/>
          <w:b/>
          <w:bCs/>
          <w:sz w:val="22"/>
          <w:szCs w:val="22"/>
        </w:rPr>
        <w:t>Challenges and Strategies for Implementation</w:t>
      </w:r>
    </w:p>
    <w:p w14:paraId="73508E97" w14:textId="23FE533D" w:rsidR="006A4E0B" w:rsidRPr="00F75BE1" w:rsidRDefault="00116EB8" w:rsidP="00F75BE1">
      <w:pPr>
        <w:spacing w:line="360" w:lineRule="auto"/>
        <w:rPr>
          <w:rFonts w:ascii="Arial" w:hAnsi="Arial" w:cs="Arial"/>
          <w:sz w:val="22"/>
          <w:szCs w:val="22"/>
        </w:rPr>
      </w:pPr>
      <w:r w:rsidRPr="00F75BE1">
        <w:rPr>
          <w:rFonts w:ascii="Arial" w:hAnsi="Arial" w:cs="Arial"/>
          <w:sz w:val="22"/>
          <w:szCs w:val="22"/>
        </w:rPr>
        <w:t xml:space="preserve">While useful, there are </w:t>
      </w:r>
      <w:proofErr w:type="gramStart"/>
      <w:r w:rsidRPr="00F75BE1">
        <w:rPr>
          <w:rFonts w:ascii="Arial" w:hAnsi="Arial" w:cs="Arial"/>
          <w:sz w:val="22"/>
          <w:szCs w:val="22"/>
        </w:rPr>
        <w:t>a few</w:t>
      </w:r>
      <w:proofErr w:type="gramEnd"/>
      <w:r w:rsidRPr="00F75BE1">
        <w:rPr>
          <w:rFonts w:ascii="Arial" w:hAnsi="Arial" w:cs="Arial"/>
          <w:sz w:val="22"/>
          <w:szCs w:val="22"/>
        </w:rPr>
        <w:t xml:space="preserve"> difficulties in using Erikson's theory in relation to residential care. An issue is that </w:t>
      </w:r>
      <w:proofErr w:type="gramStart"/>
      <w:r w:rsidRPr="00F75BE1">
        <w:rPr>
          <w:rFonts w:ascii="Arial" w:hAnsi="Arial" w:cs="Arial"/>
          <w:sz w:val="22"/>
          <w:szCs w:val="22"/>
        </w:rPr>
        <w:t>some</w:t>
      </w:r>
      <w:proofErr w:type="gramEnd"/>
      <w:r w:rsidRPr="00F75BE1">
        <w:rPr>
          <w:rFonts w:ascii="Arial" w:hAnsi="Arial" w:cs="Arial"/>
          <w:sz w:val="22"/>
          <w:szCs w:val="22"/>
        </w:rPr>
        <w:t xml:space="preserve"> residents might have suffered trauma, abuse, </w:t>
      </w:r>
      <w:r w:rsidR="00B17480" w:rsidRPr="00F75BE1">
        <w:rPr>
          <w:rFonts w:ascii="Arial" w:hAnsi="Arial" w:cs="Arial"/>
          <w:sz w:val="22"/>
          <w:szCs w:val="22"/>
        </w:rPr>
        <w:t>bereavement,</w:t>
      </w:r>
      <w:r w:rsidRPr="00F75BE1">
        <w:rPr>
          <w:rFonts w:ascii="Arial" w:hAnsi="Arial" w:cs="Arial"/>
          <w:sz w:val="22"/>
          <w:szCs w:val="22"/>
        </w:rPr>
        <w:t xml:space="preserve"> and/or </w:t>
      </w:r>
      <w:r w:rsidRPr="00F75BE1">
        <w:rPr>
          <w:rFonts w:ascii="Arial" w:hAnsi="Arial" w:cs="Arial"/>
          <w:sz w:val="22"/>
          <w:szCs w:val="22"/>
        </w:rPr>
        <w:lastRenderedPageBreak/>
        <w:t xml:space="preserve">unresolved life conflicts. One of the other difficulties is mental disability. </w:t>
      </w:r>
      <w:proofErr w:type="gramStart"/>
      <w:r w:rsidRPr="00F75BE1">
        <w:rPr>
          <w:rFonts w:ascii="Arial" w:hAnsi="Arial" w:cs="Arial"/>
          <w:sz w:val="22"/>
          <w:szCs w:val="22"/>
        </w:rPr>
        <w:t>Some</w:t>
      </w:r>
      <w:proofErr w:type="gramEnd"/>
      <w:r w:rsidRPr="00F75BE1">
        <w:rPr>
          <w:rFonts w:ascii="Arial" w:hAnsi="Arial" w:cs="Arial"/>
          <w:sz w:val="22"/>
          <w:szCs w:val="22"/>
        </w:rPr>
        <w:t xml:space="preserve"> people with dementia will have problems remembering autobiographical information or engaging in reflective conversations (</w:t>
      </w:r>
      <w:r w:rsidR="00D22238" w:rsidRPr="00F75BE1">
        <w:rPr>
          <w:rFonts w:ascii="Arial" w:hAnsi="Arial" w:cs="Arial"/>
          <w:color w:val="222222"/>
          <w:sz w:val="22"/>
          <w:szCs w:val="22"/>
          <w:shd w:val="clear" w:color="auto" w:fill="FFFFFF"/>
        </w:rPr>
        <w:t>Harris &amp; Brookman, 2025</w:t>
      </w:r>
      <w:r w:rsidRPr="00F75BE1">
        <w:rPr>
          <w:rFonts w:ascii="Arial" w:hAnsi="Arial" w:cs="Arial"/>
          <w:sz w:val="22"/>
          <w:szCs w:val="22"/>
        </w:rPr>
        <w:t xml:space="preserve">). </w:t>
      </w:r>
    </w:p>
    <w:p w14:paraId="747B33E8" w14:textId="367F8635" w:rsidR="006A4E0B" w:rsidRPr="00F75BE1" w:rsidRDefault="00116EB8" w:rsidP="00F75BE1">
      <w:pPr>
        <w:spacing w:line="360" w:lineRule="auto"/>
        <w:rPr>
          <w:rFonts w:ascii="Arial" w:hAnsi="Arial" w:cs="Arial"/>
          <w:sz w:val="22"/>
          <w:szCs w:val="22"/>
        </w:rPr>
      </w:pPr>
      <w:r w:rsidRPr="00F75BE1">
        <w:rPr>
          <w:rFonts w:ascii="Arial" w:hAnsi="Arial" w:cs="Arial"/>
          <w:sz w:val="22"/>
          <w:szCs w:val="22"/>
        </w:rPr>
        <w:t xml:space="preserve">The health and social care staff need to adopt a person-centered and trauma-informed approach to tackle these challenges. Interventions should </w:t>
      </w:r>
      <w:proofErr w:type="gramStart"/>
      <w:r w:rsidRPr="00F75BE1">
        <w:rPr>
          <w:rFonts w:ascii="Arial" w:hAnsi="Arial" w:cs="Arial"/>
          <w:sz w:val="22"/>
          <w:szCs w:val="22"/>
        </w:rPr>
        <w:t>be tailored</w:t>
      </w:r>
      <w:proofErr w:type="gramEnd"/>
      <w:r w:rsidRPr="00F75BE1">
        <w:rPr>
          <w:rFonts w:ascii="Arial" w:hAnsi="Arial" w:cs="Arial"/>
          <w:sz w:val="22"/>
          <w:szCs w:val="22"/>
        </w:rPr>
        <w:t xml:space="preserve"> to each resident’s emotional needs, cognitive </w:t>
      </w:r>
      <w:r w:rsidR="00B17480" w:rsidRPr="00F75BE1">
        <w:rPr>
          <w:rFonts w:ascii="Arial" w:hAnsi="Arial" w:cs="Arial"/>
          <w:sz w:val="22"/>
          <w:szCs w:val="22"/>
        </w:rPr>
        <w:t>abilities,</w:t>
      </w:r>
      <w:r w:rsidRPr="00F75BE1">
        <w:rPr>
          <w:rFonts w:ascii="Arial" w:hAnsi="Arial" w:cs="Arial"/>
          <w:sz w:val="22"/>
          <w:szCs w:val="22"/>
        </w:rPr>
        <w:t xml:space="preserve"> and personal preferences. In addition, staff should </w:t>
      </w:r>
      <w:proofErr w:type="gramStart"/>
      <w:r w:rsidRPr="00F75BE1">
        <w:rPr>
          <w:rFonts w:ascii="Arial" w:hAnsi="Arial" w:cs="Arial"/>
          <w:sz w:val="22"/>
          <w:szCs w:val="22"/>
        </w:rPr>
        <w:t>be trained</w:t>
      </w:r>
      <w:proofErr w:type="gramEnd"/>
      <w:r w:rsidRPr="00F75BE1">
        <w:rPr>
          <w:rFonts w:ascii="Arial" w:hAnsi="Arial" w:cs="Arial"/>
          <w:sz w:val="22"/>
          <w:szCs w:val="22"/>
        </w:rPr>
        <w:t xml:space="preserve"> in the skills and techniques of reminiscence and communication approaches with older people with cognitive impairment (Carr et al., 202</w:t>
      </w:r>
      <w:r w:rsidR="008D6759" w:rsidRPr="00F75BE1">
        <w:rPr>
          <w:rFonts w:ascii="Arial" w:hAnsi="Arial" w:cs="Arial"/>
          <w:sz w:val="22"/>
          <w:szCs w:val="22"/>
        </w:rPr>
        <w:t>2</w:t>
      </w:r>
      <w:r w:rsidRPr="00F75BE1">
        <w:rPr>
          <w:rFonts w:ascii="Arial" w:hAnsi="Arial" w:cs="Arial"/>
          <w:sz w:val="22"/>
          <w:szCs w:val="22"/>
        </w:rPr>
        <w:t>).</w:t>
      </w:r>
    </w:p>
    <w:p w14:paraId="358351A1" w14:textId="4F20E157" w:rsidR="004D06D4" w:rsidRPr="00F75BE1" w:rsidRDefault="004D06D4" w:rsidP="00F75BE1">
      <w:pPr>
        <w:spacing w:line="360" w:lineRule="auto"/>
        <w:rPr>
          <w:rFonts w:ascii="Arial" w:hAnsi="Arial" w:cs="Arial"/>
          <w:sz w:val="22"/>
          <w:szCs w:val="22"/>
        </w:rPr>
      </w:pPr>
      <w:r w:rsidRPr="00F75BE1">
        <w:rPr>
          <w:rFonts w:ascii="Arial" w:hAnsi="Arial" w:cs="Arial"/>
          <w:sz w:val="22"/>
          <w:szCs w:val="22"/>
        </w:rPr>
        <w:t xml:space="preserve">Additional challenges include limited staffing levels, time constraints, cultural </w:t>
      </w:r>
      <w:r w:rsidR="00B17480" w:rsidRPr="00F75BE1">
        <w:rPr>
          <w:rFonts w:ascii="Arial" w:hAnsi="Arial" w:cs="Arial"/>
          <w:sz w:val="22"/>
          <w:szCs w:val="22"/>
        </w:rPr>
        <w:t>differences,</w:t>
      </w:r>
      <w:r w:rsidRPr="00F75BE1">
        <w:rPr>
          <w:rFonts w:ascii="Arial" w:hAnsi="Arial" w:cs="Arial"/>
          <w:sz w:val="22"/>
          <w:szCs w:val="22"/>
        </w:rPr>
        <w:t xml:space="preserve"> and varying family involvement. These barriers can reduce opportunities for personalised interventions and continuity of care. Organisations should therefore provide ongoing staff training, multidisciplinary </w:t>
      </w:r>
      <w:r w:rsidR="00B17480" w:rsidRPr="00F75BE1">
        <w:rPr>
          <w:rFonts w:ascii="Arial" w:hAnsi="Arial" w:cs="Arial"/>
          <w:sz w:val="22"/>
          <w:szCs w:val="22"/>
        </w:rPr>
        <w:t>support,</w:t>
      </w:r>
      <w:r w:rsidRPr="00F75BE1">
        <w:rPr>
          <w:rFonts w:ascii="Arial" w:hAnsi="Arial" w:cs="Arial"/>
          <w:sz w:val="22"/>
          <w:szCs w:val="22"/>
        </w:rPr>
        <w:t xml:space="preserve"> and family engagement to maximise intervention effectiveness.</w:t>
      </w:r>
    </w:p>
    <w:p w14:paraId="09DF5B31" w14:textId="77777777" w:rsidR="006A4E0B" w:rsidRPr="00F75BE1" w:rsidRDefault="00116EB8" w:rsidP="00F75BE1">
      <w:pPr>
        <w:spacing w:line="360" w:lineRule="auto"/>
        <w:jc w:val="center"/>
        <w:rPr>
          <w:rFonts w:ascii="Arial" w:hAnsi="Arial" w:cs="Arial"/>
          <w:b/>
          <w:bCs/>
          <w:sz w:val="22"/>
          <w:szCs w:val="22"/>
        </w:rPr>
      </w:pPr>
      <w:r w:rsidRPr="00F75BE1">
        <w:rPr>
          <w:rFonts w:ascii="Arial" w:hAnsi="Arial" w:cs="Arial"/>
          <w:b/>
          <w:bCs/>
          <w:sz w:val="22"/>
          <w:szCs w:val="22"/>
        </w:rPr>
        <w:t>Conclusion</w:t>
      </w:r>
    </w:p>
    <w:p w14:paraId="58BA2823" w14:textId="03F8E2E0" w:rsidR="006A4E0B" w:rsidRPr="00F75BE1" w:rsidRDefault="00116EB8" w:rsidP="00F75BE1">
      <w:pPr>
        <w:spacing w:line="360" w:lineRule="auto"/>
        <w:rPr>
          <w:rFonts w:ascii="Arial" w:hAnsi="Arial" w:cs="Arial"/>
          <w:sz w:val="22"/>
          <w:szCs w:val="22"/>
        </w:rPr>
      </w:pPr>
      <w:r w:rsidRPr="00F75BE1">
        <w:rPr>
          <w:rFonts w:ascii="Arial" w:hAnsi="Arial" w:cs="Arial"/>
          <w:sz w:val="22"/>
          <w:szCs w:val="22"/>
        </w:rPr>
        <w:t xml:space="preserve">The psychosocial theory of Erikson is </w:t>
      </w:r>
      <w:r w:rsidR="001F6A7E" w:rsidRPr="00F75BE1">
        <w:rPr>
          <w:rFonts w:ascii="Arial" w:hAnsi="Arial" w:cs="Arial"/>
          <w:sz w:val="22"/>
          <w:szCs w:val="22"/>
        </w:rPr>
        <w:t>truly relevant</w:t>
      </w:r>
      <w:r w:rsidRPr="00F75BE1">
        <w:rPr>
          <w:rFonts w:ascii="Arial" w:hAnsi="Arial" w:cs="Arial"/>
          <w:sz w:val="22"/>
          <w:szCs w:val="22"/>
        </w:rPr>
        <w:t xml:space="preserve"> in a residential care context as it highlights the importance of supporting older people to gain ego integrity through reflection and </w:t>
      </w:r>
      <w:r w:rsidR="00900CA8" w:rsidRPr="00F75BE1">
        <w:rPr>
          <w:rFonts w:ascii="Arial" w:hAnsi="Arial" w:cs="Arial"/>
          <w:sz w:val="22"/>
          <w:szCs w:val="22"/>
        </w:rPr>
        <w:t>meaning making</w:t>
      </w:r>
      <w:r w:rsidRPr="00F75BE1">
        <w:rPr>
          <w:rFonts w:ascii="Arial" w:hAnsi="Arial" w:cs="Arial"/>
          <w:sz w:val="22"/>
          <w:szCs w:val="22"/>
        </w:rPr>
        <w:t xml:space="preserve">. </w:t>
      </w:r>
      <w:r w:rsidR="00490FB7" w:rsidRPr="00F75BE1">
        <w:rPr>
          <w:rFonts w:ascii="Arial" w:hAnsi="Arial" w:cs="Arial"/>
          <w:sz w:val="22"/>
          <w:szCs w:val="22"/>
        </w:rPr>
        <w:t>Reminiscence and life review interventions can improve wellbeing and life satisfaction; and person-</w:t>
      </w:r>
      <w:r w:rsidR="008D6759" w:rsidRPr="00F75BE1">
        <w:rPr>
          <w:rFonts w:ascii="Arial" w:hAnsi="Arial" w:cs="Arial"/>
          <w:sz w:val="22"/>
          <w:szCs w:val="22"/>
        </w:rPr>
        <w:t>centered</w:t>
      </w:r>
      <w:r w:rsidR="00490FB7" w:rsidRPr="00F75BE1">
        <w:rPr>
          <w:rFonts w:ascii="Arial" w:hAnsi="Arial" w:cs="Arial"/>
          <w:sz w:val="22"/>
          <w:szCs w:val="22"/>
        </w:rPr>
        <w:t xml:space="preserve"> and trauma-informed approaches can support the management of a range of issues such as distressing memories and/or cognitive impairments.</w:t>
      </w:r>
      <w:r w:rsidRPr="00F75BE1">
        <w:rPr>
          <w:rFonts w:ascii="Arial" w:hAnsi="Arial" w:cs="Arial"/>
          <w:sz w:val="22"/>
          <w:szCs w:val="22"/>
        </w:rPr>
        <w:br w:type="page"/>
      </w:r>
    </w:p>
    <w:p w14:paraId="78A2AF89" w14:textId="77777777" w:rsidR="006A4E0B" w:rsidRPr="00F75BE1" w:rsidRDefault="00116EB8" w:rsidP="00F75BE1">
      <w:pPr>
        <w:spacing w:line="360" w:lineRule="auto"/>
        <w:jc w:val="center"/>
        <w:rPr>
          <w:rFonts w:ascii="Arial" w:hAnsi="Arial" w:cs="Arial"/>
          <w:b/>
          <w:bCs/>
          <w:sz w:val="22"/>
          <w:szCs w:val="22"/>
        </w:rPr>
      </w:pPr>
      <w:r w:rsidRPr="00F75BE1">
        <w:rPr>
          <w:rFonts w:ascii="Arial" w:hAnsi="Arial" w:cs="Arial"/>
          <w:b/>
          <w:bCs/>
          <w:sz w:val="22"/>
          <w:szCs w:val="22"/>
        </w:rPr>
        <w:lastRenderedPageBreak/>
        <w:t>References</w:t>
      </w:r>
    </w:p>
    <w:p w14:paraId="14351F65" w14:textId="77777777" w:rsidR="00E977BC" w:rsidRPr="002612DE" w:rsidRDefault="00E977BC" w:rsidP="00F75BE1">
      <w:pPr>
        <w:spacing w:line="360" w:lineRule="auto"/>
        <w:rPr>
          <w:rFonts w:ascii="Arial" w:hAnsi="Arial" w:cs="Arial"/>
          <w:i/>
          <w:iCs/>
          <w:color w:val="222222"/>
          <w:sz w:val="22"/>
          <w:szCs w:val="22"/>
          <w:shd w:val="clear" w:color="auto" w:fill="FFFFFF"/>
        </w:rPr>
      </w:pPr>
      <w:r w:rsidRPr="002612DE">
        <w:rPr>
          <w:rFonts w:ascii="Arial" w:hAnsi="Arial" w:cs="Arial"/>
          <w:i/>
          <w:iCs/>
          <w:color w:val="222222"/>
          <w:sz w:val="22"/>
          <w:szCs w:val="22"/>
          <w:shd w:val="clear" w:color="auto" w:fill="FFFFFF"/>
        </w:rPr>
        <w:t xml:space="preserve">Afrashteh, M. Y., Majzoobi, M. R., Janjani, P., &amp; Forstmeier, S. (2024). The relationship between the meaning of life, psychological well-being, self-care, and social capital, with depression and death anxiety in the elderly living in nursing homes: The mediating role of loneliness. Heliyon, 10(9). </w:t>
      </w:r>
      <w:hyperlink r:id="rId7" w:history="1">
        <w:r w:rsidRPr="002612DE">
          <w:rPr>
            <w:rStyle w:val="Hyperlink"/>
            <w:rFonts w:ascii="Arial" w:hAnsi="Arial" w:cs="Arial"/>
            <w:i/>
            <w:iCs/>
            <w:sz w:val="22"/>
            <w:szCs w:val="22"/>
            <w:shd w:val="clear" w:color="auto" w:fill="FFFFFF"/>
          </w:rPr>
          <w:t>https://doi.org/10.1016/j.heliyon.2024.e30124</w:t>
        </w:r>
      </w:hyperlink>
      <w:r w:rsidRPr="002612DE">
        <w:rPr>
          <w:rFonts w:ascii="Arial" w:hAnsi="Arial" w:cs="Arial"/>
          <w:i/>
          <w:iCs/>
          <w:color w:val="222222"/>
          <w:sz w:val="22"/>
          <w:szCs w:val="22"/>
          <w:shd w:val="clear" w:color="auto" w:fill="FFFFFF"/>
        </w:rPr>
        <w:t xml:space="preserve"> </w:t>
      </w:r>
    </w:p>
    <w:p w14:paraId="55022C7F" w14:textId="77777777" w:rsidR="00E977BC" w:rsidRPr="002612DE" w:rsidRDefault="00E977BC" w:rsidP="00F75BE1">
      <w:pPr>
        <w:spacing w:line="360" w:lineRule="auto"/>
        <w:rPr>
          <w:rFonts w:ascii="Arial" w:hAnsi="Arial" w:cs="Arial"/>
          <w:i/>
          <w:iCs/>
          <w:color w:val="222222"/>
          <w:sz w:val="22"/>
          <w:szCs w:val="22"/>
          <w:shd w:val="clear" w:color="auto" w:fill="FFFFFF"/>
        </w:rPr>
      </w:pPr>
      <w:r w:rsidRPr="002612DE">
        <w:rPr>
          <w:rFonts w:ascii="Arial" w:hAnsi="Arial" w:cs="Arial"/>
          <w:i/>
          <w:iCs/>
          <w:color w:val="222222"/>
          <w:sz w:val="22"/>
          <w:szCs w:val="22"/>
          <w:shd w:val="clear" w:color="auto" w:fill="FFFFFF"/>
        </w:rPr>
        <w:t xml:space="preserve">Afrashteh, M. Y., Majzoobi, M. R., Janjani, P., &amp; Forstmeier, S. (2024). The relationship between the meaning of life, psychological well-being, self-care, and social capital, with depression and death anxiety in the elderly living in nursing homes: The mediating role of loneliness. Heliyon, 10(9). </w:t>
      </w:r>
      <w:hyperlink r:id="rId8" w:history="1">
        <w:r w:rsidRPr="002612DE">
          <w:rPr>
            <w:rStyle w:val="Hyperlink"/>
            <w:rFonts w:ascii="Arial" w:hAnsi="Arial" w:cs="Arial"/>
            <w:i/>
            <w:iCs/>
            <w:sz w:val="22"/>
            <w:szCs w:val="22"/>
            <w:shd w:val="clear" w:color="auto" w:fill="FFFFFF"/>
          </w:rPr>
          <w:t>https://doi.org/10.1016/j.heliyon.2024.e30124</w:t>
        </w:r>
      </w:hyperlink>
      <w:r w:rsidRPr="002612DE">
        <w:rPr>
          <w:rFonts w:ascii="Arial" w:hAnsi="Arial" w:cs="Arial"/>
          <w:i/>
          <w:iCs/>
          <w:color w:val="222222"/>
          <w:sz w:val="22"/>
          <w:szCs w:val="22"/>
          <w:shd w:val="clear" w:color="auto" w:fill="FFFFFF"/>
        </w:rPr>
        <w:t xml:space="preserve"> </w:t>
      </w:r>
    </w:p>
    <w:p w14:paraId="4F71F6ED" w14:textId="135B4D9D" w:rsidR="00E977BC" w:rsidRPr="002612DE" w:rsidRDefault="00E977BC" w:rsidP="00F75BE1">
      <w:pPr>
        <w:spacing w:line="360" w:lineRule="auto"/>
        <w:rPr>
          <w:rFonts w:ascii="Arial" w:hAnsi="Arial" w:cs="Arial"/>
          <w:i/>
          <w:iCs/>
          <w:color w:val="222222"/>
          <w:sz w:val="22"/>
          <w:szCs w:val="22"/>
          <w:shd w:val="clear" w:color="auto" w:fill="FFFFFF"/>
        </w:rPr>
      </w:pPr>
      <w:r w:rsidRPr="002612DE">
        <w:rPr>
          <w:rFonts w:ascii="Arial" w:hAnsi="Arial" w:cs="Arial"/>
          <w:i/>
          <w:iCs/>
          <w:color w:val="222222"/>
          <w:sz w:val="22"/>
          <w:szCs w:val="22"/>
          <w:shd w:val="clear" w:color="auto" w:fill="FFFFFF"/>
        </w:rPr>
        <w:t>Arslan, G., Jarden, A., Yıldırım, M., Jarden, R., &amp; Silapurem, L. (2025). Longitudinal associations between life events, hope, life satisfaction, happiness, and depressive symptoms. Cognitive Therapy and Research, 1-14</w:t>
      </w:r>
      <w:r w:rsidR="00B17480" w:rsidRPr="002612DE">
        <w:rPr>
          <w:rFonts w:ascii="Arial" w:hAnsi="Arial" w:cs="Arial"/>
          <w:i/>
          <w:iCs/>
          <w:color w:val="222222"/>
          <w:sz w:val="22"/>
          <w:szCs w:val="22"/>
          <w:shd w:val="clear" w:color="auto" w:fill="FFFFFF"/>
        </w:rPr>
        <w:t xml:space="preserve">. </w:t>
      </w:r>
      <w:hyperlink r:id="rId9" w:history="1">
        <w:r w:rsidRPr="002612DE">
          <w:rPr>
            <w:rStyle w:val="Hyperlink"/>
            <w:rFonts w:ascii="Arial" w:hAnsi="Arial" w:cs="Arial"/>
            <w:i/>
            <w:iCs/>
            <w:sz w:val="22"/>
            <w:szCs w:val="22"/>
            <w:shd w:val="clear" w:color="auto" w:fill="FFFFFF"/>
          </w:rPr>
          <w:t>https://doi.org/10.1007/s10608-025-10630-0</w:t>
        </w:r>
      </w:hyperlink>
      <w:r w:rsidRPr="002612DE">
        <w:rPr>
          <w:rFonts w:ascii="Arial" w:hAnsi="Arial" w:cs="Arial"/>
          <w:i/>
          <w:iCs/>
          <w:color w:val="222222"/>
          <w:sz w:val="22"/>
          <w:szCs w:val="22"/>
          <w:shd w:val="clear" w:color="auto" w:fill="FFFFFF"/>
        </w:rPr>
        <w:t xml:space="preserve"> </w:t>
      </w:r>
    </w:p>
    <w:p w14:paraId="621AC66D" w14:textId="77777777" w:rsidR="00E977BC" w:rsidRPr="002612DE" w:rsidRDefault="00E977BC" w:rsidP="00F75BE1">
      <w:pPr>
        <w:spacing w:line="360" w:lineRule="auto"/>
        <w:rPr>
          <w:rFonts w:ascii="Arial" w:hAnsi="Arial" w:cs="Arial"/>
          <w:i/>
          <w:iCs/>
          <w:color w:val="222222"/>
          <w:sz w:val="22"/>
          <w:szCs w:val="22"/>
          <w:shd w:val="clear" w:color="auto" w:fill="FFFFFF"/>
        </w:rPr>
      </w:pPr>
      <w:r w:rsidRPr="002612DE">
        <w:rPr>
          <w:rFonts w:ascii="Arial" w:hAnsi="Arial" w:cs="Arial"/>
          <w:i/>
          <w:iCs/>
          <w:color w:val="222222"/>
          <w:sz w:val="22"/>
          <w:szCs w:val="22"/>
          <w:shd w:val="clear" w:color="auto" w:fill="FFFFFF"/>
        </w:rPr>
        <w:t xml:space="preserve">Boltvinik, J. (2025). Thomson, Gill, and Goodson’s Happiness, Flourishing and the Good Life: challenging the Flourishing/Well-being approaches. In From Poverty to Well-being and Human Flourishing (Volume 2) (pp. 217-228). Policy Press. </w:t>
      </w:r>
      <w:hyperlink r:id="rId10" w:history="1">
        <w:r w:rsidRPr="002612DE">
          <w:rPr>
            <w:rStyle w:val="Hyperlink"/>
            <w:rFonts w:ascii="Arial" w:hAnsi="Arial" w:cs="Arial"/>
            <w:i/>
            <w:iCs/>
            <w:sz w:val="22"/>
            <w:szCs w:val="22"/>
            <w:shd w:val="clear" w:color="auto" w:fill="FFFFFF"/>
          </w:rPr>
          <w:t>https://doi.org/10.51952/9781447372202.ch010</w:t>
        </w:r>
      </w:hyperlink>
      <w:r w:rsidRPr="002612DE">
        <w:rPr>
          <w:rFonts w:ascii="Arial" w:hAnsi="Arial" w:cs="Arial"/>
          <w:i/>
          <w:iCs/>
          <w:color w:val="222222"/>
          <w:sz w:val="22"/>
          <w:szCs w:val="22"/>
          <w:shd w:val="clear" w:color="auto" w:fill="FFFFFF"/>
        </w:rPr>
        <w:t xml:space="preserve"> </w:t>
      </w:r>
    </w:p>
    <w:p w14:paraId="383B25C1" w14:textId="77777777" w:rsidR="00E977BC" w:rsidRPr="002612DE" w:rsidRDefault="00E977BC" w:rsidP="00F75BE1">
      <w:pPr>
        <w:spacing w:line="360" w:lineRule="auto"/>
        <w:rPr>
          <w:rStyle w:val="Hyperlink"/>
          <w:rFonts w:ascii="Arial" w:hAnsi="Arial" w:cs="Arial"/>
          <w:i/>
          <w:iCs/>
          <w:sz w:val="22"/>
          <w:szCs w:val="22"/>
          <w:shd w:val="clear" w:color="auto" w:fill="FFFFFF"/>
        </w:rPr>
      </w:pPr>
      <w:r w:rsidRPr="002612DE">
        <w:rPr>
          <w:rFonts w:ascii="Arial" w:hAnsi="Arial" w:cs="Arial"/>
          <w:i/>
          <w:iCs/>
          <w:color w:val="222222"/>
          <w:sz w:val="22"/>
          <w:szCs w:val="22"/>
          <w:shd w:val="clear" w:color="auto" w:fill="FFFFFF"/>
        </w:rPr>
        <w:t xml:space="preserve">Carr, A., Cullen, K., Keeney, C., Canning, C., Mooney, O., Chinseallaigh, E., &amp; O’Dowd, A. (2021). Effectiveness of positive psychology interventions: a systematic review and meta-analysis. The journal of positive psychology, 16(6), 749-769. </w:t>
      </w:r>
      <w:hyperlink r:id="rId11" w:history="1">
        <w:r w:rsidRPr="002612DE">
          <w:rPr>
            <w:rStyle w:val="Hyperlink"/>
            <w:rFonts w:ascii="Arial" w:hAnsi="Arial" w:cs="Arial"/>
            <w:i/>
            <w:iCs/>
            <w:sz w:val="22"/>
            <w:szCs w:val="22"/>
            <w:shd w:val="clear" w:color="auto" w:fill="FFFFFF"/>
          </w:rPr>
          <w:t>https://doi.org/10.1080/17439760.2020.1818807</w:t>
        </w:r>
      </w:hyperlink>
    </w:p>
    <w:p w14:paraId="50243501" w14:textId="31957EDE" w:rsidR="00E977BC" w:rsidRPr="002612DE" w:rsidRDefault="00E977BC" w:rsidP="00F75BE1">
      <w:pPr>
        <w:spacing w:line="360" w:lineRule="auto"/>
        <w:rPr>
          <w:rFonts w:ascii="Arial" w:hAnsi="Arial" w:cs="Arial"/>
          <w:i/>
          <w:iCs/>
          <w:sz w:val="22"/>
          <w:szCs w:val="22"/>
        </w:rPr>
      </w:pPr>
      <w:r w:rsidRPr="002612DE">
        <w:rPr>
          <w:rFonts w:ascii="Arial" w:hAnsi="Arial" w:cs="Arial"/>
          <w:i/>
          <w:iCs/>
          <w:color w:val="222222"/>
          <w:sz w:val="22"/>
          <w:szCs w:val="22"/>
          <w:shd w:val="clear" w:color="auto" w:fill="FFFFFF"/>
        </w:rPr>
        <w:t xml:space="preserve">Donnellan, C. (2026). Promoting the </w:t>
      </w:r>
      <w:r w:rsidR="0054388C" w:rsidRPr="002612DE">
        <w:rPr>
          <w:rFonts w:ascii="Arial" w:hAnsi="Arial" w:cs="Arial"/>
          <w:i/>
          <w:iCs/>
          <w:color w:val="222222"/>
          <w:sz w:val="22"/>
          <w:szCs w:val="22"/>
          <w:shd w:val="clear" w:color="auto" w:fill="FFFFFF"/>
        </w:rPr>
        <w:t>concept of</w:t>
      </w:r>
      <w:r w:rsidRPr="002612DE">
        <w:rPr>
          <w:rFonts w:ascii="Arial" w:hAnsi="Arial" w:cs="Arial"/>
          <w:i/>
          <w:iCs/>
          <w:color w:val="222222"/>
          <w:sz w:val="22"/>
          <w:szCs w:val="22"/>
          <w:shd w:val="clear" w:color="auto" w:fill="FFFFFF"/>
        </w:rPr>
        <w:t xml:space="preserve"> healthy ageing for use in gerontological health and social care policy and practice. Journal of clinical nursing, 35(5), 2510-2516. </w:t>
      </w:r>
      <w:hyperlink r:id="rId12" w:history="1">
        <w:r w:rsidRPr="002612DE">
          <w:rPr>
            <w:rStyle w:val="Hyperlink"/>
            <w:rFonts w:ascii="Arial" w:hAnsi="Arial" w:cs="Arial"/>
            <w:i/>
            <w:iCs/>
            <w:sz w:val="22"/>
            <w:szCs w:val="22"/>
            <w:shd w:val="clear" w:color="auto" w:fill="FFFFFF"/>
          </w:rPr>
          <w:t>https://doi.org/10.1111/jocn.17558</w:t>
        </w:r>
      </w:hyperlink>
      <w:r w:rsidRPr="002612DE">
        <w:rPr>
          <w:rFonts w:ascii="Arial" w:hAnsi="Arial" w:cs="Arial"/>
          <w:i/>
          <w:iCs/>
          <w:color w:val="222222"/>
          <w:sz w:val="22"/>
          <w:szCs w:val="22"/>
          <w:shd w:val="clear" w:color="auto" w:fill="FFFFFF"/>
        </w:rPr>
        <w:t xml:space="preserve"> </w:t>
      </w:r>
    </w:p>
    <w:p w14:paraId="181243AD" w14:textId="77777777" w:rsidR="00E977BC" w:rsidRPr="002612DE" w:rsidRDefault="00E977BC" w:rsidP="00F75BE1">
      <w:pPr>
        <w:spacing w:line="360" w:lineRule="auto"/>
        <w:rPr>
          <w:rFonts w:ascii="Arial" w:hAnsi="Arial" w:cs="Arial"/>
          <w:i/>
          <w:iCs/>
          <w:color w:val="222222"/>
          <w:sz w:val="22"/>
          <w:szCs w:val="22"/>
          <w:shd w:val="clear" w:color="auto" w:fill="FFFFFF"/>
        </w:rPr>
      </w:pPr>
      <w:r w:rsidRPr="002612DE">
        <w:rPr>
          <w:rFonts w:ascii="Arial" w:hAnsi="Arial" w:cs="Arial"/>
          <w:i/>
          <w:iCs/>
          <w:color w:val="222222"/>
          <w:sz w:val="22"/>
          <w:szCs w:val="22"/>
          <w:shd w:val="clear" w:color="auto" w:fill="FFFFFF"/>
        </w:rPr>
        <w:t xml:space="preserve">Harris, C. B., &amp; Brookman, R. (2025). Shared remembering as support against cognitive decline in aging and dementia. Current Opinion in Psychology, 102189. </w:t>
      </w:r>
      <w:hyperlink r:id="rId13" w:history="1">
        <w:r w:rsidRPr="002612DE">
          <w:rPr>
            <w:rStyle w:val="Hyperlink"/>
            <w:rFonts w:ascii="Arial" w:hAnsi="Arial" w:cs="Arial"/>
            <w:i/>
            <w:iCs/>
            <w:sz w:val="22"/>
            <w:szCs w:val="22"/>
            <w:shd w:val="clear" w:color="auto" w:fill="FFFFFF"/>
          </w:rPr>
          <w:t>https://doi.org/10.1016/j.copsyc.2025.102189</w:t>
        </w:r>
      </w:hyperlink>
      <w:r w:rsidRPr="002612DE">
        <w:rPr>
          <w:rFonts w:ascii="Arial" w:hAnsi="Arial" w:cs="Arial"/>
          <w:i/>
          <w:iCs/>
          <w:color w:val="222222"/>
          <w:sz w:val="22"/>
          <w:szCs w:val="22"/>
          <w:shd w:val="clear" w:color="auto" w:fill="FFFFFF"/>
        </w:rPr>
        <w:t xml:space="preserve"> </w:t>
      </w:r>
    </w:p>
    <w:p w14:paraId="0FBB154C" w14:textId="77777777" w:rsidR="00E977BC" w:rsidRPr="002612DE" w:rsidRDefault="00E977BC" w:rsidP="00F75BE1">
      <w:pPr>
        <w:spacing w:line="360" w:lineRule="auto"/>
        <w:rPr>
          <w:rFonts w:ascii="Arial" w:hAnsi="Arial" w:cs="Arial"/>
          <w:i/>
          <w:iCs/>
          <w:color w:val="222222"/>
          <w:sz w:val="22"/>
          <w:szCs w:val="22"/>
          <w:shd w:val="clear" w:color="auto" w:fill="FFFFFF"/>
        </w:rPr>
      </w:pPr>
      <w:r w:rsidRPr="002612DE">
        <w:rPr>
          <w:rFonts w:ascii="Arial" w:hAnsi="Arial" w:cs="Arial"/>
          <w:i/>
          <w:iCs/>
          <w:color w:val="222222"/>
          <w:sz w:val="22"/>
          <w:szCs w:val="22"/>
          <w:shd w:val="clear" w:color="auto" w:fill="FFFFFF"/>
        </w:rPr>
        <w:t xml:space="preserve">Haslam, C., Lam, B. C., Ghafoori, E., Steffens, N. K., Haslam, S. A., Bentley, S. V., ... &amp; La Rue, C. J. (2023). A longitudinal examination of the role of social identity in supporting health and well-being in retirement. Psychology and aging, 38(7), 615. </w:t>
      </w:r>
      <w:hyperlink r:id="rId14" w:history="1">
        <w:r w:rsidRPr="002612DE">
          <w:rPr>
            <w:rStyle w:val="Hyperlink"/>
            <w:rFonts w:ascii="Arial" w:hAnsi="Arial" w:cs="Arial"/>
            <w:i/>
            <w:iCs/>
            <w:sz w:val="22"/>
            <w:szCs w:val="22"/>
            <w:shd w:val="clear" w:color="auto" w:fill="FFFFFF"/>
          </w:rPr>
          <w:t>https://sign.centre.uq.edu.au/files/6518/Haslam%20et%20al_%2C%202023_SIMIC%20AusSuper.pdf</w:t>
        </w:r>
      </w:hyperlink>
      <w:r w:rsidRPr="002612DE">
        <w:rPr>
          <w:rFonts w:ascii="Arial" w:hAnsi="Arial" w:cs="Arial"/>
          <w:i/>
          <w:iCs/>
          <w:color w:val="222222"/>
          <w:sz w:val="22"/>
          <w:szCs w:val="22"/>
          <w:shd w:val="clear" w:color="auto" w:fill="FFFFFF"/>
        </w:rPr>
        <w:t xml:space="preserve"> </w:t>
      </w:r>
    </w:p>
    <w:p w14:paraId="172CC919" w14:textId="77777777" w:rsidR="00E977BC" w:rsidRPr="002612DE" w:rsidRDefault="00E977BC" w:rsidP="00F75BE1">
      <w:pPr>
        <w:spacing w:line="360" w:lineRule="auto"/>
        <w:rPr>
          <w:rFonts w:ascii="Arial" w:hAnsi="Arial" w:cs="Arial"/>
          <w:i/>
          <w:iCs/>
          <w:color w:val="222222"/>
          <w:sz w:val="22"/>
          <w:szCs w:val="22"/>
          <w:shd w:val="clear" w:color="auto" w:fill="FFFFFF"/>
        </w:rPr>
      </w:pPr>
      <w:r w:rsidRPr="002612DE">
        <w:rPr>
          <w:rFonts w:ascii="Arial" w:hAnsi="Arial" w:cs="Arial"/>
          <w:i/>
          <w:iCs/>
          <w:color w:val="222222"/>
          <w:sz w:val="22"/>
          <w:szCs w:val="22"/>
          <w:shd w:val="clear" w:color="auto" w:fill="FFFFFF"/>
        </w:rPr>
        <w:lastRenderedPageBreak/>
        <w:t xml:space="preserve">Kim, E.S., Tkatch, R., Martin, D., MacLeod, S., Sandy, L. and Yeh, C. (2021) ‘Resilient aging: Psychological well-being and social connectedness among older adults’, The Gerontologist, 61(5), pp. 745–755. </w:t>
      </w:r>
      <w:hyperlink r:id="rId15" w:history="1">
        <w:r w:rsidRPr="002612DE">
          <w:rPr>
            <w:rStyle w:val="Hyperlink"/>
            <w:rFonts w:ascii="Arial" w:hAnsi="Arial" w:cs="Arial"/>
            <w:i/>
            <w:iCs/>
            <w:sz w:val="22"/>
            <w:szCs w:val="22"/>
            <w:shd w:val="clear" w:color="auto" w:fill="FFFFFF"/>
          </w:rPr>
          <w:t>https://journals.sagepub.com/doi/pdf/10.1177/23337214211002951</w:t>
        </w:r>
      </w:hyperlink>
      <w:r w:rsidRPr="002612DE">
        <w:rPr>
          <w:rFonts w:ascii="Arial" w:hAnsi="Arial" w:cs="Arial"/>
          <w:i/>
          <w:iCs/>
          <w:color w:val="222222"/>
          <w:sz w:val="22"/>
          <w:szCs w:val="22"/>
          <w:shd w:val="clear" w:color="auto" w:fill="FFFFFF"/>
        </w:rPr>
        <w:t xml:space="preserve"> </w:t>
      </w:r>
    </w:p>
    <w:p w14:paraId="2C2B784F" w14:textId="77777777" w:rsidR="00E977BC" w:rsidRPr="002612DE" w:rsidRDefault="00E977BC" w:rsidP="00F75BE1">
      <w:pPr>
        <w:spacing w:line="360" w:lineRule="auto"/>
        <w:rPr>
          <w:rFonts w:ascii="Arial" w:hAnsi="Arial" w:cs="Arial"/>
          <w:i/>
          <w:iCs/>
          <w:color w:val="222222"/>
          <w:sz w:val="22"/>
          <w:szCs w:val="22"/>
          <w:shd w:val="clear" w:color="auto" w:fill="FFFFFF"/>
        </w:rPr>
      </w:pPr>
      <w:r w:rsidRPr="002612DE">
        <w:rPr>
          <w:rFonts w:ascii="Arial" w:hAnsi="Arial" w:cs="Arial"/>
          <w:i/>
          <w:iCs/>
          <w:color w:val="222222"/>
          <w:sz w:val="22"/>
          <w:szCs w:val="22"/>
          <w:shd w:val="clear" w:color="auto" w:fill="FFFFFF"/>
        </w:rPr>
        <w:t xml:space="preserve">Liao, Z., Zhou, H., &amp; He, Z. (2022). The mediating role of psychological resilience between social participation and life satisfaction among older adults in China. BMC geriatrics, 22(1), 948. </w:t>
      </w:r>
      <w:hyperlink r:id="rId16" w:history="1">
        <w:r w:rsidRPr="002612DE">
          <w:rPr>
            <w:rStyle w:val="Hyperlink"/>
            <w:rFonts w:ascii="Arial" w:hAnsi="Arial" w:cs="Arial"/>
            <w:i/>
            <w:iCs/>
            <w:sz w:val="22"/>
            <w:szCs w:val="22"/>
            <w:shd w:val="clear" w:color="auto" w:fill="FFFFFF"/>
          </w:rPr>
          <w:t>https://doi.org/10.1186/s12877-022-03635-x</w:t>
        </w:r>
      </w:hyperlink>
      <w:r w:rsidRPr="002612DE">
        <w:rPr>
          <w:rFonts w:ascii="Arial" w:hAnsi="Arial" w:cs="Arial"/>
          <w:i/>
          <w:iCs/>
          <w:color w:val="222222"/>
          <w:sz w:val="22"/>
          <w:szCs w:val="22"/>
          <w:shd w:val="clear" w:color="auto" w:fill="FFFFFF"/>
        </w:rPr>
        <w:t xml:space="preserve"> </w:t>
      </w:r>
    </w:p>
    <w:p w14:paraId="1AB33955" w14:textId="77777777" w:rsidR="00E977BC" w:rsidRPr="002612DE" w:rsidRDefault="00E977BC" w:rsidP="00F75BE1">
      <w:pPr>
        <w:spacing w:line="360" w:lineRule="auto"/>
        <w:rPr>
          <w:rFonts w:ascii="Arial" w:hAnsi="Arial" w:cs="Arial"/>
          <w:i/>
          <w:iCs/>
          <w:color w:val="222222"/>
          <w:sz w:val="22"/>
          <w:szCs w:val="22"/>
          <w:shd w:val="clear" w:color="auto" w:fill="FFFFFF"/>
        </w:rPr>
      </w:pPr>
      <w:r w:rsidRPr="002612DE">
        <w:rPr>
          <w:rFonts w:ascii="Arial" w:hAnsi="Arial" w:cs="Arial"/>
          <w:i/>
          <w:iCs/>
          <w:color w:val="222222"/>
          <w:sz w:val="22"/>
          <w:szCs w:val="22"/>
          <w:shd w:val="clear" w:color="auto" w:fill="FFFFFF"/>
        </w:rPr>
        <w:t xml:space="preserve">Yuen, C. N., &amp; Santo, J. B. (2025). Erikson's Psychosocial Theory. </w:t>
      </w:r>
      <w:hyperlink r:id="rId17" w:history="1">
        <w:r w:rsidRPr="002612DE">
          <w:rPr>
            <w:rStyle w:val="Hyperlink"/>
            <w:rFonts w:ascii="Arial" w:hAnsi="Arial" w:cs="Arial"/>
            <w:i/>
            <w:iCs/>
            <w:sz w:val="22"/>
            <w:szCs w:val="22"/>
            <w:shd w:val="clear" w:color="auto" w:fill="FFFFFF"/>
          </w:rPr>
          <w:t>https://nsuworks.nova.edu/cgi/viewcontent.cgi?article=1064&amp;context=edp/</w:t>
        </w:r>
      </w:hyperlink>
      <w:r w:rsidRPr="002612DE">
        <w:rPr>
          <w:rFonts w:ascii="Arial" w:hAnsi="Arial" w:cs="Arial"/>
          <w:i/>
          <w:iCs/>
          <w:color w:val="222222"/>
          <w:sz w:val="22"/>
          <w:szCs w:val="22"/>
          <w:shd w:val="clear" w:color="auto" w:fill="FFFFFF"/>
        </w:rPr>
        <w:t xml:space="preserve"> </w:t>
      </w:r>
    </w:p>
    <w:sectPr w:rsidR="00E977BC" w:rsidRPr="002612DE">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AE044E" w14:textId="77777777" w:rsidR="00BE51F0" w:rsidRDefault="00BE51F0">
      <w:pPr>
        <w:spacing w:after="0" w:line="240" w:lineRule="auto"/>
      </w:pPr>
      <w:r>
        <w:separator/>
      </w:r>
    </w:p>
  </w:endnote>
  <w:endnote w:type="continuationSeparator" w:id="0">
    <w:p w14:paraId="4F87653A" w14:textId="77777777" w:rsidR="00BE51F0" w:rsidRDefault="00BE51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94FB3D" w14:textId="77777777" w:rsidR="006A4E0B" w:rsidRDefault="00116EB8">
    <w:pPr>
      <w:pStyle w:val="Footer"/>
      <w:jc w:val="center"/>
    </w:pPr>
    <w:r>
      <w:fldChar w:fldCharType="begin"/>
    </w:r>
    <w:r>
      <w:instrText xml:space="preserve"> PAGE   \* MERGEFORMAT </w:instrText>
    </w:r>
    <w:r>
      <w:fldChar w:fldCharType="separate"/>
    </w:r>
    <w:r>
      <w:rPr>
        <w:noProof/>
      </w:rPr>
      <w:t>2</w:t>
    </w:r>
    <w:r>
      <w:rPr>
        <w:noProof/>
      </w:rPr>
      <w:fldChar w:fldCharType="end"/>
    </w:r>
  </w:p>
  <w:p w14:paraId="5F771F70" w14:textId="77777777" w:rsidR="006A4E0B" w:rsidRDefault="006A4E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12D9C8" w14:textId="77777777" w:rsidR="00BE51F0" w:rsidRDefault="00BE51F0">
      <w:pPr>
        <w:spacing w:after="0" w:line="240" w:lineRule="auto"/>
      </w:pPr>
      <w:r>
        <w:separator/>
      </w:r>
    </w:p>
  </w:footnote>
  <w:footnote w:type="continuationSeparator" w:id="0">
    <w:p w14:paraId="0646E516" w14:textId="77777777" w:rsidR="00BE51F0" w:rsidRDefault="00BE51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561B3E"/>
    <w:multiLevelType w:val="hybridMultilevel"/>
    <w:tmpl w:val="9D0EB7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D982F98"/>
    <w:multiLevelType w:val="hybridMultilevel"/>
    <w:tmpl w:val="1BA613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9B73B49"/>
    <w:multiLevelType w:val="hybridMultilevel"/>
    <w:tmpl w:val="31E8F7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54083847">
    <w:abstractNumId w:val="2"/>
  </w:num>
  <w:num w:numId="2" w16cid:durableId="479231824">
    <w:abstractNumId w:val="0"/>
  </w:num>
  <w:num w:numId="3" w16cid:durableId="16748018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4E0B"/>
    <w:rsid w:val="00071C63"/>
    <w:rsid w:val="00116EB8"/>
    <w:rsid w:val="00152FFE"/>
    <w:rsid w:val="0018560A"/>
    <w:rsid w:val="00194DE9"/>
    <w:rsid w:val="001A1C8C"/>
    <w:rsid w:val="001F214C"/>
    <w:rsid w:val="001F6A7E"/>
    <w:rsid w:val="002612DE"/>
    <w:rsid w:val="00263702"/>
    <w:rsid w:val="00283C91"/>
    <w:rsid w:val="002922D4"/>
    <w:rsid w:val="002C6C55"/>
    <w:rsid w:val="003066CA"/>
    <w:rsid w:val="00314755"/>
    <w:rsid w:val="00423D2A"/>
    <w:rsid w:val="00490FB7"/>
    <w:rsid w:val="004D06D4"/>
    <w:rsid w:val="00533DEE"/>
    <w:rsid w:val="0054388C"/>
    <w:rsid w:val="00562BCE"/>
    <w:rsid w:val="006A4E0B"/>
    <w:rsid w:val="006F0CF4"/>
    <w:rsid w:val="0081757E"/>
    <w:rsid w:val="008A1B50"/>
    <w:rsid w:val="008D6759"/>
    <w:rsid w:val="00900CA8"/>
    <w:rsid w:val="00945E88"/>
    <w:rsid w:val="00B17480"/>
    <w:rsid w:val="00B56B20"/>
    <w:rsid w:val="00BD115A"/>
    <w:rsid w:val="00BE51F0"/>
    <w:rsid w:val="00D22238"/>
    <w:rsid w:val="00D400F0"/>
    <w:rsid w:val="00D618E1"/>
    <w:rsid w:val="00E977BC"/>
    <w:rsid w:val="00F75BE1"/>
    <w:rsid w:val="00FB07CD"/>
  </w:rsids>
  <m:mathPr>
    <m:mathFont m:val="Cambria Math"/>
    <m:brkBin m:val="before"/>
    <m:brkBinSub m:val="--"/>
    <m:smallFrac m:val="0"/>
    <m:dispDef/>
    <m:lMargin m:val="0"/>
    <m:rMargin m:val="0"/>
    <m:defJc m:val="centerGroup"/>
    <m:wrapIndent m:val="1440"/>
    <m:intLim m:val="subSup"/>
    <m:naryLim m:val="undOvr"/>
  </m:mathPr>
  <w:themeFontLang w:val="en-US"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5A915D"/>
  <w15:docId w15:val="{2A3C06FC-8EC0-41A0-B7F6-3B130E841F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Vrinda"/>
        <w:sz w:val="24"/>
        <w:szCs w:val="30"/>
        <w:lang w:val="en-GB" w:eastAsia="en-US" w:bidi="bn-BD"/>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US"/>
    </w:rPr>
  </w:style>
  <w:style w:type="paragraph" w:styleId="Heading1">
    <w:name w:val="heading 1"/>
    <w:basedOn w:val="Normal"/>
    <w:link w:val="Heading1Char"/>
    <w:uiPriority w:val="9"/>
    <w:qFormat/>
    <w:pPr>
      <w:spacing w:before="100" w:beforeAutospacing="1" w:after="100" w:afterAutospacing="1" w:line="240" w:lineRule="auto"/>
      <w:outlineLvl w:val="0"/>
    </w:pPr>
    <w:rPr>
      <w:rFonts w:ascii="Times New Roman" w:eastAsia="Times New Roman" w:hAnsi="Times New Roman" w:cs="Times New Roman"/>
      <w:b/>
      <w:bCs/>
      <w:kern w:val="36"/>
      <w:sz w:val="48"/>
      <w:szCs w:val="48"/>
      <w:lang w:val="en-GB" w:eastAsia="en-GB"/>
    </w:rPr>
  </w:style>
  <w:style w:type="paragraph" w:styleId="Heading2">
    <w:name w:val="heading 2"/>
    <w:basedOn w:val="Normal"/>
    <w:link w:val="Heading2Char"/>
    <w:uiPriority w:val="9"/>
    <w:semiHidden/>
    <w:unhideWhenUsed/>
    <w:qFormat/>
    <w:pPr>
      <w:spacing w:before="100" w:beforeAutospacing="1" w:after="100" w:afterAutospacing="1" w:line="240" w:lineRule="auto"/>
      <w:outlineLvl w:val="1"/>
    </w:pPr>
    <w:rPr>
      <w:rFonts w:ascii="Times New Roman" w:eastAsia="Times New Roman" w:hAnsi="Times New Roman" w:cs="Times New Roman"/>
      <w:b/>
      <w:bCs/>
      <w:sz w:val="36"/>
      <w:szCs w:val="36"/>
      <w:lang w:val="en-GB" w:eastAsia="en-GB"/>
    </w:rPr>
  </w:style>
  <w:style w:type="paragraph" w:styleId="Heading3">
    <w:name w:val="heading 3"/>
    <w:basedOn w:val="Normal"/>
    <w:link w:val="Heading3Char"/>
    <w:uiPriority w:val="9"/>
    <w:semiHidden/>
    <w:unhideWhenUsed/>
    <w:qFormat/>
    <w:pPr>
      <w:spacing w:before="100" w:beforeAutospacing="1" w:after="100" w:afterAutospacing="1" w:line="240" w:lineRule="auto"/>
      <w:outlineLvl w:val="2"/>
    </w:pPr>
    <w:rPr>
      <w:rFonts w:ascii="Times New Roman" w:eastAsia="Times New Roman" w:hAnsi="Times New Roman" w:cs="Times New Roman"/>
      <w:b/>
      <w:bCs/>
      <w:sz w:val="27"/>
      <w:szCs w:val="27"/>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Pr>
      <w:rFonts w:ascii="Times New Roman" w:eastAsia="Times New Roman" w:hAnsi="Times New Roman" w:cs="Times New Roman"/>
      <w:b/>
      <w:bCs/>
      <w:sz w:val="27"/>
      <w:szCs w:val="27"/>
      <w:lang w:eastAsia="en-GB"/>
    </w:rPr>
  </w:style>
  <w:style w:type="paragraph" w:customStyle="1" w:styleId="isselectedend">
    <w:name w:val="isselectedend"/>
    <w:basedOn w:val="Normal"/>
    <w:pPr>
      <w:spacing w:before="100" w:beforeAutospacing="1" w:after="100" w:afterAutospacing="1" w:line="240" w:lineRule="auto"/>
    </w:pPr>
    <w:rPr>
      <w:rFonts w:ascii="Times New Roman" w:eastAsia="Times New Roman" w:hAnsi="Times New Roman" w:cs="Times New Roman"/>
      <w:szCs w:val="24"/>
      <w:lang w:val="en-GB" w:eastAsia="en-GB"/>
    </w:rPr>
  </w:style>
  <w:style w:type="character" w:styleId="Strong">
    <w:name w:val="Strong"/>
    <w:basedOn w:val="DefaultParagraphFont"/>
    <w:uiPriority w:val="22"/>
    <w:qFormat/>
    <w:rPr>
      <w:b/>
      <w:bCs/>
    </w:rPr>
  </w:style>
  <w:style w:type="character" w:styleId="Emphasis">
    <w:name w:val="Emphasis"/>
    <w:basedOn w:val="DefaultParagraphFont"/>
    <w:uiPriority w:val="20"/>
    <w:qFormat/>
    <w:rPr>
      <w:i/>
      <w:iCs/>
    </w:rPr>
  </w:style>
  <w:style w:type="paragraph" w:styleId="NormalWeb">
    <w:name w:val="Normal (Web)"/>
    <w:basedOn w:val="Normal"/>
    <w:uiPriority w:val="99"/>
    <w:pPr>
      <w:spacing w:before="100" w:beforeAutospacing="1" w:after="100" w:afterAutospacing="1" w:line="240" w:lineRule="auto"/>
    </w:pPr>
    <w:rPr>
      <w:rFonts w:ascii="Times New Roman" w:eastAsia="Times New Roman" w:hAnsi="Times New Roman" w:cs="Times New Roman"/>
      <w:szCs w:val="24"/>
      <w:lang w:val="en-GB" w:eastAsia="en-GB"/>
    </w:rPr>
  </w:style>
  <w:style w:type="character" w:styleId="Hyperlink">
    <w:name w:val="Hyperlink"/>
    <w:basedOn w:val="DefaultParagraphFont"/>
    <w:uiPriority w:val="99"/>
    <w:rPr>
      <w:color w:val="0563C1"/>
      <w:u w:val="single"/>
    </w:rPr>
  </w:style>
  <w:style w:type="character" w:customStyle="1" w:styleId="UnresolvedMention1">
    <w:name w:val="Unresolved Mention1"/>
    <w:basedOn w:val="DefaultParagraphFont"/>
    <w:uiPriority w:val="99"/>
    <w:rPr>
      <w:color w:val="605E5C"/>
      <w:shd w:val="clear" w:color="auto" w:fill="E1DFDD"/>
    </w:rPr>
  </w:style>
  <w:style w:type="paragraph" w:styleId="Header">
    <w:name w:val="header"/>
    <w:basedOn w:val="Normal"/>
    <w:link w:val="HeaderChar"/>
    <w:uiPriority w:val="99"/>
    <w:pPr>
      <w:tabs>
        <w:tab w:val="center" w:pos="4513"/>
        <w:tab w:val="right" w:pos="9026"/>
      </w:tabs>
      <w:spacing w:after="0" w:line="240" w:lineRule="auto"/>
    </w:pPr>
  </w:style>
  <w:style w:type="character" w:customStyle="1" w:styleId="HeaderChar">
    <w:name w:val="Header Char"/>
    <w:basedOn w:val="DefaultParagraphFont"/>
    <w:link w:val="Header"/>
    <w:uiPriority w:val="99"/>
    <w:rPr>
      <w:lang w:val="en-US"/>
    </w:rPr>
  </w:style>
  <w:style w:type="paragraph" w:styleId="Footer">
    <w:name w:val="footer"/>
    <w:basedOn w:val="Normal"/>
    <w:link w:val="FooterChar"/>
    <w:uiPriority w:val="99"/>
    <w:pPr>
      <w:tabs>
        <w:tab w:val="center" w:pos="4513"/>
        <w:tab w:val="right" w:pos="9026"/>
      </w:tabs>
      <w:spacing w:after="0" w:line="240" w:lineRule="auto"/>
    </w:pPr>
  </w:style>
  <w:style w:type="character" w:customStyle="1" w:styleId="FooterChar">
    <w:name w:val="Footer Char"/>
    <w:basedOn w:val="DefaultParagraphFont"/>
    <w:link w:val="Footer"/>
    <w:uiPriority w:val="99"/>
    <w:rPr>
      <w:lang w:val="en-US"/>
    </w:rPr>
  </w:style>
  <w:style w:type="paragraph" w:styleId="ListParagraph">
    <w:name w:val="List Paragraph"/>
    <w:basedOn w:val="Normal"/>
    <w:uiPriority w:val="34"/>
    <w:qFormat/>
    <w:rsid w:val="00490FB7"/>
    <w:pPr>
      <w:ind w:left="720"/>
      <w:contextualSpacing/>
    </w:pPr>
  </w:style>
  <w:style w:type="paragraph" w:styleId="BodyText">
    <w:name w:val="Body Text"/>
    <w:basedOn w:val="Normal"/>
    <w:link w:val="BodyTextChar"/>
    <w:uiPriority w:val="1"/>
    <w:qFormat/>
    <w:rsid w:val="00283C91"/>
    <w:pPr>
      <w:widowControl w:val="0"/>
      <w:autoSpaceDE w:val="0"/>
      <w:autoSpaceDN w:val="0"/>
      <w:spacing w:after="0" w:line="240" w:lineRule="auto"/>
    </w:pPr>
    <w:rPr>
      <w:rFonts w:ascii="Arial" w:eastAsia="Arial" w:hAnsi="Arial" w:cs="Arial"/>
      <w:sz w:val="22"/>
      <w:szCs w:val="22"/>
      <w:lang w:bidi="ar-SA"/>
      <w14:ligatures w14:val="none"/>
    </w:rPr>
  </w:style>
  <w:style w:type="character" w:customStyle="1" w:styleId="BodyTextChar">
    <w:name w:val="Body Text Char"/>
    <w:basedOn w:val="DefaultParagraphFont"/>
    <w:link w:val="BodyText"/>
    <w:uiPriority w:val="1"/>
    <w:rsid w:val="00283C91"/>
    <w:rPr>
      <w:rFonts w:ascii="Arial" w:eastAsia="Arial" w:hAnsi="Arial" w:cs="Arial"/>
      <w:sz w:val="22"/>
      <w:szCs w:val="22"/>
      <w:lang w:val="en-US" w:bidi="ar-SA"/>
      <w14:ligatures w14:val="none"/>
    </w:rPr>
  </w:style>
  <w:style w:type="character" w:styleId="UnresolvedMention">
    <w:name w:val="Unresolved Mention"/>
    <w:basedOn w:val="DefaultParagraphFont"/>
    <w:uiPriority w:val="99"/>
    <w:semiHidden/>
    <w:unhideWhenUsed/>
    <w:rsid w:val="008D675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doi.org/10.1016/j.heliyon.2024.e30124" TargetMode="External"/><Relationship Id="rId13" Type="http://schemas.openxmlformats.org/officeDocument/2006/relationships/hyperlink" Target="https://doi.org/10.1016/j.copsyc.2025.102189"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doi.org/10.1016/j.heliyon.2024.e30124" TargetMode="External"/><Relationship Id="rId12" Type="http://schemas.openxmlformats.org/officeDocument/2006/relationships/hyperlink" Target="https://doi.org/10.1111/jocn.17558" TargetMode="External"/><Relationship Id="rId17" Type="http://schemas.openxmlformats.org/officeDocument/2006/relationships/hyperlink" Target="https://nsuworks.nova.edu/cgi/viewcontent.cgi?article=1064&amp;context=edp/" TargetMode="External"/><Relationship Id="rId2" Type="http://schemas.openxmlformats.org/officeDocument/2006/relationships/styles" Target="styles.xml"/><Relationship Id="rId16" Type="http://schemas.openxmlformats.org/officeDocument/2006/relationships/hyperlink" Target="https://doi.org/10.1186/s12877-022-03635-x"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80/17439760.2020.1818807" TargetMode="External"/><Relationship Id="rId5" Type="http://schemas.openxmlformats.org/officeDocument/2006/relationships/footnotes" Target="footnotes.xml"/><Relationship Id="rId15" Type="http://schemas.openxmlformats.org/officeDocument/2006/relationships/hyperlink" Target="https://journals.sagepub.com/doi/pdf/10.1177/23337214211002951" TargetMode="External"/><Relationship Id="rId10" Type="http://schemas.openxmlformats.org/officeDocument/2006/relationships/hyperlink" Target="https://doi.org/10.51952/9781447372202.ch010"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007/s10608-025-10630-0" TargetMode="External"/><Relationship Id="rId14" Type="http://schemas.openxmlformats.org/officeDocument/2006/relationships/hyperlink" Target="https://sign.centre.uq.edu.au/files/6518/Haslam%20et%20al_%2C%202023_SIMIC%20AusSuper.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44</TotalTime>
  <Pages>9</Pages>
  <Words>2394</Words>
  <Characters>13647</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Tahmina Sultana (2431922)</cp:lastModifiedBy>
  <cp:revision>21</cp:revision>
  <dcterms:created xsi:type="dcterms:W3CDTF">2026-07-27T08:43:00Z</dcterms:created>
  <dcterms:modified xsi:type="dcterms:W3CDTF">2026-07-28T10:51:00Z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1704b5eef5444b6b8a44eb0737f8e3cc_23</vt:lpwstr>
  </property>
</Properties>
</file>