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87E1C"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t>Supporting Paper – Video critique</w:t>
      </w:r>
    </w:p>
    <w:p w14:paraId="007AF169"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t xml:space="preserve">This assignment will critique a discussion between a client and a counsellor. The discussion is about the client starting university and the stress of the </w:t>
      </w:r>
      <w:proofErr w:type="spellStart"/>
      <w:proofErr w:type="gramStart"/>
      <w:r w:rsidRPr="00527F90">
        <w:rPr>
          <w:rFonts w:ascii="Arial" w:eastAsia="Times New Roman" w:hAnsi="Arial" w:cs="Arial"/>
          <w:color w:val="000000"/>
          <w:sz w:val="22"/>
          <w:szCs w:val="22"/>
          <w:lang w:eastAsia="en-GB"/>
        </w:rPr>
        <w:t>course.This</w:t>
      </w:r>
      <w:proofErr w:type="spellEnd"/>
      <w:proofErr w:type="gramEnd"/>
      <w:r w:rsidRPr="00527F90">
        <w:rPr>
          <w:rFonts w:ascii="Arial" w:eastAsia="Times New Roman" w:hAnsi="Arial" w:cs="Arial"/>
          <w:color w:val="000000"/>
          <w:sz w:val="22"/>
          <w:szCs w:val="22"/>
          <w:lang w:eastAsia="en-GB"/>
        </w:rPr>
        <w:t xml:space="preserve"> essay will consider the strengths and weaknesses of the discussion between the client and the counsellor. Counselling is where an individual speaks to a counsellor with problems with emotional issues, where the counsellor listens and is able to help them solve some of their problems.  (Burnard, 2005)</w:t>
      </w:r>
    </w:p>
    <w:p w14:paraId="078BF894"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t xml:space="preserve">One of the strengths of the video was the skill of paraphrasing. This meant that the counsellor understood what the client was trying to say and reworded the statement </w:t>
      </w:r>
      <w:proofErr w:type="gramStart"/>
      <w:r w:rsidRPr="00527F90">
        <w:rPr>
          <w:rFonts w:ascii="Arial" w:eastAsia="Times New Roman" w:hAnsi="Arial" w:cs="Arial"/>
          <w:color w:val="000000"/>
          <w:sz w:val="22"/>
          <w:szCs w:val="22"/>
          <w:lang w:eastAsia="en-GB"/>
        </w:rPr>
        <w:t>and  picked</w:t>
      </w:r>
      <w:proofErr w:type="gramEnd"/>
      <w:r w:rsidRPr="00527F90">
        <w:rPr>
          <w:rFonts w:ascii="Arial" w:eastAsia="Times New Roman" w:hAnsi="Arial" w:cs="Arial"/>
          <w:color w:val="000000"/>
          <w:sz w:val="22"/>
          <w:szCs w:val="22"/>
          <w:lang w:eastAsia="en-GB"/>
        </w:rPr>
        <w:t xml:space="preserve"> out some of the important words used. For an example in the video the client stated that she was worried that she wouldn’t be able to keep up with the work and complete all tasks on time. The counsellor later reworded the statement and made it easier to clarify what had been said.  (Burnard, 2005)</w:t>
      </w:r>
    </w:p>
    <w:p w14:paraId="1FCBF86C"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t xml:space="preserve">Another strength was reflection. The purpose of this particular skill is to make sure that the counsellor understands the individual’s situation. This also let the client know that the counsellor had been actively listening. Also, this skill is a very </w:t>
      </w:r>
      <w:proofErr w:type="gramStart"/>
      <w:r w:rsidRPr="00527F90">
        <w:rPr>
          <w:rFonts w:ascii="Arial" w:eastAsia="Times New Roman" w:hAnsi="Arial" w:cs="Arial"/>
          <w:color w:val="000000"/>
          <w:sz w:val="22"/>
          <w:szCs w:val="22"/>
          <w:lang w:eastAsia="en-GB"/>
        </w:rPr>
        <w:t>important  as</w:t>
      </w:r>
      <w:proofErr w:type="gramEnd"/>
      <w:r w:rsidRPr="00527F90">
        <w:rPr>
          <w:rFonts w:ascii="Arial" w:eastAsia="Times New Roman" w:hAnsi="Arial" w:cs="Arial"/>
          <w:color w:val="000000"/>
          <w:sz w:val="22"/>
          <w:szCs w:val="22"/>
          <w:lang w:eastAsia="en-GB"/>
        </w:rPr>
        <w:t xml:space="preserve"> it lets the client tell their story as many people who seek counselling haven’t spoken about it beforehand. In this experience using reflection will let the client open up to the counsellor and the client may feel relief when she said she could get the worries off her chest. This skill gave the client a wave of relief. (McLeod, J., &amp; McLeod, J., 2011)</w:t>
      </w:r>
    </w:p>
    <w:p w14:paraId="6F05FE1E" w14:textId="30223694"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t xml:space="preserve"> The third strength was summarising. This is to reflect on what has happened in the session and bring it to a close. This was used throughout the video. This is used to ensure the counsellor and the client understand the </w:t>
      </w:r>
      <w:proofErr w:type="gramStart"/>
      <w:r w:rsidRPr="00527F90">
        <w:rPr>
          <w:rFonts w:ascii="Arial" w:eastAsia="Times New Roman" w:hAnsi="Arial" w:cs="Arial"/>
          <w:color w:val="000000"/>
          <w:sz w:val="22"/>
          <w:szCs w:val="22"/>
          <w:lang w:eastAsia="en-GB"/>
        </w:rPr>
        <w:t>situation..</w:t>
      </w:r>
      <w:proofErr w:type="gramEnd"/>
      <w:r w:rsidRPr="00527F90">
        <w:rPr>
          <w:rFonts w:ascii="Arial" w:eastAsia="Times New Roman" w:hAnsi="Arial" w:cs="Arial"/>
          <w:color w:val="000000"/>
          <w:sz w:val="22"/>
          <w:szCs w:val="22"/>
          <w:lang w:eastAsia="en-GB"/>
        </w:rPr>
        <w:t xml:space="preserve"> This skill was used towards the end of the session. This brought the main topics that were spoken about to a close.</w:t>
      </w:r>
      <w:r w:rsidR="00F75E18">
        <w:rPr>
          <w:rFonts w:ascii="Arial" w:eastAsia="Times New Roman" w:hAnsi="Arial" w:cs="Arial"/>
          <w:color w:val="000000"/>
          <w:sz w:val="22"/>
          <w:szCs w:val="22"/>
          <w:lang w:eastAsia="en-GB"/>
        </w:rPr>
        <w:t xml:space="preserve"> </w:t>
      </w:r>
      <w:proofErr w:type="gramStart"/>
      <w:r w:rsidRPr="00527F90">
        <w:rPr>
          <w:rFonts w:ascii="Arial" w:eastAsia="Times New Roman" w:hAnsi="Arial" w:cs="Arial"/>
          <w:color w:val="000000"/>
          <w:sz w:val="22"/>
          <w:szCs w:val="22"/>
          <w:lang w:eastAsia="en-GB"/>
        </w:rPr>
        <w:t>This</w:t>
      </w:r>
      <w:proofErr w:type="gramEnd"/>
      <w:r w:rsidRPr="00527F90">
        <w:rPr>
          <w:rFonts w:ascii="Arial" w:eastAsia="Times New Roman" w:hAnsi="Arial" w:cs="Arial"/>
          <w:color w:val="000000"/>
          <w:sz w:val="22"/>
          <w:szCs w:val="22"/>
          <w:lang w:eastAsia="en-GB"/>
        </w:rPr>
        <w:t xml:space="preserve"> was used to summarise when ending a discussion, a specific topic. (Kelly, 2017)</w:t>
      </w:r>
    </w:p>
    <w:p w14:paraId="53F2B3E7"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t> A weakness from the video was open ended questions. The purpose of open questions is to let the client answer with more than a yes or no answer. This gives the client time to explain in more detail. This also lets the client express themselves more as it lets the counsellor understand their perspective and it is shown by their facial expressions. In the video the questions asked were a lot more closed and that meant that the answers were closed and were able to be answered with a couple of words or a yes or no answer. An example of this was when the counsellor asked how the support in the university was, the answer was short and couldn’t be carried further, If the question was more open ended then better results may have been achieved in the answer.  An example of a better question would be ‘Describe the support available at the university.’ This would have enabled the client to answer in more detail. (Hough, 2014)</w:t>
      </w:r>
    </w:p>
    <w:p w14:paraId="5EB7B334" w14:textId="77777777" w:rsidR="007A238F" w:rsidRDefault="00527F90" w:rsidP="00F75E18">
      <w:pPr>
        <w:jc w:val="both"/>
        <w:rPr>
          <w:rFonts w:ascii="Arial" w:eastAsia="Times New Roman" w:hAnsi="Arial" w:cs="Arial"/>
          <w:color w:val="000000"/>
          <w:sz w:val="22"/>
          <w:szCs w:val="22"/>
          <w:lang w:eastAsia="en-GB"/>
        </w:rPr>
      </w:pPr>
      <w:r w:rsidRPr="00527F90">
        <w:rPr>
          <w:rFonts w:ascii="Arial" w:eastAsia="Times New Roman" w:hAnsi="Arial" w:cs="Arial"/>
          <w:color w:val="000000"/>
          <w:sz w:val="22"/>
          <w:szCs w:val="22"/>
          <w:lang w:eastAsia="en-GB"/>
        </w:rPr>
        <w:t> Another weakness from the video was active listening</w:t>
      </w:r>
      <w:r w:rsidR="00F75E18">
        <w:rPr>
          <w:rFonts w:ascii="Arial" w:eastAsia="Times New Roman" w:hAnsi="Arial" w:cs="Arial"/>
          <w:color w:val="000000"/>
          <w:sz w:val="22"/>
          <w:szCs w:val="22"/>
          <w:lang w:eastAsia="en-GB"/>
        </w:rPr>
        <w:t xml:space="preserve">. The definition of Active listening is </w:t>
      </w:r>
      <w:r w:rsidR="007A238F">
        <w:rPr>
          <w:rFonts w:ascii="Arial" w:eastAsia="Times New Roman" w:hAnsi="Arial" w:cs="Arial"/>
          <w:color w:val="000000"/>
          <w:sz w:val="22"/>
          <w:szCs w:val="22"/>
          <w:lang w:eastAsia="en-GB"/>
        </w:rPr>
        <w:t xml:space="preserve">be able to listen with all of the senses and body language is a big part of it. Body language shows that what the client is </w:t>
      </w:r>
      <w:proofErr w:type="gramStart"/>
      <w:r w:rsidR="007A238F">
        <w:rPr>
          <w:rFonts w:ascii="Arial" w:eastAsia="Times New Roman" w:hAnsi="Arial" w:cs="Arial"/>
          <w:color w:val="000000"/>
          <w:sz w:val="22"/>
          <w:szCs w:val="22"/>
          <w:lang w:eastAsia="en-GB"/>
        </w:rPr>
        <w:t>feeling</w:t>
      </w:r>
      <w:proofErr w:type="gramEnd"/>
      <w:r w:rsidR="007A238F">
        <w:rPr>
          <w:rFonts w:ascii="Arial" w:eastAsia="Times New Roman" w:hAnsi="Arial" w:cs="Arial"/>
          <w:color w:val="000000"/>
          <w:sz w:val="22"/>
          <w:szCs w:val="22"/>
          <w:lang w:eastAsia="en-GB"/>
        </w:rPr>
        <w:t xml:space="preserve"> and the counsellor can understand by active listening.</w:t>
      </w:r>
      <w:sdt>
        <w:sdtPr>
          <w:rPr>
            <w:rFonts w:ascii="Arial" w:eastAsia="Times New Roman" w:hAnsi="Arial" w:cs="Arial"/>
            <w:color w:val="000000"/>
            <w:sz w:val="22"/>
            <w:szCs w:val="22"/>
            <w:lang w:eastAsia="en-GB"/>
          </w:rPr>
          <w:id w:val="-1959485008"/>
          <w:citation/>
        </w:sdtPr>
        <w:sdtContent>
          <w:r w:rsidR="007A238F">
            <w:rPr>
              <w:rFonts w:ascii="Arial" w:eastAsia="Times New Roman" w:hAnsi="Arial" w:cs="Arial"/>
              <w:color w:val="000000"/>
              <w:sz w:val="22"/>
              <w:szCs w:val="22"/>
              <w:lang w:eastAsia="en-GB"/>
            </w:rPr>
            <w:fldChar w:fldCharType="begin"/>
          </w:r>
          <w:r w:rsidR="007A238F">
            <w:rPr>
              <w:rFonts w:ascii="Arial" w:eastAsia="Times New Roman" w:hAnsi="Arial" w:cs="Arial"/>
              <w:color w:val="000000"/>
              <w:sz w:val="22"/>
              <w:szCs w:val="22"/>
              <w:lang w:eastAsia="en-GB"/>
            </w:rPr>
            <w:instrText xml:space="preserve"> CITATION Act20 \l 2057 </w:instrText>
          </w:r>
          <w:r w:rsidR="007A238F">
            <w:rPr>
              <w:rFonts w:ascii="Arial" w:eastAsia="Times New Roman" w:hAnsi="Arial" w:cs="Arial"/>
              <w:color w:val="000000"/>
              <w:sz w:val="22"/>
              <w:szCs w:val="22"/>
              <w:lang w:eastAsia="en-GB"/>
            </w:rPr>
            <w:fldChar w:fldCharType="separate"/>
          </w:r>
          <w:r w:rsidR="007A238F">
            <w:rPr>
              <w:rFonts w:ascii="Arial" w:eastAsia="Times New Roman" w:hAnsi="Arial" w:cs="Arial"/>
              <w:noProof/>
              <w:color w:val="000000"/>
              <w:sz w:val="22"/>
              <w:szCs w:val="22"/>
              <w:lang w:eastAsia="en-GB"/>
            </w:rPr>
            <w:t xml:space="preserve"> </w:t>
          </w:r>
          <w:r w:rsidR="007A238F" w:rsidRPr="007A238F">
            <w:rPr>
              <w:rFonts w:ascii="Arial" w:eastAsia="Times New Roman" w:hAnsi="Arial" w:cs="Arial"/>
              <w:noProof/>
              <w:color w:val="000000"/>
              <w:sz w:val="22"/>
              <w:szCs w:val="22"/>
              <w:lang w:eastAsia="en-GB"/>
            </w:rPr>
            <w:t>(Listening, n.d.)</w:t>
          </w:r>
          <w:r w:rsidR="007A238F">
            <w:rPr>
              <w:rFonts w:ascii="Arial" w:eastAsia="Times New Roman" w:hAnsi="Arial" w:cs="Arial"/>
              <w:color w:val="000000"/>
              <w:sz w:val="22"/>
              <w:szCs w:val="22"/>
              <w:lang w:eastAsia="en-GB"/>
            </w:rPr>
            <w:fldChar w:fldCharType="end"/>
          </w:r>
        </w:sdtContent>
      </w:sdt>
    </w:p>
    <w:p w14:paraId="20EC95D6" w14:textId="3228B515" w:rsidR="00527F90" w:rsidRPr="00527F90" w:rsidRDefault="00F75E18" w:rsidP="00F75E18">
      <w:pPr>
        <w:jc w:val="both"/>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w:t>
      </w:r>
      <w:r w:rsidR="00527F90" w:rsidRPr="00527F90">
        <w:rPr>
          <w:rFonts w:ascii="Arial" w:eastAsia="Times New Roman" w:hAnsi="Arial" w:cs="Arial"/>
          <w:color w:val="000000"/>
          <w:sz w:val="22"/>
          <w:szCs w:val="22"/>
          <w:lang w:eastAsia="en-GB"/>
        </w:rPr>
        <w:t xml:space="preserve">his skill is not only to listen but to understand what the client is trying to portray. This skill is to let the client express the thoughts and feelings they are having. The use of body language is an important role in this skill as the counsellor can see how the client feels when the speak about a topic. At some </w:t>
      </w:r>
      <w:proofErr w:type="gramStart"/>
      <w:r w:rsidR="00527F90" w:rsidRPr="00527F90">
        <w:rPr>
          <w:rFonts w:ascii="Arial" w:eastAsia="Times New Roman" w:hAnsi="Arial" w:cs="Arial"/>
          <w:color w:val="000000"/>
          <w:sz w:val="22"/>
          <w:szCs w:val="22"/>
          <w:lang w:eastAsia="en-GB"/>
        </w:rPr>
        <w:t>times  the</w:t>
      </w:r>
      <w:proofErr w:type="gramEnd"/>
      <w:r w:rsidR="00527F90" w:rsidRPr="00527F90">
        <w:rPr>
          <w:rFonts w:ascii="Arial" w:eastAsia="Times New Roman" w:hAnsi="Arial" w:cs="Arial"/>
          <w:color w:val="000000"/>
          <w:sz w:val="22"/>
          <w:szCs w:val="22"/>
          <w:lang w:eastAsia="en-GB"/>
        </w:rPr>
        <w:t xml:space="preserve"> counsellor had to re ask the question as the client found it difficult to concentrate and to listen and understand at the same time. The weakness was that the counsellor couldn’t keep eye contact with the client as the counsellor was taking notes and trying to understand what was being said. (</w:t>
      </w:r>
      <w:proofErr w:type="spellStart"/>
      <w:r w:rsidR="00527F90" w:rsidRPr="00527F90">
        <w:rPr>
          <w:rFonts w:ascii="Arial" w:eastAsia="Times New Roman" w:hAnsi="Arial" w:cs="Arial"/>
          <w:color w:val="000000"/>
          <w:sz w:val="22"/>
          <w:szCs w:val="22"/>
          <w:lang w:eastAsia="en-GB"/>
        </w:rPr>
        <w:t>Bossons</w:t>
      </w:r>
      <w:proofErr w:type="spellEnd"/>
      <w:r w:rsidR="00527F90" w:rsidRPr="00527F90">
        <w:rPr>
          <w:rFonts w:ascii="Arial" w:eastAsia="Times New Roman" w:hAnsi="Arial" w:cs="Arial"/>
          <w:color w:val="000000"/>
          <w:sz w:val="22"/>
          <w:szCs w:val="22"/>
          <w:lang w:eastAsia="en-GB"/>
        </w:rPr>
        <w:t xml:space="preserve">, Boys, </w:t>
      </w:r>
      <w:proofErr w:type="spellStart"/>
      <w:r w:rsidR="00527F90" w:rsidRPr="00527F90">
        <w:rPr>
          <w:rFonts w:ascii="Arial" w:eastAsia="Times New Roman" w:hAnsi="Arial" w:cs="Arial"/>
          <w:color w:val="000000"/>
          <w:sz w:val="22"/>
          <w:szCs w:val="22"/>
          <w:lang w:eastAsia="en-GB"/>
        </w:rPr>
        <w:t>Michie</w:t>
      </w:r>
      <w:proofErr w:type="spellEnd"/>
      <w:r w:rsidR="00527F90" w:rsidRPr="00527F90">
        <w:rPr>
          <w:rFonts w:ascii="Arial" w:eastAsia="Times New Roman" w:hAnsi="Arial" w:cs="Arial"/>
          <w:color w:val="000000"/>
          <w:sz w:val="22"/>
          <w:szCs w:val="22"/>
          <w:lang w:eastAsia="en-GB"/>
        </w:rPr>
        <w:t>, Roe, 2007)</w:t>
      </w:r>
    </w:p>
    <w:p w14:paraId="2F3D0251" w14:textId="100C0C73" w:rsidR="00527F90" w:rsidRDefault="00527F90" w:rsidP="00527F90">
      <w:pPr>
        <w:jc w:val="both"/>
        <w:rPr>
          <w:rFonts w:ascii="Arial" w:eastAsia="Times New Roman" w:hAnsi="Arial" w:cs="Arial"/>
          <w:color w:val="000000"/>
          <w:sz w:val="22"/>
          <w:szCs w:val="22"/>
          <w:lang w:eastAsia="en-GB"/>
        </w:rPr>
      </w:pPr>
      <w:r w:rsidRPr="00527F90">
        <w:rPr>
          <w:rFonts w:ascii="Arial" w:eastAsia="Times New Roman" w:hAnsi="Arial" w:cs="Arial"/>
          <w:color w:val="000000"/>
          <w:sz w:val="22"/>
          <w:szCs w:val="22"/>
          <w:lang w:eastAsia="en-GB"/>
        </w:rPr>
        <w:t xml:space="preserve"> Lastly the weakness of the video is attending. In counselling this is the way the counsellor is sitting, how much eye contact and if they are tensed and relaxed. In this video the counsellor was sitting in a relaxed position. The counsellor was sitting opposite the client. The problem with this seating arrangement is that the client can feel quite uncomfortable as the client may feel judged and </w:t>
      </w:r>
      <w:r w:rsidR="007A238F" w:rsidRPr="00527F90">
        <w:rPr>
          <w:rFonts w:ascii="Arial" w:eastAsia="Times New Roman" w:hAnsi="Arial" w:cs="Arial"/>
          <w:color w:val="000000"/>
          <w:sz w:val="22"/>
          <w:szCs w:val="22"/>
          <w:lang w:eastAsia="en-GB"/>
        </w:rPr>
        <w:t>that could</w:t>
      </w:r>
      <w:r w:rsidRPr="00527F90">
        <w:rPr>
          <w:rFonts w:ascii="Arial" w:eastAsia="Times New Roman" w:hAnsi="Arial" w:cs="Arial"/>
          <w:color w:val="000000"/>
          <w:sz w:val="22"/>
          <w:szCs w:val="22"/>
          <w:lang w:eastAsia="en-GB"/>
        </w:rPr>
        <w:t xml:space="preserve"> make it very difficult to open up and share her feelings. To remedy this problem the best way to sit would be to sit squarely, or by sitting next to them as this would show that both are on the same level and there isn’t any judgement happening.</w:t>
      </w:r>
      <w:r>
        <w:rPr>
          <w:rFonts w:ascii="Arial" w:eastAsia="Times New Roman" w:hAnsi="Arial" w:cs="Arial"/>
          <w:color w:val="000000"/>
          <w:sz w:val="22"/>
          <w:szCs w:val="22"/>
          <w:lang w:eastAsia="en-GB"/>
        </w:rPr>
        <w:t xml:space="preserve"> </w:t>
      </w:r>
      <w:sdt>
        <w:sdtPr>
          <w:rPr>
            <w:rFonts w:ascii="Arial" w:eastAsia="Times New Roman" w:hAnsi="Arial" w:cs="Arial"/>
            <w:color w:val="000000"/>
            <w:sz w:val="22"/>
            <w:szCs w:val="22"/>
            <w:lang w:eastAsia="en-GB"/>
          </w:rPr>
          <w:id w:val="589903947"/>
          <w:citation/>
        </w:sdtPr>
        <w:sdtContent>
          <w:r>
            <w:rPr>
              <w:rFonts w:ascii="Arial" w:eastAsia="Times New Roman" w:hAnsi="Arial" w:cs="Arial"/>
              <w:color w:val="000000"/>
              <w:sz w:val="22"/>
              <w:szCs w:val="22"/>
              <w:lang w:eastAsia="en-GB"/>
            </w:rPr>
            <w:fldChar w:fldCharType="begin"/>
          </w:r>
          <w:r>
            <w:rPr>
              <w:rFonts w:ascii="Arial" w:eastAsia="Times New Roman" w:hAnsi="Arial" w:cs="Arial"/>
              <w:color w:val="000000"/>
              <w:sz w:val="22"/>
              <w:szCs w:val="22"/>
              <w:lang w:eastAsia="en-GB"/>
            </w:rPr>
            <w:instrText xml:space="preserve"> CITATION Lau14 \l 2057 </w:instrText>
          </w:r>
          <w:r>
            <w:rPr>
              <w:rFonts w:ascii="Arial" w:eastAsia="Times New Roman" w:hAnsi="Arial" w:cs="Arial"/>
              <w:color w:val="000000"/>
              <w:sz w:val="22"/>
              <w:szCs w:val="22"/>
              <w:lang w:eastAsia="en-GB"/>
            </w:rPr>
            <w:fldChar w:fldCharType="separate"/>
          </w:r>
          <w:r w:rsidRPr="00527F90">
            <w:rPr>
              <w:rFonts w:ascii="Arial" w:eastAsia="Times New Roman" w:hAnsi="Arial" w:cs="Arial"/>
              <w:noProof/>
              <w:color w:val="000000"/>
              <w:sz w:val="22"/>
              <w:szCs w:val="22"/>
              <w:lang w:eastAsia="en-GB"/>
            </w:rPr>
            <w:t>(Meyers, 2014)</w:t>
          </w:r>
          <w:r>
            <w:rPr>
              <w:rFonts w:ascii="Arial" w:eastAsia="Times New Roman" w:hAnsi="Arial" w:cs="Arial"/>
              <w:color w:val="000000"/>
              <w:sz w:val="22"/>
              <w:szCs w:val="22"/>
              <w:lang w:eastAsia="en-GB"/>
            </w:rPr>
            <w:fldChar w:fldCharType="end"/>
          </w:r>
        </w:sdtContent>
      </w:sdt>
    </w:p>
    <w:p w14:paraId="633EDEAD" w14:textId="77777777" w:rsidR="00527F90" w:rsidRPr="00527F90" w:rsidRDefault="00527F90" w:rsidP="00527F90">
      <w:pPr>
        <w:jc w:val="both"/>
        <w:rPr>
          <w:rFonts w:ascii="Times New Roman" w:eastAsia="Times New Roman" w:hAnsi="Times New Roman" w:cs="Times New Roman"/>
          <w:color w:val="000000"/>
          <w:lang w:eastAsia="en-GB"/>
        </w:rPr>
      </w:pPr>
    </w:p>
    <w:p w14:paraId="528EB385"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sz w:val="22"/>
          <w:szCs w:val="22"/>
          <w:lang w:eastAsia="en-GB"/>
        </w:rPr>
        <w:lastRenderedPageBreak/>
        <w:t> Eye contact was an issue also in this video as the counsellor didn’t have much eye contact with the client. This might make the client feel like she is being problematic and boring the counsellor. </w:t>
      </w:r>
    </w:p>
    <w:p w14:paraId="4789C3D7" w14:textId="77777777" w:rsidR="00527F90" w:rsidRPr="00527F90" w:rsidRDefault="00527F90" w:rsidP="00527F90">
      <w:pPr>
        <w:rPr>
          <w:rFonts w:ascii="Times New Roman" w:eastAsia="Times New Roman" w:hAnsi="Times New Roman" w:cs="Times New Roman"/>
          <w:color w:val="000000"/>
          <w:lang w:eastAsia="en-GB"/>
        </w:rPr>
      </w:pPr>
    </w:p>
    <w:p w14:paraId="0B2AF6BC"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b/>
          <w:bCs/>
          <w:color w:val="2F5496"/>
          <w:sz w:val="28"/>
          <w:szCs w:val="28"/>
          <w:lang w:eastAsia="en-GB"/>
        </w:rPr>
        <w:t>Bibliography</w:t>
      </w:r>
    </w:p>
    <w:p w14:paraId="0A4845CB"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Burnard, P., 2005. </w:t>
      </w:r>
      <w:r w:rsidRPr="00527F90">
        <w:rPr>
          <w:rFonts w:ascii="Calibri" w:eastAsia="Times New Roman" w:hAnsi="Calibri" w:cs="Times New Roman"/>
          <w:i/>
          <w:iCs/>
          <w:color w:val="000000"/>
          <w:lang w:eastAsia="en-GB"/>
        </w:rPr>
        <w:t xml:space="preserve">Counselling Skills for Health Professionals. </w:t>
      </w:r>
      <w:r w:rsidRPr="00527F90">
        <w:rPr>
          <w:rFonts w:ascii="Calibri" w:eastAsia="Times New Roman" w:hAnsi="Calibri" w:cs="Times New Roman"/>
          <w:color w:val="000000"/>
          <w:lang w:eastAsia="en-GB"/>
        </w:rPr>
        <w:t>4th ed. Cheltenham: Nelson Thornes LTD.</w:t>
      </w:r>
    </w:p>
    <w:p w14:paraId="11AA38C4"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Hough, M., 2014. </w:t>
      </w:r>
      <w:r w:rsidRPr="00527F90">
        <w:rPr>
          <w:rFonts w:ascii="Calibri" w:eastAsia="Times New Roman" w:hAnsi="Calibri" w:cs="Times New Roman"/>
          <w:i/>
          <w:iCs/>
          <w:color w:val="000000"/>
          <w:lang w:eastAsia="en-GB"/>
        </w:rPr>
        <w:t xml:space="preserve">Counselling skills and theories. </w:t>
      </w:r>
      <w:r w:rsidRPr="00527F90">
        <w:rPr>
          <w:rFonts w:ascii="Calibri" w:eastAsia="Times New Roman" w:hAnsi="Calibri" w:cs="Times New Roman"/>
          <w:color w:val="000000"/>
          <w:lang w:eastAsia="en-GB"/>
        </w:rPr>
        <w:t>4th ed. London: Hodder Education.</w:t>
      </w:r>
    </w:p>
    <w:p w14:paraId="4A507DA3"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Kelly, K., 2017. </w:t>
      </w:r>
      <w:r w:rsidRPr="00527F90">
        <w:rPr>
          <w:rFonts w:ascii="Calibri" w:eastAsia="Times New Roman" w:hAnsi="Calibri" w:cs="Times New Roman"/>
          <w:i/>
          <w:iCs/>
          <w:color w:val="000000"/>
          <w:lang w:eastAsia="en-GB"/>
        </w:rPr>
        <w:t xml:space="preserve">Counselling Tutor. </w:t>
      </w:r>
      <w:r w:rsidRPr="00527F90">
        <w:rPr>
          <w:rFonts w:ascii="Calibri" w:eastAsia="Times New Roman" w:hAnsi="Calibri" w:cs="Times New Roman"/>
          <w:color w:val="000000"/>
          <w:lang w:eastAsia="en-GB"/>
        </w:rPr>
        <w:t>[Online] </w:t>
      </w:r>
    </w:p>
    <w:p w14:paraId="0CF0A62B"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Available at: </w:t>
      </w:r>
      <w:r w:rsidRPr="00527F90">
        <w:rPr>
          <w:rFonts w:ascii="Calibri" w:eastAsia="Times New Roman" w:hAnsi="Calibri" w:cs="Times New Roman"/>
          <w:color w:val="000000"/>
          <w:u w:val="single"/>
          <w:lang w:eastAsia="en-GB"/>
        </w:rPr>
        <w:t>https://counsellingtutor.com/basic-counselling-skills/summarising/</w:t>
      </w:r>
    </w:p>
    <w:p w14:paraId="07236BD5"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[Accessed 14 Januar</w:t>
      </w:r>
      <w:bookmarkStart w:id="0" w:name="_GoBack"/>
      <w:bookmarkEnd w:id="0"/>
      <w:r w:rsidRPr="00527F90">
        <w:rPr>
          <w:rFonts w:ascii="Calibri" w:eastAsia="Times New Roman" w:hAnsi="Calibri" w:cs="Times New Roman"/>
          <w:color w:val="000000"/>
          <w:lang w:eastAsia="en-GB"/>
        </w:rPr>
        <w:t>y 2020].</w:t>
      </w:r>
    </w:p>
    <w:p w14:paraId="74EC844C"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Lisa </w:t>
      </w:r>
      <w:proofErr w:type="spellStart"/>
      <w:r w:rsidRPr="00527F90">
        <w:rPr>
          <w:rFonts w:ascii="Calibri" w:eastAsia="Times New Roman" w:hAnsi="Calibri" w:cs="Times New Roman"/>
          <w:color w:val="000000"/>
          <w:lang w:eastAsia="en-GB"/>
        </w:rPr>
        <w:t>Bossons</w:t>
      </w:r>
      <w:proofErr w:type="spellEnd"/>
      <w:r w:rsidRPr="00527F90">
        <w:rPr>
          <w:rFonts w:ascii="Calibri" w:eastAsia="Times New Roman" w:hAnsi="Calibri" w:cs="Times New Roman"/>
          <w:color w:val="000000"/>
          <w:lang w:eastAsia="en-GB"/>
        </w:rPr>
        <w:t xml:space="preserve">, Deborah Boys, Val </w:t>
      </w:r>
      <w:proofErr w:type="spellStart"/>
      <w:r w:rsidRPr="00527F90">
        <w:rPr>
          <w:rFonts w:ascii="Calibri" w:eastAsia="Times New Roman" w:hAnsi="Calibri" w:cs="Times New Roman"/>
          <w:color w:val="000000"/>
          <w:lang w:eastAsia="en-GB"/>
        </w:rPr>
        <w:t>Michie</w:t>
      </w:r>
      <w:proofErr w:type="spellEnd"/>
      <w:r w:rsidRPr="00527F90">
        <w:rPr>
          <w:rFonts w:ascii="Calibri" w:eastAsia="Times New Roman" w:hAnsi="Calibri" w:cs="Times New Roman"/>
          <w:color w:val="000000"/>
          <w:lang w:eastAsia="en-GB"/>
        </w:rPr>
        <w:t xml:space="preserve">, Jacky Roe, 2007. </w:t>
      </w:r>
      <w:r w:rsidRPr="00527F90">
        <w:rPr>
          <w:rFonts w:ascii="Calibri" w:eastAsia="Times New Roman" w:hAnsi="Calibri" w:cs="Times New Roman"/>
          <w:i/>
          <w:iCs/>
          <w:color w:val="000000"/>
          <w:lang w:eastAsia="en-GB"/>
        </w:rPr>
        <w:t xml:space="preserve">Health and social </w:t>
      </w:r>
      <w:proofErr w:type="gramStart"/>
      <w:r w:rsidRPr="00527F90">
        <w:rPr>
          <w:rFonts w:ascii="Calibri" w:eastAsia="Times New Roman" w:hAnsi="Calibri" w:cs="Times New Roman"/>
          <w:i/>
          <w:iCs/>
          <w:color w:val="000000"/>
          <w:lang w:eastAsia="en-GB"/>
        </w:rPr>
        <w:t>care ,</w:t>
      </w:r>
      <w:proofErr w:type="gramEnd"/>
      <w:r w:rsidRPr="00527F90">
        <w:rPr>
          <w:rFonts w:ascii="Calibri" w:eastAsia="Times New Roman" w:hAnsi="Calibri" w:cs="Times New Roman"/>
          <w:i/>
          <w:iCs/>
          <w:color w:val="000000"/>
          <w:lang w:eastAsia="en-GB"/>
        </w:rPr>
        <w:t xml:space="preserve"> book 1. </w:t>
      </w:r>
      <w:r w:rsidRPr="00527F90">
        <w:rPr>
          <w:rFonts w:ascii="Calibri" w:eastAsia="Times New Roman" w:hAnsi="Calibri" w:cs="Times New Roman"/>
          <w:color w:val="000000"/>
          <w:lang w:eastAsia="en-GB"/>
        </w:rPr>
        <w:t>1st ed. Cheltenham: Nelson Thornes LTD.</w:t>
      </w:r>
    </w:p>
    <w:p w14:paraId="309C411C"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McLeod, J., &amp; McLeod, J., 2011. </w:t>
      </w:r>
      <w:r w:rsidRPr="00527F90">
        <w:rPr>
          <w:rFonts w:ascii="Calibri" w:eastAsia="Times New Roman" w:hAnsi="Calibri" w:cs="Times New Roman"/>
          <w:i/>
          <w:iCs/>
          <w:color w:val="000000"/>
          <w:lang w:eastAsia="en-GB"/>
        </w:rPr>
        <w:t xml:space="preserve">Counselling Skills: A practical guide for counsellors and helping professionals. </w:t>
      </w:r>
      <w:r w:rsidRPr="00527F90">
        <w:rPr>
          <w:rFonts w:ascii="Calibri" w:eastAsia="Times New Roman" w:hAnsi="Calibri" w:cs="Times New Roman"/>
          <w:color w:val="000000"/>
          <w:lang w:eastAsia="en-GB"/>
        </w:rPr>
        <w:t>2nd ed. Maidenhead: McGraw-Hill: Open University press.</w:t>
      </w:r>
    </w:p>
    <w:p w14:paraId="757A9F6B" w14:textId="77777777" w:rsidR="00527F90" w:rsidRPr="00527F90" w:rsidRDefault="00527F90" w:rsidP="00527F90">
      <w:pPr>
        <w:jc w:val="both"/>
        <w:rPr>
          <w:rFonts w:ascii="Times New Roman" w:eastAsia="Times New Roman" w:hAnsi="Times New Roman" w:cs="Times New Roman"/>
          <w:color w:val="000000"/>
          <w:lang w:eastAsia="en-GB"/>
        </w:rPr>
      </w:pPr>
      <w:r w:rsidRPr="00527F90">
        <w:rPr>
          <w:rFonts w:ascii="Calibri" w:eastAsia="Times New Roman" w:hAnsi="Calibri" w:cs="Times New Roman"/>
          <w:color w:val="000000"/>
          <w:lang w:eastAsia="en-GB"/>
        </w:rPr>
        <w:t xml:space="preserve">Val </w:t>
      </w:r>
      <w:proofErr w:type="spellStart"/>
      <w:r w:rsidRPr="00527F90">
        <w:rPr>
          <w:rFonts w:ascii="Calibri" w:eastAsia="Times New Roman" w:hAnsi="Calibri" w:cs="Times New Roman"/>
          <w:color w:val="000000"/>
          <w:lang w:eastAsia="en-GB"/>
        </w:rPr>
        <w:t>Michie</w:t>
      </w:r>
      <w:proofErr w:type="spellEnd"/>
      <w:r w:rsidRPr="00527F90">
        <w:rPr>
          <w:rFonts w:ascii="Calibri" w:eastAsia="Times New Roman" w:hAnsi="Calibri" w:cs="Times New Roman"/>
          <w:color w:val="000000"/>
          <w:lang w:eastAsia="en-GB"/>
        </w:rPr>
        <w:t xml:space="preserve">, Layla Baker, Deborah Boys, Janet </w:t>
      </w:r>
      <w:proofErr w:type="spellStart"/>
      <w:r w:rsidRPr="00527F90">
        <w:rPr>
          <w:rFonts w:ascii="Calibri" w:eastAsia="Times New Roman" w:hAnsi="Calibri" w:cs="Times New Roman"/>
          <w:color w:val="000000"/>
          <w:lang w:eastAsia="en-GB"/>
        </w:rPr>
        <w:t>McAleavy</w:t>
      </w:r>
      <w:proofErr w:type="spellEnd"/>
      <w:r w:rsidRPr="00527F90">
        <w:rPr>
          <w:rFonts w:ascii="Calibri" w:eastAsia="Times New Roman" w:hAnsi="Calibri" w:cs="Times New Roman"/>
          <w:color w:val="000000"/>
          <w:lang w:eastAsia="en-GB"/>
        </w:rPr>
        <w:t xml:space="preserve">, 2008. </w:t>
      </w:r>
      <w:r w:rsidRPr="00527F90">
        <w:rPr>
          <w:rFonts w:ascii="Calibri" w:eastAsia="Times New Roman" w:hAnsi="Calibri" w:cs="Times New Roman"/>
          <w:i/>
          <w:iCs/>
          <w:color w:val="000000"/>
          <w:lang w:eastAsia="en-GB"/>
        </w:rPr>
        <w:t xml:space="preserve">Health and social care, book 2. </w:t>
      </w:r>
      <w:r w:rsidRPr="00527F90">
        <w:rPr>
          <w:rFonts w:ascii="Calibri" w:eastAsia="Times New Roman" w:hAnsi="Calibri" w:cs="Times New Roman"/>
          <w:color w:val="000000"/>
          <w:lang w:eastAsia="en-GB"/>
        </w:rPr>
        <w:t>1st ed. Cheltenham: Nelson Thornes.</w:t>
      </w:r>
    </w:p>
    <w:p w14:paraId="40F38685" w14:textId="18D0370E" w:rsidR="00527F90" w:rsidRPr="00527F90" w:rsidRDefault="00527F90" w:rsidP="00527F90">
      <w:pPr>
        <w:jc w:val="both"/>
        <w:rPr>
          <w:rFonts w:ascii="Times New Roman" w:eastAsia="Times New Roman" w:hAnsi="Times New Roman" w:cs="Times New Roman"/>
          <w:color w:val="000000"/>
          <w:lang w:eastAsia="en-GB"/>
        </w:rPr>
      </w:pPr>
      <w:r w:rsidRPr="00527F90">
        <w:rPr>
          <w:rFonts w:ascii="Arial" w:eastAsia="Times New Roman" w:hAnsi="Arial" w:cs="Arial"/>
          <w:color w:val="000000"/>
          <w:lang w:eastAsia="en-GB"/>
        </w:rPr>
        <w:t> </w:t>
      </w:r>
    </w:p>
    <w:p w14:paraId="597C8391" w14:textId="77777777" w:rsidR="00527F90" w:rsidRPr="00527F90" w:rsidRDefault="00527F90" w:rsidP="00527F90">
      <w:pPr>
        <w:spacing w:after="240"/>
        <w:rPr>
          <w:rFonts w:ascii="Times New Roman" w:eastAsia="Times New Roman" w:hAnsi="Times New Roman" w:cs="Times New Roman"/>
          <w:lang w:eastAsia="en-GB"/>
        </w:rPr>
      </w:pPr>
    </w:p>
    <w:p w14:paraId="1BCDC561" w14:textId="7C435812" w:rsidR="00527F90" w:rsidRDefault="00527F90"/>
    <w:sectPr w:rsidR="00527F90" w:rsidSect="00F57DF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F90"/>
    <w:rsid w:val="003A5682"/>
    <w:rsid w:val="00527F90"/>
    <w:rsid w:val="007A238F"/>
    <w:rsid w:val="00CE3E30"/>
    <w:rsid w:val="00F57DFA"/>
    <w:rsid w:val="00F75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9C6FA7"/>
  <w15:chartTrackingRefBased/>
  <w15:docId w15:val="{05A6A33E-835A-5D4F-940C-92DBF29C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7F9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486525">
      <w:bodyDiv w:val="1"/>
      <w:marLeft w:val="0"/>
      <w:marRight w:val="0"/>
      <w:marTop w:val="0"/>
      <w:marBottom w:val="0"/>
      <w:divBdr>
        <w:top w:val="none" w:sz="0" w:space="0" w:color="auto"/>
        <w:left w:val="none" w:sz="0" w:space="0" w:color="auto"/>
        <w:bottom w:val="none" w:sz="0" w:space="0" w:color="auto"/>
        <w:right w:val="none" w:sz="0" w:space="0" w:color="auto"/>
      </w:divBdr>
    </w:div>
    <w:div w:id="1271552340">
      <w:bodyDiv w:val="1"/>
      <w:marLeft w:val="0"/>
      <w:marRight w:val="0"/>
      <w:marTop w:val="0"/>
      <w:marBottom w:val="0"/>
      <w:divBdr>
        <w:top w:val="none" w:sz="0" w:space="0" w:color="auto"/>
        <w:left w:val="none" w:sz="0" w:space="0" w:color="auto"/>
        <w:bottom w:val="none" w:sz="0" w:space="0" w:color="auto"/>
        <w:right w:val="none" w:sz="0" w:space="0" w:color="auto"/>
      </w:divBdr>
    </w:div>
    <w:div w:id="177270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Lau14</b:Tag>
    <b:SourceType>InternetSite</b:SourceType>
    <b:Guid>{ABEC9691-9EFF-4647-A5DC-6158D997390C}</b:Guid>
    <b:Title>Counseling today</b:Title>
    <b:Year>2014</b:Year>
    <b:Author>
      <b:Author>
        <b:NameList>
          <b:Person>
            <b:Last>Meyers</b:Last>
            <b:First>Laurie</b:First>
          </b:Person>
        </b:NameList>
      </b:Author>
    </b:Author>
    <b:URL>https://ct.counseling.org/2014/08/connecting-with-clients/</b:URL>
    <b:YearAccessed>2020</b:YearAccessed>
    <b:MonthAccessed>January</b:MonthAccessed>
    <b:DayAccessed>14</b:DayAccessed>
    <b:RefOrder>2</b:RefOrder>
  </b:Source>
  <b:Source>
    <b:Tag>Act20</b:Tag>
    <b:SourceType>InternetSite</b:SourceType>
    <b:Guid>{30F5238C-D6A2-E342-A230-C8C91F86455A}</b:Guid>
    <b:Author>
      <b:Author>
        <b:NameList>
          <b:Person>
            <b:Last>Listening</b:Last>
            <b:First>Active</b:First>
          </b:Person>
        </b:NameList>
      </b:Author>
    </b:Author>
    <b:Title>Skills you need</b:Title>
    <b:URL>https://www.skillsyouneed.com/ips/active-listening.html</b:URL>
    <b:YearAccessed>2020</b:YearAccessed>
    <b:MonthAccessed>January</b:MonthAccessed>
    <b:DayAccessed>14</b:DayAccessed>
    <b:RefOrder>1</b:RefOrder>
  </b:Source>
</b:Sources>
</file>

<file path=customXml/itemProps1.xml><?xml version="1.0" encoding="utf-8"?>
<ds:datastoreItem xmlns:ds="http://schemas.openxmlformats.org/officeDocument/2006/customXml" ds:itemID="{F90E1E23-45FD-FC4A-995F-5434D9E2B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836</Words>
  <Characters>4802</Characters>
  <Application>Microsoft Office Word</Application>
  <DocSecurity>0</DocSecurity>
  <Lines>133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Siwan Jones (1902497)</dc:creator>
  <cp:keywords/>
  <dc:description/>
  <cp:lastModifiedBy>Siwan Jones (1902497)</cp:lastModifiedBy>
  <cp:revision>1</cp:revision>
  <dcterms:created xsi:type="dcterms:W3CDTF">2020-01-15T18:21:00Z</dcterms:created>
  <dcterms:modified xsi:type="dcterms:W3CDTF">2020-01-17T12:45:00Z</dcterms:modified>
</cp:coreProperties>
</file>