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B93" w:rsidRDefault="006E16B2">
      <w:r>
        <w:rPr>
          <w:noProof/>
          <w:lang w:eastAsia="bg-BG"/>
        </w:rPr>
        <w:drawing>
          <wp:inline distT="0" distB="0" distL="0" distR="0" wp14:anchorId="3F7847B6" wp14:editId="0463E3FE">
            <wp:extent cx="2859405" cy="1146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9405" cy="1146175"/>
                    </a:xfrm>
                    <a:prstGeom prst="rect">
                      <a:avLst/>
                    </a:prstGeom>
                    <a:noFill/>
                  </pic:spPr>
                </pic:pic>
              </a:graphicData>
            </a:graphic>
          </wp:inline>
        </w:drawing>
      </w:r>
    </w:p>
    <w:p w:rsidR="006E16B2" w:rsidRDefault="006E16B2" w:rsidP="006E16B2">
      <w:pPr>
        <w:pStyle w:val="Title"/>
        <w:jc w:val="center"/>
        <w:rPr>
          <w:sz w:val="40"/>
          <w:szCs w:val="40"/>
        </w:rPr>
      </w:pPr>
    </w:p>
    <w:p w:rsidR="006E16B2" w:rsidRDefault="006E16B2" w:rsidP="006E16B2">
      <w:pPr>
        <w:pStyle w:val="Title"/>
        <w:jc w:val="center"/>
        <w:rPr>
          <w:sz w:val="40"/>
          <w:szCs w:val="40"/>
        </w:rPr>
      </w:pPr>
    </w:p>
    <w:p w:rsidR="006E16B2" w:rsidRDefault="006E16B2" w:rsidP="006E16B2">
      <w:pPr>
        <w:pStyle w:val="Title"/>
        <w:jc w:val="center"/>
        <w:rPr>
          <w:sz w:val="40"/>
          <w:szCs w:val="40"/>
        </w:rPr>
      </w:pPr>
    </w:p>
    <w:p w:rsidR="006E16B2" w:rsidRPr="00C2275C" w:rsidRDefault="006E16B2" w:rsidP="006E16B2">
      <w:pPr>
        <w:pStyle w:val="Title"/>
        <w:jc w:val="center"/>
        <w:rPr>
          <w:sz w:val="40"/>
          <w:szCs w:val="40"/>
        </w:rPr>
      </w:pPr>
      <w:proofErr w:type="spellStart"/>
      <w:r w:rsidRPr="00C2275C">
        <w:rPr>
          <w:sz w:val="40"/>
          <w:szCs w:val="40"/>
        </w:rPr>
        <w:t>Programme</w:t>
      </w:r>
      <w:proofErr w:type="spellEnd"/>
      <w:r w:rsidRPr="00C2275C">
        <w:rPr>
          <w:sz w:val="40"/>
          <w:szCs w:val="40"/>
        </w:rPr>
        <w:t>:</w:t>
      </w:r>
    </w:p>
    <w:p w:rsidR="006E16B2" w:rsidRDefault="006E16B2" w:rsidP="006E16B2">
      <w:pPr>
        <w:pStyle w:val="Title"/>
        <w:jc w:val="center"/>
        <w:rPr>
          <w:sz w:val="40"/>
          <w:szCs w:val="40"/>
        </w:rPr>
      </w:pPr>
      <w:r w:rsidRPr="00C2275C">
        <w:rPr>
          <w:sz w:val="40"/>
          <w:szCs w:val="40"/>
        </w:rPr>
        <w:t>BA Business Management</w:t>
      </w:r>
    </w:p>
    <w:p w:rsidR="006E16B2" w:rsidRPr="00C2275C" w:rsidRDefault="006E16B2" w:rsidP="006E16B2"/>
    <w:p w:rsidR="006E16B2" w:rsidRPr="00C2275C" w:rsidRDefault="006E16B2" w:rsidP="006E16B2">
      <w:pPr>
        <w:pStyle w:val="Title"/>
        <w:jc w:val="center"/>
        <w:rPr>
          <w:sz w:val="40"/>
          <w:szCs w:val="40"/>
        </w:rPr>
      </w:pPr>
      <w:r w:rsidRPr="00C2275C">
        <w:rPr>
          <w:sz w:val="40"/>
          <w:szCs w:val="40"/>
        </w:rPr>
        <w:t>Module:</w:t>
      </w:r>
    </w:p>
    <w:p w:rsidR="006E16B2" w:rsidRPr="006E1A35" w:rsidRDefault="006E16B2" w:rsidP="006E16B2">
      <w:pPr>
        <w:pStyle w:val="Title"/>
        <w:jc w:val="center"/>
        <w:rPr>
          <w:sz w:val="40"/>
          <w:szCs w:val="40"/>
        </w:rPr>
      </w:pPr>
      <w:r w:rsidRPr="006E1A35">
        <w:rPr>
          <w:sz w:val="40"/>
          <w:szCs w:val="40"/>
        </w:rPr>
        <w:t>Community Engagement</w:t>
      </w:r>
    </w:p>
    <w:p w:rsidR="006E16B2" w:rsidRPr="006E1A35" w:rsidRDefault="006E16B2" w:rsidP="006E16B2">
      <w:pPr>
        <w:pStyle w:val="Title"/>
        <w:jc w:val="center"/>
        <w:rPr>
          <w:sz w:val="40"/>
          <w:szCs w:val="40"/>
        </w:rPr>
      </w:pPr>
    </w:p>
    <w:p w:rsidR="006E16B2" w:rsidRPr="006E1A35" w:rsidRDefault="006E16B2" w:rsidP="006E16B2">
      <w:pPr>
        <w:pStyle w:val="Title"/>
        <w:jc w:val="center"/>
        <w:rPr>
          <w:color w:val="auto"/>
          <w:sz w:val="40"/>
          <w:szCs w:val="40"/>
        </w:rPr>
      </w:pPr>
      <w:r w:rsidRPr="006E1A35">
        <w:rPr>
          <w:color w:val="auto"/>
          <w:sz w:val="40"/>
          <w:szCs w:val="40"/>
        </w:rPr>
        <w:t>LCBB4002</w:t>
      </w:r>
    </w:p>
    <w:p w:rsidR="006E16B2" w:rsidRDefault="006E16B2" w:rsidP="006E16B2">
      <w:pPr>
        <w:pStyle w:val="Title"/>
        <w:jc w:val="center"/>
      </w:pPr>
    </w:p>
    <w:p w:rsidR="006E16B2" w:rsidRPr="006E1A35" w:rsidRDefault="006E16B2" w:rsidP="006E16B2">
      <w:pPr>
        <w:pStyle w:val="Title"/>
        <w:jc w:val="center"/>
        <w:rPr>
          <w:bCs/>
          <w:sz w:val="28"/>
          <w:szCs w:val="28"/>
        </w:rPr>
      </w:pPr>
      <w:r w:rsidRPr="006E1A35">
        <w:rPr>
          <w:bCs/>
          <w:sz w:val="28"/>
          <w:szCs w:val="28"/>
        </w:rPr>
        <w:t>Assignment 1</w:t>
      </w:r>
    </w:p>
    <w:p w:rsidR="006E16B2" w:rsidRDefault="006E16B2" w:rsidP="006E16B2">
      <w:pPr>
        <w:rPr>
          <w:b/>
          <w:bCs/>
        </w:rPr>
      </w:pPr>
    </w:p>
    <w:p w:rsidR="006E16B2" w:rsidRDefault="006E16B2" w:rsidP="006E16B2">
      <w:pPr>
        <w:rPr>
          <w:bCs/>
          <w:sz w:val="24"/>
          <w:szCs w:val="24"/>
        </w:rPr>
      </w:pPr>
    </w:p>
    <w:p w:rsidR="006E16B2" w:rsidRDefault="006E16B2" w:rsidP="006E16B2">
      <w:pPr>
        <w:rPr>
          <w:bCs/>
          <w:sz w:val="24"/>
          <w:szCs w:val="24"/>
        </w:rPr>
      </w:pPr>
    </w:p>
    <w:p w:rsidR="006E16B2" w:rsidRDefault="006E16B2" w:rsidP="006E16B2">
      <w:pPr>
        <w:rPr>
          <w:bCs/>
          <w:sz w:val="24"/>
          <w:szCs w:val="24"/>
        </w:rPr>
      </w:pPr>
    </w:p>
    <w:p w:rsidR="006E16B2" w:rsidRDefault="006E16B2" w:rsidP="006E16B2">
      <w:pPr>
        <w:rPr>
          <w:bCs/>
          <w:sz w:val="24"/>
          <w:szCs w:val="24"/>
        </w:rPr>
      </w:pPr>
    </w:p>
    <w:p w:rsidR="006E16B2" w:rsidRDefault="006E16B2" w:rsidP="006E16B2">
      <w:pPr>
        <w:rPr>
          <w:bCs/>
          <w:sz w:val="24"/>
          <w:szCs w:val="24"/>
        </w:rPr>
      </w:pPr>
    </w:p>
    <w:p w:rsidR="006E16B2" w:rsidRDefault="006E16B2" w:rsidP="006E16B2">
      <w:pPr>
        <w:rPr>
          <w:bCs/>
          <w:sz w:val="24"/>
          <w:szCs w:val="24"/>
        </w:rPr>
      </w:pPr>
    </w:p>
    <w:p w:rsidR="006E16B2" w:rsidRDefault="006E16B2" w:rsidP="006E16B2">
      <w:pPr>
        <w:rPr>
          <w:bCs/>
          <w:sz w:val="24"/>
          <w:szCs w:val="24"/>
        </w:rPr>
      </w:pPr>
      <w:bookmarkStart w:id="0" w:name="_GoBack"/>
      <w:bookmarkEnd w:id="0"/>
    </w:p>
    <w:p w:rsidR="006E16B2" w:rsidRDefault="006E16B2" w:rsidP="006E16B2">
      <w:pPr>
        <w:rPr>
          <w:bCs/>
          <w:sz w:val="24"/>
          <w:szCs w:val="24"/>
        </w:rPr>
      </w:pPr>
    </w:p>
    <w:p w:rsidR="006E16B2" w:rsidRDefault="006E16B2" w:rsidP="006E16B2">
      <w:pPr>
        <w:rPr>
          <w:bCs/>
          <w:sz w:val="24"/>
          <w:szCs w:val="24"/>
        </w:rPr>
      </w:pPr>
    </w:p>
    <w:p w:rsidR="006E16B2" w:rsidRDefault="006E16B2" w:rsidP="006E16B2">
      <w:pPr>
        <w:rPr>
          <w:bCs/>
          <w:sz w:val="24"/>
          <w:szCs w:val="24"/>
        </w:rPr>
      </w:pPr>
    </w:p>
    <w:p w:rsidR="006E16B2" w:rsidRPr="006E1A35" w:rsidRDefault="006E16B2" w:rsidP="006E16B2">
      <w:pPr>
        <w:rPr>
          <w:bCs/>
          <w:sz w:val="24"/>
          <w:szCs w:val="24"/>
          <w:lang w:val="en-US"/>
        </w:rPr>
      </w:pPr>
      <w:r w:rsidRPr="006E1A35">
        <w:rPr>
          <w:bCs/>
          <w:sz w:val="24"/>
          <w:szCs w:val="24"/>
        </w:rPr>
        <w:t xml:space="preserve">Lecturer: </w:t>
      </w:r>
      <w:r w:rsidRPr="006E1A35">
        <w:rPr>
          <w:rFonts w:ascii="Times New Roman" w:hAnsi="Times New Roman" w:cs="Times New Roman"/>
          <w:sz w:val="24"/>
          <w:szCs w:val="24"/>
          <w:shd w:val="clear" w:color="auto" w:fill="FFFFFF"/>
        </w:rPr>
        <w:t>Dr</w:t>
      </w:r>
      <w:r w:rsidR="009734DE">
        <w:rPr>
          <w:rFonts w:ascii="Times New Roman" w:hAnsi="Times New Roman" w:cs="Times New Roman"/>
          <w:sz w:val="24"/>
          <w:szCs w:val="24"/>
          <w:shd w:val="clear" w:color="auto" w:fill="FFFFFF"/>
        </w:rPr>
        <w:t xml:space="preserve">  </w:t>
      </w:r>
      <w:r w:rsidRPr="006E1A35">
        <w:rPr>
          <w:rFonts w:ascii="Times New Roman" w:hAnsi="Times New Roman" w:cs="Times New Roman"/>
          <w:sz w:val="24"/>
          <w:szCs w:val="24"/>
          <w:shd w:val="clear" w:color="auto" w:fill="FFFFFF"/>
        </w:rPr>
        <w:t>Molly Jack</w:t>
      </w:r>
    </w:p>
    <w:p w:rsidR="006E16B2" w:rsidRPr="006E1A35" w:rsidRDefault="006E16B2" w:rsidP="006E16B2">
      <w:pPr>
        <w:rPr>
          <w:bCs/>
          <w:sz w:val="24"/>
          <w:szCs w:val="24"/>
        </w:rPr>
      </w:pPr>
      <w:r w:rsidRPr="006E1A35">
        <w:rPr>
          <w:bCs/>
          <w:sz w:val="24"/>
          <w:szCs w:val="24"/>
        </w:rPr>
        <w:t>Student: Miroslava Todorova Velkova</w:t>
      </w:r>
    </w:p>
    <w:p w:rsidR="006E16B2" w:rsidRPr="006E1A35" w:rsidRDefault="006E16B2" w:rsidP="006E16B2">
      <w:pPr>
        <w:rPr>
          <w:bCs/>
          <w:sz w:val="24"/>
          <w:szCs w:val="24"/>
        </w:rPr>
      </w:pPr>
      <w:r w:rsidRPr="006E1A35">
        <w:rPr>
          <w:bCs/>
          <w:sz w:val="24"/>
          <w:szCs w:val="24"/>
        </w:rPr>
        <w:t>Student number: 2125655</w:t>
      </w:r>
    </w:p>
    <w:p w:rsidR="006E16B2" w:rsidRPr="006E16B2" w:rsidRDefault="006E16B2" w:rsidP="006E16B2">
      <w:pPr>
        <w:pStyle w:val="Title"/>
        <w:jc w:val="center"/>
        <w:rPr>
          <w:sz w:val="36"/>
          <w:szCs w:val="36"/>
        </w:rPr>
      </w:pPr>
      <w:r w:rsidRPr="006E16B2">
        <w:rPr>
          <w:sz w:val="36"/>
          <w:szCs w:val="36"/>
        </w:rPr>
        <w:lastRenderedPageBreak/>
        <w:t>An Essay on Community Engagement</w:t>
      </w:r>
    </w:p>
    <w:p w:rsidR="006E16B2" w:rsidRPr="006E16B2" w:rsidRDefault="006E16B2" w:rsidP="006E16B2">
      <w:pPr>
        <w:rPr>
          <w:lang w:val="en-US"/>
        </w:rPr>
      </w:pPr>
    </w:p>
    <w:p w:rsidR="006E16B2" w:rsidRPr="006E16B2" w:rsidRDefault="006E16B2" w:rsidP="006E16B2">
      <w:pPr>
        <w:rPr>
          <w:sz w:val="24"/>
          <w:szCs w:val="24"/>
        </w:rPr>
      </w:pPr>
      <w:r>
        <w:t xml:space="preserve">          </w:t>
      </w:r>
      <w:r w:rsidRPr="006E16B2">
        <w:rPr>
          <w:sz w:val="24"/>
          <w:szCs w:val="24"/>
        </w:rPr>
        <w:t>Although there are nearly as many definitions of community engagement as there are people attempting to specify it, in its most basic form, community engagement seems to be the process of improving a community's level of participation in order to achieve long-term as well as sustainable results, processes, interactions, discussion and debate, decision-making, or application (Head, 2007). Community engagement is indeed a process that is planned with the particular purpose of collaborating with outlined groups of people, whether they are usually hooked up by geographical region, special involvement, or association or identify to confront issues that affect their own well-being. This could be done with the intention of addressing issues hindering the community as a whole, or it could be done to address concerns affecting the community specifically. When it comes to putting a collective goal into practice for the betterment of a community, the term community engagement refers to the process through which community-minded organizations, corporations, and people establish long-term, mutually beneficial connections (Bowen et al., 2010). Therefore, community engagement is indeed a deliberate process whose end goal is to find and resolve problems that impact particular communities, whether those communities are linked geographically, through shared interests, or via other ties.</w:t>
      </w:r>
    </w:p>
    <w:p w:rsidR="006E16B2" w:rsidRPr="006E16B2" w:rsidRDefault="006E16B2" w:rsidP="006E16B2">
      <w:pPr>
        <w:rPr>
          <w:sz w:val="24"/>
          <w:szCs w:val="24"/>
        </w:rPr>
      </w:pPr>
      <w:r w:rsidRPr="006E16B2">
        <w:rPr>
          <w:sz w:val="24"/>
          <w:szCs w:val="24"/>
        </w:rPr>
        <w:t xml:space="preserve">          The significance of community engagement has now become crucial for well-functioning governments in the twenty-first era as a direct result of the growth in the broadening and depth of public interaction throughout the world. As it is more likely to result in more balanced and sustainable public choices and enhance the living ability of regional communities, community participation is not just desired, but required and realistic (Head, 2007). Individuals, public groups, and governments all have an equal stake in the success of community involvement efforts for this reason. Engagement of the community raises awareness of and comprehension of problems, and it enables communities to have a voice in the decision-making processes that influence their lives, as well as those of their towns, cities, and neighborhoods. In addition, it informs and educates communities about policy problems that have an effect on their day-to-day lives, hence providing chances for community people to participate in public decision-making procedures (Kernaghan, 2009). Community involvement, which is enabled via feedback, makes it possible for both government and public decision-making bodies to listen, which, in turn, allows these organizations to show the influence of community input. Therefore, community involvement results in deeper, more powerful, and more trustworthy partnerships between public institutions and the communities they serve.</w:t>
      </w:r>
    </w:p>
    <w:p w:rsidR="006E16B2" w:rsidRPr="006E16B2" w:rsidRDefault="006E16B2" w:rsidP="006E16B2">
      <w:pPr>
        <w:rPr>
          <w:sz w:val="24"/>
          <w:szCs w:val="24"/>
        </w:rPr>
      </w:pPr>
      <w:r w:rsidRPr="006E16B2">
        <w:rPr>
          <w:sz w:val="24"/>
          <w:szCs w:val="24"/>
        </w:rPr>
        <w:t xml:space="preserve">       Managers in business workplaces are aware that in addition to monetary payment, there has to be something more on the presenting plate in order to keep a talented workforce in the office. While a generous wage would certainly be appreciated by the next generation of employees, they are looking for something more substantial in their jobs (Kernaghan, 2009). Workers' primary motivation is not financial gain but rather the opportunity to have their opinions count and to contribute to meaningful work. They want to be the ones to change things. A far bigger incentive for many people in today's employment is to feel that they are </w:t>
      </w:r>
      <w:r w:rsidRPr="006E16B2">
        <w:rPr>
          <w:sz w:val="24"/>
          <w:szCs w:val="24"/>
        </w:rPr>
        <w:lastRenderedPageBreak/>
        <w:t>contributing something of value to the world while they are at work. The quality of work produced by an employee population that is both happy and healthy is likely to be of a better standard (Ramachandra and Mansor, 2014). When a leader is able to ignite the enthusiasm of their team members and make the most of their individual strengths, wonderful things are sure to follow. Creating a program that encourages employees to participate in their local communities is one method to invigorate, inspire, and justify their job.</w:t>
      </w:r>
    </w:p>
    <w:p w:rsidR="006E16B2" w:rsidRPr="006E16B2" w:rsidRDefault="006E16B2" w:rsidP="006E16B2">
      <w:pPr>
        <w:rPr>
          <w:sz w:val="24"/>
          <w:szCs w:val="24"/>
        </w:rPr>
      </w:pPr>
      <w:r w:rsidRPr="006E16B2">
        <w:rPr>
          <w:sz w:val="24"/>
          <w:szCs w:val="24"/>
        </w:rPr>
        <w:t xml:space="preserve">          The employees, the customers, as well as the community as a whole may all reap numerous benefits from the development of a community involvement program that the company is involved in. Participation in these types of programs on the part of employees enables firms to build critical staff abilities like problem-solving, communication, and cooperation (Habibi et al., 2014). The most important aspect is the growth of a more favorable business culture, which includes an increase in morale, as well as an increase in trust, respect, and the cultivation of company pride.</w:t>
      </w:r>
    </w:p>
    <w:p w:rsidR="006E16B2" w:rsidRPr="006E16B2" w:rsidRDefault="006E16B2" w:rsidP="006E16B2">
      <w:pPr>
        <w:rPr>
          <w:sz w:val="24"/>
          <w:szCs w:val="24"/>
        </w:rPr>
      </w:pPr>
      <w:r w:rsidRPr="006E16B2">
        <w:rPr>
          <w:sz w:val="24"/>
          <w:szCs w:val="24"/>
        </w:rPr>
        <w:t>Salesforce.com is a good example of a company that gives back to the community in which it operates. The philanthropic model of the organization consists of three different components. One percent of the workers' time each week is contributed by the firm to charitable causes selected by the staff members. After that, the business contributes 1 percent of its stock as well as 1 percent of its services and goods to meet the requirements of the community (Bowen et al., 2010). A program of community participation like this not only motivates the employees but also has positive effects on the neighborhood and offers an incentive for clients to continue purchasing from the company.</w:t>
      </w:r>
    </w:p>
    <w:p w:rsidR="006E16B2" w:rsidRPr="006E16B2" w:rsidRDefault="006E16B2" w:rsidP="006E16B2">
      <w:pPr>
        <w:rPr>
          <w:sz w:val="24"/>
          <w:szCs w:val="24"/>
        </w:rPr>
      </w:pPr>
      <w:r w:rsidRPr="006E16B2">
        <w:rPr>
          <w:sz w:val="24"/>
          <w:szCs w:val="24"/>
        </w:rPr>
        <w:t xml:space="preserve">There are a lot of obstacles to overcome, both on the inside and the outside when it comes to community participation. Some of these issues can be conquered if enough resources are allocated, an all-encompassing strategy is implemented in a timely manner, and an ongoing assessment of the threats and difficulties is carried out. The issue of having sufficient resources is where everything should actually begin (Ramachandra and Mansor, 2014). When it comes to community participation, the most significant obstacle is sometimes a lack of time and people to successfully put in position a comprehensive plan. This is important from the beginning of the planning stage all the way through the stage of delivery, as well as the final step of reporting and assessment. The use of an online engagement platform, such as Engagement Hub, may significantly lessen the amount of administrative work required of staff members and assist businesses in the generation of immediate reports and feedback methods. </w:t>
      </w:r>
    </w:p>
    <w:p w:rsidR="006E16B2" w:rsidRPr="006E16B2" w:rsidRDefault="006E16B2" w:rsidP="006E16B2">
      <w:pPr>
        <w:rPr>
          <w:sz w:val="24"/>
          <w:szCs w:val="24"/>
        </w:rPr>
      </w:pPr>
      <w:r w:rsidRPr="006E16B2">
        <w:rPr>
          <w:sz w:val="24"/>
          <w:szCs w:val="24"/>
        </w:rPr>
        <w:t xml:space="preserve">         The community engagement approach and the resources available for it need to be flexible enough to allow for both proactive and reactive responses to the demands of the community and the path that the input takes. If members of the community see that their suggestions are not being implemented, they may develop a negative perception of the process (Bowen et al., 2010). There is one more challenge in community engagement, and that is the cultural difference. In the workplace, there seem to be a variety of organizational cultures, as well as substantial distinctions in the corporate characteristics of the public education system, private sector firms, and government departments and agencies. Non-profit organizations also have their own distinct culture. People have more consistent </w:t>
      </w:r>
      <w:r w:rsidRPr="006E16B2">
        <w:rPr>
          <w:sz w:val="24"/>
          <w:szCs w:val="24"/>
        </w:rPr>
        <w:lastRenderedPageBreak/>
        <w:t>encounters with others who are likely to have the same standards, expectations, values, and views when they are working within a culture that is homogenous (Head, 2007). Everyone is ostensibly adhering to the same set of guidelines. Because of this, the relationship may come to an end as a result.</w:t>
      </w:r>
    </w:p>
    <w:p w:rsidR="006E16B2" w:rsidRPr="006E16B2" w:rsidRDefault="006E16B2" w:rsidP="006E16B2">
      <w:pPr>
        <w:rPr>
          <w:sz w:val="24"/>
          <w:szCs w:val="24"/>
        </w:rPr>
      </w:pPr>
      <w:r w:rsidRPr="006E16B2">
        <w:rPr>
          <w:sz w:val="24"/>
          <w:szCs w:val="24"/>
        </w:rPr>
        <w:t xml:space="preserve">        The age of technological advancement has arrived. There is a wide variety of technology that assists individuals in getting to know one another better. Now more than ever, people are linked via a variety of means. Platforms for social media have enormous potential uses in this context (Zhao and Chen, 2022). The level of involvement that exists between various stakeholders and organizations has been significantly altered as a direct result of the advent of social media. Official accounts may be found for shareholders, governments, consumers, and even communities themselves on Facebook, Instagram, as well as other social media sites. As a direct consequence of this, community members and stakeholders now have the opportunity to provide instant feedback and responses to municipal operations and decision-making (Habibi et al., 2014). Because all of the most prominent social media platforms seem to be free to use, this makes them an inexpensive or even cost-free method of direct communication between organizations and their audiences.</w:t>
      </w:r>
    </w:p>
    <w:p w:rsidR="006E16B2" w:rsidRPr="006E16B2" w:rsidRDefault="006E16B2" w:rsidP="006E16B2">
      <w:pPr>
        <w:rPr>
          <w:sz w:val="24"/>
          <w:szCs w:val="24"/>
        </w:rPr>
      </w:pPr>
      <w:r w:rsidRPr="006E16B2">
        <w:rPr>
          <w:sz w:val="24"/>
          <w:szCs w:val="24"/>
        </w:rPr>
        <w:t xml:space="preserve">          Because of Covid-19, businesses have been obliged to make significant adjustments to the ways in which they operate, gather for meetings, and regularly interact with various stakeholders. Because so many companies throughout the globe shut their doors, a great deal of unfinished business was left neglected (Steinmetz et al., 2021). For this reason, it is of the utmost importance for companies to investigate a diverse variety of engagement options for stakeholders. The use of social media platforms is one of the most straightforward and efficient ways to do distant outreach.</w:t>
      </w:r>
    </w:p>
    <w:p w:rsidR="006E16B2" w:rsidRPr="006E16B2" w:rsidRDefault="00210847" w:rsidP="006E16B2">
      <w:pPr>
        <w:rPr>
          <w:sz w:val="24"/>
          <w:szCs w:val="24"/>
        </w:rPr>
      </w:pPr>
      <w:r>
        <w:rPr>
          <w:sz w:val="24"/>
          <w:szCs w:val="24"/>
          <w:lang w:val="en-US"/>
        </w:rPr>
        <w:t xml:space="preserve">          </w:t>
      </w:r>
      <w:r w:rsidR="006E16B2" w:rsidRPr="006E16B2">
        <w:rPr>
          <w:sz w:val="24"/>
          <w:szCs w:val="24"/>
        </w:rPr>
        <w:t>The way in which a social media site is used differs greatly from one another. According to the findings of the Pew Research Center, close to 70% of grownups have used social media platforms such as Facebook and YouTube (Medium, 2020). Furthermore, 74% of grownups who use these platforms visit these platforms on a daily basis, and approximately half of these individuals do so multiple times per day (Medium, 2020). The focused engagement initiatives of organizations may be helped by having a better understanding of the potential exposure of the various social media platforms. Gender, age, and level of education all affect how people use the main social media platforms, but one thing is for sure social media is going to stay and can be used as a potent tool for community participation.</w:t>
      </w:r>
    </w:p>
    <w:p w:rsidR="006E16B2" w:rsidRPr="006E16B2" w:rsidRDefault="006E16B2" w:rsidP="006E16B2">
      <w:pPr>
        <w:rPr>
          <w:sz w:val="24"/>
          <w:szCs w:val="24"/>
        </w:rPr>
      </w:pPr>
      <w:r w:rsidRPr="006E16B2">
        <w:rPr>
          <w:sz w:val="24"/>
          <w:szCs w:val="24"/>
        </w:rPr>
        <w:t xml:space="preserve">          One of the advantages of employing social networking sites is that stakeholders are given the opportunity to observe, comment on, inquire about, and get immediate responses pertaining to the operations as well as decision-making of organizations in real-time (Steinmetz et al., 2021). The confidence that stakeholders have in companies has long been a source of worry, and many individuals have expressed a desire for businesses to demonstrate greater levels of openness and accountability. The use of social media platforms makes it simple to keep consumers, public officials, and workers up to date on the latest happenings at an organization while also showcasing the real work that is currently carried out.</w:t>
      </w:r>
    </w:p>
    <w:p w:rsidR="006E16B2" w:rsidRPr="006E16B2" w:rsidRDefault="006E16B2" w:rsidP="006E16B2">
      <w:pPr>
        <w:rPr>
          <w:sz w:val="24"/>
          <w:szCs w:val="24"/>
        </w:rPr>
      </w:pPr>
      <w:r w:rsidRPr="006E16B2">
        <w:rPr>
          <w:sz w:val="24"/>
          <w:szCs w:val="24"/>
        </w:rPr>
        <w:lastRenderedPageBreak/>
        <w:t xml:space="preserve">          LinkedIn seems to be a social networking website that focuses on professional connections and has been the social media platform of choice for organizations for years. In addition to the fact that companies may use LinkedIn to advertise open positions and find qualified candidates for those positions, the site offers a number of additional advantages (Zhao and Chen, 2022). In addition to being an excellent venue for thought leadership, it enables users to explore and join groups that are centered on certain subjects, which is helpful for the purposes of cooperation and the exchange of important information. On LinkedIn, a lot of organizations and stakeholders in particular seem to be active users who make use of the site to convey their innovation culture.</w:t>
      </w:r>
    </w:p>
    <w:p w:rsidR="006E16B2" w:rsidRPr="006E16B2" w:rsidRDefault="00210847" w:rsidP="006E16B2">
      <w:pPr>
        <w:rPr>
          <w:sz w:val="24"/>
          <w:szCs w:val="24"/>
        </w:rPr>
      </w:pPr>
      <w:r>
        <w:rPr>
          <w:sz w:val="24"/>
          <w:szCs w:val="24"/>
          <w:lang w:val="en-US"/>
        </w:rPr>
        <w:t xml:space="preserve">          </w:t>
      </w:r>
      <w:r w:rsidR="006E16B2" w:rsidRPr="006E16B2">
        <w:rPr>
          <w:sz w:val="24"/>
          <w:szCs w:val="24"/>
        </w:rPr>
        <w:t>Twitter is most useful for material that is succinct, updated often, and engages users in the here and now. Because tweets may only include 280 characters, companies and other organizations have to choose the most essential details from press releases and other types of news before posting them on Twitter. Even if Twitter has a lot smaller audience compared to Facebook or YouTube, its popularity is especially high among individuals between the ages of 18 and 25, who might or might not be completely tuned into the activities of organizations everywhere else (Steinmetz et al., 2021). Twitter has the potential to be a very useful tool for improving the effectiveness and openness of organizational procedures. A great number of organizations use Twitter as a method for disseminating urgent alerts, particularly via Covid-19, in the form of condensed announcements.</w:t>
      </w:r>
    </w:p>
    <w:p w:rsidR="006E16B2" w:rsidRPr="006E16B2" w:rsidRDefault="006E16B2" w:rsidP="006E16B2">
      <w:pPr>
        <w:rPr>
          <w:sz w:val="24"/>
          <w:szCs w:val="24"/>
        </w:rPr>
      </w:pPr>
      <w:r w:rsidRPr="006E16B2">
        <w:rPr>
          <w:sz w:val="24"/>
          <w:szCs w:val="24"/>
        </w:rPr>
        <w:t xml:space="preserve">          With above 2.6 billion active members on a monthly basis, Facebook has become one of the most prominent social networking platforms that are currently available on the internet. It is an excellent platform for publicizing what is happening in the companies, such as job openings, news about newly released products, promotional activities, campaigns, continuing development initiatives, and so on (Zhao and Chen, 2022). Residents who are interested in being informed about what is going on in the neighborhood may better understand the scope of the organization's activity if it routinely shares images and posts updates about its activities. Additionally, live-streaming capabilities are available via Facebook's Facebook Live platform (Medium, 2020). Utilizing Facebook Live is a simple approach to communicating with a large audience, providing responses to user inquiries, and providing vital information to the community. One of the unique capabilities is the capability to engage viewers by receiving questions from participants and evaluating live responses in real-time.</w:t>
      </w:r>
    </w:p>
    <w:p w:rsidR="006E16B2" w:rsidRPr="006E16B2" w:rsidRDefault="006E16B2" w:rsidP="006E16B2">
      <w:pPr>
        <w:rPr>
          <w:sz w:val="24"/>
          <w:szCs w:val="24"/>
        </w:rPr>
      </w:pPr>
      <w:r w:rsidRPr="006E16B2">
        <w:rPr>
          <w:sz w:val="24"/>
          <w:szCs w:val="24"/>
        </w:rPr>
        <w:t xml:space="preserve">          Through community engagement, companies will be able to create a more favorable workplace for the people who work there and customers who are loyal to the companies. Stakeholders will be connected to the companies spontaneously since every update will be communicated smoothly via using several social media platforms (Zhao and Chen, 2022). Community engagement is necessary to promote many things such as cultural diversity, authenticity, transparency, and so on. </w:t>
      </w:r>
    </w:p>
    <w:p w:rsidR="006E16B2" w:rsidRPr="006E16B2" w:rsidRDefault="006E16B2" w:rsidP="006E16B2">
      <w:pPr>
        <w:rPr>
          <w:sz w:val="24"/>
          <w:szCs w:val="24"/>
        </w:rPr>
      </w:pPr>
    </w:p>
    <w:p w:rsidR="006E16B2" w:rsidRPr="006E16B2" w:rsidRDefault="006E16B2" w:rsidP="006E16B2">
      <w:pPr>
        <w:rPr>
          <w:sz w:val="24"/>
          <w:szCs w:val="24"/>
        </w:rPr>
      </w:pPr>
    </w:p>
    <w:p w:rsidR="006E16B2" w:rsidRDefault="006E16B2" w:rsidP="006E16B2">
      <w:pPr>
        <w:rPr>
          <w:sz w:val="24"/>
          <w:szCs w:val="24"/>
        </w:rPr>
      </w:pPr>
    </w:p>
    <w:p w:rsidR="006E16B2" w:rsidRPr="006E16B2" w:rsidRDefault="006E16B2" w:rsidP="006E16B2">
      <w:pPr>
        <w:rPr>
          <w:sz w:val="24"/>
          <w:szCs w:val="24"/>
        </w:rPr>
      </w:pPr>
      <w:r w:rsidRPr="006E16B2">
        <w:rPr>
          <w:sz w:val="24"/>
          <w:szCs w:val="24"/>
        </w:rPr>
        <w:lastRenderedPageBreak/>
        <w:t>References</w:t>
      </w:r>
    </w:p>
    <w:p w:rsidR="006E16B2" w:rsidRPr="006E16B2" w:rsidRDefault="006E16B2" w:rsidP="006E16B2">
      <w:pPr>
        <w:rPr>
          <w:sz w:val="24"/>
          <w:szCs w:val="24"/>
        </w:rPr>
      </w:pPr>
      <w:r w:rsidRPr="006E16B2">
        <w:rPr>
          <w:sz w:val="24"/>
          <w:szCs w:val="24"/>
        </w:rPr>
        <w:t xml:space="preserve">Head, B.W., 2007. Community engagement: participation on whose terms?. Australian Journal of Political Science, 42(3), pp.441-454. </w:t>
      </w:r>
    </w:p>
    <w:p w:rsidR="006E16B2" w:rsidRPr="006E16B2" w:rsidRDefault="006E16B2" w:rsidP="006E16B2">
      <w:pPr>
        <w:rPr>
          <w:sz w:val="24"/>
          <w:szCs w:val="24"/>
        </w:rPr>
      </w:pPr>
      <w:r w:rsidRPr="006E16B2">
        <w:rPr>
          <w:sz w:val="24"/>
          <w:szCs w:val="24"/>
        </w:rPr>
        <w:t xml:space="preserve">Bowen, F., Newenham-Kahindi, A. and Herremans, I., 2010. When suits meet roots: The antecedents and consequences of community engagement strategy. Journal of Business Ethics, 95(2), pp.297-318. </w:t>
      </w:r>
    </w:p>
    <w:p w:rsidR="006E16B2" w:rsidRPr="006E16B2" w:rsidRDefault="006E16B2" w:rsidP="006E16B2">
      <w:pPr>
        <w:rPr>
          <w:sz w:val="24"/>
          <w:szCs w:val="24"/>
        </w:rPr>
      </w:pPr>
      <w:r w:rsidRPr="006E16B2">
        <w:rPr>
          <w:sz w:val="24"/>
          <w:szCs w:val="24"/>
        </w:rPr>
        <w:t xml:space="preserve">Kernaghan, K., 2009. Moving towards integrated public governance: improving service delivery through community engagement. International Review of Administrative Sciences, 75(2), pp.239-254. </w:t>
      </w:r>
    </w:p>
    <w:p w:rsidR="006E16B2" w:rsidRPr="006E16B2" w:rsidRDefault="006E16B2" w:rsidP="006E16B2">
      <w:pPr>
        <w:rPr>
          <w:sz w:val="24"/>
          <w:szCs w:val="24"/>
        </w:rPr>
      </w:pPr>
      <w:r w:rsidRPr="006E16B2">
        <w:rPr>
          <w:sz w:val="24"/>
          <w:szCs w:val="24"/>
        </w:rPr>
        <w:t xml:space="preserve">Ramachandra, A. and Mansor, N.N.A., 2014. Sustainability of community engagement–in the hands of stakeholders?. Education+ Training. </w:t>
      </w:r>
    </w:p>
    <w:p w:rsidR="006E16B2" w:rsidRPr="006E16B2" w:rsidRDefault="006E16B2" w:rsidP="006E16B2">
      <w:pPr>
        <w:rPr>
          <w:sz w:val="24"/>
          <w:szCs w:val="24"/>
        </w:rPr>
      </w:pPr>
      <w:r w:rsidRPr="006E16B2">
        <w:rPr>
          <w:sz w:val="24"/>
          <w:szCs w:val="24"/>
        </w:rPr>
        <w:t xml:space="preserve">Habibi, M.R., Laroche, M. and Richard, M.O., 2014. The roles of brand community and community engagement in building brand trust on social media. Computers in human behavior, 37, pp.152-161. </w:t>
      </w:r>
    </w:p>
    <w:p w:rsidR="006E16B2" w:rsidRPr="006E16B2" w:rsidRDefault="006E16B2" w:rsidP="006E16B2">
      <w:pPr>
        <w:rPr>
          <w:sz w:val="24"/>
          <w:szCs w:val="24"/>
        </w:rPr>
      </w:pPr>
      <w:r w:rsidRPr="006E16B2">
        <w:rPr>
          <w:sz w:val="24"/>
          <w:szCs w:val="24"/>
        </w:rPr>
        <w:t xml:space="preserve">Steinmetz, C., Rahmat, H., Marshall, N., Bishop, K., Thompson, S., Park, M., Corkery, L. and Tietz, C., 2021. Liking, Tweeting and Posting: An Analysis of Community Engagement through Social Media Platforms. Urban Policy and Research, 39(1), pp.85-105. </w:t>
      </w:r>
    </w:p>
    <w:p w:rsidR="006E16B2" w:rsidRPr="006E16B2" w:rsidRDefault="006E16B2" w:rsidP="006E16B2">
      <w:pPr>
        <w:rPr>
          <w:sz w:val="24"/>
          <w:szCs w:val="24"/>
        </w:rPr>
      </w:pPr>
      <w:r w:rsidRPr="006E16B2">
        <w:rPr>
          <w:sz w:val="24"/>
          <w:szCs w:val="24"/>
        </w:rPr>
        <w:t xml:space="preserve">Zhao, X. and Chen, Y.R.R., 2022. How brand-stakeholder dialogue drives brand-hosted community engagement on social media: A mixed-methods approach. Computers in Human Behavior, 131, p.107208. </w:t>
      </w:r>
    </w:p>
    <w:p w:rsidR="006E16B2" w:rsidRPr="006E16B2" w:rsidRDefault="006E16B2" w:rsidP="006E16B2">
      <w:pPr>
        <w:rPr>
          <w:sz w:val="24"/>
          <w:szCs w:val="24"/>
        </w:rPr>
      </w:pPr>
      <w:r w:rsidRPr="006E16B2">
        <w:rPr>
          <w:sz w:val="24"/>
          <w:szCs w:val="24"/>
        </w:rPr>
        <w:t>Medium, 2020. Community Engagement and Social Media. [online] Medium. Available at: &lt;https://medium.com/the-guide-to-remote-community-engagement/community-engagement-and-social-media-8b5164a8486f&gt;.</w:t>
      </w:r>
    </w:p>
    <w:sectPr w:rsidR="006E16B2" w:rsidRPr="006E16B2" w:rsidSect="006E16B2">
      <w:footerReference w:type="default" r:id="rId7"/>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B97" w:rsidRDefault="00E96B97" w:rsidP="006E16B2">
      <w:pPr>
        <w:spacing w:after="0" w:line="240" w:lineRule="auto"/>
      </w:pPr>
      <w:r>
        <w:separator/>
      </w:r>
    </w:p>
  </w:endnote>
  <w:endnote w:type="continuationSeparator" w:id="0">
    <w:p w:rsidR="00E96B97" w:rsidRDefault="00E96B97" w:rsidP="006E1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696899"/>
      <w:docPartObj>
        <w:docPartGallery w:val="Page Numbers (Bottom of Page)"/>
        <w:docPartUnique/>
      </w:docPartObj>
    </w:sdtPr>
    <w:sdtEndPr>
      <w:rPr>
        <w:noProof/>
      </w:rPr>
    </w:sdtEndPr>
    <w:sdtContent>
      <w:p w:rsidR="006E16B2" w:rsidRDefault="006E16B2">
        <w:pPr>
          <w:pStyle w:val="Footer"/>
          <w:jc w:val="right"/>
        </w:pPr>
        <w:r>
          <w:fldChar w:fldCharType="begin"/>
        </w:r>
        <w:r>
          <w:instrText xml:space="preserve"> PAGE   \* MERGEFORMAT </w:instrText>
        </w:r>
        <w:r>
          <w:fldChar w:fldCharType="separate"/>
        </w:r>
        <w:r w:rsidR="009734DE">
          <w:rPr>
            <w:noProof/>
          </w:rPr>
          <w:t>6</w:t>
        </w:r>
        <w:r>
          <w:rPr>
            <w:noProof/>
          </w:rPr>
          <w:fldChar w:fldCharType="end"/>
        </w:r>
      </w:p>
    </w:sdtContent>
  </w:sdt>
  <w:p w:rsidR="006E16B2" w:rsidRDefault="006E1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B97" w:rsidRDefault="00E96B97" w:rsidP="006E16B2">
      <w:pPr>
        <w:spacing w:after="0" w:line="240" w:lineRule="auto"/>
      </w:pPr>
      <w:r>
        <w:separator/>
      </w:r>
    </w:p>
  </w:footnote>
  <w:footnote w:type="continuationSeparator" w:id="0">
    <w:p w:rsidR="00E96B97" w:rsidRDefault="00E96B97" w:rsidP="006E16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6B2"/>
    <w:rsid w:val="00025B93"/>
    <w:rsid w:val="00210847"/>
    <w:rsid w:val="006E16B2"/>
    <w:rsid w:val="009734DE"/>
    <w:rsid w:val="00C97C1C"/>
    <w:rsid w:val="00E96B9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F9DEB"/>
  <w15:chartTrackingRefBased/>
  <w15:docId w15:val="{0068B2C8-DAE9-47EF-9762-F70782944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bg-BG"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E16B2"/>
    <w:pPr>
      <w:spacing w:after="0" w:line="240" w:lineRule="auto"/>
      <w:contextualSpacing/>
      <w:jc w:val="both"/>
    </w:pPr>
    <w:rPr>
      <w:rFonts w:ascii="Times New Roman" w:eastAsiaTheme="majorEastAsia" w:hAnsi="Times New Roman" w:cstheme="majorBidi"/>
      <w:b/>
      <w:color w:val="000000" w:themeColor="text1"/>
      <w:spacing w:val="-10"/>
      <w:kern w:val="28"/>
      <w:sz w:val="56"/>
      <w:szCs w:val="56"/>
      <w:lang w:val="en-US"/>
      <w14:ligatures w14:val="none"/>
    </w:rPr>
  </w:style>
  <w:style w:type="character" w:customStyle="1" w:styleId="TitleChar">
    <w:name w:val="Title Char"/>
    <w:basedOn w:val="DefaultParagraphFont"/>
    <w:link w:val="Title"/>
    <w:uiPriority w:val="10"/>
    <w:rsid w:val="006E16B2"/>
    <w:rPr>
      <w:rFonts w:ascii="Times New Roman" w:eastAsiaTheme="majorEastAsia" w:hAnsi="Times New Roman" w:cstheme="majorBidi"/>
      <w:b/>
      <w:color w:val="000000" w:themeColor="text1"/>
      <w:spacing w:val="-10"/>
      <w:kern w:val="28"/>
      <w:sz w:val="56"/>
      <w:szCs w:val="56"/>
      <w:lang w:val="en-US"/>
      <w14:ligatures w14:val="none"/>
    </w:rPr>
  </w:style>
  <w:style w:type="paragraph" w:styleId="Header">
    <w:name w:val="header"/>
    <w:basedOn w:val="Normal"/>
    <w:link w:val="HeaderChar"/>
    <w:uiPriority w:val="99"/>
    <w:unhideWhenUsed/>
    <w:rsid w:val="006E16B2"/>
    <w:pPr>
      <w:tabs>
        <w:tab w:val="center" w:pos="4536"/>
        <w:tab w:val="right" w:pos="9072"/>
      </w:tabs>
      <w:spacing w:after="0" w:line="240" w:lineRule="auto"/>
    </w:pPr>
  </w:style>
  <w:style w:type="character" w:customStyle="1" w:styleId="HeaderChar">
    <w:name w:val="Header Char"/>
    <w:basedOn w:val="DefaultParagraphFont"/>
    <w:link w:val="Header"/>
    <w:uiPriority w:val="99"/>
    <w:rsid w:val="006E16B2"/>
  </w:style>
  <w:style w:type="paragraph" w:styleId="Footer">
    <w:name w:val="footer"/>
    <w:basedOn w:val="Normal"/>
    <w:link w:val="FooterChar"/>
    <w:uiPriority w:val="99"/>
    <w:unhideWhenUsed/>
    <w:rsid w:val="006E16B2"/>
    <w:pPr>
      <w:tabs>
        <w:tab w:val="center" w:pos="4536"/>
        <w:tab w:val="right" w:pos="9072"/>
      </w:tabs>
      <w:spacing w:after="0" w:line="240" w:lineRule="auto"/>
    </w:pPr>
  </w:style>
  <w:style w:type="character" w:customStyle="1" w:styleId="FooterChar">
    <w:name w:val="Footer Char"/>
    <w:basedOn w:val="DefaultParagraphFont"/>
    <w:link w:val="Footer"/>
    <w:uiPriority w:val="99"/>
    <w:rsid w:val="006E1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2314</Words>
  <Characters>13193</Characters>
  <Application>Microsoft Office Word</Application>
  <DocSecurity>0</DocSecurity>
  <Lines>109</Lines>
  <Paragraphs>30</Paragraphs>
  <ScaleCrop>false</ScaleCrop>
  <Company/>
  <LinksUpToDate>false</LinksUpToDate>
  <CharactersWithSpaces>15477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2022-08-28T20:30:00Z</dcterms:created>
  <dcterms:modified xsi:type="dcterms:W3CDTF">2022-08-29T13:14:00Z</dcterms:modified>
</cp:coreProperties>
</file>