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15CF33DB" wp14:paraId="4C694171" wp14:textId="15C3A147">
      <w:pPr>
        <w:spacing w:before="300" w:beforeAutospacing="off" w:after="300" w:afterAutospacing="off"/>
      </w:pP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Matthew Evans </w:t>
      </w:r>
    </w:p>
    <w:p xmlns:wp14="http://schemas.microsoft.com/office/word/2010/wordml" w:rsidP="15CF33DB" wp14:paraId="75E9D584" wp14:textId="2E1CCF8C">
      <w:pPr>
        <w:spacing w:before="300" w:beforeAutospacing="off" w:after="300" w:afterAutospacing="off"/>
      </w:pP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2317129</w:t>
      </w:r>
    </w:p>
    <w:p xmlns:wp14="http://schemas.microsoft.com/office/word/2010/wordml" w:rsidP="15CF33DB" wp14:paraId="3450C777" wp14:textId="20DCEF21">
      <w:pPr>
        <w:spacing w:before="300" w:beforeAutospacing="off" w:after="300" w:afterAutospacing="off"/>
      </w:pPr>
      <w:r w:rsidRPr="15CF33DB" w:rsidR="35E9E409">
        <w:rPr>
          <w:rFonts w:ascii="Arial" w:hAnsi="Arial" w:eastAsia="Arial" w:cs="Arial"/>
          <w:b w:val="1"/>
          <w:bCs w:val="1"/>
          <w:i w:val="1"/>
          <w:iCs w:val="1"/>
          <w:strike w:val="0"/>
          <w:dstrike w:val="0"/>
          <w:noProof w:val="0"/>
          <w:color w:val="000000" w:themeColor="text1" w:themeTint="FF" w:themeShade="FF"/>
          <w:sz w:val="32"/>
          <w:szCs w:val="32"/>
          <w:u w:val="single"/>
          <w:lang w:val="en-US"/>
        </w:rPr>
        <w:t>Company Culture</w:t>
      </w:r>
    </w:p>
    <w:p xmlns:wp14="http://schemas.microsoft.com/office/word/2010/wordml" w:rsidP="15CF33DB" wp14:paraId="42E4FD6B" wp14:textId="14A7F93D">
      <w:pPr>
        <w:spacing w:before="300" w:beforeAutospacing="off" w:after="300" w:afterAutospacing="off"/>
      </w:pP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In the ever-changing world of business, culture is a dynamic and diverse topic that drives organisational dynamics. Culture in this context highlights the shared values, beliefs and behaviours that shape the collective identity of an organisation. As our world becomes increasingly more connected, the importance of cultural awareness inside a business has reached unprecedented levels. This essay touches upon the pivotal role of culture in influencing innovation, enhancing employee engagement, creating marketing strategies, enabling global expansion, assisting effective communication, helping with conflict resolution, and influencing Corporate Social Responsibility (CSR) initiatives. By exploring these topics, the aim of this essay is to emphasise the importance of businesses prioritising cultural awareness in their success strategies, and to delve into who and what is affected by it.</w:t>
      </w:r>
    </w:p>
    <w:p xmlns:wp14="http://schemas.microsoft.com/office/word/2010/wordml" w:rsidP="15CF33DB" wp14:paraId="45043024" wp14:textId="08AA591D">
      <w:pPr>
        <w:spacing w:before="300" w:beforeAutospacing="off" w:after="300" w:afterAutospacing="off"/>
      </w:pP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Cultural diversity is a catalyst for innovation and creativity inside a business. If your whole workforce has a similar background, upbringing etc. They will tend to offer similar ideas and share views on many topics. A culturally diverse workforce can act as a ‘fresh set of eyes’, on a task bringing a wider range of experiences and ideas to the table. This is reinforced by the studies of Thomas and Inkson (2019). This study concluded that innovativity and idea variety came from more diverse teams with different cultural backgrounds. A further study was conducted by Geert Hoffstedte regarding how the culture in a business can spur innovation by their approach to problem solving. This study mentions taking risks and employees’ attitudes towards it, referring to the willingness of the employee to be experimental with new concepts. The reason for this may be due to the fear factor in some organisations for mistakes. Without this it would potentially allow employees to be more creative and enable the business to break down barriers. It can be argued that this would encourage productivity and job satisfaction as the employee feels a valued member of the team, in turn perhaps creating a positive workplace environment.</w:t>
      </w:r>
    </w:p>
    <w:p xmlns:wp14="http://schemas.microsoft.com/office/word/2010/wordml" w:rsidP="15CF33DB" wp14:paraId="016B8DFD" wp14:textId="2A6464F2">
      <w:pPr>
        <w:spacing w:before="300" w:beforeAutospacing="off" w:after="300" w:afterAutospacing="off"/>
      </w:pP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A culturally sensitive workplace recognises and appreciates cultural variance, encouraging a sense of belonging amongst staff members. There is a notable improvement in employee morale and productivity whilst working in an environment like this, whilst also leading to higher retention rates for the business and a higher level of job satisfaction for the employee. In particular Microsoft. Their core values include diversity, inclusivity and ongoing learning. There is an extremely powerful growth mindset within the company, stimulating a resilient and adaptable workforce by viewing obstacles as growth opportunities. A specific example of this would be their “One Week” initiative. An annual event whereby employees engage in collaborative projects and hackathorns. There is a great sense of creativity within the company and its employees, it is no wonder that they are regarded as pioneers in their industry.</w:t>
      </w:r>
    </w:p>
    <w:p xmlns:wp14="http://schemas.microsoft.com/office/word/2010/wordml" w:rsidP="15CF33DB" wp14:paraId="332F6856" wp14:textId="333851A1">
      <w:pPr>
        <w:spacing w:before="300" w:beforeAutospacing="off" w:after="300" w:afterAutospacing="off"/>
      </w:pP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Understanding local cultures is a key attribute to any business who values solid customer relationships and strong marketing strategies. Businesses that display versatility in a market with an ability to tailor their products to suit various cultures display good cultural sensitivity. Proctor and Gamble are a classic example of this. They have used localisation in order to customise goods and advertising efforts around the globe, increasing their market share along with creating customer inertia.</w:t>
      </w:r>
    </w:p>
    <w:p xmlns:wp14="http://schemas.microsoft.com/office/word/2010/wordml" w:rsidP="15CF33DB" wp14:paraId="321B8E87" wp14:textId="625BEA1F">
      <w:pPr>
        <w:spacing w:before="300" w:beforeAutospacing="off" w:after="300" w:afterAutospacing="off"/>
      </w:pP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Businesses that engage in and embrace the local culture also have a higher likelihood to succeed when entering global markets, businesses must make alterations to their plans to ensure they are suiting the unique cultural landscapes of various regions. Another example of this would be McDonalds. They adjust their marketing and menu to fit the regional tastes and cultural preferences. For instance, McDonalds France serves macaroons, whilst the restaurant in India serves rice bowls, paneer wraps, kebab naans etc. This reinforces the argument that cultural adaptability plays an integral role in global expansion, with many huge corporations reaping success from adapting with this strategy.</w:t>
      </w:r>
    </w:p>
    <w:p xmlns:wp14="http://schemas.microsoft.com/office/word/2010/wordml" w:rsidP="15CF33DB" wp14:paraId="3EC9E82B" wp14:textId="3BBEE15A">
      <w:pPr>
        <w:spacing w:before="300" w:beforeAutospacing="off" w:after="300" w:afterAutospacing="off"/>
      </w:pP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Embedded within the depths of culture are communication styles. These are essential to the success of joint initiatives in a diverse business environment. Every culture is different, and although this can be seen as a positive, communication standards and language may differ between many cultures making it extremely difficult for a harmonious work environment. The hardships of this were underlined in research conducted by Gudykunst and Kim in 2017. They emphasised these difficulties inside their research and stated that businesses need to prepare for these situations and develop strategies to reduce the impact of these obstacles. The implementation of training programmes can assist with these issues along with carrying out communication procedures and practices in order to mitigate the negative effects on the business.</w:t>
      </w:r>
    </w:p>
    <w:p xmlns:wp14="http://schemas.microsoft.com/office/word/2010/wordml" w:rsidP="15CF33DB" wp14:paraId="54B7BAB6" wp14:textId="1B80C81E">
      <w:pPr>
        <w:spacing w:before="300" w:beforeAutospacing="off" w:after="300" w:afterAutospacing="off"/>
      </w:pP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Varying cultural norms can lead to conflicts in diverse teams. In order to resolve these conflicts it is imperative that an organisation has a level of cultural intelligence- defined as the ability to understand and adjust when necessary to various cultural contexts. Earley and Mosakowski conducted studies (2004) which emphasised the importance of cultural intelligence in a corporation, stating that individuals who are culturally intelligent are more proficient in situations regarding cultural conflict and are better equipped to resolve these issues.</w:t>
      </w:r>
    </w:p>
    <w:p xmlns:wp14="http://schemas.microsoft.com/office/word/2010/wordml" w:rsidP="15CF33DB" wp14:paraId="590B2EF1" wp14:textId="5F0BEAF3">
      <w:pPr>
        <w:spacing w:before="300" w:beforeAutospacing="off" w:after="300" w:afterAutospacing="off"/>
      </w:pP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When CSR actions are in line with cultural values it is only reflected positively within the company, thus establishing a connection between the business and the communities they serve. In successful CSR campaigns, cultural sensitivity is always taken into consideration, ensuring that the initiatives are well-received by the local population. The community development projects carried out by the Tata Group in India are a perfect example of how corporate social responsibility (CSR) activities may be customised to effectively engage and benefit local communities, given their strong cultural roots. Their community initiatives page states that since the Tata group was formed over 150 years ago, it has been committed to fostering positive social change and acting as a role model for other similar businesses as they have the public interest at heart. Sixty six percent of Tara sons is owned by the Tata trusts with the dividends being recycled back into their charity work. Through their 150 year tenure the Tata group have adapted their objective to address the most urgent needs in India. Two thirds of India's rail network has been built using Tata’s steel, furthermore, Tata was responsible for the steel used in the manufacture of agricultural tools- necessary to quickly reduce the import of capital goods- assisting with India’s industrialisation.</w:t>
      </w:r>
    </w:p>
    <w:p xmlns:wp14="http://schemas.microsoft.com/office/word/2010/wordml" w:rsidP="15CF33DB" wp14:paraId="0907A551" wp14:textId="51BD4A46">
      <w:pPr>
        <w:spacing w:before="300" w:beforeAutospacing="off" w:after="0" w:afterAutospacing="off"/>
      </w:pP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In conclusion, there is no denying the complex and vital role that culture plays in driving the success of a company. Businesses must acknowledge and capitalise on the power of culture in order to propel innovation through cultural diversity and navigate international markets. An organisation's cultural understanding is critical to successful communication, high employee engagement, culturally sensitive marketing, the resolution of disputes and socially responsible projects. The need for businesses to integrate cultural understanding into their strategy is becoming more and more apparent as we navigate the complications of an increasingly linked globe. By doing this, they not only enable their employees to reach their full potential but also lay the groundwork for long-term success in an ever changing international business environment.</w:t>
      </w:r>
    </w:p>
    <w:p xmlns:wp14="http://schemas.microsoft.com/office/word/2010/wordml" w:rsidP="15CF33DB" wp14:paraId="589B5CCB" wp14:textId="36A5C2F7">
      <w:pPr>
        <w:pStyle w:val="ListParagraph"/>
        <w:numPr>
          <w:ilvl w:val="0"/>
          <w:numId w:val="1"/>
        </w:numPr>
        <w:spacing w:before="0" w:beforeAutospacing="off" w:after="0" w:afterAutospacing="off"/>
        <w:rPr>
          <w:rFonts w:ascii="Arial" w:hAnsi="Arial" w:eastAsia="Arial" w:cs="Arial"/>
          <w:b w:val="0"/>
          <w:bCs w:val="0"/>
          <w:i w:val="1"/>
          <w:iCs w:val="1"/>
          <w:strike w:val="0"/>
          <w:dstrike w:val="0"/>
          <w:noProof w:val="0"/>
          <w:color w:val="000000" w:themeColor="text1" w:themeTint="FF" w:themeShade="FF"/>
          <w:sz w:val="24"/>
          <w:szCs w:val="24"/>
          <w:u w:val="none"/>
          <w:lang w:val="en-US"/>
        </w:rPr>
      </w:pP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Earley, P. C., &amp; Mosakowski, E. (2004). </w:t>
      </w:r>
      <w:r w:rsidRPr="15CF33DB" w:rsidR="35E9E409">
        <w:rPr>
          <w:rFonts w:ascii="Arial" w:hAnsi="Arial" w:eastAsia="Arial" w:cs="Arial"/>
          <w:b w:val="0"/>
          <w:bCs w:val="0"/>
          <w:i w:val="1"/>
          <w:iCs w:val="1"/>
          <w:strike w:val="0"/>
          <w:dstrike w:val="0"/>
          <w:noProof w:val="0"/>
          <w:color w:val="000000" w:themeColor="text1" w:themeTint="FF" w:themeShade="FF"/>
          <w:sz w:val="24"/>
          <w:szCs w:val="24"/>
          <w:u w:val="none"/>
          <w:lang w:val="en-US"/>
        </w:rPr>
        <w:t>Cultural Intelligence: Cross Cultural Management. Harvard Business Review.</w:t>
      </w:r>
    </w:p>
    <w:p xmlns:wp14="http://schemas.microsoft.com/office/word/2010/wordml" w:rsidP="15CF33DB" wp14:paraId="2F6A35C9" wp14:textId="02562ACC">
      <w:pPr>
        <w:pStyle w:val="ListParagraph"/>
        <w:numPr>
          <w:ilvl w:val="0"/>
          <w:numId w:val="1"/>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Gudykunst, W. B., &amp; Kim, Y. Y. (2017). </w:t>
      </w:r>
      <w:r w:rsidRPr="15CF33DB" w:rsidR="35E9E409">
        <w:rPr>
          <w:rFonts w:ascii="Arial" w:hAnsi="Arial" w:eastAsia="Arial" w:cs="Arial"/>
          <w:b w:val="0"/>
          <w:bCs w:val="0"/>
          <w:i w:val="1"/>
          <w:iCs w:val="1"/>
          <w:strike w:val="0"/>
          <w:dstrike w:val="0"/>
          <w:noProof w:val="0"/>
          <w:color w:val="000000" w:themeColor="text1" w:themeTint="FF" w:themeShade="FF"/>
          <w:sz w:val="24"/>
          <w:szCs w:val="24"/>
          <w:u w:val="none"/>
          <w:lang w:val="en-US"/>
        </w:rPr>
        <w:t>Communicating with Strangers: An Approach to Intercultural Communication.</w:t>
      </w: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McGraw-Hill Education.</w:t>
      </w:r>
    </w:p>
    <w:p xmlns:wp14="http://schemas.microsoft.com/office/word/2010/wordml" w:rsidP="15CF33DB" wp14:paraId="683AA6DA" wp14:textId="454831AD">
      <w:pPr>
        <w:pStyle w:val="ListParagraph"/>
        <w:numPr>
          <w:ilvl w:val="0"/>
          <w:numId w:val="1"/>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Thomas, D. C., &amp; Inkson, K. (2019). </w:t>
      </w:r>
      <w:r w:rsidRPr="15CF33DB" w:rsidR="35E9E409">
        <w:rPr>
          <w:rFonts w:ascii="Arial" w:hAnsi="Arial" w:eastAsia="Arial" w:cs="Arial"/>
          <w:b w:val="0"/>
          <w:bCs w:val="0"/>
          <w:i w:val="1"/>
          <w:iCs w:val="1"/>
          <w:strike w:val="0"/>
          <w:dstrike w:val="0"/>
          <w:noProof w:val="0"/>
          <w:color w:val="000000" w:themeColor="text1" w:themeTint="FF" w:themeShade="FF"/>
          <w:sz w:val="24"/>
          <w:szCs w:val="24"/>
          <w:u w:val="none"/>
          <w:lang w:val="en-US"/>
        </w:rPr>
        <w:t>Cultural Intelligence: Living and Working Globally.</w:t>
      </w: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Berrett-Koehler Publishers.</w:t>
      </w:r>
    </w:p>
    <w:p xmlns:wp14="http://schemas.microsoft.com/office/word/2010/wordml" w:rsidP="15CF33DB" wp14:paraId="0AB6D52F" wp14:textId="47C3775F">
      <w:pPr>
        <w:pStyle w:val="ListParagraph"/>
        <w:numPr>
          <w:ilvl w:val="0"/>
          <w:numId w:val="1"/>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Microsoft. </w:t>
      </w:r>
      <w:r w:rsidRPr="15CF33DB" w:rsidR="35E9E409">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One Week. </w:t>
      </w:r>
      <w:hyperlink r:id="Rdf728e2444f5434c">
        <w:r w:rsidRPr="15CF33DB" w:rsidR="35E9E409">
          <w:rPr>
            <w:rStyle w:val="Hyperlink"/>
            <w:rFonts w:ascii="Arial" w:hAnsi="Arial" w:eastAsia="Arial" w:cs="Arial"/>
            <w:b w:val="0"/>
            <w:bCs w:val="0"/>
            <w:i w:val="0"/>
            <w:iCs w:val="0"/>
            <w:strike w:val="0"/>
            <w:dstrike w:val="0"/>
            <w:noProof w:val="0"/>
            <w:color w:val="1155CC"/>
            <w:sz w:val="24"/>
            <w:szCs w:val="24"/>
            <w:u w:val="none"/>
            <w:lang w:val="en-US"/>
          </w:rPr>
          <w:t>https://news.microsoft.com/life/one-week-microsoftlife/</w:t>
        </w:r>
      </w:hyperlink>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15CF33DB" wp14:paraId="383EAE7F" wp14:textId="188B7703">
      <w:pPr>
        <w:pStyle w:val="ListParagraph"/>
        <w:numPr>
          <w:ilvl w:val="0"/>
          <w:numId w:val="1"/>
        </w:numPr>
        <w:spacing w:before="0" w:beforeAutospacing="off" w:after="0" w:afterAutospacing="off"/>
        <w:rPr>
          <w:rFonts w:ascii="Arial" w:hAnsi="Arial" w:eastAsia="Arial" w:cs="Arial"/>
          <w:b w:val="0"/>
          <w:bCs w:val="0"/>
          <w:i w:val="0"/>
          <w:iCs w:val="0"/>
          <w:strike w:val="0"/>
          <w:dstrike w:val="0"/>
          <w:noProof w:val="0"/>
          <w:color w:val="000000" w:themeColor="text1" w:themeTint="FF" w:themeShade="FF"/>
          <w:sz w:val="24"/>
          <w:szCs w:val="24"/>
          <w:u w:val="none"/>
          <w:lang w:val="en-US"/>
        </w:rPr>
      </w:pP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Procter &amp; Gamble. </w:t>
      </w:r>
      <w:r w:rsidRPr="15CF33DB" w:rsidR="35E9E409">
        <w:rPr>
          <w:rFonts w:ascii="Arial" w:hAnsi="Arial" w:eastAsia="Arial" w:cs="Arial"/>
          <w:b w:val="0"/>
          <w:bCs w:val="0"/>
          <w:i w:val="1"/>
          <w:iCs w:val="1"/>
          <w:strike w:val="0"/>
          <w:dstrike w:val="0"/>
          <w:noProof w:val="0"/>
          <w:color w:val="000000" w:themeColor="text1" w:themeTint="FF" w:themeShade="FF"/>
          <w:sz w:val="24"/>
          <w:szCs w:val="24"/>
          <w:u w:val="none"/>
          <w:lang w:val="en-US"/>
        </w:rPr>
        <w:t>Our Brands.</w:t>
      </w: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Retrieved from </w:t>
      </w:r>
      <w:hyperlink r:id="R552878a0f1934573">
        <w:r w:rsidRPr="15CF33DB" w:rsidR="35E9E409">
          <w:rPr>
            <w:rStyle w:val="Hyperlink"/>
            <w:rFonts w:ascii="Arial" w:hAnsi="Arial" w:eastAsia="Arial" w:cs="Arial"/>
            <w:b w:val="0"/>
            <w:bCs w:val="0"/>
            <w:i w:val="0"/>
            <w:iCs w:val="0"/>
            <w:strike w:val="0"/>
            <w:dstrike w:val="0"/>
            <w:noProof w:val="0"/>
            <w:color w:val="1155CC"/>
            <w:sz w:val="24"/>
            <w:szCs w:val="24"/>
            <w:u w:val="none"/>
            <w:lang w:val="en-US"/>
          </w:rPr>
          <w:t>https://www.pg.co.uk/brands/</w:t>
        </w:r>
      </w:hyperlink>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w:t>
      </w:r>
    </w:p>
    <w:p xmlns:wp14="http://schemas.microsoft.com/office/word/2010/wordml" w:rsidP="15CF33DB" wp14:paraId="77B1D559" wp14:textId="4197E3E6">
      <w:pPr>
        <w:pStyle w:val="ListParagraph"/>
        <w:numPr>
          <w:ilvl w:val="0"/>
          <w:numId w:val="1"/>
        </w:numPr>
        <w:spacing w:before="0" w:beforeAutospacing="off" w:after="0" w:afterAutospacing="off"/>
        <w:rPr>
          <w:rFonts w:ascii="Arial" w:hAnsi="Arial" w:eastAsia="Arial" w:cs="Arial"/>
          <w:b w:val="0"/>
          <w:bCs w:val="0"/>
          <w:i w:val="1"/>
          <w:iCs w:val="1"/>
          <w:strike w:val="0"/>
          <w:dstrike w:val="0"/>
          <w:noProof w:val="0"/>
          <w:color w:val="000000" w:themeColor="text1" w:themeTint="FF" w:themeShade="FF"/>
          <w:sz w:val="24"/>
          <w:szCs w:val="24"/>
          <w:u w:val="none"/>
          <w:lang w:val="en-US"/>
        </w:rPr>
      </w:pP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Shelby Slauer. Business Insider: </w:t>
      </w:r>
      <w:r w:rsidRPr="15CF33DB" w:rsidR="35E9E409">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I've tried McDonalds in 10 different countries and here are the biggest differences. </w:t>
      </w:r>
      <w:hyperlink r:id="R97cbeaade20e4e09">
        <w:r w:rsidRPr="15CF33DB" w:rsidR="35E9E409">
          <w:rPr>
            <w:rStyle w:val="Hyperlink"/>
            <w:rFonts w:ascii="Arial" w:hAnsi="Arial" w:eastAsia="Arial" w:cs="Arial"/>
            <w:b w:val="0"/>
            <w:bCs w:val="0"/>
            <w:i w:val="1"/>
            <w:iCs w:val="1"/>
            <w:strike w:val="0"/>
            <w:dstrike w:val="0"/>
            <w:noProof w:val="0"/>
            <w:color w:val="1155CC"/>
            <w:sz w:val="24"/>
            <w:szCs w:val="24"/>
            <w:u w:val="none"/>
            <w:lang w:val="en-US"/>
          </w:rPr>
          <w:t>https://www.insider.com/mcdonalds-around-the-world-differences-2018-12</w:t>
        </w:r>
      </w:hyperlink>
      <w:r w:rsidRPr="15CF33DB" w:rsidR="35E9E409">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w:t>
      </w:r>
    </w:p>
    <w:p xmlns:wp14="http://schemas.microsoft.com/office/word/2010/wordml" w:rsidP="15CF33DB" wp14:paraId="2B37AB4D" wp14:textId="696F69F2">
      <w:pPr>
        <w:pStyle w:val="ListParagraph"/>
        <w:numPr>
          <w:ilvl w:val="0"/>
          <w:numId w:val="1"/>
        </w:numPr>
        <w:spacing w:before="0" w:beforeAutospacing="off" w:after="0" w:afterAutospacing="off"/>
        <w:rPr>
          <w:rFonts w:ascii="Arial" w:hAnsi="Arial" w:eastAsia="Arial" w:cs="Arial"/>
          <w:b w:val="0"/>
          <w:bCs w:val="0"/>
          <w:i w:val="1"/>
          <w:iCs w:val="1"/>
          <w:strike w:val="0"/>
          <w:dstrike w:val="0"/>
          <w:noProof w:val="0"/>
          <w:color w:val="000000" w:themeColor="text1" w:themeTint="FF" w:themeShade="FF"/>
          <w:sz w:val="24"/>
          <w:szCs w:val="24"/>
          <w:u w:val="none"/>
          <w:lang w:val="en-US"/>
        </w:rPr>
      </w:pP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McDonald’s India</w:t>
      </w:r>
      <w:r w:rsidRPr="15CF33DB" w:rsidR="35E9E409">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Our products. </w:t>
      </w: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Retrieved from</w:t>
      </w:r>
      <w:r w:rsidRPr="15CF33DB" w:rsidR="35E9E409">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w:t>
      </w:r>
      <w:hyperlink r:id="R00efb9083ec34c15">
        <w:r w:rsidRPr="15CF33DB" w:rsidR="35E9E409">
          <w:rPr>
            <w:rStyle w:val="Hyperlink"/>
            <w:rFonts w:ascii="Arial" w:hAnsi="Arial" w:eastAsia="Arial" w:cs="Arial"/>
            <w:b w:val="0"/>
            <w:bCs w:val="0"/>
            <w:i w:val="1"/>
            <w:iCs w:val="1"/>
            <w:strike w:val="0"/>
            <w:dstrike w:val="0"/>
            <w:noProof w:val="0"/>
            <w:color w:val="1155CC"/>
            <w:sz w:val="24"/>
            <w:szCs w:val="24"/>
            <w:u w:val="none"/>
            <w:lang w:val="en-US"/>
          </w:rPr>
          <w:t>https://www.mcdonaldsindia.com/products.html</w:t>
        </w:r>
      </w:hyperlink>
      <w:r w:rsidRPr="15CF33DB" w:rsidR="35E9E409">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 </w:t>
      </w:r>
    </w:p>
    <w:p xmlns:wp14="http://schemas.microsoft.com/office/word/2010/wordml" w:rsidP="15CF33DB" wp14:paraId="155D5AA3" wp14:textId="218660EC">
      <w:pPr>
        <w:pStyle w:val="ListParagraph"/>
        <w:numPr>
          <w:ilvl w:val="0"/>
          <w:numId w:val="1"/>
        </w:numPr>
        <w:spacing w:before="0" w:beforeAutospacing="off" w:after="0" w:afterAutospacing="off"/>
        <w:rPr>
          <w:rFonts w:ascii="Arial" w:hAnsi="Arial" w:eastAsia="Arial" w:cs="Arial"/>
          <w:b w:val="0"/>
          <w:bCs w:val="0"/>
          <w:i w:val="0"/>
          <w:iCs w:val="0"/>
          <w:strike w:val="0"/>
          <w:dstrike w:val="0"/>
          <w:noProof w:val="0"/>
          <w:color w:val="1155CC"/>
          <w:sz w:val="24"/>
          <w:szCs w:val="24"/>
          <w:u w:val="none"/>
          <w:lang w:val="en-US"/>
        </w:rPr>
      </w:pP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Tata Group. </w:t>
      </w:r>
      <w:r w:rsidRPr="15CF33DB" w:rsidR="35E9E409">
        <w:rPr>
          <w:rFonts w:ascii="Arial" w:hAnsi="Arial" w:eastAsia="Arial" w:cs="Arial"/>
          <w:b w:val="0"/>
          <w:bCs w:val="0"/>
          <w:i w:val="1"/>
          <w:iCs w:val="1"/>
          <w:strike w:val="0"/>
          <w:dstrike w:val="0"/>
          <w:noProof w:val="0"/>
          <w:color w:val="000000" w:themeColor="text1" w:themeTint="FF" w:themeShade="FF"/>
          <w:sz w:val="24"/>
          <w:szCs w:val="24"/>
          <w:u w:val="none"/>
          <w:lang w:val="en-US"/>
        </w:rPr>
        <w:t>Community Initiatives.</w:t>
      </w: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 Retrieved from</w:t>
      </w:r>
      <w:hyperlink r:id="Readd475c82de4645">
        <w:r w:rsidRPr="15CF33DB" w:rsidR="35E9E409">
          <w:rPr>
            <w:rStyle w:val="Hyperlink"/>
            <w:rFonts w:ascii="Arial" w:hAnsi="Arial" w:eastAsia="Arial" w:cs="Arial"/>
            <w:b w:val="0"/>
            <w:bCs w:val="0"/>
            <w:i w:val="0"/>
            <w:iCs w:val="0"/>
            <w:strike w:val="0"/>
            <w:dstrike w:val="0"/>
            <w:noProof w:val="0"/>
            <w:sz w:val="24"/>
            <w:szCs w:val="24"/>
            <w:lang w:val="en-US"/>
          </w:rPr>
          <w:t xml:space="preserve"> </w:t>
        </w:r>
        <w:r w:rsidRPr="15CF33DB" w:rsidR="35E9E409">
          <w:rPr>
            <w:rStyle w:val="Hyperlink"/>
            <w:rFonts w:ascii="Arial" w:hAnsi="Arial" w:eastAsia="Arial" w:cs="Arial"/>
            <w:b w:val="0"/>
            <w:bCs w:val="0"/>
            <w:i w:val="0"/>
            <w:iCs w:val="0"/>
            <w:strike w:val="0"/>
            <w:dstrike w:val="0"/>
            <w:noProof w:val="0"/>
            <w:color w:val="1155CC"/>
            <w:sz w:val="24"/>
            <w:szCs w:val="24"/>
            <w:u w:val="none"/>
            <w:lang w:val="en-US"/>
          </w:rPr>
          <w:t>https://www.tata.com/community</w:t>
        </w:r>
      </w:hyperlink>
    </w:p>
    <w:p xmlns:wp14="http://schemas.microsoft.com/office/word/2010/wordml" w:rsidP="15CF33DB" wp14:paraId="6D079267" wp14:textId="4B337C87">
      <w:pPr>
        <w:pStyle w:val="ListParagraph"/>
        <w:numPr>
          <w:ilvl w:val="0"/>
          <w:numId w:val="1"/>
        </w:numPr>
        <w:spacing w:before="0" w:beforeAutospacing="off" w:after="0" w:afterAutospacing="off"/>
        <w:rPr>
          <w:rFonts w:ascii="Arial" w:hAnsi="Arial" w:eastAsia="Arial" w:cs="Arial"/>
          <w:b w:val="0"/>
          <w:bCs w:val="0"/>
          <w:i w:val="0"/>
          <w:iCs w:val="0"/>
          <w:strike w:val="0"/>
          <w:dstrike w:val="0"/>
          <w:noProof w:val="0"/>
          <w:color w:val="1155CC"/>
          <w:sz w:val="24"/>
          <w:szCs w:val="24"/>
          <w:u w:val="none"/>
          <w:lang w:val="en-US"/>
        </w:rPr>
      </w:pP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Tata Group</w:t>
      </w:r>
      <w:r w:rsidRPr="15CF33DB" w:rsidR="35E9E409">
        <w:rPr>
          <w:rFonts w:ascii="Arial" w:hAnsi="Arial" w:eastAsia="Arial" w:cs="Arial"/>
          <w:b w:val="0"/>
          <w:bCs w:val="0"/>
          <w:i w:val="0"/>
          <w:iCs w:val="0"/>
          <w:strike w:val="0"/>
          <w:dstrike w:val="0"/>
          <w:noProof w:val="0"/>
          <w:color w:val="FFFFFF" w:themeColor="background1" w:themeTint="FF" w:themeShade="FF"/>
          <w:sz w:val="24"/>
          <w:szCs w:val="24"/>
          <w:u w:val="none"/>
          <w:lang w:val="en-US"/>
        </w:rPr>
        <w:t>.</w:t>
      </w:r>
      <w:r w:rsidRPr="15CF33DB" w:rsidR="35E9E409">
        <w:rPr>
          <w:rFonts w:ascii="Arial" w:hAnsi="Arial" w:eastAsia="Arial" w:cs="Arial"/>
          <w:b w:val="0"/>
          <w:bCs w:val="0"/>
          <w:i w:val="0"/>
          <w:iCs w:val="0"/>
          <w:strike w:val="0"/>
          <w:dstrike w:val="0"/>
          <w:noProof w:val="0"/>
          <w:color w:val="1155CC"/>
          <w:sz w:val="24"/>
          <w:szCs w:val="24"/>
          <w:u w:val="none"/>
          <w:lang w:val="en-US"/>
        </w:rPr>
        <w:t xml:space="preserve"> </w:t>
      </w:r>
      <w:r w:rsidRPr="15CF33DB" w:rsidR="35E9E409">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Invisible Tata </w:t>
      </w: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Retrieved from </w:t>
      </w:r>
      <w:hyperlink w:anchor=":~:text=The%20Tata%20group%20has%20done,across%20land%2C%20water%20and%20air" r:id="R6e58af3d6ff748f4">
        <w:r w:rsidRPr="15CF33DB" w:rsidR="35E9E409">
          <w:rPr>
            <w:rStyle w:val="Hyperlink"/>
            <w:rFonts w:ascii="Arial" w:hAnsi="Arial" w:eastAsia="Arial" w:cs="Arial"/>
            <w:b w:val="0"/>
            <w:bCs w:val="0"/>
            <w:i w:val="0"/>
            <w:iCs w:val="0"/>
            <w:strike w:val="0"/>
            <w:dstrike w:val="0"/>
            <w:noProof w:val="0"/>
            <w:sz w:val="24"/>
            <w:szCs w:val="24"/>
            <w:lang w:val="en-US"/>
          </w:rPr>
          <w:t>https://www.tata.com/newsroom/invisible-tata#:~:text=The%20Tata%20group%20has%20done,across%20land%2C%20water%20and%20air</w:t>
        </w:r>
      </w:hyperlink>
      <w:r w:rsidRPr="15CF33DB" w:rsidR="35E9E409">
        <w:rPr>
          <w:rFonts w:ascii="Arial" w:hAnsi="Arial" w:eastAsia="Arial" w:cs="Arial"/>
          <w:b w:val="0"/>
          <w:bCs w:val="0"/>
          <w:i w:val="0"/>
          <w:iCs w:val="0"/>
          <w:strike w:val="0"/>
          <w:dstrike w:val="0"/>
          <w:noProof w:val="0"/>
          <w:color w:val="1155CC"/>
          <w:sz w:val="24"/>
          <w:szCs w:val="24"/>
          <w:u w:val="none"/>
          <w:lang w:val="en-US"/>
        </w:rPr>
        <w:t>.</w:t>
      </w:r>
    </w:p>
    <w:p xmlns:wp14="http://schemas.microsoft.com/office/word/2010/wordml" w:rsidP="15CF33DB" wp14:paraId="35E903BE" wp14:textId="0C2D66BA">
      <w:pPr>
        <w:pStyle w:val="ListParagraph"/>
        <w:numPr>
          <w:ilvl w:val="0"/>
          <w:numId w:val="1"/>
        </w:numPr>
        <w:spacing w:before="0" w:beforeAutospacing="off" w:after="0" w:afterAutospacing="off"/>
        <w:rPr>
          <w:rFonts w:ascii="Arial" w:hAnsi="Arial" w:eastAsia="Arial" w:cs="Arial"/>
          <w:b w:val="0"/>
          <w:bCs w:val="0"/>
          <w:i w:val="1"/>
          <w:iCs w:val="1"/>
          <w:strike w:val="0"/>
          <w:dstrike w:val="0"/>
          <w:noProof w:val="0"/>
          <w:color w:val="000000" w:themeColor="text1" w:themeTint="FF" w:themeShade="FF"/>
          <w:sz w:val="24"/>
          <w:szCs w:val="24"/>
          <w:u w:val="none"/>
          <w:lang w:val="en-US"/>
        </w:rPr>
      </w:pP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Gudykunst, W. B., &amp; Ting-Toomey, S. (1988). Culture and interpersonal communication. </w:t>
      </w:r>
      <w:r w:rsidRPr="15CF33DB" w:rsidR="35E9E409">
        <w:rPr>
          <w:rFonts w:ascii="Arial" w:hAnsi="Arial" w:eastAsia="Arial" w:cs="Arial"/>
          <w:b w:val="0"/>
          <w:bCs w:val="0"/>
          <w:i w:val="1"/>
          <w:iCs w:val="1"/>
          <w:strike w:val="0"/>
          <w:dstrike w:val="0"/>
          <w:noProof w:val="0"/>
          <w:color w:val="000000" w:themeColor="text1" w:themeTint="FF" w:themeShade="FF"/>
          <w:sz w:val="24"/>
          <w:szCs w:val="24"/>
          <w:u w:val="none"/>
          <w:lang w:val="en-US"/>
        </w:rPr>
        <w:t xml:space="preserve">Sage Publications. </w:t>
      </w:r>
    </w:p>
    <w:p xmlns:wp14="http://schemas.microsoft.com/office/word/2010/wordml" w:rsidP="15CF33DB" wp14:paraId="2C078E63" wp14:textId="0C8BEAE3">
      <w:pPr>
        <w:pStyle w:val="Normal"/>
        <w:rPr>
          <w:rFonts w:ascii="Calibri" w:hAnsi="Calibri" w:eastAsia="Calibri" w:cs="Calibri"/>
          <w:noProof w:val="0"/>
          <w:sz w:val="22"/>
          <w:szCs w:val="22"/>
          <w:lang w:val="en-US"/>
        </w:rPr>
      </w:pPr>
      <w:r w:rsidRPr="15CF33DB" w:rsidR="35E9E409">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Hofstede, G. (1980). Culture and organizations. </w:t>
      </w:r>
      <w:r w:rsidRPr="15CF33DB" w:rsidR="35E9E409">
        <w:rPr>
          <w:rFonts w:ascii="Arial" w:hAnsi="Arial" w:eastAsia="Arial" w:cs="Arial"/>
          <w:b w:val="0"/>
          <w:bCs w:val="0"/>
          <w:i w:val="1"/>
          <w:iCs w:val="1"/>
          <w:strike w:val="0"/>
          <w:dstrike w:val="0"/>
          <w:noProof w:val="0"/>
          <w:color w:val="000000" w:themeColor="text1" w:themeTint="FF" w:themeShade="FF"/>
          <w:sz w:val="24"/>
          <w:szCs w:val="24"/>
          <w:u w:val="none"/>
          <w:lang w:val="en-US"/>
        </w:rPr>
        <w:t>International Studies of Management &amp; Organization.</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http://schemas.openxmlformats.org/wordprocessingml/2006/main">
  <w:abstractNum xmlns:w="http://schemas.openxmlformats.org/wordprocessingml/2006/main" w:abstractNumId="1">
    <w:nsid w:val="305be49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5B43AB"/>
    <w:rsid w:val="15CF33DB"/>
    <w:rsid w:val="35E9E409"/>
    <w:rsid w:val="6B5B43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B43AB"/>
  <w15:chartTrackingRefBased/>
  <w15:docId w15:val="{4504FC8E-402D-48D6-923F-15F494AA5E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news.microsoft.com/life/one-week-microsoftlife/" TargetMode="External" Id="Rdf728e2444f5434c" /><Relationship Type="http://schemas.openxmlformats.org/officeDocument/2006/relationships/hyperlink" Target="https://www.pg.co.uk/brands/" TargetMode="External" Id="R552878a0f1934573" /><Relationship Type="http://schemas.openxmlformats.org/officeDocument/2006/relationships/hyperlink" Target="https://www.insider.com/mcdonalds-around-the-world-differences-2018-12" TargetMode="External" Id="R97cbeaade20e4e09" /><Relationship Type="http://schemas.openxmlformats.org/officeDocument/2006/relationships/hyperlink" Target="https://www.mcdonaldsindia.com/products.html" TargetMode="External" Id="R00efb9083ec34c15" /><Relationship Type="http://schemas.openxmlformats.org/officeDocument/2006/relationships/hyperlink" Target="https://www.tata.com/community" TargetMode="External" Id="Readd475c82de4645" /><Relationship Type="http://schemas.openxmlformats.org/officeDocument/2006/relationships/hyperlink" Target="https://www.tata.com/newsroom/invisible-tata" TargetMode="External" Id="R6e58af3d6ff748f4" /><Relationship Type="http://schemas.openxmlformats.org/officeDocument/2006/relationships/numbering" Target="numbering.xml" Id="Rb675737a51d6415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2023-11-27T10:44:11.2100962Z</dcterms:created>
  <dcterms:modified xsi:type="dcterms:W3CDTF">2023-11-27T10:44:52.2388526Z</dcterms:modified>
  <dc:creator>Matthew Evans (2317129)</dc:creator>
  <lastModifiedBy>Matthew Evans (2317129)</lastModifiedBy>
</coreProperties>
</file>