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02" w:rsidRDefault="00202902" w:rsidP="00202902">
      <w:pPr>
        <w:tabs>
          <w:tab w:val="left" w:pos="3067"/>
        </w:tabs>
        <w:rPr>
          <w:rFonts w:ascii="Tahoma" w:hAnsi="Tahoma"/>
          <w:b/>
          <w:i/>
          <w:smallCaps/>
          <w:u w:val="single"/>
          <w:lang w:eastAsia="en-GB"/>
        </w:rPr>
      </w:pPr>
      <w:r>
        <w:rPr>
          <w:rFonts w:ascii="Tahoma" w:hAnsi="Tahoma"/>
          <w:b/>
          <w:i/>
          <w:smallCaps/>
          <w:u w:val="single"/>
          <w:lang w:eastAsia="en-GB"/>
        </w:rPr>
        <w:t>A Note on Interdisciplinary Approaches and Theoretical Eclecticism</w:t>
      </w:r>
    </w:p>
    <w:p w:rsidR="00202902" w:rsidRDefault="00202902" w:rsidP="00202902">
      <w:pPr>
        <w:tabs>
          <w:tab w:val="left" w:pos="3067"/>
        </w:tabs>
        <w:rPr>
          <w:b/>
          <w:i/>
          <w:u w:val="single"/>
          <w:lang w:eastAsia="en-GB"/>
        </w:rPr>
      </w:pPr>
    </w:p>
    <w:p w:rsidR="00202902" w:rsidRDefault="00202902" w:rsidP="00202902">
      <w:pPr>
        <w:tabs>
          <w:tab w:val="left" w:pos="3067"/>
        </w:tabs>
        <w:rPr>
          <w:lang w:eastAsia="en-GB"/>
        </w:rPr>
      </w:pPr>
    </w:p>
    <w:p w:rsidR="00202902" w:rsidRDefault="00202902" w:rsidP="00202902">
      <w:pPr>
        <w:tabs>
          <w:tab w:val="left" w:pos="709"/>
        </w:tabs>
        <w:spacing w:line="360" w:lineRule="auto"/>
        <w:jc w:val="both"/>
        <w:rPr>
          <w:rFonts w:ascii="Tahoma" w:hAnsi="Tahoma"/>
          <w:lang w:eastAsia="en-GB"/>
        </w:rPr>
      </w:pPr>
      <w:r>
        <w:rPr>
          <w:lang w:eastAsia="en-GB"/>
        </w:rPr>
        <w:tab/>
      </w:r>
      <w:r>
        <w:rPr>
          <w:rFonts w:ascii="Tahoma" w:hAnsi="Tahoma"/>
          <w:lang w:eastAsia="en-GB"/>
        </w:rPr>
        <w:t xml:space="preserve">All the main textbooks and more advanced books listed at the beginning of this module approach Religious Studies from a variety of disciplines.  Even a book with a title such as </w:t>
      </w:r>
      <w:r>
        <w:rPr>
          <w:rFonts w:ascii="Tahoma" w:hAnsi="Tahoma"/>
          <w:i/>
          <w:lang w:eastAsia="en-GB"/>
        </w:rPr>
        <w:t>Religion and Science</w:t>
      </w:r>
      <w:r>
        <w:rPr>
          <w:rFonts w:ascii="Tahoma" w:hAnsi="Tahoma"/>
          <w:lang w:eastAsia="en-GB"/>
        </w:rPr>
        <w:t xml:space="preserve"> (ed. Clayton 2006) has chapters on nearly every discipline discussed here, and looks at the issue from the perspectives of a variety of religions.  As mentioned earlier, </w:t>
      </w:r>
      <w:r>
        <w:rPr>
          <w:rFonts w:ascii="Tahoma" w:hAnsi="Tahoma"/>
          <w:lang w:val="en-US"/>
        </w:rPr>
        <w:t xml:space="preserve">Religious Studies is not a discipline in and of itself, but rather a field of enquiry which draws upon many disciplines.  </w:t>
      </w:r>
      <w:r>
        <w:rPr>
          <w:rFonts w:ascii="Tahoma" w:hAnsi="Tahoma"/>
          <w:lang w:eastAsia="en-GB"/>
        </w:rPr>
        <w:t xml:space="preserve">By its very nature, then, Religious Studies is certainly one the most interdisciplinary academic fields.  There is a difference, however, between being able to approach a subject from various disciplines, and actually </w:t>
      </w:r>
      <w:r>
        <w:rPr>
          <w:rFonts w:ascii="Tahoma" w:hAnsi="Tahoma"/>
          <w:i/>
          <w:lang w:eastAsia="en-GB"/>
        </w:rPr>
        <w:t>integrating</w:t>
      </w:r>
      <w:r>
        <w:rPr>
          <w:rFonts w:ascii="Tahoma" w:hAnsi="Tahoma"/>
          <w:lang w:eastAsia="en-GB"/>
        </w:rPr>
        <w:t xml:space="preserve"> theories and methods from various disciplines in order to arrive at new ways of understanding the issue at hand.</w:t>
      </w:r>
    </w:p>
    <w:p w:rsidR="00202902" w:rsidRDefault="00202902" w:rsidP="00202902">
      <w:pPr>
        <w:spacing w:line="360" w:lineRule="auto"/>
        <w:jc w:val="both"/>
        <w:rPr>
          <w:rFonts w:ascii="Tahoma" w:hAnsi="Tahoma"/>
          <w:lang w:eastAsia="en-GB"/>
        </w:rPr>
      </w:pPr>
      <w:r>
        <w:rPr>
          <w:rFonts w:ascii="Tahoma" w:hAnsi="Tahoma"/>
          <w:lang w:eastAsia="en-GB"/>
        </w:rPr>
        <w:tab/>
        <w:t xml:space="preserve">Many of the approaches discussed here have some element of </w:t>
      </w:r>
      <w:proofErr w:type="spellStart"/>
      <w:r>
        <w:rPr>
          <w:rFonts w:ascii="Tahoma" w:hAnsi="Tahoma"/>
          <w:lang w:eastAsia="en-GB"/>
        </w:rPr>
        <w:t>interdisciplinarity</w:t>
      </w:r>
      <w:proofErr w:type="spellEnd"/>
      <w:r>
        <w:rPr>
          <w:rFonts w:ascii="Tahoma" w:hAnsi="Tahoma"/>
          <w:lang w:eastAsia="en-GB"/>
        </w:rPr>
        <w:t>.  The volumes co-edited by Whitehouse, for example, combine cognitive science with anthropology, archaeology, and psychology.  While they have been listed in those sections here, they could also have been listed in the above section on Cognitive Science.  In the first section, Fitzgerald’s essay on ‘religion’ as a category is described as ‘</w:t>
      </w:r>
      <w:r>
        <w:rPr>
          <w:rFonts w:ascii="Tahoma" w:hAnsi="Tahoma"/>
          <w:lang w:val="en-US"/>
        </w:rPr>
        <w:t>a philosophical and anthropological critique’.  Others in that section argue for an integration of theology with some of the more social scientific approaches taken by Religious Studies.</w:t>
      </w:r>
    </w:p>
    <w:p w:rsidR="00202902" w:rsidRDefault="00202902" w:rsidP="00202902">
      <w:pPr>
        <w:tabs>
          <w:tab w:val="left" w:pos="709"/>
        </w:tabs>
        <w:spacing w:line="360" w:lineRule="auto"/>
        <w:jc w:val="both"/>
        <w:rPr>
          <w:rFonts w:ascii="Tahoma" w:hAnsi="Tahoma"/>
          <w:lang w:eastAsia="en-GB"/>
        </w:rPr>
      </w:pPr>
      <w:r>
        <w:rPr>
          <w:rFonts w:ascii="Tahoma" w:hAnsi="Tahoma"/>
          <w:lang w:eastAsia="en-GB"/>
        </w:rPr>
        <w:tab/>
        <w:t xml:space="preserve">Nor does drawing upon different disciplines mean that one is necessarily open to competing arguments.  As seen above, many studies begin with their conclusions predetermined to some extent; or are testing whether a posited conclusion ‘works’.  There is another method, however – one of open-ended enquiry in which a variety of theories are tested in order to find the most compelling.  In other words, an attempt is made to allow the theory itself to emerge from the data.  </w:t>
      </w:r>
      <w:r>
        <w:rPr>
          <w:rFonts w:ascii="Tahoma" w:hAnsi="Tahoma"/>
          <w:lang w:eastAsia="en-GB"/>
        </w:rPr>
        <w:tab/>
      </w:r>
    </w:p>
    <w:p w:rsidR="00202902" w:rsidRDefault="00202902" w:rsidP="00202902">
      <w:pPr>
        <w:tabs>
          <w:tab w:val="left" w:pos="709"/>
        </w:tabs>
        <w:spacing w:line="360" w:lineRule="auto"/>
        <w:jc w:val="both"/>
        <w:rPr>
          <w:rFonts w:ascii="Tahoma" w:hAnsi="Tahoma"/>
          <w:lang w:eastAsia="en-GB"/>
        </w:rPr>
      </w:pPr>
      <w:r>
        <w:rPr>
          <w:rFonts w:ascii="Tahoma" w:hAnsi="Tahoma"/>
          <w:lang w:eastAsia="en-GB"/>
        </w:rPr>
        <w:tab/>
        <w:t xml:space="preserve">When one combines different elements from a variety of theories, this is known as ‘theoretical eclecticism’.  The various theories are not necessarily in </w:t>
      </w:r>
      <w:r>
        <w:rPr>
          <w:rFonts w:ascii="Tahoma" w:hAnsi="Tahoma"/>
          <w:i/>
          <w:lang w:eastAsia="en-GB"/>
        </w:rPr>
        <w:t>competition</w:t>
      </w:r>
      <w:r>
        <w:rPr>
          <w:rFonts w:ascii="Tahoma" w:hAnsi="Tahoma"/>
          <w:lang w:eastAsia="en-GB"/>
        </w:rPr>
        <w:t xml:space="preserve"> or mutually exclusive, and may in fact be </w:t>
      </w:r>
      <w:r>
        <w:rPr>
          <w:rFonts w:ascii="Tahoma" w:hAnsi="Tahoma"/>
          <w:i/>
          <w:lang w:eastAsia="en-GB"/>
        </w:rPr>
        <w:t xml:space="preserve">complimentary.  </w:t>
      </w:r>
      <w:r>
        <w:rPr>
          <w:rFonts w:ascii="Tahoma" w:hAnsi="Tahoma"/>
          <w:lang w:eastAsia="en-GB"/>
        </w:rPr>
        <w:t>One could even argue that for a truly comprehensive understanding of a religion or a particular religious phenomenon, we actually need to combine multiple disciplinary perspectives.</w:t>
      </w:r>
    </w:p>
    <w:p w:rsidR="00202902" w:rsidRDefault="00202902" w:rsidP="00202902">
      <w:pPr>
        <w:spacing w:line="360" w:lineRule="auto"/>
        <w:ind w:firstLine="720"/>
        <w:jc w:val="both"/>
        <w:rPr>
          <w:rFonts w:ascii="Tahoma" w:hAnsi="Tahoma"/>
          <w:b/>
          <w:lang w:val="en-US"/>
        </w:rPr>
      </w:pPr>
      <w:r>
        <w:rPr>
          <w:rFonts w:ascii="Tahoma" w:hAnsi="Tahoma"/>
          <w:lang w:val="en-US"/>
        </w:rPr>
        <w:lastRenderedPageBreak/>
        <w:t xml:space="preserve"> A definition of ‘religion’ from the website religioustolerance.org (http://www.religioustolerance.org/jones01.htm) states that:</w:t>
      </w:r>
    </w:p>
    <w:p w:rsidR="00202902" w:rsidRDefault="00202902" w:rsidP="00202902">
      <w:pPr>
        <w:spacing w:line="360" w:lineRule="auto"/>
        <w:ind w:left="720"/>
        <w:jc w:val="both"/>
        <w:rPr>
          <w:rFonts w:ascii="Tahoma" w:hAnsi="Tahoma"/>
          <w:b/>
          <w:lang w:val="en-US"/>
        </w:rPr>
      </w:pPr>
    </w:p>
    <w:p w:rsidR="00202902" w:rsidRDefault="00202902" w:rsidP="00202902">
      <w:pPr>
        <w:ind w:left="720"/>
        <w:jc w:val="both"/>
        <w:rPr>
          <w:rFonts w:ascii="Tahoma" w:hAnsi="Tahoma"/>
          <w:b/>
          <w:sz w:val="22"/>
          <w:lang w:val="en-US"/>
        </w:rPr>
      </w:pPr>
      <w:r>
        <w:rPr>
          <w:rFonts w:ascii="Tahoma" w:hAnsi="Tahoma"/>
          <w:b/>
          <w:sz w:val="22"/>
          <w:lang w:val="en-US"/>
        </w:rPr>
        <w:t>It is apparent that religion can be seen as a theological, philosophical, anthropological, sociological, and psychological phenomenon of human kind.  To limit religion to only one of these categories is to miss its multifaceted nature and lose out on the complete definition.</w:t>
      </w:r>
    </w:p>
    <w:p w:rsidR="00202902" w:rsidRDefault="00202902" w:rsidP="00202902">
      <w:pPr>
        <w:pStyle w:val="BodyTextIndent"/>
        <w:tabs>
          <w:tab w:val="left" w:pos="0"/>
        </w:tabs>
        <w:spacing w:line="360" w:lineRule="auto"/>
        <w:ind w:left="0"/>
        <w:jc w:val="both"/>
        <w:rPr>
          <w:rFonts w:ascii="Tahoma" w:hAnsi="Tahoma"/>
          <w:lang w:val="en-US"/>
        </w:rPr>
      </w:pPr>
    </w:p>
    <w:p w:rsidR="00202902" w:rsidRDefault="00202902" w:rsidP="00202902">
      <w:pPr>
        <w:pStyle w:val="BodyText2"/>
        <w:rPr>
          <w:sz w:val="26"/>
        </w:rPr>
      </w:pPr>
      <w:r>
        <w:tab/>
        <w:t xml:space="preserve">While drawing upon more than one theory obviously means more work for the researcher, there is no scientifically valid reason to try to force a given problem into a single explanation, while ignoring other possibilities.  For example, certain beliefs might be based on fear, others on community support, others on mystical experiences or dreams, and still others on control of the masses.  Some might be hardwired into </w:t>
      </w:r>
      <w:proofErr w:type="spellStart"/>
      <w:r>
        <w:t>out</w:t>
      </w:r>
      <w:proofErr w:type="spellEnd"/>
      <w:r>
        <w:t xml:space="preserve"> brains, and some are psychological or cognitive processes.  Humans are complex and multi-faceted, and so are our religions.  </w:t>
      </w:r>
    </w:p>
    <w:p w:rsidR="007F2B60" w:rsidRDefault="00202902"/>
    <w:sectPr w:rsidR="007F2B60" w:rsidSect="00C2351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02902"/>
    <w:rsid w:val="00202902"/>
    <w:rsid w:val="00AA3EBF"/>
    <w:rsid w:val="00C23514"/>
    <w:rsid w:val="00DE14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90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02902"/>
    <w:pPr>
      <w:ind w:left="708"/>
    </w:pPr>
  </w:style>
  <w:style w:type="character" w:customStyle="1" w:styleId="BodyTextIndentChar">
    <w:name w:val="Body Text Indent Char"/>
    <w:basedOn w:val="DefaultParagraphFont"/>
    <w:link w:val="BodyTextIndent"/>
    <w:rsid w:val="00202902"/>
    <w:rPr>
      <w:rFonts w:ascii="Times New Roman" w:eastAsia="Times New Roman" w:hAnsi="Times New Roman" w:cs="Times New Roman"/>
      <w:sz w:val="24"/>
      <w:szCs w:val="24"/>
    </w:rPr>
  </w:style>
  <w:style w:type="paragraph" w:styleId="BodyText2">
    <w:name w:val="Body Text 2"/>
    <w:basedOn w:val="Normal"/>
    <w:link w:val="BodyText2Char"/>
    <w:rsid w:val="00202902"/>
    <w:pPr>
      <w:spacing w:line="360" w:lineRule="auto"/>
      <w:jc w:val="both"/>
    </w:pPr>
    <w:rPr>
      <w:rFonts w:ascii="Tahoma" w:hAnsi="Tahoma"/>
    </w:rPr>
  </w:style>
  <w:style w:type="character" w:customStyle="1" w:styleId="BodyText2Char">
    <w:name w:val="Body Text 2 Char"/>
    <w:basedOn w:val="DefaultParagraphFont"/>
    <w:link w:val="BodyText2"/>
    <w:rsid w:val="00202902"/>
    <w:rPr>
      <w:rFonts w:ascii="Tahoma" w:eastAsia="Times New Roman" w:hAnsi="Tahoma"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500</Words>
  <Characters>2855</Characters>
  <Application>Microsoft Office Word</Application>
  <DocSecurity>0</DocSecurity>
  <Lines>23</Lines>
  <Paragraphs>6</Paragraphs>
  <ScaleCrop>false</ScaleCrop>
  <Company/>
  <LinksUpToDate>false</LinksUpToDate>
  <CharactersWithSpaces>3349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b.schmidt</dc:creator>
  <cp:lastModifiedBy>b.schmidt</cp:lastModifiedBy>
  <cp:revision>1</cp:revision>
  <dcterms:created xsi:type="dcterms:W3CDTF">2011-11-17T10:18:00Z</dcterms:created>
  <dcterms:modified xsi:type="dcterms:W3CDTF">2011-11-17T10:18:00Z</dcterms:modified>
</cp:coreProperties>
</file>