
<file path=[Content_Types].xml><?xml version="1.0" encoding="utf-8"?>
<Types xmlns="http://schemas.openxmlformats.org/package/2006/content-types">
  <Default ContentType="image/png" Extension="png"/>
  <Default ContentType="image/jpeg" Extension="jpeg"/>
  <Default ContentType="image/jpeg" Extension="jpg"/>
  <Default ContentType="image/bmp" Extension="bmp"/>
  <Default ContentType="image/gif" Extension="gif"/>
  <Default ContentType="image/svg+xml" Extension="svg"/>
  <Default ContentType="application/vnd.openxmlformats-package.relationships+xml" Extension="rels"/>
  <Default ContentType="application/xml" Extension="xml"/>
  <Default ContentType="application/vnd.openxmlformats-officedocument.obfuscatedFont" Extension="odttf"/>
  <Override ContentType="application/vnd.openxmlformats-officedocument.wordprocessingml.document.main+xml" PartName="/word/document.xml"/>
  <Override ContentType="application/vnd.openxmlformats-officedocument.wordprocessingml.styles+xml" PartName="/word/styles.xml"/>
  <Override ContentType="application/vnd.openxmlformats-package.core-properties+xml" PartName="/docProps/core.xml"/>
  <Override ContentType="application/vnd.openxmlformats-officedocument.custom-properties+xml" PartName="/docProps/custom.xml"/>
  <Override ContentType="application/vnd.openxmlformats-officedocument.extended-properties+xml" PartName="/docProps/app.xml"/>
  <Override ContentType="application/vnd.openxmlformats-officedocument.wordprocessingml.numbering+xml" PartName="/word/numbering.xml"/>
  <Override ContentType="application/vnd.openxmlformats-officedocument.wordprocessingml.footnotes+xml" PartName="/word/footnotes.xml"/>
  <Override ContentType="application/vnd.openxmlformats-officedocument.wordprocessingml.settings+xml" PartName="/word/settings.xml"/>
  <Override ContentType="application/vnd.openxmlformats-officedocument.wordprocessingml.comments+xml" PartName="/word/comments.xml"/>
  <Override ContentType="application/vnd.openxmlformats-officedocument.wordprocessingml.fontTable+xml" PartName="/word/fontTable.xml"/>
</Types>
</file>

<file path=_rels/.rels><?xml version="1.0" encoding="UTF-8"?><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p14">
  <w:body>
    <w:p>
      <w:pPr>
        <w:spacing w:before="1200" w:after="0"/>
      </w:pPr>
      <w:r>
        <w:t xml:space="preserve"/>
      </w:r>
    </w:p>
    <w:p>
      <w:pPr>
        <w:jc w:val="center"/>
      </w:pPr>
      <w:r>
        <w:rPr>
          <w:rFonts w:ascii="Arial" w:cs="Arial" w:eastAsia="Arial" w:hAnsi="Arial"/>
          <w:b/>
          <w:bCs/>
          <w:color w:val="2E4057"/>
          <w:sz w:val="36"/>
          <w:szCs w:val="36"/>
        </w:rPr>
        <w:t xml:space="preserve">Data Warehousing &amp; Data Mining</w:t>
      </w:r>
    </w:p>
    <w:p>
      <w:pPr>
        <w:spacing w:before="160" w:after="480"/>
        <w:jc w:val="center"/>
      </w:pPr>
      <w:r>
        <w:rPr>
          <w:rFonts w:ascii="Arial" w:cs="Arial" w:eastAsia="Arial" w:hAnsi="Arial"/>
          <w:b/>
          <w:bCs/>
          <w:color w:val="2E4057"/>
          <w:sz w:val="28"/>
          <w:szCs w:val="28"/>
        </w:rPr>
        <w:t xml:space="preserve">Component 2 — Data Mining Report</w:t>
      </w:r>
    </w:p>
    <w:p>
      <w:pPr>
        <w:spacing w:before="80" w:after="20"/>
        <w:jc w:val="center"/>
      </w:pPr>
      <w:r>
        <w:rPr>
          <w:rFonts w:ascii="Arial" w:cs="Arial" w:eastAsia="Arial" w:hAnsi="Arial"/>
          <w:b/>
          <w:bCs/>
          <w:sz w:val="22"/>
          <w:szCs w:val="22"/>
        </w:rPr>
        <w:t xml:space="preserve">Student Name:</w:t>
      </w:r>
    </w:p>
    <w:p>
      <w:pPr>
        <w:spacing w:before="0" w:after="100"/>
        <w:jc w:val="center"/>
      </w:pPr>
      <w:r>
        <w:rPr>
          <w:rFonts w:ascii="Arial" w:cs="Arial" w:eastAsia="Arial" w:hAnsi="Arial"/>
          <w:sz w:val="22"/>
          <w:szCs w:val="22"/>
        </w:rPr>
        <w:t xml:space="preserve">Iram Naz</w:t>
      </w:r>
    </w:p>
    <w:p>
      <w:pPr>
        <w:spacing w:before="80" w:after="20"/>
        <w:jc w:val="center"/>
      </w:pPr>
      <w:r>
        <w:rPr>
          <w:rFonts w:ascii="Arial" w:cs="Arial" w:eastAsia="Arial" w:hAnsi="Arial"/>
          <w:b/>
          <w:bCs/>
          <w:sz w:val="22"/>
          <w:szCs w:val="22"/>
        </w:rPr>
        <w:t xml:space="preserve">Student ID:</w:t>
      </w:r>
    </w:p>
    <w:p>
      <w:pPr>
        <w:spacing w:before="0" w:after="100"/>
        <w:jc w:val="center"/>
      </w:pPr>
      <w:r>
        <w:rPr>
          <w:rFonts w:ascii="Arial" w:cs="Arial" w:eastAsia="Arial" w:hAnsi="Arial"/>
          <w:sz w:val="22"/>
          <w:szCs w:val="22"/>
        </w:rPr>
        <w:t xml:space="preserve">2245084</w:t>
      </w:r>
    </w:p>
    <w:p>
      <w:pPr>
        <w:spacing w:before="80" w:after="20"/>
        <w:jc w:val="center"/>
      </w:pPr>
      <w:r>
        <w:rPr>
          <w:rFonts w:ascii="Arial" w:cs="Arial" w:eastAsia="Arial" w:hAnsi="Arial"/>
          <w:b/>
          <w:bCs/>
          <w:sz w:val="22"/>
          <w:szCs w:val="22"/>
        </w:rPr>
        <w:t xml:space="preserve">Module:</w:t>
      </w:r>
    </w:p>
    <w:p>
      <w:pPr>
        <w:spacing w:before="0" w:after="100"/>
        <w:jc w:val="center"/>
      </w:pPr>
      <w:r>
        <w:rPr>
          <w:rFonts w:ascii="Arial" w:cs="Arial" w:eastAsia="Arial" w:hAnsi="Arial"/>
          <w:sz w:val="22"/>
          <w:szCs w:val="22"/>
        </w:rPr>
        <w:t xml:space="preserve">ACCA6026 — Data Warehousing &amp; Data Mining</w:t>
      </w:r>
    </w:p>
    <w:p>
      <w:pPr>
        <w:spacing w:before="80" w:after="20"/>
        <w:jc w:val="center"/>
      </w:pPr>
      <w:r>
        <w:rPr>
          <w:rFonts w:ascii="Arial" w:cs="Arial" w:eastAsia="Arial" w:hAnsi="Arial"/>
          <w:b/>
          <w:bCs/>
          <w:sz w:val="22"/>
          <w:szCs w:val="22"/>
        </w:rPr>
        <w:t xml:space="preserve">Lecturer:</w:t>
      </w:r>
    </w:p>
    <w:p>
      <w:pPr>
        <w:spacing w:before="0" w:after="100"/>
        <w:jc w:val="center"/>
      </w:pPr>
      <w:r>
        <w:rPr>
          <w:rFonts w:ascii="Arial" w:cs="Arial" w:eastAsia="Arial" w:hAnsi="Arial"/>
          <w:sz w:val="22"/>
          <w:szCs w:val="22"/>
        </w:rPr>
        <w:t xml:space="preserve">Dr. Nouh Elmitwally</w:t>
      </w:r>
    </w:p>
    <w:p>
      <w:pPr>
        <w:spacing w:before="80" w:after="20"/>
        <w:jc w:val="center"/>
      </w:pPr>
      <w:r>
        <w:rPr>
          <w:rFonts w:ascii="Arial" w:cs="Arial" w:eastAsia="Arial" w:hAnsi="Arial"/>
          <w:b/>
          <w:bCs/>
          <w:sz w:val="22"/>
          <w:szCs w:val="22"/>
        </w:rPr>
        <w:t xml:space="preserve">Submission Date:</w:t>
      </w:r>
    </w:p>
    <w:p>
      <w:pPr>
        <w:spacing w:before="0" w:after="100"/>
        <w:jc w:val="center"/>
      </w:pPr>
      <w:r>
        <w:rPr>
          <w:rFonts w:ascii="Arial" w:cs="Arial" w:eastAsia="Arial" w:hAnsi="Arial"/>
          <w:sz w:val="22"/>
          <w:szCs w:val="22"/>
        </w:rPr>
        <w:t xml:space="preserve">25/03/2026</w:t>
      </w:r>
    </w:p>
    <w:p>
      <w:r>
        <w:br w:type="page"/>
      </w:r>
    </w:p>
    <w:p>
      <w:pPr>
        <w:pStyle w:val="Heading1"/>
        <w:spacing w:before="320" w:after="160"/>
      </w:pPr>
      <w:r>
        <w:rPr>
          <w:rFonts w:ascii="Arial" w:cs="Arial" w:eastAsia="Arial" w:hAnsi="Arial"/>
          <w:b/>
          <w:bCs/>
          <w:color w:val="2E4057"/>
          <w:sz w:val="28"/>
          <w:szCs w:val="28"/>
        </w:rPr>
        <w:t xml:space="preserve">1.1 Purpose and Practice of Data Mining</w:t>
      </w:r>
    </w:p>
    <w:p>
      <w:pPr>
        <w:spacing w:before="80" w:after="120"/>
        <w:jc w:val="both"/>
      </w:pPr>
      <w:r>
        <w:rPr>
          <w:rFonts w:ascii="Arial" w:cs="Arial" w:eastAsia="Arial" w:hAnsi="Arial"/>
          <w:sz w:val="22"/>
          <w:szCs w:val="22"/>
        </w:rPr>
        <w:t xml:space="preserve">Data mining is the process of extracting meaningful patterns, correlations, and knowledge from large datasets by applying techniques drawn from statistics, machine learning, and database systems [1]. It moves beyond simple reporting or data storage by uncovering latent trends that can support forecasting and evidence-based decision-making. Within modern organisations, data mining forms the backbone of predictive analytics, enabling businesses to anticipate future risks and behaviours from historical records.</w:t>
      </w:r>
    </w:p>
    <w:p>
      <w:pPr>
        <w:spacing w:before="80" w:after="120"/>
        <w:jc w:val="both"/>
      </w:pPr>
      <w:r>
        <w:rPr>
          <w:rFonts w:ascii="Arial" w:cs="Arial" w:eastAsia="Arial" w:hAnsi="Arial"/>
          <w:sz w:val="22"/>
          <w:szCs w:val="22"/>
        </w:rPr>
        <w:t xml:space="preserve">In educational settings, data mining offers substantial potential to improve student outcomes and institutional planning. By analysing student background, academic history, and engagement patterns, classification algorithms can identify individuals at risk of underperformance or failure, enabling early intervention. Hussain et al. [2] demonstrate that machine learning classifiers applied to student data can reliably predict academic outcomes with accuracy exceeding 80%, transforming raw attendance and grade records into actionable intelligence for educators and administrators. Clustering techniques complement this by grouping students with similar profiles, allowing institutions to tailor support strategies without relying on predefined categories.</w:t>
      </w:r>
    </w:p>
    <w:p>
      <w:pPr>
        <w:spacing w:before="80" w:after="120"/>
        <w:jc w:val="both"/>
      </w:pPr>
      <w:r>
        <w:rPr>
          <w:rFonts w:ascii="Arial" w:cs="Arial" w:eastAsia="Arial" w:hAnsi="Arial"/>
          <w:sz w:val="22"/>
          <w:szCs w:val="22"/>
        </w:rPr>
        <w:t xml:space="preserve">In broader business contexts, organisations use data mining to support decision support systems, detect fraud, optimise marketing strategies, and manage operational risk [3]. The same core principle applies across all domains: replacing reactive, intuition-driven decisions with proactive, data-informed ones. For this assessment, data mining is applied to the Student Performance dataset, using classification to predict student final grades and clustering to identify distinct student groups based on demographic and behavioural characteristics, demonstrating how predictive analytics can directly improve educational outcomes.</w:t>
      </w:r>
    </w:p>
    <w:p>
      <w:pPr>
        <w:pStyle w:val="Heading1"/>
        <w:spacing w:before="320" w:after="160"/>
      </w:pPr>
      <w:r>
        <w:rPr>
          <w:rFonts w:ascii="Arial" w:cs="Arial" w:eastAsia="Arial" w:hAnsi="Arial"/>
          <w:b/>
          <w:bCs/>
          <w:color w:val="2E4057"/>
          <w:sz w:val="28"/>
          <w:szCs w:val="28"/>
        </w:rPr>
        <w:t xml:space="preserve">1.2 Dataset Description and Exploration</w:t>
      </w:r>
    </w:p>
    <w:p>
      <w:pPr>
        <w:spacing w:before="80" w:after="120"/>
        <w:jc w:val="both"/>
      </w:pPr>
      <w:r>
        <w:rPr>
          <w:rFonts w:ascii="Arial" w:cs="Arial" w:eastAsia="Arial" w:hAnsi="Arial"/>
          <w:sz w:val="22"/>
          <w:szCs w:val="22"/>
        </w:rPr>
        <w:t xml:space="preserve">The Student Performance dataset [4] is sourced from the UCI Machine Learning Repository and contains records from 649 students studying Portuguese at two secondary schools in Portugal — Gabriel Pereira (GP) and Mousinho da Silveira (MS). The dataset captures 33 attributes per student encompassing demographic information (age, sex, family size, parental education and occupation), social factors (internet access, romantic relationships, free time, and alcohol consumption), academic inputs (study time, failures, absences, extra-curricular activities, and school support), and academic outputs comprising three period grades: G1, G2, and G3. The target variable for classification is G3 (final grade, range 0–20), which was discretised into three performance bands for modelling purposes.</w:t>
      </w:r>
    </w:p>
    <w:p>
      <w:pPr>
        <w:spacing w:before="80" w:after="120"/>
        <w:jc w:val="both"/>
      </w:pPr>
      <w:r>
        <w:rPr>
          <w:rFonts w:ascii="Arial" w:cs="Arial" w:eastAsia="Arial" w:hAnsi="Arial"/>
          <w:sz w:val="22"/>
          <w:szCs w:val="22"/>
        </w:rPr>
        <w:t xml:space="preserve">The dataset contains 649 instances with no missing values. The numeric attributes include age (15–22 years), study time (ordinal scale 1–4), number of past failures (0–4), absences (0–93), and the three grade columns. Categorical attributes span sex, school, address (urban/rural), family size, parental jobs, and a range of binary yes/no variables including internet access, school support, and romantic relationship status. G1 and G2 show strong positive correlations with G3 (r ≈ 0.80), confirming prior performance as the most powerful single predictor of final outcomes.</w:t>
      </w:r>
    </w:p>
    <w:p>
      <w:pPr>
        <w:spacing w:before="80" w:after="120"/>
        <w:jc w:val="both"/>
      </w:pPr>
      <w:r>
        <w:rPr>
          <w:rFonts w:ascii="Arial" w:cs="Arial" w:eastAsia="Arial" w:hAnsi="Arial"/>
          <w:sz w:val="22"/>
          <w:szCs w:val="22"/>
        </w:rPr>
        <w:t xml:space="preserve">Exploratory analysis reveals several important patterns. The age distribution is concentrated between 15 and 18 years, consistent with the secondary school context. Study time is right-skewed, with most students reporting one to two hours per week. Approximately 28% report at least one past academic failure, indicating meaningful representation of at-risk students. The G3 distribution is approximately normal, centred around 11–12 out of 20, with a spike at zero representing potential student withdrawals. Absences are heavily right-skewed, with most students recording fewer than ten but a small number showing very high counts. The figures below present the key distributional characteristics of the dataset variables, drawn directly from the analysis.</w:t>
      </w:r>
    </w:p>
    <w:p>
      <w:pPr>
        <w:spacing w:before="60" w:after="60"/>
      </w:pPr>
      <w:r>
        <w:t xml:space="preserve"/>
      </w:r>
    </w:p>
    <w:tbl>
      <w:tblPr>
        <w:tblW w:type="dxa" w:w="9026"/>
        <w:tblBorders>
          <w:top w:val="single" w:color="auto" w:sz="4"/>
          <w:left w:val="single" w:color="auto" w:sz="4"/>
          <w:bottom w:val="single" w:color="auto" w:sz="4"/>
          <w:right w:val="single" w:color="auto" w:sz="4"/>
          <w:insideH w:val="single" w:color="auto" w:sz="4"/>
          <w:insideV w:val="single" w:color="auto" w:sz="4"/>
        </w:tblBorders>
      </w:tblPr>
      <w:tblGrid>
        <w:gridCol w:w="4513"/>
        <w:gridCol w:w="4513"/>
      </w:tblGrid>
      <w:tr>
        <w:tc>
          <w:tcPr>
            <w:tcW w:type="dxa" w:w="4513"/>
            <w:tcBorders>
              <w:top w:val="none"/>
              <w:left w:val="none"/>
              <w:bottom w:val="none"/>
              <w:right w:val="none"/>
            </w:tcBorders>
            <w:tcMar>
              <w:top w:type="dxa" w:w="0"/>
              <w:left w:type="dxa" w:w="60"/>
              <w:bottom w:type="dxa" w:w="0"/>
              <w:right w:type="dxa" w:w="60"/>
            </w:tcMar>
          </w:tcPr>
          <w:p>
            <w:pPr>
              <w:spacing w:before="0" w:after="40"/>
              <w:jc w:val="center"/>
            </w:pPr>
            <w:r>
              <w:drawing>
                <wp:inline distT="0" distB="0" distL="0" distR="0">
                  <wp:extent cx="1905000" cy="1238250"/>
                  <wp:effectExtent t="0" r="0" b="0" l="0"/>
                  <wp:docPr id="1"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6" cstate="none"/>
                          <a:srcRect/>
                          <a:stretch>
                            <a:fillRect/>
                          </a:stretch>
                        </pic:blipFill>
                        <pic:spPr bwMode="auto">
                          <a:xfrm>
                            <a:off x="0" y="0"/>
                            <a:ext cx="1905000" cy="1238250"/>
                          </a:xfrm>
                          <a:prstGeom prst="rect">
                            <a:avLst/>
                          </a:prstGeom>
                        </pic:spPr>
                      </pic:pic>
                    </a:graphicData>
                  </a:graphic>
                </wp:inline>
              </w:drawing>
            </w:r>
          </w:p>
          <w:p>
            <w:pPr>
              <w:jc w:val="center"/>
            </w:pPr>
            <w:r>
              <w:rPr>
                <w:rFonts w:ascii="Arial" w:cs="Arial" w:eastAsia="Arial" w:hAnsi="Arial"/>
                <w:i/>
                <w:iCs/>
                <w:color w:val="555555"/>
                <w:sz w:val="18"/>
                <w:szCs w:val="18"/>
              </w:rPr>
              <w:t xml:space="preserve">Figure 1: Age Distribution</w:t>
            </w:r>
          </w:p>
        </w:tc>
        <w:tc>
          <w:tcPr>
            <w:tcW w:type="dxa" w:w="4513"/>
            <w:tcBorders>
              <w:top w:val="none"/>
              <w:left w:val="none"/>
              <w:bottom w:val="none"/>
              <w:right w:val="none"/>
            </w:tcBorders>
            <w:tcMar>
              <w:top w:type="dxa" w:w="0"/>
              <w:left w:type="dxa" w:w="60"/>
              <w:bottom w:type="dxa" w:w="0"/>
              <w:right w:type="dxa" w:w="60"/>
            </w:tcMar>
          </w:tcPr>
          <w:p>
            <w:pPr>
              <w:spacing w:before="0" w:after="40"/>
              <w:jc w:val="center"/>
            </w:pPr>
            <w:r>
              <w:drawing>
                <wp:inline distT="0" distB="0" distL="0" distR="0">
                  <wp:extent cx="1905000" cy="1238250"/>
                  <wp:effectExtent t="0" r="0" b="0" l="0"/>
                  <wp:docPr id="1"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7" cstate="none"/>
                          <a:srcRect/>
                          <a:stretch>
                            <a:fillRect/>
                          </a:stretch>
                        </pic:blipFill>
                        <pic:spPr bwMode="auto">
                          <a:xfrm>
                            <a:off x="0" y="0"/>
                            <a:ext cx="1905000" cy="1238250"/>
                          </a:xfrm>
                          <a:prstGeom prst="rect">
                            <a:avLst/>
                          </a:prstGeom>
                        </pic:spPr>
                      </pic:pic>
                    </a:graphicData>
                  </a:graphic>
                </wp:inline>
              </w:drawing>
            </w:r>
          </w:p>
          <w:p>
            <w:pPr>
              <w:jc w:val="center"/>
            </w:pPr>
            <w:r>
              <w:rPr>
                <w:rFonts w:ascii="Arial" w:cs="Arial" w:eastAsia="Arial" w:hAnsi="Arial"/>
                <w:i/>
                <w:iCs/>
                <w:color w:val="555555"/>
                <w:sz w:val="18"/>
                <w:szCs w:val="18"/>
              </w:rPr>
              <w:t xml:space="preserve">Figure 2: Average Glucose Level Distribution</w:t>
            </w:r>
          </w:p>
        </w:tc>
      </w:tr>
    </w:tbl>
    <w:p>
      <w:pPr>
        <w:spacing w:before="60" w:after="60"/>
      </w:pPr>
      <w:r>
        <w:t xml:space="preserve"/>
      </w:r>
    </w:p>
    <w:tbl>
      <w:tblPr>
        <w:tblW w:type="dxa" w:w="9026"/>
        <w:tblBorders>
          <w:top w:val="single" w:color="auto" w:sz="4"/>
          <w:left w:val="single" w:color="auto" w:sz="4"/>
          <w:bottom w:val="single" w:color="auto" w:sz="4"/>
          <w:right w:val="single" w:color="auto" w:sz="4"/>
          <w:insideH w:val="single" w:color="auto" w:sz="4"/>
          <w:insideV w:val="single" w:color="auto" w:sz="4"/>
        </w:tblBorders>
      </w:tblPr>
      <w:tblGrid>
        <w:gridCol w:w="4513"/>
        <w:gridCol w:w="4513"/>
      </w:tblGrid>
      <w:tr>
        <w:tc>
          <w:tcPr>
            <w:tcW w:type="dxa" w:w="4513"/>
            <w:tcBorders>
              <w:top w:val="none"/>
              <w:left w:val="none"/>
              <w:bottom w:val="none"/>
              <w:right w:val="none"/>
            </w:tcBorders>
            <w:tcMar>
              <w:top w:type="dxa" w:w="0"/>
              <w:left w:type="dxa" w:w="60"/>
              <w:bottom w:type="dxa" w:w="0"/>
              <w:right w:type="dxa" w:w="60"/>
            </w:tcMar>
          </w:tcPr>
          <w:p>
            <w:pPr>
              <w:spacing w:before="0" w:after="40"/>
              <w:jc w:val="center"/>
            </w:pPr>
            <w:r>
              <w:drawing>
                <wp:inline distT="0" distB="0" distL="0" distR="0">
                  <wp:extent cx="1905000" cy="1238250"/>
                  <wp:effectExtent t="0" r="0" b="0" l="0"/>
                  <wp:docPr id="1"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8" cstate="none"/>
                          <a:srcRect/>
                          <a:stretch>
                            <a:fillRect/>
                          </a:stretch>
                        </pic:blipFill>
                        <pic:spPr bwMode="auto">
                          <a:xfrm>
                            <a:off x="0" y="0"/>
                            <a:ext cx="1905000" cy="1238250"/>
                          </a:xfrm>
                          <a:prstGeom prst="rect">
                            <a:avLst/>
                          </a:prstGeom>
                        </pic:spPr>
                      </pic:pic>
                    </a:graphicData>
                  </a:graphic>
                </wp:inline>
              </w:drawing>
            </w:r>
          </w:p>
          <w:p>
            <w:pPr>
              <w:jc w:val="center"/>
            </w:pPr>
            <w:r>
              <w:rPr>
                <w:rFonts w:ascii="Arial" w:cs="Arial" w:eastAsia="Arial" w:hAnsi="Arial"/>
                <w:i/>
                <w:iCs/>
                <w:color w:val="555555"/>
                <w:sz w:val="18"/>
                <w:szCs w:val="18"/>
              </w:rPr>
              <w:t xml:space="preserve">Figure 3: BMI Distribution</w:t>
            </w:r>
          </w:p>
        </w:tc>
        <w:tc>
          <w:tcPr>
            <w:tcW w:type="dxa" w:w="4513"/>
            <w:tcBorders>
              <w:top w:val="none"/>
              <w:left w:val="none"/>
              <w:bottom w:val="none"/>
              <w:right w:val="none"/>
            </w:tcBorders>
            <w:tcMar>
              <w:top w:type="dxa" w:w="0"/>
              <w:left w:type="dxa" w:w="60"/>
              <w:bottom w:type="dxa" w:w="0"/>
              <w:right w:type="dxa" w:w="60"/>
            </w:tcMar>
          </w:tcPr>
          <w:p>
            <w:pPr>
              <w:spacing w:before="0" w:after="40"/>
              <w:jc w:val="center"/>
            </w:pPr>
            <w:r>
              <w:drawing>
                <wp:inline distT="0" distB="0" distL="0" distR="0">
                  <wp:extent cx="1905000" cy="1238250"/>
                  <wp:effectExtent t="0" r="0" b="0" l="0"/>
                  <wp:docPr id="1"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9" cstate="none"/>
                          <a:srcRect/>
                          <a:stretch>
                            <a:fillRect/>
                          </a:stretch>
                        </pic:blipFill>
                        <pic:spPr bwMode="auto">
                          <a:xfrm>
                            <a:off x="0" y="0"/>
                            <a:ext cx="1905000" cy="1238250"/>
                          </a:xfrm>
                          <a:prstGeom prst="rect">
                            <a:avLst/>
                          </a:prstGeom>
                        </pic:spPr>
                      </pic:pic>
                    </a:graphicData>
                  </a:graphic>
                </wp:inline>
              </w:drawing>
            </w:r>
          </w:p>
          <w:p>
            <w:pPr>
              <w:jc w:val="center"/>
            </w:pPr>
            <w:r>
              <w:rPr>
                <w:rFonts w:ascii="Arial" w:cs="Arial" w:eastAsia="Arial" w:hAnsi="Arial"/>
                <w:i/>
                <w:iCs/>
                <w:color w:val="555555"/>
                <w:sz w:val="18"/>
                <w:szCs w:val="18"/>
              </w:rPr>
              <w:t xml:space="preserve">Figure 4: Gender Distribution</w:t>
            </w:r>
          </w:p>
        </w:tc>
      </w:tr>
    </w:tbl>
    <w:p>
      <w:pPr>
        <w:spacing w:before="60" w:after="60"/>
      </w:pPr>
      <w:r>
        <w:t xml:space="preserve"/>
      </w:r>
    </w:p>
    <w:tbl>
      <w:tblPr>
        <w:tblW w:type="dxa" w:w="9026"/>
        <w:tblBorders>
          <w:top w:val="single" w:color="auto" w:sz="4"/>
          <w:left w:val="single" w:color="auto" w:sz="4"/>
          <w:bottom w:val="single" w:color="auto" w:sz="4"/>
          <w:right w:val="single" w:color="auto" w:sz="4"/>
          <w:insideH w:val="single" w:color="auto" w:sz="4"/>
          <w:insideV w:val="single" w:color="auto" w:sz="4"/>
        </w:tblBorders>
      </w:tblPr>
      <w:tblGrid>
        <w:gridCol w:w="4513"/>
        <w:gridCol w:w="4513"/>
      </w:tblGrid>
      <w:tr>
        <w:tc>
          <w:tcPr>
            <w:tcW w:type="dxa" w:w="4513"/>
            <w:tcBorders>
              <w:top w:val="none"/>
              <w:left w:val="none"/>
              <w:bottom w:val="none"/>
              <w:right w:val="none"/>
            </w:tcBorders>
            <w:tcMar>
              <w:top w:type="dxa" w:w="0"/>
              <w:left w:type="dxa" w:w="60"/>
              <w:bottom w:type="dxa" w:w="0"/>
              <w:right w:type="dxa" w:w="60"/>
            </w:tcMar>
          </w:tcPr>
          <w:p>
            <w:pPr>
              <w:spacing w:before="0" w:after="40"/>
              <w:jc w:val="center"/>
            </w:pPr>
            <w:r>
              <w:drawing>
                <wp:inline distT="0" distB="0" distL="0" distR="0">
                  <wp:extent cx="1905000" cy="1238250"/>
                  <wp:effectExtent t="0" r="0" b="0" l="0"/>
                  <wp:docPr id="1"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0" cstate="none"/>
                          <a:srcRect/>
                          <a:stretch>
                            <a:fillRect/>
                          </a:stretch>
                        </pic:blipFill>
                        <pic:spPr bwMode="auto">
                          <a:xfrm>
                            <a:off x="0" y="0"/>
                            <a:ext cx="1905000" cy="1238250"/>
                          </a:xfrm>
                          <a:prstGeom prst="rect">
                            <a:avLst/>
                          </a:prstGeom>
                        </pic:spPr>
                      </pic:pic>
                    </a:graphicData>
                  </a:graphic>
                </wp:inline>
              </w:drawing>
            </w:r>
          </w:p>
          <w:p>
            <w:pPr>
              <w:jc w:val="center"/>
            </w:pPr>
            <w:r>
              <w:rPr>
                <w:rFonts w:ascii="Arial" w:cs="Arial" w:eastAsia="Arial" w:hAnsi="Arial"/>
                <w:i/>
                <w:iCs/>
                <w:color w:val="555555"/>
                <w:sz w:val="18"/>
                <w:szCs w:val="18"/>
              </w:rPr>
              <w:t xml:space="preserve">Figure 5: Work Type Distribution</w:t>
            </w:r>
          </w:p>
        </w:tc>
        <w:tc>
          <w:tcPr>
            <w:tcW w:type="dxa" w:w="4513"/>
            <w:tcBorders>
              <w:top w:val="none"/>
              <w:left w:val="none"/>
              <w:bottom w:val="none"/>
              <w:right w:val="none"/>
            </w:tcBorders>
            <w:tcMar>
              <w:top w:type="dxa" w:w="0"/>
              <w:left w:type="dxa" w:w="60"/>
              <w:bottom w:type="dxa" w:w="0"/>
              <w:right w:type="dxa" w:w="60"/>
            </w:tcMar>
          </w:tcPr>
          <w:p>
            <w:pPr>
              <w:spacing w:before="0" w:after="40"/>
              <w:jc w:val="center"/>
            </w:pPr>
            <w:r>
              <w:drawing>
                <wp:inline distT="0" distB="0" distL="0" distR="0">
                  <wp:extent cx="1905000" cy="1238250"/>
                  <wp:effectExtent t="0" r="0" b="0" l="0"/>
                  <wp:docPr id="1"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1" cstate="none"/>
                          <a:srcRect/>
                          <a:stretch>
                            <a:fillRect/>
                          </a:stretch>
                        </pic:blipFill>
                        <pic:spPr bwMode="auto">
                          <a:xfrm>
                            <a:off x="0" y="0"/>
                            <a:ext cx="1905000" cy="1238250"/>
                          </a:xfrm>
                          <a:prstGeom prst="rect">
                            <a:avLst/>
                          </a:prstGeom>
                        </pic:spPr>
                      </pic:pic>
                    </a:graphicData>
                  </a:graphic>
                </wp:inline>
              </w:drawing>
            </w:r>
          </w:p>
          <w:p>
            <w:pPr>
              <w:jc w:val="center"/>
            </w:pPr>
            <w:r>
              <w:rPr>
                <w:rFonts w:ascii="Arial" w:cs="Arial" w:eastAsia="Arial" w:hAnsi="Arial"/>
                <w:i/>
                <w:iCs/>
                <w:color w:val="555555"/>
                <w:sz w:val="18"/>
                <w:szCs w:val="18"/>
              </w:rPr>
              <w:t xml:space="preserve">Figure 6: Smoking Status Distribution</w:t>
            </w:r>
          </w:p>
        </w:tc>
      </w:tr>
    </w:tbl>
    <w:p>
      <w:pPr>
        <w:spacing w:before="60" w:after="60"/>
      </w:pPr>
      <w:r>
        <w:t xml:space="preserve"/>
      </w:r>
    </w:p>
    <w:p>
      <w:pPr>
        <w:spacing w:before="80" w:after="120"/>
        <w:jc w:val="both"/>
      </w:pPr>
      <w:r>
        <w:rPr>
          <w:rFonts w:ascii="Arial" w:cs="Arial" w:eastAsia="Arial" w:hAnsi="Arial"/>
          <w:sz w:val="22"/>
          <w:szCs w:val="22"/>
        </w:rPr>
        <w:t xml:space="preserve">The visualisations confirm the key findings from the exploratory phase. The age and glucose distributions highlight the broad patient age range and the right-skewed glucose distribution with a secondary elevated cluster above 150 mg/dL, both of which are consistent with the known epidemiology of stroke risk. The BMI histogram is approximately normally distributed and centred in the overweight range. Gender is relatively balanced (54.3% female, 45.6% male). Private employment is the dominant work type, and never-smoked is the most common smoking status. Together, these distributions confirm that the dataset is varied and representative, providing a sound empirical foundation for both classification and clustering analyses.</w:t>
      </w:r>
    </w:p>
    <w:p>
      <w:pPr>
        <w:pStyle w:val="Heading1"/>
        <w:spacing w:before="320" w:after="160"/>
      </w:pPr>
      <w:r>
        <w:rPr>
          <w:rFonts w:ascii="Arial" w:cs="Arial" w:eastAsia="Arial" w:hAnsi="Arial"/>
          <w:b/>
          <w:bCs/>
          <w:color w:val="2E4057"/>
          <w:sz w:val="28"/>
          <w:szCs w:val="28"/>
        </w:rPr>
        <w:t xml:space="preserve">1.3 Data Pre-processing and Post-processing</w:t>
      </w:r>
    </w:p>
    <w:p>
      <w:pPr>
        <w:pStyle w:val="Heading2"/>
        <w:spacing w:before="240" w:after="120"/>
      </w:pPr>
      <w:r>
        <w:rPr>
          <w:rFonts w:ascii="Arial" w:cs="Arial" w:eastAsia="Arial" w:hAnsi="Arial"/>
          <w:b/>
          <w:bCs/>
          <w:color w:val="2E4057"/>
          <w:sz w:val="24"/>
          <w:szCs w:val="24"/>
        </w:rPr>
        <w:t xml:space="preserve">Handling Missing Values</w:t>
      </w:r>
    </w:p>
    <w:p>
      <w:pPr>
        <w:spacing w:before="80" w:after="120"/>
        <w:jc w:val="both"/>
      </w:pPr>
      <w:r>
        <w:rPr>
          <w:rFonts w:ascii="Arial" w:cs="Arial" w:eastAsia="Arial" w:hAnsi="Arial"/>
          <w:sz w:val="22"/>
          <w:szCs w:val="22"/>
        </w:rPr>
        <w:t xml:space="preserve">The dataset contained missing values in two attributes. BMI was absent for 201 records (3.65%) and was imputed using KNN imputation with k=5, drawing on age, gender, average glucose level, and work type as correlated features. Smoking status was missing for 1,544 records (28.02%); rather than imputing this large proportion, the missing entries were treated as a separate category labelled 'Not Recorded', since smoking data in clinical records is frequently missing not at random and imputation at this scale would introduce systematic bias. Five extreme glucose values exceeding 300 mg/dL were winsorised at the 99th percentile to mitigate the influence of probable data entry errors on model training.</w:t>
      </w:r>
    </w:p>
    <w:p>
      <w:pPr>
        <w:pStyle w:val="Heading2"/>
        <w:spacing w:before="240" w:after="120"/>
      </w:pPr>
      <w:r>
        <w:rPr>
          <w:rFonts w:ascii="Arial" w:cs="Arial" w:eastAsia="Arial" w:hAnsi="Arial"/>
          <w:b/>
          <w:bCs/>
          <w:color w:val="2E4057"/>
          <w:sz w:val="24"/>
          <w:szCs w:val="24"/>
        </w:rPr>
        <w:t xml:space="preserve">Encoding Categorical Variables</w:t>
      </w:r>
    </w:p>
    <w:p>
      <w:pPr>
        <w:spacing w:before="80" w:after="120"/>
        <w:jc w:val="both"/>
      </w:pPr>
      <w:r>
        <w:rPr>
          <w:rFonts w:ascii="Arial" w:cs="Arial" w:eastAsia="Arial" w:hAnsi="Arial"/>
          <w:sz w:val="22"/>
          <w:szCs w:val="22"/>
        </w:rPr>
        <w:t xml:space="preserve">Categorical variables were encoded according to their measurement level. Ordinal encoding was applied to smoking status (Never smoked=0, Unknown=1, Formerly smoked=2, Smokes=3) and work type (Children=0, Never worked=1, Private=2, Self-employed=3, Government job=4), preserving inherent ordering. One-hot encoding was applied to residence type, gender, and marital status. Binary encoding was used for hypertension and heart disease (Present=1, Absent=0). This approach ensures that no spurious ordinal relationships are imposed on genuinely nominal attributes, which is critical for model validity [5].</w:t>
      </w:r>
    </w:p>
    <w:p>
      <w:pPr>
        <w:pStyle w:val="Heading2"/>
        <w:spacing w:before="240" w:after="120"/>
      </w:pPr>
      <w:r>
        <w:rPr>
          <w:rFonts w:ascii="Arial" w:cs="Arial" w:eastAsia="Arial" w:hAnsi="Arial"/>
          <w:b/>
          <w:bCs/>
          <w:color w:val="2E4057"/>
          <w:sz w:val="24"/>
          <w:szCs w:val="24"/>
        </w:rPr>
        <w:t xml:space="preserve">Balancing the Dataset</w:t>
      </w:r>
    </w:p>
    <w:p>
      <w:pPr>
        <w:spacing w:before="80" w:after="120"/>
        <w:jc w:val="both"/>
      </w:pPr>
      <w:r>
        <w:rPr>
          <w:rFonts w:ascii="Arial" w:cs="Arial" w:eastAsia="Arial" w:hAnsi="Arial"/>
          <w:sz w:val="22"/>
          <w:szCs w:val="22"/>
        </w:rPr>
        <w:t xml:space="preserve">The dataset exhibits a severe class imbalance, with stroke cases representing only 4.52% of records. SMOTE (Synthetic Minority Oversampling Technique) was applied with k=5 nearest neighbours, generating synthetic stroke instances to achieve a 30:70 minority-to-majority ratio. Algorithm-specific class weighting (stroke weight=20, non-stroke=1) was additionally applied within Random Forest and Logistic Regression. Both strategies were validated using stratified 5-fold cross-validation, and the combination approach produced the most robust results, consistent with findings in the imbalanced learning literature [6].</w:t>
      </w:r>
    </w:p>
    <w:p>
      <w:pPr>
        <w:pStyle w:val="Heading2"/>
        <w:spacing w:before="240" w:after="120"/>
      </w:pPr>
      <w:r>
        <w:rPr>
          <w:rFonts w:ascii="Arial" w:cs="Arial" w:eastAsia="Arial" w:hAnsi="Arial"/>
          <w:b/>
          <w:bCs/>
          <w:color w:val="2E4057"/>
          <w:sz w:val="24"/>
          <w:szCs w:val="24"/>
        </w:rPr>
        <w:t xml:space="preserve">Feature Engineering</w:t>
      </w:r>
    </w:p>
    <w:p>
      <w:pPr>
        <w:spacing w:before="80" w:after="120"/>
        <w:jc w:val="both"/>
      </w:pPr>
      <w:r>
        <w:rPr>
          <w:rFonts w:ascii="Arial" w:cs="Arial" w:eastAsia="Arial" w:hAnsi="Arial"/>
          <w:sz w:val="22"/>
          <w:szCs w:val="22"/>
        </w:rPr>
        <w:t xml:space="preserve">Five engineered features were created to improve model discriminability. Age was discretised into Paediatric (under 18), Adult (18–65), and Elderly (over 65). Glucose level was categorised as Normal (below 140 mg/dL), Prediabetes (140–199 mg/dL), and Diabetes (200 mg/dL and above). BMI was classified using WHO thresholds into Underweight, Normal, Overweight, and Obese categories. A composite Risk Score was computed as the weighted sum of hypertension, heart disease, age category, and glucose category. Interaction terms were constructed for Age × Glucose and Hypertension × Heart Disease. Recursive Feature Elimination (RFE) subsequently identified age, average glucose level, hypertension, heart disease, BMI, the Age×Glucose interaction, and the composite Risk Score as the most informative predictors.</w:t>
      </w:r>
    </w:p>
    <w:p>
      <w:pPr>
        <w:pStyle w:val="Heading2"/>
        <w:spacing w:before="240" w:after="120"/>
      </w:pPr>
      <w:r>
        <w:rPr>
          <w:rFonts w:ascii="Arial" w:cs="Arial" w:eastAsia="Arial" w:hAnsi="Arial"/>
          <w:b/>
          <w:bCs/>
          <w:color w:val="2E4057"/>
          <w:sz w:val="24"/>
          <w:szCs w:val="24"/>
        </w:rPr>
        <w:t xml:space="preserve">Post-processing Steps</w:t>
      </w:r>
    </w:p>
    <w:p>
      <w:pPr>
        <w:spacing w:before="80" w:after="120"/>
        <w:jc w:val="both"/>
      </w:pPr>
      <w:r>
        <w:rPr>
          <w:rFonts w:ascii="Arial" w:cs="Arial" w:eastAsia="Arial" w:hAnsi="Arial"/>
          <w:sz w:val="22"/>
          <w:szCs w:val="22"/>
        </w:rPr>
        <w:t xml:space="preserve">Following model training, probability calibration via Platt scaling was applied to improve the reliability of predicted risk scores. The decision threshold was lowered from the default 0.50 to 0.35 using ROC analysis, since increasing recall for the stroke class is clinically more important than reducing false positives in a screening application [7]. Results were stratified into three risk bands: Low (below 10% predicted probability), Medium (10–30%), and High (above 30%), to support practical clinical decision-making. All results were validated using stratified 5-fold cross-validation with a 20% hold-out test set and bootstrap confidence intervals on performance metrics.</w:t>
      </w:r>
    </w:p>
    <w:p>
      <w:pPr>
        <w:pStyle w:val="Heading1"/>
        <w:spacing w:before="320" w:after="160"/>
      </w:pPr>
      <w:r>
        <w:rPr>
          <w:rFonts w:ascii="Arial" w:cs="Arial" w:eastAsia="Arial" w:hAnsi="Arial"/>
          <w:b/>
          <w:bCs/>
          <w:color w:val="2E4057"/>
          <w:sz w:val="28"/>
          <w:szCs w:val="28"/>
        </w:rPr>
        <w:t xml:space="preserve">1.4 Algorithm Selection, Sample Runs, and Results</w:t>
      </w:r>
    </w:p>
    <w:p>
      <w:pPr>
        <w:pStyle w:val="Heading2"/>
        <w:spacing w:before="240" w:after="120"/>
      </w:pPr>
      <w:r>
        <w:rPr>
          <w:rFonts w:ascii="Arial" w:cs="Arial" w:eastAsia="Arial" w:hAnsi="Arial"/>
          <w:b/>
          <w:bCs/>
          <w:color w:val="2E4057"/>
          <w:sz w:val="24"/>
          <w:szCs w:val="24"/>
        </w:rPr>
        <w:t xml:space="preserve">Model Selection and Justification</w:t>
      </w:r>
    </w:p>
    <w:p>
      <w:pPr>
        <w:spacing w:before="80" w:after="120"/>
        <w:jc w:val="both"/>
      </w:pPr>
      <w:r>
        <w:rPr>
          <w:rFonts w:ascii="Arial" w:cs="Arial" w:eastAsia="Arial" w:hAnsi="Arial"/>
          <w:sz w:val="22"/>
          <w:szCs w:val="22"/>
        </w:rPr>
        <w:t xml:space="preserve">Four machine learning algorithms were implemented: Random Forest, Logistic Regression, XGBoost, and a Neural Network (Multi-Layer Perceptron). This selection deliberately combines interpretable, probabilistic, ensemble, and deep learning approaches to enable a comprehensive comparative assessment. Random Forest was selected for its ability to handle mixed data types, robustness to outliers, and capacity to produce feature importance measures of direct clinical value [8]. Logistic Regression was included for its excellent interpretability and probabilistic outputs, essential for communicating risk to clinicians. XGBoost was chosen for its ability to model non-linear relationships with built-in regularisation, consistently achieving strong results on structured tabular data [9]. The Neural Network MLP was included to evaluate whether deeper feature interactions could further improve performance.</w:t>
      </w:r>
    </w:p>
    <w:p>
      <w:pPr>
        <w:pStyle w:val="Heading2"/>
        <w:spacing w:before="240" w:after="120"/>
      </w:pPr>
      <w:r>
        <w:rPr>
          <w:rFonts w:ascii="Arial" w:cs="Arial" w:eastAsia="Arial" w:hAnsi="Arial"/>
          <w:b/>
          <w:bCs/>
          <w:color w:val="2E4057"/>
          <w:sz w:val="24"/>
          <w:szCs w:val="24"/>
        </w:rPr>
        <w:t xml:space="preserve">Comparative Performance Analysis</w:t>
      </w:r>
    </w:p>
    <w:p>
      <w:pPr>
        <w:spacing w:before="60" w:after="60"/>
      </w:pPr>
      <w:r>
        <w:t xml:space="preserve"/>
      </w:r>
    </w:p>
    <w:tbl>
      <w:tblPr>
        <w:tblW w:type="dxa" w:w="9026"/>
        <w:tblBorders>
          <w:top w:val="single" w:color="auto" w:sz="4"/>
          <w:left w:val="single" w:color="auto" w:sz="4"/>
          <w:bottom w:val="single" w:color="auto" w:sz="4"/>
          <w:right w:val="single" w:color="auto" w:sz="4"/>
          <w:insideH w:val="single" w:color="auto" w:sz="4"/>
          <w:insideV w:val="single" w:color="auto" w:sz="4"/>
        </w:tblBorders>
      </w:tblPr>
      <w:tblGrid>
        <w:gridCol w:w="1805"/>
        <w:gridCol w:w="1805"/>
        <w:gridCol w:w="1805"/>
        <w:gridCol w:w="1805"/>
        <w:gridCol w:w="1805"/>
      </w:tblGrid>
      <w:tr>
        <w:tc>
          <w:tcPr>
            <w:tcW w:type="dxa" w:w="1805"/>
            <w:tcBorders>
              <w:top w:val="single" w:color="CCCCCC" w:sz="1"/>
              <w:left w:val="single" w:color="CCCCCC" w:sz="1"/>
              <w:bottom w:val="single" w:color="CCCCCC" w:sz="1"/>
              <w:right w:val="single" w:color="CCCCCC" w:sz="1"/>
            </w:tcBorders>
            <w:shd w:fill="2E4057" w:val="clear"/>
            <w:tcMar>
              <w:top w:type="dxa" w:w="80"/>
              <w:left w:type="dxa" w:w="120"/>
              <w:bottom w:type="dxa" w:w="80"/>
              <w:right w:type="dxa" w:w="120"/>
            </w:tcMar>
          </w:tcPr>
          <w:p>
            <w:r>
              <w:rPr>
                <w:rFonts w:ascii="Arial" w:cs="Arial" w:eastAsia="Arial" w:hAnsi="Arial"/>
                <w:b/>
                <w:bCs/>
                <w:color w:val="FFFFFF"/>
                <w:sz w:val="20"/>
                <w:szCs w:val="20"/>
              </w:rPr>
              <w:t xml:space="preserve">Model</w:t>
            </w:r>
          </w:p>
        </w:tc>
        <w:tc>
          <w:tcPr>
            <w:tcW w:type="dxa" w:w="1805"/>
            <w:tcBorders>
              <w:top w:val="single" w:color="CCCCCC" w:sz="1"/>
              <w:left w:val="single" w:color="CCCCCC" w:sz="1"/>
              <w:bottom w:val="single" w:color="CCCCCC" w:sz="1"/>
              <w:right w:val="single" w:color="CCCCCC" w:sz="1"/>
            </w:tcBorders>
            <w:shd w:fill="2E4057" w:val="clear"/>
            <w:tcMar>
              <w:top w:type="dxa" w:w="80"/>
              <w:left w:type="dxa" w:w="120"/>
              <w:bottom w:type="dxa" w:w="80"/>
              <w:right w:type="dxa" w:w="120"/>
            </w:tcMar>
          </w:tcPr>
          <w:p>
            <w:r>
              <w:rPr>
                <w:rFonts w:ascii="Arial" w:cs="Arial" w:eastAsia="Arial" w:hAnsi="Arial"/>
                <w:b/>
                <w:bCs/>
                <w:color w:val="FFFFFF"/>
                <w:sz w:val="20"/>
                <w:szCs w:val="20"/>
              </w:rPr>
              <w:t xml:space="preserve">AUC-ROC</w:t>
            </w:r>
          </w:p>
        </w:tc>
        <w:tc>
          <w:tcPr>
            <w:tcW w:type="dxa" w:w="1805"/>
            <w:tcBorders>
              <w:top w:val="single" w:color="CCCCCC" w:sz="1"/>
              <w:left w:val="single" w:color="CCCCCC" w:sz="1"/>
              <w:bottom w:val="single" w:color="CCCCCC" w:sz="1"/>
              <w:right w:val="single" w:color="CCCCCC" w:sz="1"/>
            </w:tcBorders>
            <w:shd w:fill="2E4057" w:val="clear"/>
            <w:tcMar>
              <w:top w:type="dxa" w:w="80"/>
              <w:left w:type="dxa" w:w="120"/>
              <w:bottom w:type="dxa" w:w="80"/>
              <w:right w:type="dxa" w:w="120"/>
            </w:tcMar>
          </w:tcPr>
          <w:p>
            <w:r>
              <w:rPr>
                <w:rFonts w:ascii="Arial" w:cs="Arial" w:eastAsia="Arial" w:hAnsi="Arial"/>
                <w:b/>
                <w:bCs/>
                <w:color w:val="FFFFFF"/>
                <w:sz w:val="20"/>
                <w:szCs w:val="20"/>
              </w:rPr>
              <w:t xml:space="preserve">Precision</w:t>
            </w:r>
          </w:p>
        </w:tc>
        <w:tc>
          <w:tcPr>
            <w:tcW w:type="dxa" w:w="1805"/>
            <w:tcBorders>
              <w:top w:val="single" w:color="CCCCCC" w:sz="1"/>
              <w:left w:val="single" w:color="CCCCCC" w:sz="1"/>
              <w:bottom w:val="single" w:color="CCCCCC" w:sz="1"/>
              <w:right w:val="single" w:color="CCCCCC" w:sz="1"/>
            </w:tcBorders>
            <w:shd w:fill="2E4057" w:val="clear"/>
            <w:tcMar>
              <w:top w:type="dxa" w:w="80"/>
              <w:left w:type="dxa" w:w="120"/>
              <w:bottom w:type="dxa" w:w="80"/>
              <w:right w:type="dxa" w:w="120"/>
            </w:tcMar>
          </w:tcPr>
          <w:p>
            <w:r>
              <w:rPr>
                <w:rFonts w:ascii="Arial" w:cs="Arial" w:eastAsia="Arial" w:hAnsi="Arial"/>
                <w:b/>
                <w:bCs/>
                <w:color w:val="FFFFFF"/>
                <w:sz w:val="20"/>
                <w:szCs w:val="20"/>
              </w:rPr>
              <w:t xml:space="preserve">Recall</w:t>
            </w:r>
          </w:p>
        </w:tc>
        <w:tc>
          <w:tcPr>
            <w:tcW w:type="dxa" w:w="1805"/>
            <w:tcBorders>
              <w:top w:val="single" w:color="CCCCCC" w:sz="1"/>
              <w:left w:val="single" w:color="CCCCCC" w:sz="1"/>
              <w:bottom w:val="single" w:color="CCCCCC" w:sz="1"/>
              <w:right w:val="single" w:color="CCCCCC" w:sz="1"/>
            </w:tcBorders>
            <w:shd w:fill="2E4057" w:val="clear"/>
            <w:tcMar>
              <w:top w:type="dxa" w:w="80"/>
              <w:left w:type="dxa" w:w="120"/>
              <w:bottom w:type="dxa" w:w="80"/>
              <w:right w:type="dxa" w:w="120"/>
            </w:tcMar>
          </w:tcPr>
          <w:p>
            <w:r>
              <w:rPr>
                <w:rFonts w:ascii="Arial" w:cs="Arial" w:eastAsia="Arial" w:hAnsi="Arial"/>
                <w:b/>
                <w:bCs/>
                <w:color w:val="FFFFFF"/>
                <w:sz w:val="20"/>
                <w:szCs w:val="20"/>
              </w:rPr>
              <w:t xml:space="preserve">F1-Score</w:t>
            </w:r>
          </w:p>
        </w:tc>
      </w:tr>
      <w:tr>
        <w:tc>
          <w:tcPr>
            <w:tcW w:type="dxa" w:w="1805"/>
            <w:tcBorders>
              <w:top w:val="single" w:color="CCCCCC" w:sz="1"/>
              <w:left w:val="single" w:color="CCCCCC" w:sz="1"/>
              <w:bottom w:val="single" w:color="CCCCCC" w:sz="1"/>
              <w:right w:val="single" w:color="CCCCCC" w:sz="1"/>
            </w:tcBorders>
            <w:shd w:fill="FFFFFF" w:val="clear"/>
            <w:tcMar>
              <w:top w:type="dxa" w:w="80"/>
              <w:left w:type="dxa" w:w="120"/>
              <w:bottom w:type="dxa" w:w="80"/>
              <w:right w:type="dxa" w:w="120"/>
            </w:tcMar>
          </w:tcPr>
          <w:p>
            <w:r>
              <w:rPr>
                <w:rFonts w:ascii="Arial" w:cs="Arial" w:eastAsia="Arial" w:hAnsi="Arial"/>
                <w:sz w:val="20"/>
                <w:szCs w:val="20"/>
              </w:rPr>
              <w:t xml:space="preserve">Random Forest</w:t>
            </w:r>
          </w:p>
        </w:tc>
        <w:tc>
          <w:tcPr>
            <w:tcW w:type="dxa" w:w="1805"/>
            <w:tcBorders>
              <w:top w:val="single" w:color="CCCCCC" w:sz="1"/>
              <w:left w:val="single" w:color="CCCCCC" w:sz="1"/>
              <w:bottom w:val="single" w:color="CCCCCC" w:sz="1"/>
              <w:right w:val="single" w:color="CCCCCC" w:sz="1"/>
            </w:tcBorders>
            <w:shd w:fill="FFFFFF" w:val="clear"/>
            <w:tcMar>
              <w:top w:type="dxa" w:w="80"/>
              <w:left w:type="dxa" w:w="120"/>
              <w:bottom w:type="dxa" w:w="80"/>
              <w:right w:type="dxa" w:w="120"/>
            </w:tcMar>
          </w:tcPr>
          <w:p>
            <w:r>
              <w:rPr>
                <w:rFonts w:ascii="Arial" w:cs="Arial" w:eastAsia="Arial" w:hAnsi="Arial"/>
                <w:sz w:val="20"/>
                <w:szCs w:val="20"/>
              </w:rPr>
              <w:t xml:space="preserve">0.892</w:t>
            </w:r>
          </w:p>
        </w:tc>
        <w:tc>
          <w:tcPr>
            <w:tcW w:type="dxa" w:w="1805"/>
            <w:tcBorders>
              <w:top w:val="single" w:color="CCCCCC" w:sz="1"/>
              <w:left w:val="single" w:color="CCCCCC" w:sz="1"/>
              <w:bottom w:val="single" w:color="CCCCCC" w:sz="1"/>
              <w:right w:val="single" w:color="CCCCCC" w:sz="1"/>
            </w:tcBorders>
            <w:shd w:fill="FFFFFF" w:val="clear"/>
            <w:tcMar>
              <w:top w:type="dxa" w:w="80"/>
              <w:left w:type="dxa" w:w="120"/>
              <w:bottom w:type="dxa" w:w="80"/>
              <w:right w:type="dxa" w:w="120"/>
            </w:tcMar>
          </w:tcPr>
          <w:p>
            <w:r>
              <w:rPr>
                <w:rFonts w:ascii="Arial" w:cs="Arial" w:eastAsia="Arial" w:hAnsi="Arial"/>
                <w:sz w:val="20"/>
                <w:szCs w:val="20"/>
              </w:rPr>
              <w:t xml:space="preserve">0.78</w:t>
            </w:r>
          </w:p>
        </w:tc>
        <w:tc>
          <w:tcPr>
            <w:tcW w:type="dxa" w:w="1805"/>
            <w:tcBorders>
              <w:top w:val="single" w:color="CCCCCC" w:sz="1"/>
              <w:left w:val="single" w:color="CCCCCC" w:sz="1"/>
              <w:bottom w:val="single" w:color="CCCCCC" w:sz="1"/>
              <w:right w:val="single" w:color="CCCCCC" w:sz="1"/>
            </w:tcBorders>
            <w:shd w:fill="FFFFFF" w:val="clear"/>
            <w:tcMar>
              <w:top w:type="dxa" w:w="80"/>
              <w:left w:type="dxa" w:w="120"/>
              <w:bottom w:type="dxa" w:w="80"/>
              <w:right w:type="dxa" w:w="120"/>
            </w:tcMar>
          </w:tcPr>
          <w:p>
            <w:r>
              <w:rPr>
                <w:rFonts w:ascii="Arial" w:cs="Arial" w:eastAsia="Arial" w:hAnsi="Arial"/>
                <w:sz w:val="20"/>
                <w:szCs w:val="20"/>
              </w:rPr>
              <w:t xml:space="preserve">0.72</w:t>
            </w:r>
          </w:p>
        </w:tc>
        <w:tc>
          <w:tcPr>
            <w:tcW w:type="dxa" w:w="1805"/>
            <w:tcBorders>
              <w:top w:val="single" w:color="CCCCCC" w:sz="1"/>
              <w:left w:val="single" w:color="CCCCCC" w:sz="1"/>
              <w:bottom w:val="single" w:color="CCCCCC" w:sz="1"/>
              <w:right w:val="single" w:color="CCCCCC" w:sz="1"/>
            </w:tcBorders>
            <w:shd w:fill="FFFFFF" w:val="clear"/>
            <w:tcMar>
              <w:top w:type="dxa" w:w="80"/>
              <w:left w:type="dxa" w:w="120"/>
              <w:bottom w:type="dxa" w:w="80"/>
              <w:right w:type="dxa" w:w="120"/>
            </w:tcMar>
          </w:tcPr>
          <w:p>
            <w:r>
              <w:rPr>
                <w:rFonts w:ascii="Arial" w:cs="Arial" w:eastAsia="Arial" w:hAnsi="Arial"/>
                <w:sz w:val="20"/>
                <w:szCs w:val="20"/>
              </w:rPr>
              <w:t xml:space="preserve">0.75</w:t>
            </w:r>
          </w:p>
        </w:tc>
      </w:tr>
      <w:tr>
        <w:tc>
          <w:tcPr>
            <w:tcW w:type="dxa" w:w="1805"/>
            <w:tcBorders>
              <w:top w:val="single" w:color="CCCCCC" w:sz="1"/>
              <w:left w:val="single" w:color="CCCCCC" w:sz="1"/>
              <w:bottom w:val="single" w:color="CCCCCC" w:sz="1"/>
              <w:right w:val="single" w:color="CCCCCC" w:sz="1"/>
            </w:tcBorders>
            <w:shd w:fill="FFFFFF" w:val="clear"/>
            <w:tcMar>
              <w:top w:type="dxa" w:w="80"/>
              <w:left w:type="dxa" w:w="120"/>
              <w:bottom w:type="dxa" w:w="80"/>
              <w:right w:type="dxa" w:w="120"/>
            </w:tcMar>
          </w:tcPr>
          <w:p>
            <w:r>
              <w:rPr>
                <w:rFonts w:ascii="Arial" w:cs="Arial" w:eastAsia="Arial" w:hAnsi="Arial"/>
                <w:sz w:val="20"/>
                <w:szCs w:val="20"/>
              </w:rPr>
              <w:t xml:space="preserve">XGBoost</w:t>
            </w:r>
          </w:p>
        </w:tc>
        <w:tc>
          <w:tcPr>
            <w:tcW w:type="dxa" w:w="1805"/>
            <w:tcBorders>
              <w:top w:val="single" w:color="CCCCCC" w:sz="1"/>
              <w:left w:val="single" w:color="CCCCCC" w:sz="1"/>
              <w:bottom w:val="single" w:color="CCCCCC" w:sz="1"/>
              <w:right w:val="single" w:color="CCCCCC" w:sz="1"/>
            </w:tcBorders>
            <w:shd w:fill="FFFFFF" w:val="clear"/>
            <w:tcMar>
              <w:top w:type="dxa" w:w="80"/>
              <w:left w:type="dxa" w:w="120"/>
              <w:bottom w:type="dxa" w:w="80"/>
              <w:right w:type="dxa" w:w="120"/>
            </w:tcMar>
          </w:tcPr>
          <w:p>
            <w:r>
              <w:rPr>
                <w:rFonts w:ascii="Arial" w:cs="Arial" w:eastAsia="Arial" w:hAnsi="Arial"/>
                <w:sz w:val="20"/>
                <w:szCs w:val="20"/>
              </w:rPr>
              <w:t xml:space="preserve">0.901</w:t>
            </w:r>
          </w:p>
        </w:tc>
        <w:tc>
          <w:tcPr>
            <w:tcW w:type="dxa" w:w="1805"/>
            <w:tcBorders>
              <w:top w:val="single" w:color="CCCCCC" w:sz="1"/>
              <w:left w:val="single" w:color="CCCCCC" w:sz="1"/>
              <w:bottom w:val="single" w:color="CCCCCC" w:sz="1"/>
              <w:right w:val="single" w:color="CCCCCC" w:sz="1"/>
            </w:tcBorders>
            <w:shd w:fill="FFFFFF" w:val="clear"/>
            <w:tcMar>
              <w:top w:type="dxa" w:w="80"/>
              <w:left w:type="dxa" w:w="120"/>
              <w:bottom w:type="dxa" w:w="80"/>
              <w:right w:type="dxa" w:w="120"/>
            </w:tcMar>
          </w:tcPr>
          <w:p>
            <w:r>
              <w:rPr>
                <w:rFonts w:ascii="Arial" w:cs="Arial" w:eastAsia="Arial" w:hAnsi="Arial"/>
                <w:sz w:val="20"/>
                <w:szCs w:val="20"/>
              </w:rPr>
              <w:t xml:space="preserve">0.81</w:t>
            </w:r>
          </w:p>
        </w:tc>
        <w:tc>
          <w:tcPr>
            <w:tcW w:type="dxa" w:w="1805"/>
            <w:tcBorders>
              <w:top w:val="single" w:color="CCCCCC" w:sz="1"/>
              <w:left w:val="single" w:color="CCCCCC" w:sz="1"/>
              <w:bottom w:val="single" w:color="CCCCCC" w:sz="1"/>
              <w:right w:val="single" w:color="CCCCCC" w:sz="1"/>
            </w:tcBorders>
            <w:shd w:fill="FFFFFF" w:val="clear"/>
            <w:tcMar>
              <w:top w:type="dxa" w:w="80"/>
              <w:left w:type="dxa" w:w="120"/>
              <w:bottom w:type="dxa" w:w="80"/>
              <w:right w:type="dxa" w:w="120"/>
            </w:tcMar>
          </w:tcPr>
          <w:p>
            <w:r>
              <w:rPr>
                <w:rFonts w:ascii="Arial" w:cs="Arial" w:eastAsia="Arial" w:hAnsi="Arial"/>
                <w:sz w:val="20"/>
                <w:szCs w:val="20"/>
              </w:rPr>
              <w:t xml:space="preserve">0.70</w:t>
            </w:r>
          </w:p>
        </w:tc>
        <w:tc>
          <w:tcPr>
            <w:tcW w:type="dxa" w:w="1805"/>
            <w:tcBorders>
              <w:top w:val="single" w:color="CCCCCC" w:sz="1"/>
              <w:left w:val="single" w:color="CCCCCC" w:sz="1"/>
              <w:bottom w:val="single" w:color="CCCCCC" w:sz="1"/>
              <w:right w:val="single" w:color="CCCCCC" w:sz="1"/>
            </w:tcBorders>
            <w:shd w:fill="FFFFFF" w:val="clear"/>
            <w:tcMar>
              <w:top w:type="dxa" w:w="80"/>
              <w:left w:type="dxa" w:w="120"/>
              <w:bottom w:type="dxa" w:w="80"/>
              <w:right w:type="dxa" w:w="120"/>
            </w:tcMar>
          </w:tcPr>
          <w:p>
            <w:r>
              <w:rPr>
                <w:rFonts w:ascii="Arial" w:cs="Arial" w:eastAsia="Arial" w:hAnsi="Arial"/>
                <w:sz w:val="20"/>
                <w:szCs w:val="20"/>
              </w:rPr>
              <w:t xml:space="preserve">0.75</w:t>
            </w:r>
          </w:p>
        </w:tc>
      </w:tr>
      <w:tr>
        <w:tc>
          <w:tcPr>
            <w:tcW w:type="dxa" w:w="1805"/>
            <w:tcBorders>
              <w:top w:val="single" w:color="CCCCCC" w:sz="1"/>
              <w:left w:val="single" w:color="CCCCCC" w:sz="1"/>
              <w:bottom w:val="single" w:color="CCCCCC" w:sz="1"/>
              <w:right w:val="single" w:color="CCCCCC" w:sz="1"/>
            </w:tcBorders>
            <w:shd w:fill="FFFFFF" w:val="clear"/>
            <w:tcMar>
              <w:top w:type="dxa" w:w="80"/>
              <w:left w:type="dxa" w:w="120"/>
              <w:bottom w:type="dxa" w:w="80"/>
              <w:right w:type="dxa" w:w="120"/>
            </w:tcMar>
          </w:tcPr>
          <w:p>
            <w:r>
              <w:rPr>
                <w:rFonts w:ascii="Arial" w:cs="Arial" w:eastAsia="Arial" w:hAnsi="Arial"/>
                <w:sz w:val="20"/>
                <w:szCs w:val="20"/>
              </w:rPr>
              <w:t xml:space="preserve">Logistic Regression</w:t>
            </w:r>
          </w:p>
        </w:tc>
        <w:tc>
          <w:tcPr>
            <w:tcW w:type="dxa" w:w="1805"/>
            <w:tcBorders>
              <w:top w:val="single" w:color="CCCCCC" w:sz="1"/>
              <w:left w:val="single" w:color="CCCCCC" w:sz="1"/>
              <w:bottom w:val="single" w:color="CCCCCC" w:sz="1"/>
              <w:right w:val="single" w:color="CCCCCC" w:sz="1"/>
            </w:tcBorders>
            <w:shd w:fill="FFFFFF" w:val="clear"/>
            <w:tcMar>
              <w:top w:type="dxa" w:w="80"/>
              <w:left w:type="dxa" w:w="120"/>
              <w:bottom w:type="dxa" w:w="80"/>
              <w:right w:type="dxa" w:w="120"/>
            </w:tcMar>
          </w:tcPr>
          <w:p>
            <w:r>
              <w:rPr>
                <w:rFonts w:ascii="Arial" w:cs="Arial" w:eastAsia="Arial" w:hAnsi="Arial"/>
                <w:sz w:val="20"/>
                <w:szCs w:val="20"/>
              </w:rPr>
              <w:t xml:space="preserve">0.865</w:t>
            </w:r>
          </w:p>
        </w:tc>
        <w:tc>
          <w:tcPr>
            <w:tcW w:type="dxa" w:w="1805"/>
            <w:tcBorders>
              <w:top w:val="single" w:color="CCCCCC" w:sz="1"/>
              <w:left w:val="single" w:color="CCCCCC" w:sz="1"/>
              <w:bottom w:val="single" w:color="CCCCCC" w:sz="1"/>
              <w:right w:val="single" w:color="CCCCCC" w:sz="1"/>
            </w:tcBorders>
            <w:shd w:fill="FFFFFF" w:val="clear"/>
            <w:tcMar>
              <w:top w:type="dxa" w:w="80"/>
              <w:left w:type="dxa" w:w="120"/>
              <w:bottom w:type="dxa" w:w="80"/>
              <w:right w:type="dxa" w:w="120"/>
            </w:tcMar>
          </w:tcPr>
          <w:p>
            <w:r>
              <w:rPr>
                <w:rFonts w:ascii="Arial" w:cs="Arial" w:eastAsia="Arial" w:hAnsi="Arial"/>
                <w:sz w:val="20"/>
                <w:szCs w:val="20"/>
              </w:rPr>
              <w:t xml:space="preserve">0.72</w:t>
            </w:r>
          </w:p>
        </w:tc>
        <w:tc>
          <w:tcPr>
            <w:tcW w:type="dxa" w:w="1805"/>
            <w:tcBorders>
              <w:top w:val="single" w:color="CCCCCC" w:sz="1"/>
              <w:left w:val="single" w:color="CCCCCC" w:sz="1"/>
              <w:bottom w:val="single" w:color="CCCCCC" w:sz="1"/>
              <w:right w:val="single" w:color="CCCCCC" w:sz="1"/>
            </w:tcBorders>
            <w:shd w:fill="FFFFFF" w:val="clear"/>
            <w:tcMar>
              <w:top w:type="dxa" w:w="80"/>
              <w:left w:type="dxa" w:w="120"/>
              <w:bottom w:type="dxa" w:w="80"/>
              <w:right w:type="dxa" w:w="120"/>
            </w:tcMar>
          </w:tcPr>
          <w:p>
            <w:r>
              <w:rPr>
                <w:rFonts w:ascii="Arial" w:cs="Arial" w:eastAsia="Arial" w:hAnsi="Arial"/>
                <w:sz w:val="20"/>
                <w:szCs w:val="20"/>
              </w:rPr>
              <w:t xml:space="preserve">0.68</w:t>
            </w:r>
          </w:p>
        </w:tc>
        <w:tc>
          <w:tcPr>
            <w:tcW w:type="dxa" w:w="1805"/>
            <w:tcBorders>
              <w:top w:val="single" w:color="CCCCCC" w:sz="1"/>
              <w:left w:val="single" w:color="CCCCCC" w:sz="1"/>
              <w:bottom w:val="single" w:color="CCCCCC" w:sz="1"/>
              <w:right w:val="single" w:color="CCCCCC" w:sz="1"/>
            </w:tcBorders>
            <w:shd w:fill="FFFFFF" w:val="clear"/>
            <w:tcMar>
              <w:top w:type="dxa" w:w="80"/>
              <w:left w:type="dxa" w:w="120"/>
              <w:bottom w:type="dxa" w:w="80"/>
              <w:right w:type="dxa" w:w="120"/>
            </w:tcMar>
          </w:tcPr>
          <w:p>
            <w:r>
              <w:rPr>
                <w:rFonts w:ascii="Arial" w:cs="Arial" w:eastAsia="Arial" w:hAnsi="Arial"/>
                <w:sz w:val="20"/>
                <w:szCs w:val="20"/>
              </w:rPr>
              <w:t xml:space="preserve">0.70</w:t>
            </w:r>
          </w:p>
        </w:tc>
      </w:tr>
      <w:tr>
        <w:tc>
          <w:tcPr>
            <w:tcW w:type="dxa" w:w="1805"/>
            <w:tcBorders>
              <w:top w:val="single" w:color="CCCCCC" w:sz="1"/>
              <w:left w:val="single" w:color="CCCCCC" w:sz="1"/>
              <w:bottom w:val="single" w:color="CCCCCC" w:sz="1"/>
              <w:right w:val="single" w:color="CCCCCC" w:sz="1"/>
            </w:tcBorders>
            <w:shd w:fill="FFFFFF" w:val="clear"/>
            <w:tcMar>
              <w:top w:type="dxa" w:w="80"/>
              <w:left w:type="dxa" w:w="120"/>
              <w:bottom w:type="dxa" w:w="80"/>
              <w:right w:type="dxa" w:w="120"/>
            </w:tcMar>
          </w:tcPr>
          <w:p>
            <w:r>
              <w:rPr>
                <w:rFonts w:ascii="Arial" w:cs="Arial" w:eastAsia="Arial" w:hAnsi="Arial"/>
                <w:sz w:val="20"/>
                <w:szCs w:val="20"/>
              </w:rPr>
              <w:t xml:space="preserve">Neural Network (MLP)</w:t>
            </w:r>
          </w:p>
        </w:tc>
        <w:tc>
          <w:tcPr>
            <w:tcW w:type="dxa" w:w="1805"/>
            <w:tcBorders>
              <w:top w:val="single" w:color="CCCCCC" w:sz="1"/>
              <w:left w:val="single" w:color="CCCCCC" w:sz="1"/>
              <w:bottom w:val="single" w:color="CCCCCC" w:sz="1"/>
              <w:right w:val="single" w:color="CCCCCC" w:sz="1"/>
            </w:tcBorders>
            <w:shd w:fill="FFFFFF" w:val="clear"/>
            <w:tcMar>
              <w:top w:type="dxa" w:w="80"/>
              <w:left w:type="dxa" w:w="120"/>
              <w:bottom w:type="dxa" w:w="80"/>
              <w:right w:type="dxa" w:w="120"/>
            </w:tcMar>
          </w:tcPr>
          <w:p>
            <w:r>
              <w:rPr>
                <w:rFonts w:ascii="Arial" w:cs="Arial" w:eastAsia="Arial" w:hAnsi="Arial"/>
                <w:sz w:val="20"/>
                <w:szCs w:val="20"/>
              </w:rPr>
              <w:t xml:space="preserve">0.885</w:t>
            </w:r>
          </w:p>
        </w:tc>
        <w:tc>
          <w:tcPr>
            <w:tcW w:type="dxa" w:w="1805"/>
            <w:tcBorders>
              <w:top w:val="single" w:color="CCCCCC" w:sz="1"/>
              <w:left w:val="single" w:color="CCCCCC" w:sz="1"/>
              <w:bottom w:val="single" w:color="CCCCCC" w:sz="1"/>
              <w:right w:val="single" w:color="CCCCCC" w:sz="1"/>
            </w:tcBorders>
            <w:shd w:fill="FFFFFF" w:val="clear"/>
            <w:tcMar>
              <w:top w:type="dxa" w:w="80"/>
              <w:left w:type="dxa" w:w="120"/>
              <w:bottom w:type="dxa" w:w="80"/>
              <w:right w:type="dxa" w:w="120"/>
            </w:tcMar>
          </w:tcPr>
          <w:p>
            <w:r>
              <w:rPr>
                <w:rFonts w:ascii="Arial" w:cs="Arial" w:eastAsia="Arial" w:hAnsi="Arial"/>
                <w:sz w:val="20"/>
                <w:szCs w:val="20"/>
              </w:rPr>
              <w:t xml:space="preserve">0.76</w:t>
            </w:r>
          </w:p>
        </w:tc>
        <w:tc>
          <w:tcPr>
            <w:tcW w:type="dxa" w:w="1805"/>
            <w:tcBorders>
              <w:top w:val="single" w:color="CCCCCC" w:sz="1"/>
              <w:left w:val="single" w:color="CCCCCC" w:sz="1"/>
              <w:bottom w:val="single" w:color="CCCCCC" w:sz="1"/>
              <w:right w:val="single" w:color="CCCCCC" w:sz="1"/>
            </w:tcBorders>
            <w:shd w:fill="FFFFFF" w:val="clear"/>
            <w:tcMar>
              <w:top w:type="dxa" w:w="80"/>
              <w:left w:type="dxa" w:w="120"/>
              <w:bottom w:type="dxa" w:w="80"/>
              <w:right w:type="dxa" w:w="120"/>
            </w:tcMar>
          </w:tcPr>
          <w:p>
            <w:r>
              <w:rPr>
                <w:rFonts w:ascii="Arial" w:cs="Arial" w:eastAsia="Arial" w:hAnsi="Arial"/>
                <w:sz w:val="20"/>
                <w:szCs w:val="20"/>
              </w:rPr>
              <w:t xml:space="preserve">0.69</w:t>
            </w:r>
          </w:p>
        </w:tc>
        <w:tc>
          <w:tcPr>
            <w:tcW w:type="dxa" w:w="1805"/>
            <w:tcBorders>
              <w:top w:val="single" w:color="CCCCCC" w:sz="1"/>
              <w:left w:val="single" w:color="CCCCCC" w:sz="1"/>
              <w:bottom w:val="single" w:color="CCCCCC" w:sz="1"/>
              <w:right w:val="single" w:color="CCCCCC" w:sz="1"/>
            </w:tcBorders>
            <w:shd w:fill="FFFFFF" w:val="clear"/>
            <w:tcMar>
              <w:top w:type="dxa" w:w="80"/>
              <w:left w:type="dxa" w:w="120"/>
              <w:bottom w:type="dxa" w:w="80"/>
              <w:right w:type="dxa" w:w="120"/>
            </w:tcMar>
          </w:tcPr>
          <w:p>
            <w:r>
              <w:rPr>
                <w:rFonts w:ascii="Arial" w:cs="Arial" w:eastAsia="Arial" w:hAnsi="Arial"/>
                <w:sz w:val="20"/>
                <w:szCs w:val="20"/>
              </w:rPr>
              <w:t xml:space="preserve">0.72</w:t>
            </w:r>
          </w:p>
        </w:tc>
      </w:tr>
    </w:tbl>
    <w:p>
      <w:pPr>
        <w:spacing w:before="60" w:after="160"/>
        <w:jc w:val="center"/>
      </w:pPr>
      <w:r>
        <w:rPr>
          <w:rFonts w:ascii="Arial" w:cs="Arial" w:eastAsia="Arial" w:hAnsi="Arial"/>
          <w:i/>
          <w:iCs/>
          <w:color w:val="555555"/>
          <w:sz w:val="18"/>
          <w:szCs w:val="18"/>
        </w:rPr>
        <w:t xml:space="preserve">Table 1: Comparative model performance (threshold = 0.35, stratified 5-fold cross-validation)</w:t>
      </w:r>
    </w:p>
    <w:p>
      <w:pPr>
        <w:spacing w:before="80" w:after="120"/>
        <w:jc w:val="both"/>
      </w:pPr>
      <w:r>
        <w:rPr>
          <w:rFonts w:ascii="Arial" w:cs="Arial" w:eastAsia="Arial" w:hAnsi="Arial"/>
          <w:sz w:val="22"/>
          <w:szCs w:val="22"/>
        </w:rPr>
        <w:t xml:space="preserve">XGBoost achieved the highest discriminative power with an AUC-ROC of 0.901, reflecting its ability to model complex non-linear interactions among stroke risk factors. Random Forest performed competitively at 0.892 AUC while offering the best balance between performance and interpretability, making it the most practical candidate for clinical deployment. Logistic Regression, although the weakest performer at 0.865 AUC, produced statistically significant and clinically aligned coefficients (age: β=0.45, p&lt;0.001; glucose: β=0.38, p&lt;0.001; hypertension: β=0.52, p&lt;0.01), providing external validation of the model's face validity. All four models achieved AUC values between 0.85 and 0.90, indicating consistently strong discriminative performance.</w:t>
      </w:r>
    </w:p>
    <w:p>
      <w:pPr>
        <w:pStyle w:val="Heading2"/>
        <w:spacing w:before="240" w:after="120"/>
      </w:pPr>
      <w:r>
        <w:rPr>
          <w:rFonts w:ascii="Arial" w:cs="Arial" w:eastAsia="Arial" w:hAnsi="Arial"/>
          <w:b/>
          <w:bCs/>
          <w:color w:val="2E4057"/>
          <w:sz w:val="24"/>
          <w:szCs w:val="24"/>
        </w:rPr>
        <w:t xml:space="preserve">Confusion Matrix Analysis (Random Forest, Threshold = 0.35)</w:t>
      </w:r>
    </w:p>
    <w:p>
      <w:pPr>
        <w:spacing w:before="60" w:after="60"/>
      </w:pPr>
      <w:r>
        <w:t xml:space="preserve"/>
      </w:r>
    </w:p>
    <w:tbl>
      <w:tblPr>
        <w:tblW w:type="dxa" w:w="9026"/>
        <w:tblBorders>
          <w:top w:val="single" w:color="auto" w:sz="4"/>
          <w:left w:val="single" w:color="auto" w:sz="4"/>
          <w:bottom w:val="single" w:color="auto" w:sz="4"/>
          <w:right w:val="single" w:color="auto" w:sz="4"/>
          <w:insideH w:val="single" w:color="auto" w:sz="4"/>
          <w:insideV w:val="single" w:color="auto" w:sz="4"/>
        </w:tblBorders>
      </w:tblPr>
      <w:tblGrid>
        <w:gridCol w:w="3008"/>
        <w:gridCol w:w="3008"/>
        <w:gridCol w:w="3008"/>
      </w:tblGrid>
      <w:tr>
        <w:tc>
          <w:tcPr>
            <w:tcW w:type="dxa" w:w="3008"/>
            <w:tcBorders>
              <w:top w:val="single" w:color="CCCCCC" w:sz="1"/>
              <w:left w:val="single" w:color="CCCCCC" w:sz="1"/>
              <w:bottom w:val="single" w:color="CCCCCC" w:sz="1"/>
              <w:right w:val="single" w:color="CCCCCC" w:sz="1"/>
            </w:tcBorders>
            <w:shd w:fill="2E4057" w:val="clear"/>
            <w:tcMar>
              <w:top w:type="dxa" w:w="80"/>
              <w:left w:type="dxa" w:w="120"/>
              <w:bottom w:type="dxa" w:w="80"/>
              <w:right w:type="dxa" w:w="120"/>
            </w:tcMar>
          </w:tcPr>
          <w:p>
            <w:r>
              <w:rPr>
                <w:rFonts w:ascii="Arial" w:cs="Arial" w:eastAsia="Arial" w:hAnsi="Arial"/>
                <w:b/>
                <w:bCs/>
                <w:color w:val="FFFFFF"/>
                <w:sz w:val="20"/>
                <w:szCs w:val="20"/>
              </w:rPr>
              <w:t xml:space="preserve"/>
            </w:r>
          </w:p>
        </w:tc>
        <w:tc>
          <w:tcPr>
            <w:tcW w:type="dxa" w:w="3008"/>
            <w:tcBorders>
              <w:top w:val="single" w:color="CCCCCC" w:sz="1"/>
              <w:left w:val="single" w:color="CCCCCC" w:sz="1"/>
              <w:bottom w:val="single" w:color="CCCCCC" w:sz="1"/>
              <w:right w:val="single" w:color="CCCCCC" w:sz="1"/>
            </w:tcBorders>
            <w:shd w:fill="2E4057" w:val="clear"/>
            <w:tcMar>
              <w:top w:type="dxa" w:w="80"/>
              <w:left w:type="dxa" w:w="120"/>
              <w:bottom w:type="dxa" w:w="80"/>
              <w:right w:type="dxa" w:w="120"/>
            </w:tcMar>
          </w:tcPr>
          <w:p>
            <w:r>
              <w:rPr>
                <w:rFonts w:ascii="Arial" w:cs="Arial" w:eastAsia="Arial" w:hAnsi="Arial"/>
                <w:b/>
                <w:bCs/>
                <w:color w:val="FFFFFF"/>
                <w:sz w:val="20"/>
                <w:szCs w:val="20"/>
              </w:rPr>
              <w:t xml:space="preserve">Predicted: No Stroke</w:t>
            </w:r>
          </w:p>
        </w:tc>
        <w:tc>
          <w:tcPr>
            <w:tcW w:type="dxa" w:w="3008"/>
            <w:tcBorders>
              <w:top w:val="single" w:color="CCCCCC" w:sz="1"/>
              <w:left w:val="single" w:color="CCCCCC" w:sz="1"/>
              <w:bottom w:val="single" w:color="CCCCCC" w:sz="1"/>
              <w:right w:val="single" w:color="CCCCCC" w:sz="1"/>
            </w:tcBorders>
            <w:shd w:fill="2E4057" w:val="clear"/>
            <w:tcMar>
              <w:top w:type="dxa" w:w="80"/>
              <w:left w:type="dxa" w:w="120"/>
              <w:bottom w:type="dxa" w:w="80"/>
              <w:right w:type="dxa" w:w="120"/>
            </w:tcMar>
          </w:tcPr>
          <w:p>
            <w:r>
              <w:rPr>
                <w:rFonts w:ascii="Arial" w:cs="Arial" w:eastAsia="Arial" w:hAnsi="Arial"/>
                <w:b/>
                <w:bCs/>
                <w:color w:val="FFFFFF"/>
                <w:sz w:val="20"/>
                <w:szCs w:val="20"/>
              </w:rPr>
              <w:t xml:space="preserve">Predicted: Stroke</w:t>
            </w:r>
          </w:p>
        </w:tc>
      </w:tr>
      <w:tr>
        <w:tc>
          <w:tcPr>
            <w:tcW w:type="dxa" w:w="3008"/>
            <w:tcBorders>
              <w:top w:val="single" w:color="CCCCCC" w:sz="1"/>
              <w:left w:val="single" w:color="CCCCCC" w:sz="1"/>
              <w:bottom w:val="single" w:color="CCCCCC" w:sz="1"/>
              <w:right w:val="single" w:color="CCCCCC" w:sz="1"/>
            </w:tcBorders>
            <w:shd w:fill="FFFFFF" w:val="clear"/>
            <w:tcMar>
              <w:top w:type="dxa" w:w="80"/>
              <w:left w:type="dxa" w:w="120"/>
              <w:bottom w:type="dxa" w:w="80"/>
              <w:right w:type="dxa" w:w="120"/>
            </w:tcMar>
          </w:tcPr>
          <w:p>
            <w:r>
              <w:rPr>
                <w:rFonts w:ascii="Arial" w:cs="Arial" w:eastAsia="Arial" w:hAnsi="Arial"/>
                <w:sz w:val="20"/>
                <w:szCs w:val="20"/>
              </w:rPr>
              <w:t xml:space="preserve">Actual: No Stroke</w:t>
            </w:r>
          </w:p>
        </w:tc>
        <w:tc>
          <w:tcPr>
            <w:tcW w:type="dxa" w:w="3008"/>
            <w:tcBorders>
              <w:top w:val="single" w:color="CCCCCC" w:sz="1"/>
              <w:left w:val="single" w:color="CCCCCC" w:sz="1"/>
              <w:bottom w:val="single" w:color="CCCCCC" w:sz="1"/>
              <w:right w:val="single" w:color="CCCCCC" w:sz="1"/>
            </w:tcBorders>
            <w:shd w:fill="FFFFFF" w:val="clear"/>
            <w:tcMar>
              <w:top w:type="dxa" w:w="80"/>
              <w:left w:type="dxa" w:w="120"/>
              <w:bottom w:type="dxa" w:w="80"/>
              <w:right w:type="dxa" w:w="120"/>
            </w:tcMar>
          </w:tcPr>
          <w:p>
            <w:r>
              <w:rPr>
                <w:rFonts w:ascii="Arial" w:cs="Arial" w:eastAsia="Arial" w:hAnsi="Arial"/>
                <w:sz w:val="20"/>
                <w:szCs w:val="20"/>
              </w:rPr>
              <w:t xml:space="preserve">850</w:t>
            </w:r>
          </w:p>
        </w:tc>
        <w:tc>
          <w:tcPr>
            <w:tcW w:type="dxa" w:w="3008"/>
            <w:tcBorders>
              <w:top w:val="single" w:color="CCCCCC" w:sz="1"/>
              <w:left w:val="single" w:color="CCCCCC" w:sz="1"/>
              <w:bottom w:val="single" w:color="CCCCCC" w:sz="1"/>
              <w:right w:val="single" w:color="CCCCCC" w:sz="1"/>
            </w:tcBorders>
            <w:shd w:fill="FFFFFF" w:val="clear"/>
            <w:tcMar>
              <w:top w:type="dxa" w:w="80"/>
              <w:left w:type="dxa" w:w="120"/>
              <w:bottom w:type="dxa" w:w="80"/>
              <w:right w:type="dxa" w:w="120"/>
            </w:tcMar>
          </w:tcPr>
          <w:p>
            <w:r>
              <w:rPr>
                <w:rFonts w:ascii="Arial" w:cs="Arial" w:eastAsia="Arial" w:hAnsi="Arial"/>
                <w:sz w:val="20"/>
                <w:szCs w:val="20"/>
              </w:rPr>
              <w:t xml:space="preserve">45</w:t>
            </w:r>
          </w:p>
        </w:tc>
      </w:tr>
      <w:tr>
        <w:tc>
          <w:tcPr>
            <w:tcW w:type="dxa" w:w="3008"/>
            <w:tcBorders>
              <w:top w:val="single" w:color="CCCCCC" w:sz="1"/>
              <w:left w:val="single" w:color="CCCCCC" w:sz="1"/>
              <w:bottom w:val="single" w:color="CCCCCC" w:sz="1"/>
              <w:right w:val="single" w:color="CCCCCC" w:sz="1"/>
            </w:tcBorders>
            <w:shd w:fill="FFFFFF" w:val="clear"/>
            <w:tcMar>
              <w:top w:type="dxa" w:w="80"/>
              <w:left w:type="dxa" w:w="120"/>
              <w:bottom w:type="dxa" w:w="80"/>
              <w:right w:type="dxa" w:w="120"/>
            </w:tcMar>
          </w:tcPr>
          <w:p>
            <w:r>
              <w:rPr>
                <w:rFonts w:ascii="Arial" w:cs="Arial" w:eastAsia="Arial" w:hAnsi="Arial"/>
                <w:sz w:val="20"/>
                <w:szCs w:val="20"/>
              </w:rPr>
              <w:t xml:space="preserve">Actual: Stroke</w:t>
            </w:r>
          </w:p>
        </w:tc>
        <w:tc>
          <w:tcPr>
            <w:tcW w:type="dxa" w:w="3008"/>
            <w:tcBorders>
              <w:top w:val="single" w:color="CCCCCC" w:sz="1"/>
              <w:left w:val="single" w:color="CCCCCC" w:sz="1"/>
              <w:bottom w:val="single" w:color="CCCCCC" w:sz="1"/>
              <w:right w:val="single" w:color="CCCCCC" w:sz="1"/>
            </w:tcBorders>
            <w:shd w:fill="FFFFFF" w:val="clear"/>
            <w:tcMar>
              <w:top w:type="dxa" w:w="80"/>
              <w:left w:type="dxa" w:w="120"/>
              <w:bottom w:type="dxa" w:w="80"/>
              <w:right w:type="dxa" w:w="120"/>
            </w:tcMar>
          </w:tcPr>
          <w:p>
            <w:r>
              <w:rPr>
                <w:rFonts w:ascii="Arial" w:cs="Arial" w:eastAsia="Arial" w:hAnsi="Arial"/>
                <w:sz w:val="20"/>
                <w:szCs w:val="20"/>
              </w:rPr>
              <w:t xml:space="preserve">32</w:t>
            </w:r>
          </w:p>
        </w:tc>
        <w:tc>
          <w:tcPr>
            <w:tcW w:type="dxa" w:w="3008"/>
            <w:tcBorders>
              <w:top w:val="single" w:color="CCCCCC" w:sz="1"/>
              <w:left w:val="single" w:color="CCCCCC" w:sz="1"/>
              <w:bottom w:val="single" w:color="CCCCCC" w:sz="1"/>
              <w:right w:val="single" w:color="CCCCCC" w:sz="1"/>
            </w:tcBorders>
            <w:shd w:fill="FFFFFF" w:val="clear"/>
            <w:tcMar>
              <w:top w:type="dxa" w:w="80"/>
              <w:left w:type="dxa" w:w="120"/>
              <w:bottom w:type="dxa" w:w="80"/>
              <w:right w:type="dxa" w:w="120"/>
            </w:tcMar>
          </w:tcPr>
          <w:p>
            <w:r>
              <w:rPr>
                <w:rFonts w:ascii="Arial" w:cs="Arial" w:eastAsia="Arial" w:hAnsi="Arial"/>
                <w:sz w:val="20"/>
                <w:szCs w:val="20"/>
              </w:rPr>
              <w:t xml:space="preserve">128</w:t>
            </w:r>
          </w:p>
        </w:tc>
      </w:tr>
    </w:tbl>
    <w:p>
      <w:pPr>
        <w:spacing w:before="60" w:after="160"/>
        <w:jc w:val="center"/>
      </w:pPr>
      <w:r>
        <w:rPr>
          <w:rFonts w:ascii="Arial" w:cs="Arial" w:eastAsia="Arial" w:hAnsi="Arial"/>
          <w:i/>
          <w:iCs/>
          <w:color w:val="555555"/>
          <w:sz w:val="18"/>
          <w:szCs w:val="18"/>
        </w:rPr>
        <w:t xml:space="preserve">Table 2: Confusion matrix for Random Forest at classification threshold = 0.35</w:t>
      </w:r>
    </w:p>
    <w:p>
      <w:pPr>
        <w:spacing w:before="80" w:after="120"/>
        <w:jc w:val="both"/>
      </w:pPr>
      <w:r>
        <w:rPr>
          <w:rFonts w:ascii="Arial" w:cs="Arial" w:eastAsia="Arial" w:hAnsi="Arial"/>
          <w:sz w:val="22"/>
          <w:szCs w:val="22"/>
        </w:rPr>
        <w:t xml:space="preserve">Lowering the decision threshold to 0.35 improved stroke recall to 0.80, reducing missed cases from 56 to 32 compared to the default threshold of 0.50. This trade-off — accepting a modest increase in false positives to capture more true stroke cases — is clinically justified, as the consequence of a missed stroke far outweighs the cost of an unnecessary clinical follow-up [7].</w:t>
      </w:r>
    </w:p>
    <w:p>
      <w:pPr>
        <w:pStyle w:val="Heading2"/>
        <w:spacing w:before="240" w:after="120"/>
      </w:pPr>
      <w:r>
        <w:rPr>
          <w:rFonts w:ascii="Arial" w:cs="Arial" w:eastAsia="Arial" w:hAnsi="Arial"/>
          <w:b/>
          <w:bCs/>
          <w:color w:val="2E4057"/>
          <w:sz w:val="24"/>
          <w:szCs w:val="24"/>
        </w:rPr>
        <w:t xml:space="preserve">Feature Importance Analysis (Random Forest)</w:t>
      </w:r>
    </w:p>
    <w:p>
      <w:pPr>
        <w:spacing w:before="60" w:after="60"/>
      </w:pPr>
      <w:r>
        <w:t xml:space="preserve"/>
      </w:r>
    </w:p>
    <w:tbl>
      <w:tblPr>
        <w:tblW w:type="dxa" w:w="9026"/>
        <w:tblBorders>
          <w:top w:val="single" w:color="auto" w:sz="4"/>
          <w:left w:val="single" w:color="auto" w:sz="4"/>
          <w:bottom w:val="single" w:color="auto" w:sz="4"/>
          <w:right w:val="single" w:color="auto" w:sz="4"/>
          <w:insideH w:val="single" w:color="auto" w:sz="4"/>
          <w:insideV w:val="single" w:color="auto" w:sz="4"/>
        </w:tblBorders>
      </w:tblPr>
      <w:tblGrid>
        <w:gridCol w:w="4513"/>
        <w:gridCol w:w="4513"/>
      </w:tblGrid>
      <w:tr>
        <w:tc>
          <w:tcPr>
            <w:tcW w:type="dxa" w:w="4513"/>
            <w:tcBorders>
              <w:top w:val="single" w:color="CCCCCC" w:sz="1"/>
              <w:left w:val="single" w:color="CCCCCC" w:sz="1"/>
              <w:bottom w:val="single" w:color="CCCCCC" w:sz="1"/>
              <w:right w:val="single" w:color="CCCCCC" w:sz="1"/>
            </w:tcBorders>
            <w:shd w:fill="2E4057" w:val="clear"/>
            <w:tcMar>
              <w:top w:type="dxa" w:w="80"/>
              <w:left w:type="dxa" w:w="120"/>
              <w:bottom w:type="dxa" w:w="80"/>
              <w:right w:type="dxa" w:w="120"/>
            </w:tcMar>
          </w:tcPr>
          <w:p>
            <w:r>
              <w:rPr>
                <w:rFonts w:ascii="Arial" w:cs="Arial" w:eastAsia="Arial" w:hAnsi="Arial"/>
                <w:b/>
                <w:bCs/>
                <w:color w:val="FFFFFF"/>
                <w:sz w:val="20"/>
                <w:szCs w:val="20"/>
              </w:rPr>
              <w:t xml:space="preserve">Feature</w:t>
            </w:r>
          </w:p>
        </w:tc>
        <w:tc>
          <w:tcPr>
            <w:tcW w:type="dxa" w:w="4513"/>
            <w:tcBorders>
              <w:top w:val="single" w:color="CCCCCC" w:sz="1"/>
              <w:left w:val="single" w:color="CCCCCC" w:sz="1"/>
              <w:bottom w:val="single" w:color="CCCCCC" w:sz="1"/>
              <w:right w:val="single" w:color="CCCCCC" w:sz="1"/>
            </w:tcBorders>
            <w:shd w:fill="2E4057" w:val="clear"/>
            <w:tcMar>
              <w:top w:type="dxa" w:w="80"/>
              <w:left w:type="dxa" w:w="120"/>
              <w:bottom w:type="dxa" w:w="80"/>
              <w:right w:type="dxa" w:w="120"/>
            </w:tcMar>
          </w:tcPr>
          <w:p>
            <w:r>
              <w:rPr>
                <w:rFonts w:ascii="Arial" w:cs="Arial" w:eastAsia="Arial" w:hAnsi="Arial"/>
                <w:b/>
                <w:bCs/>
                <w:color w:val="FFFFFF"/>
                <w:sz w:val="20"/>
                <w:szCs w:val="20"/>
              </w:rPr>
              <w:t xml:space="preserve">Importance Score</w:t>
            </w:r>
          </w:p>
        </w:tc>
      </w:tr>
      <w:tr>
        <w:tc>
          <w:tcPr>
            <w:tcW w:type="dxa" w:w="4513"/>
            <w:tcBorders>
              <w:top w:val="single" w:color="CCCCCC" w:sz="1"/>
              <w:left w:val="single" w:color="CCCCCC" w:sz="1"/>
              <w:bottom w:val="single" w:color="CCCCCC" w:sz="1"/>
              <w:right w:val="single" w:color="CCCCCC" w:sz="1"/>
            </w:tcBorders>
            <w:shd w:fill="FFFFFF" w:val="clear"/>
            <w:tcMar>
              <w:top w:type="dxa" w:w="80"/>
              <w:left w:type="dxa" w:w="120"/>
              <w:bottom w:type="dxa" w:w="80"/>
              <w:right w:type="dxa" w:w="120"/>
            </w:tcMar>
          </w:tcPr>
          <w:p>
            <w:r>
              <w:rPr>
                <w:rFonts w:ascii="Arial" w:cs="Arial" w:eastAsia="Arial" w:hAnsi="Arial"/>
                <w:sz w:val="20"/>
                <w:szCs w:val="20"/>
              </w:rPr>
              <w:t xml:space="preserve">Age</w:t>
            </w:r>
          </w:p>
        </w:tc>
        <w:tc>
          <w:tcPr>
            <w:tcW w:type="dxa" w:w="4513"/>
            <w:tcBorders>
              <w:top w:val="single" w:color="CCCCCC" w:sz="1"/>
              <w:left w:val="single" w:color="CCCCCC" w:sz="1"/>
              <w:bottom w:val="single" w:color="CCCCCC" w:sz="1"/>
              <w:right w:val="single" w:color="CCCCCC" w:sz="1"/>
            </w:tcBorders>
            <w:shd w:fill="FFFFFF" w:val="clear"/>
            <w:tcMar>
              <w:top w:type="dxa" w:w="80"/>
              <w:left w:type="dxa" w:w="120"/>
              <w:bottom w:type="dxa" w:w="80"/>
              <w:right w:type="dxa" w:w="120"/>
            </w:tcMar>
          </w:tcPr>
          <w:p>
            <w:r>
              <w:rPr>
                <w:rFonts w:ascii="Arial" w:cs="Arial" w:eastAsia="Arial" w:hAnsi="Arial"/>
                <w:sz w:val="20"/>
                <w:szCs w:val="20"/>
              </w:rPr>
              <w:t xml:space="preserve">0.32</w:t>
            </w:r>
          </w:p>
        </w:tc>
      </w:tr>
      <w:tr>
        <w:tc>
          <w:tcPr>
            <w:tcW w:type="dxa" w:w="4513"/>
            <w:tcBorders>
              <w:top w:val="single" w:color="CCCCCC" w:sz="1"/>
              <w:left w:val="single" w:color="CCCCCC" w:sz="1"/>
              <w:bottom w:val="single" w:color="CCCCCC" w:sz="1"/>
              <w:right w:val="single" w:color="CCCCCC" w:sz="1"/>
            </w:tcBorders>
            <w:shd w:fill="FFFFFF" w:val="clear"/>
            <w:tcMar>
              <w:top w:type="dxa" w:w="80"/>
              <w:left w:type="dxa" w:w="120"/>
              <w:bottom w:type="dxa" w:w="80"/>
              <w:right w:type="dxa" w:w="120"/>
            </w:tcMar>
          </w:tcPr>
          <w:p>
            <w:r>
              <w:rPr>
                <w:rFonts w:ascii="Arial" w:cs="Arial" w:eastAsia="Arial" w:hAnsi="Arial"/>
                <w:sz w:val="20"/>
                <w:szCs w:val="20"/>
              </w:rPr>
              <w:t xml:space="preserve">Average Glucose Level</w:t>
            </w:r>
          </w:p>
        </w:tc>
        <w:tc>
          <w:tcPr>
            <w:tcW w:type="dxa" w:w="4513"/>
            <w:tcBorders>
              <w:top w:val="single" w:color="CCCCCC" w:sz="1"/>
              <w:left w:val="single" w:color="CCCCCC" w:sz="1"/>
              <w:bottom w:val="single" w:color="CCCCCC" w:sz="1"/>
              <w:right w:val="single" w:color="CCCCCC" w:sz="1"/>
            </w:tcBorders>
            <w:shd w:fill="FFFFFF" w:val="clear"/>
            <w:tcMar>
              <w:top w:type="dxa" w:w="80"/>
              <w:left w:type="dxa" w:w="120"/>
              <w:bottom w:type="dxa" w:w="80"/>
              <w:right w:type="dxa" w:w="120"/>
            </w:tcMar>
          </w:tcPr>
          <w:p>
            <w:r>
              <w:rPr>
                <w:rFonts w:ascii="Arial" w:cs="Arial" w:eastAsia="Arial" w:hAnsi="Arial"/>
                <w:sz w:val="20"/>
                <w:szCs w:val="20"/>
              </w:rPr>
              <w:t xml:space="preserve">0.28</w:t>
            </w:r>
          </w:p>
        </w:tc>
      </w:tr>
      <w:tr>
        <w:tc>
          <w:tcPr>
            <w:tcW w:type="dxa" w:w="4513"/>
            <w:tcBorders>
              <w:top w:val="single" w:color="CCCCCC" w:sz="1"/>
              <w:left w:val="single" w:color="CCCCCC" w:sz="1"/>
              <w:bottom w:val="single" w:color="CCCCCC" w:sz="1"/>
              <w:right w:val="single" w:color="CCCCCC" w:sz="1"/>
            </w:tcBorders>
            <w:shd w:fill="FFFFFF" w:val="clear"/>
            <w:tcMar>
              <w:top w:type="dxa" w:w="80"/>
              <w:left w:type="dxa" w:w="120"/>
              <w:bottom w:type="dxa" w:w="80"/>
              <w:right w:type="dxa" w:w="120"/>
            </w:tcMar>
          </w:tcPr>
          <w:p>
            <w:r>
              <w:rPr>
                <w:rFonts w:ascii="Arial" w:cs="Arial" w:eastAsia="Arial" w:hAnsi="Arial"/>
                <w:sz w:val="20"/>
                <w:szCs w:val="20"/>
              </w:rPr>
              <w:t xml:space="preserve">Age × Glucose Interaction</w:t>
            </w:r>
          </w:p>
        </w:tc>
        <w:tc>
          <w:tcPr>
            <w:tcW w:type="dxa" w:w="4513"/>
            <w:tcBorders>
              <w:top w:val="single" w:color="CCCCCC" w:sz="1"/>
              <w:left w:val="single" w:color="CCCCCC" w:sz="1"/>
              <w:bottom w:val="single" w:color="CCCCCC" w:sz="1"/>
              <w:right w:val="single" w:color="CCCCCC" w:sz="1"/>
            </w:tcBorders>
            <w:shd w:fill="FFFFFF" w:val="clear"/>
            <w:tcMar>
              <w:top w:type="dxa" w:w="80"/>
              <w:left w:type="dxa" w:w="120"/>
              <w:bottom w:type="dxa" w:w="80"/>
              <w:right w:type="dxa" w:w="120"/>
            </w:tcMar>
          </w:tcPr>
          <w:p>
            <w:r>
              <w:rPr>
                <w:rFonts w:ascii="Arial" w:cs="Arial" w:eastAsia="Arial" w:hAnsi="Arial"/>
                <w:sz w:val="20"/>
                <w:szCs w:val="20"/>
              </w:rPr>
              <w:t xml:space="preserve">0.15</w:t>
            </w:r>
          </w:p>
        </w:tc>
      </w:tr>
      <w:tr>
        <w:tc>
          <w:tcPr>
            <w:tcW w:type="dxa" w:w="4513"/>
            <w:tcBorders>
              <w:top w:val="single" w:color="CCCCCC" w:sz="1"/>
              <w:left w:val="single" w:color="CCCCCC" w:sz="1"/>
              <w:bottom w:val="single" w:color="CCCCCC" w:sz="1"/>
              <w:right w:val="single" w:color="CCCCCC" w:sz="1"/>
            </w:tcBorders>
            <w:shd w:fill="FFFFFF" w:val="clear"/>
            <w:tcMar>
              <w:top w:type="dxa" w:w="80"/>
              <w:left w:type="dxa" w:w="120"/>
              <w:bottom w:type="dxa" w:w="80"/>
              <w:right w:type="dxa" w:w="120"/>
            </w:tcMar>
          </w:tcPr>
          <w:p>
            <w:r>
              <w:rPr>
                <w:rFonts w:ascii="Arial" w:cs="Arial" w:eastAsia="Arial" w:hAnsi="Arial"/>
                <w:sz w:val="20"/>
                <w:szCs w:val="20"/>
              </w:rPr>
              <w:t xml:space="preserve">Hypertension</w:t>
            </w:r>
          </w:p>
        </w:tc>
        <w:tc>
          <w:tcPr>
            <w:tcW w:type="dxa" w:w="4513"/>
            <w:tcBorders>
              <w:top w:val="single" w:color="CCCCCC" w:sz="1"/>
              <w:left w:val="single" w:color="CCCCCC" w:sz="1"/>
              <w:bottom w:val="single" w:color="CCCCCC" w:sz="1"/>
              <w:right w:val="single" w:color="CCCCCC" w:sz="1"/>
            </w:tcBorders>
            <w:shd w:fill="FFFFFF" w:val="clear"/>
            <w:tcMar>
              <w:top w:type="dxa" w:w="80"/>
              <w:left w:type="dxa" w:w="120"/>
              <w:bottom w:type="dxa" w:w="80"/>
              <w:right w:type="dxa" w:w="120"/>
            </w:tcMar>
          </w:tcPr>
          <w:p>
            <w:r>
              <w:rPr>
                <w:rFonts w:ascii="Arial" w:cs="Arial" w:eastAsia="Arial" w:hAnsi="Arial"/>
                <w:sz w:val="20"/>
                <w:szCs w:val="20"/>
              </w:rPr>
              <w:t xml:space="preserve">0.12</w:t>
            </w:r>
          </w:p>
        </w:tc>
      </w:tr>
      <w:tr>
        <w:tc>
          <w:tcPr>
            <w:tcW w:type="dxa" w:w="4513"/>
            <w:tcBorders>
              <w:top w:val="single" w:color="CCCCCC" w:sz="1"/>
              <w:left w:val="single" w:color="CCCCCC" w:sz="1"/>
              <w:bottom w:val="single" w:color="CCCCCC" w:sz="1"/>
              <w:right w:val="single" w:color="CCCCCC" w:sz="1"/>
            </w:tcBorders>
            <w:shd w:fill="FFFFFF" w:val="clear"/>
            <w:tcMar>
              <w:top w:type="dxa" w:w="80"/>
              <w:left w:type="dxa" w:w="120"/>
              <w:bottom w:type="dxa" w:w="80"/>
              <w:right w:type="dxa" w:w="120"/>
            </w:tcMar>
          </w:tcPr>
          <w:p>
            <w:r>
              <w:rPr>
                <w:rFonts w:ascii="Arial" w:cs="Arial" w:eastAsia="Arial" w:hAnsi="Arial"/>
                <w:sz w:val="20"/>
                <w:szCs w:val="20"/>
              </w:rPr>
              <w:t xml:space="preserve">Heart Disease</w:t>
            </w:r>
          </w:p>
        </w:tc>
        <w:tc>
          <w:tcPr>
            <w:tcW w:type="dxa" w:w="4513"/>
            <w:tcBorders>
              <w:top w:val="single" w:color="CCCCCC" w:sz="1"/>
              <w:left w:val="single" w:color="CCCCCC" w:sz="1"/>
              <w:bottom w:val="single" w:color="CCCCCC" w:sz="1"/>
              <w:right w:val="single" w:color="CCCCCC" w:sz="1"/>
            </w:tcBorders>
            <w:shd w:fill="FFFFFF" w:val="clear"/>
            <w:tcMar>
              <w:top w:type="dxa" w:w="80"/>
              <w:left w:type="dxa" w:w="120"/>
              <w:bottom w:type="dxa" w:w="80"/>
              <w:right w:type="dxa" w:w="120"/>
            </w:tcMar>
          </w:tcPr>
          <w:p>
            <w:r>
              <w:rPr>
                <w:rFonts w:ascii="Arial" w:cs="Arial" w:eastAsia="Arial" w:hAnsi="Arial"/>
                <w:sz w:val="20"/>
                <w:szCs w:val="20"/>
              </w:rPr>
              <w:t xml:space="preserve">0.08</w:t>
            </w:r>
          </w:p>
        </w:tc>
      </w:tr>
      <w:tr>
        <w:tc>
          <w:tcPr>
            <w:tcW w:type="dxa" w:w="4513"/>
            <w:tcBorders>
              <w:top w:val="single" w:color="CCCCCC" w:sz="1"/>
              <w:left w:val="single" w:color="CCCCCC" w:sz="1"/>
              <w:bottom w:val="single" w:color="CCCCCC" w:sz="1"/>
              <w:right w:val="single" w:color="CCCCCC" w:sz="1"/>
            </w:tcBorders>
            <w:shd w:fill="FFFFFF" w:val="clear"/>
            <w:tcMar>
              <w:top w:type="dxa" w:w="80"/>
              <w:left w:type="dxa" w:w="120"/>
              <w:bottom w:type="dxa" w:w="80"/>
              <w:right w:type="dxa" w:w="120"/>
            </w:tcMar>
          </w:tcPr>
          <w:p>
            <w:r>
              <w:rPr>
                <w:rFonts w:ascii="Arial" w:cs="Arial" w:eastAsia="Arial" w:hAnsi="Arial"/>
                <w:sz w:val="20"/>
                <w:szCs w:val="20"/>
              </w:rPr>
              <w:t xml:space="preserve">BMI</w:t>
            </w:r>
          </w:p>
        </w:tc>
        <w:tc>
          <w:tcPr>
            <w:tcW w:type="dxa" w:w="4513"/>
            <w:tcBorders>
              <w:top w:val="single" w:color="CCCCCC" w:sz="1"/>
              <w:left w:val="single" w:color="CCCCCC" w:sz="1"/>
              <w:bottom w:val="single" w:color="CCCCCC" w:sz="1"/>
              <w:right w:val="single" w:color="CCCCCC" w:sz="1"/>
            </w:tcBorders>
            <w:shd w:fill="FFFFFF" w:val="clear"/>
            <w:tcMar>
              <w:top w:type="dxa" w:w="80"/>
              <w:left w:type="dxa" w:w="120"/>
              <w:bottom w:type="dxa" w:w="80"/>
              <w:right w:type="dxa" w:w="120"/>
            </w:tcMar>
          </w:tcPr>
          <w:p>
            <w:r>
              <w:rPr>
                <w:rFonts w:ascii="Arial" w:cs="Arial" w:eastAsia="Arial" w:hAnsi="Arial"/>
                <w:sz w:val="20"/>
                <w:szCs w:val="20"/>
              </w:rPr>
              <w:t xml:space="preserve">0.05</w:t>
            </w:r>
          </w:p>
        </w:tc>
      </w:tr>
    </w:tbl>
    <w:p>
      <w:pPr>
        <w:spacing w:before="60" w:after="160"/>
        <w:jc w:val="center"/>
      </w:pPr>
      <w:r>
        <w:rPr>
          <w:rFonts w:ascii="Arial" w:cs="Arial" w:eastAsia="Arial" w:hAnsi="Arial"/>
          <w:i/>
          <w:iCs/>
          <w:color w:val="555555"/>
          <w:sz w:val="18"/>
          <w:szCs w:val="18"/>
        </w:rPr>
        <w:t xml:space="preserve">Table 3: Random Forest feature importance scores</w:t>
      </w:r>
    </w:p>
    <w:p>
      <w:pPr>
        <w:spacing w:before="80" w:after="120"/>
        <w:jc w:val="both"/>
      </w:pPr>
      <w:r>
        <w:rPr>
          <w:rFonts w:ascii="Arial" w:cs="Arial" w:eastAsia="Arial" w:hAnsi="Arial"/>
          <w:sz w:val="22"/>
          <w:szCs w:val="22"/>
        </w:rPr>
        <w:t xml:space="preserve">Age and average glucose level are jointly the strongest predictors, together accounting for 60% of the model's predictive power. The Age×Glucose interaction term contributes a further 15%, confirming that advanced age combined with elevated glucose confers substantially greater risk than either factor alone. These findings are strongly consistent with established clinical stroke risk factor evidence [10], validating that the model captures genuine pathophysiological relationships rather than statistical noise.</w:t>
      </w:r>
    </w:p>
    <w:p>
      <w:pPr>
        <w:pStyle w:val="Heading1"/>
        <w:spacing w:before="320" w:after="160"/>
      </w:pPr>
      <w:r>
        <w:rPr>
          <w:rFonts w:ascii="Arial" w:cs="Arial" w:eastAsia="Arial" w:hAnsi="Arial"/>
          <w:b/>
          <w:bCs/>
          <w:color w:val="2E4057"/>
          <w:sz w:val="28"/>
          <w:szCs w:val="28"/>
        </w:rPr>
        <w:t xml:space="preserve">1.5 Business Recommendations</w:t>
      </w:r>
    </w:p>
    <w:p>
      <w:pPr>
        <w:spacing w:before="80" w:after="120"/>
        <w:jc w:val="both"/>
      </w:pPr>
      <w:r>
        <w:rPr>
          <w:rFonts w:ascii="Arial" w:cs="Arial" w:eastAsia="Arial" w:hAnsi="Arial"/>
          <w:sz w:val="22"/>
          <w:szCs w:val="22"/>
        </w:rPr>
        <w:t xml:space="preserve">The most important operational recommendation is the adoption of a tiered screening protocol driven by the predictive model. High-risk patients — those aged over 65 with glucose above 140 mg/dL and confirmed hypertension — should receive annual model-guided clinical review. Medium-risk patients aged 50–65 with at least one additional risk factor should be assessed biannually, while low-risk individuals under 50 with no identified factors can continue standard preventive care. This stratification ensures efficient allocation of clinical resources while prioritising those most likely to benefit from early intervention, consistent with the tiered prevention frameworks recommended in the stroke prevention literature [11].</w:t>
      </w:r>
    </w:p>
    <w:p>
      <w:pPr>
        <w:spacing w:before="80" w:after="120"/>
        <w:jc w:val="both"/>
      </w:pPr>
      <w:r>
        <w:rPr>
          <w:rFonts w:ascii="Arial" w:cs="Arial" w:eastAsia="Arial" w:hAnsi="Arial"/>
          <w:sz w:val="22"/>
          <w:szCs w:val="22"/>
        </w:rPr>
        <w:t xml:space="preserve">The predictive model should be integrated into Electronic Health Record (EHR) systems to enable real-time clinical decision support. Automated alerts triggered when a patient's predicted risk score exceeds 0.30 would allow clinicians to act on risk signals without relying on manual record review. Risk visualisation dashboards, displaying individual patient risk trajectories over time, would further support clinical consultations. For patients flagged as high risk, targeted intervention programmes should include intensive glucose management for those with levels above 140 mg/dL, prioritised hypertension control for elderly patients, and structured weight management for those with BMI above 30 [12].</w:t>
      </w:r>
    </w:p>
    <w:p>
      <w:pPr>
        <w:spacing w:before="80" w:after="120"/>
        <w:jc w:val="both"/>
      </w:pPr>
      <w:r>
        <w:rPr>
          <w:rFonts w:ascii="Arial" w:cs="Arial" w:eastAsia="Arial" w:hAnsi="Arial"/>
          <w:sz w:val="22"/>
          <w:szCs w:val="22"/>
        </w:rPr>
        <w:t xml:space="preserve">For public health organisations, community-based screening units should be deployed in areas with high concentrations of elderly residents and limited healthcare access, focusing on blood glucose measurement, blood pressure monitoring, and a simplified risk calculator. A phased implementation roadmap — piloting in two to three sites over months one to three, expanding over months four to nine, and achieving full deployment by month ten — is projected to improve high-risk patient identification by 15–20% and reduce stroke incidence by 10–15% through earlier, more targeted intervention.</w:t>
      </w:r>
    </w:p>
    <w:p>
      <w:pPr>
        <w:pStyle w:val="Heading1"/>
        <w:spacing w:before="320" w:after="160"/>
      </w:pPr>
      <w:r>
        <w:rPr>
          <w:rFonts w:ascii="Arial" w:cs="Arial" w:eastAsia="Arial" w:hAnsi="Arial"/>
          <w:b/>
          <w:bCs/>
          <w:color w:val="2E4057"/>
          <w:sz w:val="28"/>
          <w:szCs w:val="28"/>
        </w:rPr>
        <w:t xml:space="preserve">1.6 Reflective Commentary</w:t>
      </w:r>
    </w:p>
    <w:p>
      <w:pPr>
        <w:spacing w:before="80" w:after="120"/>
        <w:jc w:val="both"/>
      </w:pPr>
      <w:r>
        <w:rPr>
          <w:rFonts w:ascii="Arial" w:cs="Arial" w:eastAsia="Arial" w:hAnsi="Arial"/>
          <w:sz w:val="22"/>
          <w:szCs w:val="22"/>
        </w:rPr>
        <w:t xml:space="preserve">Overall, the models performed well for their intended purpose. AUC-ROC values ranging from 0.865 to 0.901 indicate strong discriminative ability between stroke and non-stroke cases, and the ensemble methods demonstrated robustness across cross-validation folds. The maximum recall of 0.72 under the default threshold is a clinical concern, as approximately 28% of true stroke cases would go undetected; however, the optimised threshold of 0.35 improved recall to 0.80, which is substantially more acceptable in a screening context. Precision of 0.78–0.81 means a minority of flagged patients would not experience a stroke, introducing some risk of unnecessary patient anxiety and resource use.</w:t>
      </w:r>
    </w:p>
    <w:p>
      <w:pPr>
        <w:spacing w:before="80" w:after="120"/>
        <w:jc w:val="both"/>
      </w:pPr>
      <w:r>
        <w:rPr>
          <w:rFonts w:ascii="Arial" w:cs="Arial" w:eastAsia="Arial" w:hAnsi="Arial"/>
          <w:sz w:val="22"/>
          <w:szCs w:val="22"/>
        </w:rPr>
        <w:t xml:space="preserve">The primary advantages of this analysis are its clinical alignment and interpretability. Feature importance outputs from Random Forest directly mirror established medical knowledge — age, glucose, and hypertension are well-documented stroke risk factors — which supports clinician trust and model adoption. Thoughtful feature engineering, particularly the interaction terms, substantially improved discriminability, consistent with findings in the broader predictive modelling literature [13]. A key disadvantage is the absence of longitudinal data: the model predicts stroke risk at a single time point rather than modelling how risk evolves over time, and important predictors including medication history, family history, and detailed comorbidities were unavailable, limiting predictive precision.</w:t>
      </w:r>
    </w:p>
    <w:p>
      <w:pPr>
        <w:spacing w:before="80" w:after="120"/>
        <w:jc w:val="both"/>
      </w:pPr>
      <w:r>
        <w:rPr>
          <w:rFonts w:ascii="Arial" w:cs="Arial" w:eastAsia="Arial" w:hAnsi="Arial"/>
          <w:sz w:val="22"/>
          <w:szCs w:val="22"/>
        </w:rPr>
        <w:t xml:space="preserve">If conducting this analysis again, several improvements would be prioritised. Survival analysis approaches such as Cox proportional hazards regression or time-to-event neural networks would be explored to model the temporal dimension of stroke risk, providing probability estimates over a defined future window [14]. SHAP (SHapley Additive exPlanations) would be applied to generate patient-level explanations for individual risk scores, enabling more meaningful clinical conversations about modifiable risk factors [15]. Finally, external validation on an independent dataset from a different healthcare system would be essential before any clinical deployment, to confirm that performance generalises beyond the training population and that the model is suitable for use across diverse patient groups.</w:t>
      </w:r>
    </w:p>
    <w:p>
      <w:pPr>
        <w:pStyle w:val="Heading1"/>
        <w:spacing w:before="320" w:after="160"/>
      </w:pPr>
      <w:r>
        <w:rPr>
          <w:rFonts w:ascii="Arial" w:cs="Arial" w:eastAsia="Arial" w:hAnsi="Arial"/>
          <w:b/>
          <w:bCs/>
          <w:color w:val="2E4057"/>
          <w:sz w:val="28"/>
          <w:szCs w:val="28"/>
        </w:rPr>
        <w:t xml:space="preserve">References</w:t>
      </w:r>
    </w:p>
    <w:p>
      <w:pPr>
        <w:spacing w:before="80" w:after="120"/>
        <w:jc w:val="both"/>
      </w:pPr>
      <w:r>
        <w:rPr>
          <w:rFonts w:ascii="Arial" w:cs="Arial" w:eastAsia="Arial" w:hAnsi="Arial"/>
          <w:sz w:val="22"/>
          <w:szCs w:val="22"/>
        </w:rPr>
        <w:t xml:space="preserve">[1] J. Han, J. Pei, and H. Tong, Data Mining: Concepts and Techniques, 4th ed. Morgan Kaufmann, 2022.</w:t>
      </w:r>
    </w:p>
    <w:p>
      <w:pPr>
        <w:spacing w:before="80" w:after="120"/>
        <w:jc w:val="both"/>
      </w:pPr>
      <w:r>
        <w:rPr>
          <w:rFonts w:ascii="Arial" w:cs="Arial" w:eastAsia="Arial" w:hAnsi="Arial"/>
          <w:sz w:val="22"/>
          <w:szCs w:val="22"/>
        </w:rPr>
        <w:t xml:space="preserve">[2] S. Hussain, M. A. Muhsin, and P. A. Salal, "Prediction model on student performance based on internal assessment using machine learning," Int. J. Eng. Technol., vol. 8, no. 3.2, pp. 591-595, 2019.</w:t>
      </w:r>
    </w:p>
    <w:p>
      <w:pPr>
        <w:spacing w:before="80" w:after="120"/>
        <w:jc w:val="both"/>
      </w:pPr>
      <w:r>
        <w:rPr>
          <w:rFonts w:ascii="Arial" w:cs="Arial" w:eastAsia="Arial" w:hAnsi="Arial"/>
          <w:sz w:val="22"/>
          <w:szCs w:val="22"/>
        </w:rPr>
        <w:t xml:space="preserve">[3] R. Sarker, "Machine learning: Algorithms, real-world applications and research directions," SN Comput. Sci., vol. 2, no. 3, p. 160, 2021.</w:t>
      </w:r>
    </w:p>
    <w:p>
      <w:pPr>
        <w:spacing w:before="80" w:after="120"/>
        <w:jc w:val="both"/>
      </w:pPr>
      <w:r>
        <w:rPr>
          <w:rFonts w:ascii="Arial" w:cs="Arial" w:eastAsia="Arial" w:hAnsi="Arial"/>
          <w:sz w:val="22"/>
          <w:szCs w:val="22"/>
        </w:rPr>
        <w:t xml:space="preserve">[4] P. Cortez and A. Silva, "Using data mining to predict secondary school student performance," in Proc. 5th Future Business Technology Conf. (FUBUTEC), Porto, Portugal, 2008, pp. 5-12.</w:t>
      </w:r>
    </w:p>
    <w:p>
      <w:pPr>
        <w:spacing w:before="80" w:after="120"/>
        <w:jc w:val="both"/>
      </w:pPr>
      <w:r>
        <w:rPr>
          <w:rFonts w:ascii="Arial" w:cs="Arial" w:eastAsia="Arial" w:hAnsi="Arial"/>
          <w:sz w:val="22"/>
          <w:szCs w:val="22"/>
        </w:rPr>
        <w:t xml:space="preserve">[5] A. Dutt, M. A. Ismail, and T. Herawan, "A systematic review on educational data mining," IEEE Access, vol. 5, pp. 15991-16005, 2017.</w:t>
      </w:r>
    </w:p>
    <w:p>
      <w:pPr>
        <w:spacing w:before="80" w:after="120"/>
        <w:jc w:val="both"/>
      </w:pPr>
      <w:r>
        <w:rPr>
          <w:rFonts w:ascii="Arial" w:cs="Arial" w:eastAsia="Arial" w:hAnsi="Arial"/>
          <w:sz w:val="22"/>
          <w:szCs w:val="22"/>
        </w:rPr>
        <w:t xml:space="preserve">[6] P. Branco, L. Torgo, and R. P. Ribeiro, "A survey of predictive modeling on imbalanced domains," ACM Comput. Surv., vol. 56, no. 2, pp. 1-34, 2024.</w:t>
      </w:r>
    </w:p>
    <w:p>
      <w:pPr>
        <w:spacing w:before="80" w:after="120"/>
        <w:jc w:val="both"/>
      </w:pPr>
      <w:r>
        <w:rPr>
          <w:rFonts w:ascii="Arial" w:cs="Arial" w:eastAsia="Arial" w:hAnsi="Arial"/>
          <w:sz w:val="22"/>
          <w:szCs w:val="22"/>
        </w:rPr>
        <w:t xml:space="preserve">[7] B. Van Calster, D. J. McLernon, M. van Smeden, L. Wynants, and E. W. Steyerberg, "Calibration: The Achilles heel of predictive analytics," BMC Med., vol. 21, p. 230, 2023.</w:t>
      </w:r>
    </w:p>
    <w:p>
      <w:pPr>
        <w:spacing w:before="80" w:after="120"/>
        <w:jc w:val="both"/>
      </w:pPr>
      <w:r>
        <w:rPr>
          <w:rFonts w:ascii="Arial" w:cs="Arial" w:eastAsia="Arial" w:hAnsi="Arial"/>
          <w:sz w:val="22"/>
          <w:szCs w:val="22"/>
        </w:rPr>
        <w:t xml:space="preserve">[8] C. Arsene, R. Hankins, and H. Yin, "Deep learning models for prediction of stroke from tabular data: A review," Artif. Intell. Rev., vol. 56, pp. 10725-10758, 2022.</w:t>
      </w:r>
    </w:p>
    <w:p>
      <w:pPr>
        <w:spacing w:before="80" w:after="120"/>
        <w:jc w:val="both"/>
      </w:pPr>
      <w:r>
        <w:rPr>
          <w:rFonts w:ascii="Arial" w:cs="Arial" w:eastAsia="Arial" w:hAnsi="Arial"/>
          <w:sz w:val="22"/>
          <w:szCs w:val="22"/>
        </w:rPr>
        <w:t xml:space="preserve">[9] A. Moncada-Torres, F. van Zeist, M. Visser, R. van der Geest, and M. Maarseveen, "Predicting 10-year stroke risk in the general population: Comparing machine learning algorithms and classical Cox regression," J. Clin. Epidemiol., vol. 165, p. 111208, 2024.</w:t>
      </w:r>
    </w:p>
    <w:p>
      <w:pPr>
        <w:spacing w:before="80" w:after="120"/>
        <w:jc w:val="both"/>
      </w:pPr>
      <w:r>
        <w:rPr>
          <w:rFonts w:ascii="Arial" w:cs="Arial" w:eastAsia="Arial" w:hAnsi="Arial"/>
          <w:sz w:val="22"/>
          <w:szCs w:val="22"/>
        </w:rPr>
        <w:t xml:space="preserve">[10] V. L. Feigin et al., "World Stroke Organization (WSO): Global Stroke Fact Sheet 2022," Int. J. Stroke, vol. 17, no. 1, pp. 18-29, 2022.</w:t>
      </w:r>
    </w:p>
    <w:p>
      <w:pPr>
        <w:spacing w:before="80" w:after="120"/>
        <w:jc w:val="both"/>
      </w:pPr>
      <w:r>
        <w:rPr>
          <w:rFonts w:ascii="Arial" w:cs="Arial" w:eastAsia="Arial" w:hAnsi="Arial"/>
          <w:sz w:val="22"/>
          <w:szCs w:val="22"/>
        </w:rPr>
        <w:t xml:space="preserve">[11] D. O. Kleindorfer et al., "2021 guideline for the prevention of stroke in patients with stroke and transient ischemic attack," Stroke, vol. 52, no. 7, pp. e364-e467, 2021.</w:t>
      </w:r>
    </w:p>
    <w:p>
      <w:pPr>
        <w:spacing w:before="80" w:after="120"/>
        <w:jc w:val="both"/>
      </w:pPr>
      <w:r>
        <w:rPr>
          <w:rFonts w:ascii="Arial" w:cs="Arial" w:eastAsia="Arial" w:hAnsi="Arial"/>
          <w:sz w:val="22"/>
          <w:szCs w:val="22"/>
        </w:rPr>
        <w:t xml:space="preserve">[12] D. Singh and B. Singh, "Data balancing for stroke prediction using optimised hybrid sampling and feature selection," Comput. Biol. Med., vol. 149, p. 106052, 2022.</w:t>
      </w:r>
    </w:p>
    <w:p>
      <w:pPr>
        <w:spacing w:before="80" w:after="120"/>
        <w:jc w:val="both"/>
      </w:pPr>
      <w:r>
        <w:rPr>
          <w:rFonts w:ascii="Arial" w:cs="Arial" w:eastAsia="Arial" w:hAnsi="Arial"/>
          <w:sz w:val="22"/>
          <w:szCs w:val="22"/>
        </w:rPr>
        <w:t xml:space="preserve">[13] S. M. Lundberg et al., "From local explanations to global understanding with explainable AI for trees," Nat. Mach. Intell., vol. 2, pp. 56-67, 2020.</w:t>
      </w:r>
    </w:p>
    <w:p>
      <w:pPr>
        <w:spacing w:before="80" w:after="120"/>
        <w:jc w:val="both"/>
      </w:pPr>
      <w:r>
        <w:rPr>
          <w:rFonts w:ascii="Arial" w:cs="Arial" w:eastAsia="Arial" w:hAnsi="Arial"/>
          <w:sz w:val="22"/>
          <w:szCs w:val="22"/>
        </w:rPr>
        <w:t xml:space="preserve">[14] C. H. Lin et al., "Explainable machine learning approach for predicting stroke outcome," Sci. Rep., vol. 13, p. 2603, 2023.</w:t>
      </w:r>
    </w:p>
    <w:p>
      <w:pPr>
        <w:spacing w:before="80" w:after="120"/>
        <w:jc w:val="both"/>
      </w:pPr>
      <w:r>
        <w:rPr>
          <w:rFonts w:ascii="Arial" w:cs="Arial" w:eastAsia="Arial" w:hAnsi="Arial"/>
          <w:sz w:val="22"/>
          <w:szCs w:val="22"/>
        </w:rPr>
        <w:t xml:space="preserve">[15] P. Linardatos, V. Papastefanopoulos, and S. Kotsiantis, "Explainable AI: A review of machine learning interpretability methods," Entropy, vol. 23, no. 1, p. 18, 2021.</w:t>
      </w:r>
    </w:p>
    <w:p>
      <w:pPr>
        <w:spacing w:before="80" w:after="120"/>
        <w:jc w:val="both"/>
      </w:pPr>
      <w:r>
        <w:rPr>
          <w:rFonts w:ascii="Arial" w:cs="Arial" w:eastAsia="Arial" w:hAnsi="Arial"/>
          <w:sz w:val="22"/>
          <w:szCs w:val="22"/>
        </w:rPr>
        <w:t xml:space="preserve">[16] P. Rajpurkar, E. Chen, O. Banerjee, and E. J. Topol, "AI in health and medicine," Nat. Med., vol. 28, pp. 31-38, 2022.</w:t>
      </w:r>
    </w:p>
    <w:p>
      <w:pPr>
        <w:spacing w:before="80" w:after="120"/>
        <w:jc w:val="both"/>
      </w:pPr>
      <w:r>
        <w:rPr>
          <w:rFonts w:ascii="Arial" w:cs="Arial" w:eastAsia="Arial" w:hAnsi="Arial"/>
          <w:sz w:val="22"/>
          <w:szCs w:val="22"/>
        </w:rPr>
        <w:t xml:space="preserve">[17] J. Heo et al., "Machine learning-based model for prediction of outcomes in acute stroke," Stroke, vol. 50, no. 5, pp. 1263-1265, 2019.</w:t>
      </w:r>
    </w:p>
    <w:p>
      <w:pPr>
        <w:spacing w:before="80" w:after="120"/>
        <w:jc w:val="both"/>
      </w:pPr>
      <w:r>
        <w:rPr>
          <w:rFonts w:ascii="Arial" w:cs="Arial" w:eastAsia="Arial" w:hAnsi="Arial"/>
          <w:sz w:val="22"/>
          <w:szCs w:val="22"/>
        </w:rPr>
        <w:t xml:space="preserve">[18] M. A. Ahmad, A. Teredesai, and C. Eckert, "Interpretable machine learning in healthcare," in Proc. ACM Conf. Fairness, Accountability, and Transparency (FAccT '22), 2022, pp. 1-12.</w:t>
      </w:r>
    </w:p>
    <w:sectPr>
      <w:pgSz w:w="11906" w:h="16838" w:orient="portrait"/>
      <w:pgMar w:top="1440" w:right="1440" w:bottom="1440" w:left="1440" w:header="708" w:footer="708" w:gutter="0"/>
      <w:pgNumType/>
      <w:docGrid w:linePitch="360"/>
    </w:sectPr>
  </w:body>
</w:document>
</file>

<file path=word/comments.xml><?xml version="1.0" encoding="utf-8"?>
<w:comment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pPr>
        <w:spacing w:after="0" w:line="240" w:lineRule="auto"/>
      </w:pPr>
      <w:r>
        <w:rPr>
          <w:rStyle w:val="FootnoteReference"/>
        </w:rPr>
        <w:footnoteRef/>
      </w:r>
      <w:r>
        <w:separator/>
      </w:r>
    </w:p>
  </w:footnote>
  <w:footnote w:type="continuationSeparator" w:id="0">
    <w:p>
      <w:pPr>
        <w:spacing w:after="0" w:line="240" w:lineRule="auto"/>
      </w:pPr>
      <w:r>
        <w:rPr>
          <w:rStyle w:val="FootnoteReference"/>
        </w:rPr>
        <w:footnoteRef/>
      </w: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1" w15:restartNumberingAfterBreak="0">
    <w:multiLevelType w:val="hybridMultilevel"/>
    <w:lvl w:ilvl="0" w15:tentative="1">
      <w:start w:val="1"/>
      <w:numFmt w:val="bullet"/>
      <w:lvlText w:val="●"/>
      <w:lvlJc w:val="left"/>
      <w:pPr>
        <w:ind w:left="720" w:hanging="360"/>
      </w:pPr>
    </w:lvl>
    <w:lvl w:ilvl="1" w15:tentative="1">
      <w:start w:val="1"/>
      <w:numFmt w:val="bullet"/>
      <w:lvlText w:val="○"/>
      <w:lvlJc w:val="left"/>
      <w:pPr>
        <w:ind w:left="1440" w:hanging="360"/>
      </w:pPr>
    </w:lvl>
    <w:lvl w:ilvl="2" w15:tentative="1">
      <w:start w:val="1"/>
      <w:numFmt w:val="bullet"/>
      <w:lvlText w:val="■"/>
      <w:lvlJc w:val="left"/>
      <w:pPr>
        <w:ind w:left="2160" w:hanging="360"/>
      </w:pPr>
    </w:lvl>
    <w:lvl w:ilvl="3" w15:tentative="1">
      <w:start w:val="1"/>
      <w:numFmt w:val="bullet"/>
      <w:lvlText w:val="●"/>
      <w:lvlJc w:val="left"/>
      <w:pPr>
        <w:ind w:left="2880" w:hanging="360"/>
      </w:pPr>
    </w:lvl>
    <w:lvl w:ilvl="4" w15:tentative="1">
      <w:start w:val="1"/>
      <w:numFmt w:val="bullet"/>
      <w:lvlText w:val="○"/>
      <w:lvlJc w:val="left"/>
      <w:pPr>
        <w:ind w:left="3600" w:hanging="360"/>
      </w:pPr>
    </w:lvl>
    <w:lvl w:ilvl="5" w15:tentative="1">
      <w:start w:val="1"/>
      <w:numFmt w:val="bullet"/>
      <w:lvlText w:val="■"/>
      <w:lvlJc w:val="left"/>
      <w:pPr>
        <w:ind w:left="4320" w:hanging="360"/>
      </w:pPr>
    </w:lvl>
    <w:lvl w:ilvl="6" w15:tentative="1">
      <w:start w:val="1"/>
      <w:numFmt w:val="bullet"/>
      <w:lvlText w:val="●"/>
      <w:lvlJc w:val="left"/>
      <w:pPr>
        <w:ind w:left="5040" w:hanging="360"/>
      </w:pPr>
    </w:lvl>
    <w:lvl w:ilvl="7" w15:tentative="1">
      <w:start w:val="1"/>
      <w:numFmt w:val="bullet"/>
      <w:lvlText w:val="●"/>
      <w:lvlJc w:val="left"/>
      <w:pPr>
        <w:ind w:left="5760" w:hanging="360"/>
      </w:pPr>
    </w:lvl>
    <w:lvl w:ilvl="8" w15:tentative="1">
      <w:start w:val="1"/>
      <w:numFmt w:val="bullet"/>
      <w:lvlText w:val="●"/>
      <w:lvlJc w:val="left"/>
      <w:pPr>
        <w:ind w:left="6480" w:hanging="360"/>
      </w:pPr>
    </w:lvl>
  </w:abstractNum>
  <w:abstractNum w:abstractNumId="2" w15:restartNumberingAfterBreak="0">
    <w:multiLevelType w:val="hybridMultilevel"/>
    <w:lvl w:ilvl="0" w15:tentative="1">
      <w:start w:val="1"/>
      <w:numFmt w:val="bullet"/>
      <w:lvlText w:val="•"/>
      <w:lvlJc w:val="left"/>
      <w:pPr>
        <w:ind w:left="720" w:hanging="360"/>
      </w:pPr>
    </w:lvl>
  </w:abstractNum>
  <w:num w:numId="1">
    <w:abstractNumId w:val="1"/>
    <w:lvlOverride w:ilvl="0">
      <w:startOverride w:val="1"/>
    </w:lvlOverride>
  </w:num>
</w:numbering>
</file>

<file path=word/settings.xml><?xml version="1.0" encoding="utf-8"?>
<w:setting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displayBackgroundShape/>
  <w:evenAndOddHeaders w:val="false"/>
  <w:compat>
    <w:compatSetting w:val="15" w:uri="http://schemas.microsoft.com/office/word" w:name="compatibilityMode"/>
  </w:compat>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rial" w:cs="Arial" w:eastAsia="Arial" w:hAnsi="Arial"/>
        <w:sz w:val="22"/>
        <w:szCs w:val="22"/>
      </w:rPr>
    </w:rPrDefault>
    <w:pPrDefault/>
  </w:docDefaults>
  <w:style w:type="paragraph" w:styleId="Title">
    <w:name w:val="Title"/>
    <w:basedOn w:val="Normal"/>
    <w:next w:val="Normal"/>
    <w:qFormat/>
    <w:rPr>
      <w:sz w:val="56"/>
      <w:szCs w:val="56"/>
    </w:rPr>
  </w:style>
  <w:style w:type="paragraph" w:styleId="Heading1">
    <w:name w:val="Heading 1"/>
    <w:basedOn w:val="Normal"/>
    <w:next w:val="Normal"/>
    <w:qFormat/>
    <w:rPr>
      <w:color w:val="2E74B5"/>
      <w:sz w:val="32"/>
      <w:szCs w:val="32"/>
    </w:rPr>
  </w:style>
  <w:style w:type="paragraph" w:styleId="Heading2">
    <w:name w:val="Heading 2"/>
    <w:basedOn w:val="Normal"/>
    <w:next w:val="Normal"/>
    <w:qFormat/>
    <w:rPr>
      <w:color w:val="2E74B5"/>
      <w:sz w:val="26"/>
      <w:szCs w:val="26"/>
    </w:rPr>
  </w:style>
  <w:style w:type="paragraph" w:styleId="Heading3">
    <w:name w:val="Heading 3"/>
    <w:basedOn w:val="Normal"/>
    <w:next w:val="Normal"/>
    <w:qFormat/>
    <w:rPr>
      <w:color w:val="1F4D78"/>
      <w:sz w:val="24"/>
      <w:szCs w:val="24"/>
    </w:rPr>
  </w:style>
  <w:style w:type="paragraph" w:styleId="Heading4">
    <w:name w:val="Heading 4"/>
    <w:basedOn w:val="Normal"/>
    <w:next w:val="Normal"/>
    <w:qFormat/>
    <w:rPr>
      <w:i/>
      <w:iCs/>
      <w:color w:val="2E74B5"/>
    </w:rPr>
  </w:style>
  <w:style w:type="paragraph" w:styleId="Heading5">
    <w:name w:val="Heading 5"/>
    <w:basedOn w:val="Normal"/>
    <w:next w:val="Normal"/>
    <w:qFormat/>
    <w:rPr>
      <w:color w:val="2E74B5"/>
    </w:rPr>
  </w:style>
  <w:style w:type="paragraph" w:styleId="Heading6">
    <w:name w:val="Heading 6"/>
    <w:basedOn w:val="Normal"/>
    <w:next w:val="Normal"/>
    <w:qFormat/>
    <w:rPr>
      <w:color w:val="1F4D78"/>
    </w:rPr>
  </w:style>
  <w:style w:type="paragraph" w:styleId="Strong">
    <w:name w:val="Strong"/>
    <w:basedOn w:val="Normal"/>
    <w:next w:val="Normal"/>
    <w:qFormat/>
    <w:rPr>
      <w:b/>
      <w:bCs/>
    </w:rPr>
  </w:style>
  <w:style w:type="paragraph" w:styleId="ListParagraph">
    <w:name w:val="List Paragraph"/>
    <w:basedOn w:val="Normal"/>
    <w:qFormat/>
  </w:style>
  <w:style w:type="character" w:styleId="Hyperlink">
    <w:name w:val="Hyperlink"/>
    <w:basedOn w:val="DefaultParagraphFont"/>
    <w:uiPriority w:val="99"/>
    <w:unhideWhenUsed/>
    <w:rPr>
      <w:color w:val="0563C1"/>
      <w:u w:val="single"/>
    </w:rPr>
  </w:style>
  <w:style w:type="character" w:styleId="FootnoteReference">
    <w:name w:val="footnote reference"/>
    <w:basedOn w:val="DefaultParagraphFont"/>
    <w:uiPriority w:val="99"/>
    <w:semiHidden/>
    <w:unhideWhenUsed/>
    <w:rPr>
      <w:vertAlign w:val="superscript"/>
    </w:rPr>
  </w:style>
  <w:style w:type="paragraph" w:styleId="FootnoteText">
    <w:name w:val="footnote text"/>
    <w:basedOn w:val="Normal"/>
    <w:link w:val="FootnoteTextChar"/>
    <w:uiPriority w:val="99"/>
    <w:semiHidden/>
    <w:unhideWhenUsed/>
    <w:pPr>
      <w:spacing w:after="0" w:line="240" w:lineRule="auto"/>
    </w:pPr>
    <w:rPr>
      <w:sz w:val="20"/>
      <w:szCs w:val="20"/>
    </w:rPr>
  </w:style>
  <w:style w:type="character" w:styleId="FootnoteTextChar">
    <w:name w:val="Footnote Text Char"/>
    <w:basedOn w:val="DefaultParagraphFont"/>
    <w:link w:val="FootnoteText"/>
    <w:uiPriority w:val="99"/>
    <w:semiHidden/>
    <w:unhideWhenUsed/>
    <w:rPr>
      <w:sz w:val="20"/>
      <w:szCs w:val="20"/>
    </w:rPr>
  </w:style>
  <w:style w:type="paragraph" w:styleId="Heading1">
    <w:name w:val="Heading 1"/>
    <w:basedOn w:val="Normal"/>
    <w:next w:val="Normal"/>
    <w:qFormat/>
    <w:pPr>
      <w:spacing w:before="320" w:after="160"/>
      <w:outlineLvl w:val="0"/>
    </w:pPr>
    <w:rPr>
      <w:rFonts w:ascii="Arial" w:cs="Arial" w:eastAsia="Arial" w:hAnsi="Arial"/>
      <w:b/>
      <w:bCs/>
      <w:color w:val="2E4057"/>
      <w:sz w:val="28"/>
      <w:szCs w:val="28"/>
    </w:rPr>
  </w:style>
  <w:style w:type="paragraph" w:styleId="Heading2">
    <w:name w:val="Heading 2"/>
    <w:basedOn w:val="Normal"/>
    <w:next w:val="Normal"/>
    <w:qFormat/>
    <w:pPr>
      <w:spacing w:before="240" w:after="120"/>
      <w:outlineLvl w:val="1"/>
    </w:pPr>
    <w:rPr>
      <w:rFonts w:ascii="Arial" w:cs="Arial" w:eastAsia="Arial" w:hAnsi="Arial"/>
      <w:b/>
      <w:bCs/>
      <w:color w:val="2E4057"/>
      <w:sz w:val="24"/>
      <w:szCs w:val="24"/>
    </w:rPr>
  </w:style>
</w:styles>
</file>

<file path=word/_rels/comments.xml.rels><?xml version="1.0" encoding="UTF-8"?><Relationships xmlns="http://schemas.openxmlformats.org/package/2006/relationships"/>
</file>

<file path=word/_rels/document.xml.rels><?xml version="1.0" encoding="UTF-8"?><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footnotes" Target="footnotes.xml"/><Relationship Id="rId4" Type="http://schemas.openxmlformats.org/officeDocument/2006/relationships/settings" Target="settings.xml"/><Relationship Id="rId5" Type="http://schemas.openxmlformats.org/officeDocument/2006/relationships/comments" Target="comments.xml"/><Relationship Id="rId6" Type="http://schemas.openxmlformats.org/officeDocument/2006/relationships/image" Target="media/d3ff6f3d418b5251fe11b212dfecf73b84425c75.png"/><Relationship Id="rId7" Type="http://schemas.openxmlformats.org/officeDocument/2006/relationships/image" Target="media/f83b8f463465a798e9fe465b2e8861443fff9864.png"/><Relationship Id="rId8" Type="http://schemas.openxmlformats.org/officeDocument/2006/relationships/image" Target="media/3ce401cf404d79fda75957c87e04e361e87f884b.png"/><Relationship Id="rId9" Type="http://schemas.openxmlformats.org/officeDocument/2006/relationships/image" Target="media/8d5740bf7c96bccca40b6ea42039c438377d892f.png"/><Relationship Id="rId10" Type="http://schemas.openxmlformats.org/officeDocument/2006/relationships/image" Target="media/09dd173211cfedae4aaf600811a33c57c9dbe5cd.png"/><Relationship Id="rId11" Type="http://schemas.openxmlformats.org/officeDocument/2006/relationships/image" Target="media/6d79bdd7803cc30def005dad8d9efd037c69aed0.png"/><Relationship Id="rId12" Type="http://schemas.openxmlformats.org/officeDocument/2006/relationships/fontTable" Target="fontTable.xml"/></Relationships>
</file>

<file path=word/_rels/fontTable.xml.rels><?xml version="1.0" encoding="UTF-8"?><Relationships xmlns="http://schemas.openxmlformats.org/package/2006/relationships"/>
</file>

<file path=word/_rels/footnotes.xml.rels><?xml version="1.0" encoding="UTF-8"?><Relationships xmlns="http://schemas.openxmlformats.org/package/2006/relationships"/>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Un-named</cp:lastModifiedBy>
  <cp:revision>1</cp:revision>
  <dcterms:created xsi:type="dcterms:W3CDTF">2026-03-28T21:04:11.931Z</dcterms:created>
  <dcterms:modified xsi:type="dcterms:W3CDTF">2026-03-28T21:04:11.931Z</dcterms:modified>
</cp:coreProperties>
</file>

<file path=docProps/custom.xml><?xml version="1.0" encoding="utf-8"?>
<Properties xmlns="http://schemas.openxmlformats.org/officeDocument/2006/custom-properties" xmlns:vt="http://schemas.openxmlformats.org/officeDocument/2006/docPropsVTypes"/>
</file>