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D740E60" w:rsidR="7908378C" w:rsidRDefault="7908378C" w:rsidP="33572C6E">
            <w:pPr>
              <w:ind w:right="237"/>
              <w:rPr>
                <w:b/>
                <w:bCs/>
                <w:color w:val="auto"/>
                <w:sz w:val="32"/>
                <w:szCs w:val="32"/>
              </w:rPr>
            </w:pPr>
            <w:r w:rsidRPr="33572C6E">
              <w:rPr>
                <w:b/>
                <w:bCs/>
                <w:color w:val="auto"/>
                <w:sz w:val="32"/>
                <w:szCs w:val="32"/>
              </w:rPr>
              <w:t xml:space="preserve">Learner name: </w:t>
            </w:r>
            <w:r w:rsidR="00A3179A">
              <w:rPr>
                <w:b/>
                <w:bCs/>
                <w:color w:val="auto"/>
                <w:sz w:val="32"/>
                <w:szCs w:val="32"/>
              </w:rPr>
              <w:t>Daniel Davies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2F97AF23" w:rsidR="33572C6E" w:rsidRDefault="00A3179A" w:rsidP="33572C6E">
            <w:pPr>
              <w:ind w:right="237"/>
              <w:rPr>
                <w:b/>
                <w:bCs/>
                <w:color w:val="auto"/>
                <w:sz w:val="32"/>
                <w:szCs w:val="32"/>
              </w:rPr>
            </w:pPr>
            <w:r>
              <w:rPr>
                <w:b/>
                <w:bCs/>
                <w:color w:val="auto"/>
                <w:sz w:val="32"/>
                <w:szCs w:val="32"/>
              </w:rPr>
              <w:t>2134497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771C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A746CB2" w14:textId="77777777" w:rsidR="008E3FE0" w:rsidRDefault="008E3FE0" w:rsidP="5B843AF0">
      <w:pPr>
        <w:ind w:right="237"/>
        <w:jc w:val="both"/>
        <w:rPr>
          <w:rFonts w:eastAsia="Arial"/>
          <w:b/>
          <w:bCs/>
          <w:color w:val="000000" w:themeColor="text1"/>
          <w:sz w:val="24"/>
          <w:szCs w:val="24"/>
        </w:rPr>
      </w:pPr>
    </w:p>
    <w:p w14:paraId="0E954961" w14:textId="14AD4498" w:rsidR="008E3FE0" w:rsidRDefault="008E3FE0" w:rsidP="5B843AF0">
      <w:pPr>
        <w:ind w:right="237"/>
        <w:jc w:val="both"/>
        <w:rPr>
          <w:rFonts w:eastAsia="Arial"/>
          <w:color w:val="000000" w:themeColor="text1"/>
          <w:sz w:val="24"/>
          <w:szCs w:val="24"/>
        </w:rPr>
      </w:pPr>
      <w:r>
        <w:rPr>
          <w:rFonts w:eastAsia="Arial"/>
          <w:color w:val="000000" w:themeColor="text1"/>
          <w:sz w:val="24"/>
          <w:szCs w:val="24"/>
        </w:rPr>
        <w:t xml:space="preserve">The incident I have chosen to discuss is one related to youth offending and repeat victimisation in young people. This has been driven by the surge in social media, societal differences and modern-day gang culture. The incident itself involves violence between young people, which is an ongoing issue between these two individuals, police intervention and partner agencies subsequently getting involved in order to tackle the problem at the root. During this essay, I will discuss the incident, evaluate the approaches taken by the police and partner agencies, explore the concepts of repeat offending and repeat victimisation and discuss what actions and steps could be done in order to tackle these concepts. The incident itself is between two young people, who I will call Child A and Child B for the purpose of the essay. Child A is well known to police and has recently began getting involved with gang culture in the area. Child A comes from a deprived background and still lives in a deprived area. </w:t>
      </w:r>
      <w:r w:rsidR="007C4CE2">
        <w:rPr>
          <w:rFonts w:eastAsia="Arial"/>
          <w:color w:val="000000" w:themeColor="text1"/>
          <w:sz w:val="24"/>
          <w:szCs w:val="24"/>
        </w:rPr>
        <w:t xml:space="preserve">Child A is still considered vulnerable by agencies, due to their age and their adverse childhood experiences (ACEs). </w:t>
      </w:r>
      <w:r>
        <w:rPr>
          <w:rFonts w:eastAsia="Arial"/>
          <w:color w:val="000000" w:themeColor="text1"/>
          <w:sz w:val="24"/>
          <w:szCs w:val="24"/>
        </w:rPr>
        <w:t>Child B is almost the complete opposite, having not been in much trouble with police before, and comes from a privileged background</w:t>
      </w:r>
      <w:r w:rsidR="00B620A6">
        <w:rPr>
          <w:rFonts w:eastAsia="Arial"/>
          <w:color w:val="000000" w:themeColor="text1"/>
          <w:sz w:val="24"/>
          <w:szCs w:val="24"/>
        </w:rPr>
        <w:t xml:space="preserve"> but has recently been coming to the attention of the police on a more regular basis for low level crimes such as shoplifting and a </w:t>
      </w:r>
      <w:r w:rsidR="003C4B20">
        <w:rPr>
          <w:rFonts w:eastAsia="Arial"/>
          <w:color w:val="000000" w:themeColor="text1"/>
          <w:sz w:val="24"/>
          <w:szCs w:val="24"/>
        </w:rPr>
        <w:t>low-level</w:t>
      </w:r>
      <w:r w:rsidR="00B620A6">
        <w:rPr>
          <w:rFonts w:eastAsia="Arial"/>
          <w:color w:val="000000" w:themeColor="text1"/>
          <w:sz w:val="24"/>
          <w:szCs w:val="24"/>
        </w:rPr>
        <w:t xml:space="preserve"> assault</w:t>
      </w:r>
      <w:r>
        <w:rPr>
          <w:rFonts w:eastAsia="Arial"/>
          <w:color w:val="000000" w:themeColor="text1"/>
          <w:sz w:val="24"/>
          <w:szCs w:val="24"/>
        </w:rPr>
        <w:t xml:space="preserve">. This provides a good comparison between methods used by partner agencies such as the Youth Offending Team </w:t>
      </w:r>
      <w:r w:rsidR="007C4CE2">
        <w:rPr>
          <w:rFonts w:eastAsia="Arial"/>
          <w:color w:val="000000" w:themeColor="text1"/>
          <w:sz w:val="24"/>
          <w:szCs w:val="24"/>
        </w:rPr>
        <w:t xml:space="preserve">and other Youth Justice Systems. </w:t>
      </w:r>
    </w:p>
    <w:p w14:paraId="0FD28969" w14:textId="59D65D99" w:rsidR="007C4CE2" w:rsidRDefault="007C4CE2" w:rsidP="5B843AF0">
      <w:pPr>
        <w:ind w:right="237"/>
        <w:jc w:val="both"/>
        <w:rPr>
          <w:rFonts w:eastAsia="Arial"/>
          <w:color w:val="000000" w:themeColor="text1"/>
          <w:sz w:val="24"/>
          <w:szCs w:val="24"/>
        </w:rPr>
      </w:pPr>
      <w:r>
        <w:rPr>
          <w:rFonts w:eastAsia="Arial"/>
          <w:color w:val="000000" w:themeColor="text1"/>
          <w:sz w:val="24"/>
          <w:szCs w:val="24"/>
        </w:rPr>
        <w:tab/>
        <w:t xml:space="preserve">The incident itself involves a violent incident between Child A and Child B where Child A assaulted Child B, causing a broken nose. Child A is well known to police, having been involved in numerous incidents in the past and intelligence shows that he has begun to become involved in gang culture. </w:t>
      </w:r>
      <w:r w:rsidR="002347EA">
        <w:rPr>
          <w:rFonts w:eastAsia="Arial"/>
          <w:color w:val="000000" w:themeColor="text1"/>
          <w:sz w:val="24"/>
          <w:szCs w:val="24"/>
        </w:rPr>
        <w:t xml:space="preserve">Child A has a number of ACEs which causes him to become vulnerable to people who wish to take </w:t>
      </w:r>
      <w:r w:rsidR="002347EA">
        <w:rPr>
          <w:rFonts w:eastAsia="Arial"/>
          <w:color w:val="000000" w:themeColor="text1"/>
          <w:sz w:val="24"/>
          <w:szCs w:val="24"/>
        </w:rPr>
        <w:lastRenderedPageBreak/>
        <w:t xml:space="preserve">advantage of him. Officers have seen this happen on a number of occasions in the past and have tried to intervene but with limited success. It is important to </w:t>
      </w:r>
      <w:r w:rsidR="000A3095">
        <w:rPr>
          <w:rFonts w:eastAsia="Arial"/>
          <w:color w:val="000000" w:themeColor="text1"/>
          <w:sz w:val="24"/>
          <w:szCs w:val="24"/>
        </w:rPr>
        <w:t>consider</w:t>
      </w:r>
      <w:r w:rsidR="002347EA">
        <w:rPr>
          <w:rFonts w:eastAsia="Arial"/>
          <w:color w:val="000000" w:themeColor="text1"/>
          <w:sz w:val="24"/>
          <w:szCs w:val="24"/>
        </w:rPr>
        <w:t xml:space="preserve"> how important ACEs are on children and young people and the effect it has on them in later life. Most authors and organisations agree that ACEs include </w:t>
      </w:r>
      <w:r w:rsidR="003C144A">
        <w:rPr>
          <w:rFonts w:eastAsia="Arial"/>
          <w:color w:val="000000" w:themeColor="text1"/>
          <w:sz w:val="24"/>
          <w:szCs w:val="24"/>
        </w:rPr>
        <w:t>neglect</w:t>
      </w:r>
      <w:r w:rsidR="002347EA">
        <w:rPr>
          <w:rFonts w:eastAsia="Arial"/>
          <w:color w:val="000000" w:themeColor="text1"/>
          <w:sz w:val="24"/>
          <w:szCs w:val="24"/>
        </w:rPr>
        <w:t>, physical</w:t>
      </w:r>
      <w:r w:rsidR="003C144A">
        <w:rPr>
          <w:rFonts w:eastAsia="Arial"/>
          <w:color w:val="000000" w:themeColor="text1"/>
          <w:sz w:val="24"/>
          <w:szCs w:val="24"/>
        </w:rPr>
        <w:t>, sexual or</w:t>
      </w:r>
      <w:r w:rsidR="002347EA">
        <w:rPr>
          <w:rFonts w:eastAsia="Arial"/>
          <w:color w:val="000000" w:themeColor="text1"/>
          <w:sz w:val="24"/>
          <w:szCs w:val="24"/>
        </w:rPr>
        <w:t xml:space="preserve"> emotional abuse, </w:t>
      </w:r>
      <w:r w:rsidR="003C144A">
        <w:rPr>
          <w:rFonts w:eastAsia="Arial"/>
          <w:color w:val="000000" w:themeColor="text1"/>
          <w:sz w:val="24"/>
          <w:szCs w:val="24"/>
        </w:rPr>
        <w:t xml:space="preserve">or growing up in a household where parents have drug or alcohol problems, mental health problems, problems with domestic violence, spent time in prison or where the parents have separated. Liverpool CAHMS (2023), </w:t>
      </w:r>
      <w:r w:rsidR="003E19C8">
        <w:rPr>
          <w:rFonts w:eastAsia="Arial"/>
          <w:color w:val="000000" w:themeColor="text1"/>
          <w:sz w:val="24"/>
          <w:szCs w:val="24"/>
        </w:rPr>
        <w:t>Centres</w:t>
      </w:r>
      <w:r w:rsidR="003C144A">
        <w:rPr>
          <w:rFonts w:eastAsia="Arial"/>
          <w:color w:val="000000" w:themeColor="text1"/>
          <w:sz w:val="24"/>
          <w:szCs w:val="24"/>
        </w:rPr>
        <w:t xml:space="preserve"> for Disease Control and Prevention (2023) and Public Health Scotland (2021) all agree that ACEs have an impact on </w:t>
      </w:r>
      <w:r w:rsidR="003E19C8">
        <w:rPr>
          <w:rFonts w:eastAsia="Arial"/>
          <w:color w:val="000000" w:themeColor="text1"/>
          <w:sz w:val="24"/>
          <w:szCs w:val="24"/>
        </w:rPr>
        <w:t>their brain developments and their behaviour towards others and is likely to increase victimisation and perpetration.</w:t>
      </w:r>
      <w:r w:rsidR="000A3095">
        <w:rPr>
          <w:rFonts w:eastAsia="Arial"/>
          <w:color w:val="000000" w:themeColor="text1"/>
          <w:sz w:val="24"/>
          <w:szCs w:val="24"/>
        </w:rPr>
        <w:t xml:space="preserve"> </w:t>
      </w:r>
      <w:r w:rsidR="00596B51">
        <w:rPr>
          <w:rFonts w:eastAsia="Arial"/>
          <w:color w:val="000000" w:themeColor="text1"/>
          <w:sz w:val="24"/>
          <w:szCs w:val="24"/>
        </w:rPr>
        <w:t xml:space="preserve">This is further supported by Hays-Grudo and Morris (2020) and </w:t>
      </w:r>
      <w:r w:rsidR="00BF46E2">
        <w:rPr>
          <w:rFonts w:eastAsia="Arial"/>
          <w:color w:val="000000" w:themeColor="text1"/>
          <w:sz w:val="24"/>
          <w:szCs w:val="24"/>
        </w:rPr>
        <w:t>Blow</w:t>
      </w:r>
      <w:r w:rsidR="00596B51">
        <w:rPr>
          <w:rFonts w:eastAsia="Arial"/>
          <w:color w:val="000000" w:themeColor="text1"/>
          <w:sz w:val="24"/>
          <w:szCs w:val="24"/>
        </w:rPr>
        <w:t xml:space="preserve"> (2020). </w:t>
      </w:r>
      <w:r w:rsidR="003E19C8">
        <w:rPr>
          <w:rFonts w:eastAsia="Arial"/>
          <w:color w:val="000000" w:themeColor="text1"/>
          <w:sz w:val="24"/>
          <w:szCs w:val="24"/>
        </w:rPr>
        <w:t>Public Health Scotland (202</w:t>
      </w:r>
      <w:r w:rsidR="004B0712">
        <w:rPr>
          <w:rFonts w:eastAsia="Arial"/>
          <w:color w:val="000000" w:themeColor="text1"/>
          <w:sz w:val="24"/>
          <w:szCs w:val="24"/>
        </w:rPr>
        <w:t>1</w:t>
      </w:r>
      <w:r w:rsidR="003E19C8">
        <w:rPr>
          <w:rFonts w:eastAsia="Arial"/>
          <w:color w:val="000000" w:themeColor="text1"/>
          <w:sz w:val="24"/>
          <w:szCs w:val="24"/>
        </w:rPr>
        <w:t xml:space="preserve">) cite a study in Wales where it was found that those with four or more ACEs are more likely to have problems with drink and drugs, been to prison and committed a violent act in the previous year. </w:t>
      </w:r>
      <w:r w:rsidR="000A3095">
        <w:rPr>
          <w:rFonts w:eastAsia="Arial"/>
          <w:color w:val="000000" w:themeColor="text1"/>
          <w:sz w:val="24"/>
          <w:szCs w:val="24"/>
        </w:rPr>
        <w:t xml:space="preserve">However, Heirigs (2020) disagrees that ACEs contribute to violent acts being committed. They found that there was little evidence to suggest that ACEs contribute to violent offences being committed although acknowledge that this may be due to participants who have committed violent offences being unwilling to undertake a survey. </w:t>
      </w:r>
      <w:r w:rsidR="0037198F">
        <w:rPr>
          <w:rFonts w:eastAsia="Arial"/>
          <w:color w:val="000000" w:themeColor="text1"/>
          <w:sz w:val="24"/>
          <w:szCs w:val="24"/>
        </w:rPr>
        <w:t>It is important to consider ACEs when looking at the incident in order to understand the context behind each child’s upbringing. Child A has a number of ACEs and Child B has very few which could have a possible effect on their behaviour based on current research. In order to understand how vulnerable people can be supported, it is vital to realise the difficulties vulnerable people face in life</w:t>
      </w:r>
      <w:r w:rsidR="00C726D3">
        <w:rPr>
          <w:rFonts w:eastAsia="Arial"/>
          <w:color w:val="000000" w:themeColor="text1"/>
          <w:sz w:val="24"/>
          <w:szCs w:val="24"/>
        </w:rPr>
        <w:t xml:space="preserve"> from a young age</w:t>
      </w:r>
      <w:r w:rsidR="0037198F">
        <w:rPr>
          <w:rFonts w:eastAsia="Arial"/>
          <w:color w:val="000000" w:themeColor="text1"/>
          <w:sz w:val="24"/>
          <w:szCs w:val="24"/>
        </w:rPr>
        <w:t xml:space="preserve">. </w:t>
      </w:r>
    </w:p>
    <w:p w14:paraId="72127ECE" w14:textId="464FDBA1" w:rsidR="003E19C8" w:rsidRDefault="00B620A6" w:rsidP="5B843AF0">
      <w:pPr>
        <w:ind w:right="237"/>
        <w:jc w:val="both"/>
        <w:rPr>
          <w:rFonts w:eastAsia="Arial"/>
          <w:color w:val="000000" w:themeColor="text1"/>
          <w:sz w:val="24"/>
          <w:szCs w:val="24"/>
        </w:rPr>
      </w:pPr>
      <w:r>
        <w:rPr>
          <w:rFonts w:eastAsia="Arial"/>
          <w:color w:val="000000" w:themeColor="text1"/>
          <w:sz w:val="24"/>
          <w:szCs w:val="24"/>
        </w:rPr>
        <w:tab/>
        <w:t xml:space="preserve">An approach used to deal with youth offenders such as Child A and Child B </w:t>
      </w:r>
      <w:r w:rsidR="00B828AD">
        <w:rPr>
          <w:rFonts w:eastAsia="Arial"/>
          <w:color w:val="000000" w:themeColor="text1"/>
          <w:sz w:val="24"/>
          <w:szCs w:val="24"/>
        </w:rPr>
        <w:t xml:space="preserve">is to refer them to partner agencies such as the Youth Offending </w:t>
      </w:r>
      <w:r w:rsidR="008B512A">
        <w:rPr>
          <w:rFonts w:eastAsia="Arial"/>
          <w:color w:val="000000" w:themeColor="text1"/>
          <w:sz w:val="24"/>
          <w:szCs w:val="24"/>
        </w:rPr>
        <w:t>T</w:t>
      </w:r>
      <w:r w:rsidR="00B828AD">
        <w:rPr>
          <w:rFonts w:eastAsia="Arial"/>
          <w:color w:val="000000" w:themeColor="text1"/>
          <w:sz w:val="24"/>
          <w:szCs w:val="24"/>
        </w:rPr>
        <w:t>eam</w:t>
      </w:r>
      <w:r w:rsidR="008B512A">
        <w:rPr>
          <w:rFonts w:eastAsia="Arial"/>
          <w:color w:val="000000" w:themeColor="text1"/>
          <w:sz w:val="24"/>
          <w:szCs w:val="24"/>
        </w:rPr>
        <w:t>s</w:t>
      </w:r>
      <w:r w:rsidR="00B828AD">
        <w:rPr>
          <w:rFonts w:eastAsia="Arial"/>
          <w:color w:val="000000" w:themeColor="text1"/>
          <w:sz w:val="24"/>
          <w:szCs w:val="24"/>
        </w:rPr>
        <w:t xml:space="preserve"> (YOT</w:t>
      </w:r>
      <w:r w:rsidR="008B512A">
        <w:rPr>
          <w:rFonts w:eastAsia="Arial"/>
          <w:color w:val="000000" w:themeColor="text1"/>
          <w:sz w:val="24"/>
          <w:szCs w:val="24"/>
        </w:rPr>
        <w:t>s</w:t>
      </w:r>
      <w:r w:rsidR="00B828AD">
        <w:rPr>
          <w:rFonts w:eastAsia="Arial"/>
          <w:color w:val="000000" w:themeColor="text1"/>
          <w:sz w:val="24"/>
          <w:szCs w:val="24"/>
        </w:rPr>
        <w:t xml:space="preserve">). This can be done when a young person comes to the attention of the police for low level offences. </w:t>
      </w:r>
      <w:r w:rsidR="008B512A">
        <w:rPr>
          <w:rFonts w:eastAsia="Arial"/>
          <w:color w:val="000000" w:themeColor="text1"/>
          <w:sz w:val="24"/>
          <w:szCs w:val="24"/>
        </w:rPr>
        <w:t xml:space="preserve">Blakeman (2011) explains that YOTs were created by the Crime and Disorder Act 1988 in order to “work with young people who at risk of offending”. This is in addition to the UK </w:t>
      </w:r>
      <w:r w:rsidR="003F2B0D">
        <w:rPr>
          <w:rFonts w:eastAsia="Arial"/>
          <w:color w:val="000000" w:themeColor="text1"/>
          <w:sz w:val="24"/>
          <w:szCs w:val="24"/>
        </w:rPr>
        <w:t>Government</w:t>
      </w:r>
      <w:r w:rsidR="008B512A">
        <w:rPr>
          <w:rFonts w:eastAsia="Arial"/>
          <w:color w:val="000000" w:themeColor="text1"/>
          <w:sz w:val="24"/>
          <w:szCs w:val="24"/>
        </w:rPr>
        <w:t xml:space="preserve"> who adds that the role of the YOTs is to assess a child and their background and work with them to steer them away from a life of crime and further reduce reoffending. YOTs </w:t>
      </w:r>
      <w:r w:rsidR="003F2B0D">
        <w:rPr>
          <w:rFonts w:eastAsia="Arial"/>
          <w:color w:val="000000" w:themeColor="text1"/>
          <w:sz w:val="24"/>
          <w:szCs w:val="24"/>
        </w:rPr>
        <w:t xml:space="preserve">consist of staff from police, education, children’s services and probation who will work collaboratively to provide support to young people and address the environment they are currently in. They will consider factors such as ACEs while conducting their assessment of each young person who comes to their attention. </w:t>
      </w:r>
      <w:r w:rsidR="00FB648E">
        <w:rPr>
          <w:rFonts w:eastAsia="Arial"/>
          <w:color w:val="000000" w:themeColor="text1"/>
          <w:sz w:val="24"/>
          <w:szCs w:val="24"/>
        </w:rPr>
        <w:t xml:space="preserve">It is </w:t>
      </w:r>
      <w:r w:rsidR="003C4B20">
        <w:rPr>
          <w:rFonts w:eastAsia="Arial"/>
          <w:color w:val="000000" w:themeColor="text1"/>
          <w:sz w:val="24"/>
          <w:szCs w:val="24"/>
        </w:rPr>
        <w:t>important</w:t>
      </w:r>
      <w:r w:rsidR="00FB648E">
        <w:rPr>
          <w:rFonts w:eastAsia="Arial"/>
          <w:color w:val="000000" w:themeColor="text1"/>
          <w:sz w:val="24"/>
          <w:szCs w:val="24"/>
        </w:rPr>
        <w:t xml:space="preserve"> to consider a number of factors when a young person commits a crime. These include the level of the crime, any previous offences, age of the person and their background. YOTs will take these into account when conducting their assessment and deciding how best to support young people following police contact. McNally (2015) believes that YOTs are a “cornerstone of the youth justice system” and “delivered success in reducing the number of children and young people at all stages of the system”. </w:t>
      </w:r>
      <w:r w:rsidR="00645B9A">
        <w:rPr>
          <w:rFonts w:eastAsia="Arial"/>
          <w:color w:val="000000" w:themeColor="text1"/>
          <w:sz w:val="24"/>
          <w:szCs w:val="24"/>
        </w:rPr>
        <w:t xml:space="preserve">Some YOTs across England and Wales will also develop programs which will exclusively target gang culture. The programs will be implemented where gang culture is rampant amongst young people. This is important to consider especially as we look at Child A who has recently began to become involved in gang culture in the local area. Child A has been subject to YOT numerous times in the past, but these were unsuccessful. It is not clear why it was unsuccessful at preventing reoffending which makes it difficult to evaluate what could have been done better. It could be down to a number of factors including budget reduction during the period where the UK was coming out </w:t>
      </w:r>
      <w:r w:rsidR="00645B9A">
        <w:rPr>
          <w:rFonts w:eastAsia="Arial"/>
          <w:color w:val="000000" w:themeColor="text1"/>
          <w:sz w:val="24"/>
          <w:szCs w:val="24"/>
        </w:rPr>
        <w:lastRenderedPageBreak/>
        <w:t xml:space="preserve">of austerity, lack of engagement from the child or an unstable home environment. </w:t>
      </w:r>
      <w:r w:rsidR="00572EC5">
        <w:rPr>
          <w:rFonts w:eastAsia="Arial"/>
          <w:color w:val="000000" w:themeColor="text1"/>
          <w:sz w:val="24"/>
          <w:szCs w:val="24"/>
        </w:rPr>
        <w:t>However,</w:t>
      </w:r>
      <w:r w:rsidR="00645B9A">
        <w:rPr>
          <w:rFonts w:eastAsia="Arial"/>
          <w:color w:val="000000" w:themeColor="text1"/>
          <w:sz w:val="24"/>
          <w:szCs w:val="24"/>
        </w:rPr>
        <w:t xml:space="preserve"> one thing is clear, and it is that now is the time to intervene with Child B to stop them from getting into the cycle of reoffending and give them a better future. </w:t>
      </w:r>
    </w:p>
    <w:p w14:paraId="4E1B383E" w14:textId="77777777" w:rsidR="00572EC5" w:rsidRDefault="00572EC5" w:rsidP="5B843AF0">
      <w:pPr>
        <w:ind w:right="237"/>
        <w:jc w:val="both"/>
        <w:rPr>
          <w:rFonts w:eastAsia="Arial"/>
          <w:color w:val="000000" w:themeColor="text1"/>
          <w:sz w:val="24"/>
          <w:szCs w:val="24"/>
        </w:rPr>
      </w:pPr>
    </w:p>
    <w:p w14:paraId="496D0757" w14:textId="6567802C" w:rsidR="00144F99" w:rsidRDefault="00572EC5" w:rsidP="5B843AF0">
      <w:pPr>
        <w:ind w:right="237"/>
        <w:jc w:val="both"/>
        <w:rPr>
          <w:rFonts w:eastAsia="Arial"/>
          <w:color w:val="000000" w:themeColor="text1"/>
          <w:sz w:val="24"/>
          <w:szCs w:val="24"/>
        </w:rPr>
      </w:pPr>
      <w:r>
        <w:rPr>
          <w:rFonts w:eastAsia="Arial"/>
          <w:color w:val="000000" w:themeColor="text1"/>
          <w:sz w:val="24"/>
          <w:szCs w:val="24"/>
        </w:rPr>
        <w:t xml:space="preserve">Repeat victimisation is a concept often referred to in a policing context and one which will be further explored. </w:t>
      </w:r>
      <w:r w:rsidR="00BC7E73">
        <w:rPr>
          <w:rFonts w:eastAsia="Arial"/>
          <w:color w:val="000000" w:themeColor="text1"/>
          <w:sz w:val="24"/>
          <w:szCs w:val="24"/>
        </w:rPr>
        <w:t xml:space="preserve">In order to understand how to tackle repeat victimisation, it must first be understood and defined. Both </w:t>
      </w:r>
      <w:r>
        <w:rPr>
          <w:rFonts w:eastAsia="Arial"/>
          <w:color w:val="000000" w:themeColor="text1"/>
          <w:sz w:val="24"/>
          <w:szCs w:val="24"/>
        </w:rPr>
        <w:t>Weisel (2005)</w:t>
      </w:r>
      <w:r w:rsidR="00BC7E73">
        <w:rPr>
          <w:rFonts w:eastAsia="Arial"/>
          <w:color w:val="000000" w:themeColor="text1"/>
          <w:sz w:val="24"/>
          <w:szCs w:val="24"/>
        </w:rPr>
        <w:t xml:space="preserve"> and Chainey and da Silva (2016)</w:t>
      </w:r>
      <w:r>
        <w:rPr>
          <w:rFonts w:eastAsia="Arial"/>
          <w:color w:val="000000" w:themeColor="text1"/>
          <w:sz w:val="24"/>
          <w:szCs w:val="24"/>
        </w:rPr>
        <w:t xml:space="preserve"> summarise repeat victimisation as being when a victim suffers the same type of crime within a specific time period. An example of this can be a domestic abuse victim suffering two domestic assaults in the space of six months. This definition is further supported by the College of Policing (2021) who state that ‘once someone has become a victim, their risk of revictimisation increases’. </w:t>
      </w:r>
      <w:r w:rsidR="00144F99">
        <w:rPr>
          <w:rFonts w:eastAsia="Arial"/>
          <w:color w:val="000000" w:themeColor="text1"/>
          <w:sz w:val="24"/>
          <w:szCs w:val="24"/>
        </w:rPr>
        <w:t xml:space="preserve">The question is why does this happen and how can repeat victimisation be reduced or prevented all together? When looking at domestic related </w:t>
      </w:r>
      <w:r w:rsidR="00C61F48">
        <w:rPr>
          <w:rFonts w:eastAsia="Arial"/>
          <w:color w:val="000000" w:themeColor="text1"/>
          <w:sz w:val="24"/>
          <w:szCs w:val="24"/>
        </w:rPr>
        <w:t>incident</w:t>
      </w:r>
      <w:r w:rsidR="00144F99">
        <w:rPr>
          <w:rFonts w:eastAsia="Arial"/>
          <w:color w:val="000000" w:themeColor="text1"/>
          <w:sz w:val="24"/>
          <w:szCs w:val="24"/>
        </w:rPr>
        <w:t xml:space="preserve">, the factors that increase the likelihood of victimisation may be obvious. These can include vulnerability, </w:t>
      </w:r>
      <w:r w:rsidR="0084349B">
        <w:rPr>
          <w:rFonts w:eastAsia="Arial"/>
          <w:color w:val="000000" w:themeColor="text1"/>
          <w:sz w:val="24"/>
          <w:szCs w:val="24"/>
        </w:rPr>
        <w:t>isolation</w:t>
      </w:r>
      <w:r w:rsidR="00144F99">
        <w:rPr>
          <w:rFonts w:eastAsia="Arial"/>
          <w:color w:val="000000" w:themeColor="text1"/>
          <w:sz w:val="24"/>
          <w:szCs w:val="24"/>
        </w:rPr>
        <w:t xml:space="preserve"> from friends and family, having children together with the perpetrator, financial issues. All of these factors can make a person more vulnerable to abuse which in turn can increase the likelihood of repeat victimisation. </w:t>
      </w:r>
      <w:r w:rsidR="00C61F48">
        <w:rPr>
          <w:rFonts w:eastAsia="Arial"/>
          <w:color w:val="000000" w:themeColor="text1"/>
          <w:sz w:val="24"/>
          <w:szCs w:val="24"/>
        </w:rPr>
        <w:t xml:space="preserve">Its important to consider these factors when examining how repeat victimisation can be prevented. Re victimisation can be prevented through a number of means. Grove et al (2012) conducted research based on reducing re victimisation for a number of </w:t>
      </w:r>
      <w:r w:rsidR="00FB2C97">
        <w:rPr>
          <w:rFonts w:eastAsia="Arial"/>
          <w:color w:val="000000" w:themeColor="text1"/>
          <w:sz w:val="24"/>
          <w:szCs w:val="24"/>
        </w:rPr>
        <w:t>different</w:t>
      </w:r>
      <w:r w:rsidR="00C61F48">
        <w:rPr>
          <w:rFonts w:eastAsia="Arial"/>
          <w:color w:val="000000" w:themeColor="text1"/>
          <w:sz w:val="24"/>
          <w:szCs w:val="24"/>
        </w:rPr>
        <w:t xml:space="preserve"> offences including sexual offences, residential burglaries and domestic </w:t>
      </w:r>
      <w:r w:rsidR="00FB2C97">
        <w:rPr>
          <w:rFonts w:eastAsia="Arial"/>
          <w:color w:val="000000" w:themeColor="text1"/>
          <w:sz w:val="24"/>
          <w:szCs w:val="24"/>
        </w:rPr>
        <w:t>assault</w:t>
      </w:r>
      <w:r w:rsidR="00C61F48">
        <w:rPr>
          <w:rFonts w:eastAsia="Arial"/>
          <w:color w:val="000000" w:themeColor="text1"/>
          <w:sz w:val="24"/>
          <w:szCs w:val="24"/>
        </w:rPr>
        <w:t>.</w:t>
      </w:r>
      <w:r w:rsidR="00FB2C97">
        <w:rPr>
          <w:rFonts w:eastAsia="Arial"/>
          <w:color w:val="000000" w:themeColor="text1"/>
          <w:sz w:val="24"/>
          <w:szCs w:val="24"/>
        </w:rPr>
        <w:t xml:space="preserve"> In their findings, they discovered that simply by implementing programs which target repeat victimisation can have a profound effect on the outcome. This is done by educating people on the factors that can lead to repeat victimisation. They found that by acknowledging these factors exist, people became more aware of them and when presented with similar situations, were less likely to be victimised. </w:t>
      </w:r>
      <w:r w:rsidR="0022582D">
        <w:rPr>
          <w:rFonts w:eastAsia="Arial"/>
          <w:color w:val="000000" w:themeColor="text1"/>
          <w:sz w:val="24"/>
          <w:szCs w:val="24"/>
        </w:rPr>
        <w:t>This is important as explained by College of Policing (20</w:t>
      </w:r>
      <w:r w:rsidR="004526B1">
        <w:rPr>
          <w:rFonts w:eastAsia="Arial"/>
          <w:color w:val="000000" w:themeColor="text1"/>
          <w:sz w:val="24"/>
          <w:szCs w:val="24"/>
        </w:rPr>
        <w:t>21</w:t>
      </w:r>
      <w:r w:rsidR="0022582D">
        <w:rPr>
          <w:rFonts w:eastAsia="Arial"/>
          <w:color w:val="000000" w:themeColor="text1"/>
          <w:sz w:val="24"/>
          <w:szCs w:val="24"/>
        </w:rPr>
        <w:t xml:space="preserve">), who believe by reducing repeat victimisation, it has an overall effect of the reduction of crime. </w:t>
      </w:r>
      <w:r w:rsidR="004526B1">
        <w:rPr>
          <w:rFonts w:eastAsia="Arial"/>
          <w:color w:val="000000" w:themeColor="text1"/>
          <w:sz w:val="24"/>
          <w:szCs w:val="24"/>
        </w:rPr>
        <w:t xml:space="preserve">Farell (2013) supports the above points however acknowledges the difficulties in implementing these tactics and programs due to budget constraints and communication problems between victims and support agencies. </w:t>
      </w:r>
    </w:p>
    <w:p w14:paraId="425C81C1" w14:textId="77777777" w:rsidR="004526B1" w:rsidRDefault="004526B1" w:rsidP="5B843AF0">
      <w:pPr>
        <w:ind w:right="237"/>
        <w:jc w:val="both"/>
        <w:rPr>
          <w:rFonts w:eastAsia="Arial"/>
          <w:color w:val="000000" w:themeColor="text1"/>
          <w:sz w:val="24"/>
          <w:szCs w:val="24"/>
        </w:rPr>
      </w:pPr>
    </w:p>
    <w:p w14:paraId="24C45A9C" w14:textId="10F3DAC9" w:rsidR="00310B51" w:rsidRDefault="004526B1" w:rsidP="5B843AF0">
      <w:pPr>
        <w:ind w:right="237"/>
        <w:jc w:val="both"/>
        <w:rPr>
          <w:rFonts w:eastAsia="Arial"/>
          <w:color w:val="000000" w:themeColor="text1"/>
          <w:sz w:val="24"/>
          <w:szCs w:val="24"/>
        </w:rPr>
      </w:pPr>
      <w:r>
        <w:rPr>
          <w:rFonts w:eastAsia="Arial"/>
          <w:color w:val="000000" w:themeColor="text1"/>
          <w:sz w:val="24"/>
          <w:szCs w:val="24"/>
        </w:rPr>
        <w:t xml:space="preserve">Reoffending can be difficult to prevent due to the fact that it requires changes to people’s </w:t>
      </w:r>
      <w:r w:rsidR="006E4DCD">
        <w:rPr>
          <w:rFonts w:eastAsia="Arial"/>
          <w:color w:val="000000" w:themeColor="text1"/>
          <w:sz w:val="24"/>
          <w:szCs w:val="24"/>
        </w:rPr>
        <w:t>long-term</w:t>
      </w:r>
      <w:r>
        <w:rPr>
          <w:rFonts w:eastAsia="Arial"/>
          <w:color w:val="000000" w:themeColor="text1"/>
          <w:sz w:val="24"/>
          <w:szCs w:val="24"/>
        </w:rPr>
        <w:t xml:space="preserve"> behaviours that some have known since childhood. </w:t>
      </w:r>
      <w:r w:rsidR="006E4DCD">
        <w:rPr>
          <w:rFonts w:eastAsia="Arial"/>
          <w:color w:val="000000" w:themeColor="text1"/>
          <w:sz w:val="24"/>
          <w:szCs w:val="24"/>
        </w:rPr>
        <w:t xml:space="preserve">This is where ACEs can have a huge impact on a young person’s life and reoffending. In order to begin preventing reoffending, ACEs must be considered, and any vulnerabilities need to be addressed. This will help gain a better understanding of a person’s mindset, life and barriers to behaviour changes. There are different options to consider in order to prevent reoffending depending on the seriousness of the offences. For example, putting a young person through the criminal justice system for a minor offence may have a detrimental effect on their mental health and their life, however </w:t>
      </w:r>
      <w:r w:rsidR="008A5BFF">
        <w:rPr>
          <w:rFonts w:eastAsia="Arial"/>
          <w:color w:val="000000" w:themeColor="text1"/>
          <w:sz w:val="24"/>
          <w:szCs w:val="24"/>
        </w:rPr>
        <w:t xml:space="preserve">it could be argued that </w:t>
      </w:r>
      <w:r w:rsidR="006E4DCD">
        <w:rPr>
          <w:rFonts w:eastAsia="Arial"/>
          <w:color w:val="000000" w:themeColor="text1"/>
          <w:sz w:val="24"/>
          <w:szCs w:val="24"/>
        </w:rPr>
        <w:t xml:space="preserve">there still needs to be a lesson learned. A House of Commons paper </w:t>
      </w:r>
      <w:r w:rsidR="00AB7A4B">
        <w:rPr>
          <w:rFonts w:eastAsia="Arial"/>
          <w:color w:val="000000" w:themeColor="text1"/>
          <w:sz w:val="24"/>
          <w:szCs w:val="24"/>
        </w:rPr>
        <w:t xml:space="preserve">(2012) </w:t>
      </w:r>
      <w:r w:rsidR="006E4DCD">
        <w:rPr>
          <w:rFonts w:eastAsia="Arial"/>
          <w:color w:val="000000" w:themeColor="text1"/>
          <w:sz w:val="24"/>
          <w:szCs w:val="24"/>
        </w:rPr>
        <w:t xml:space="preserve">states different factors which can lead to a decrease in reoffending, these are: ‘maturing, relationships, sobriety, employment, hope, motivation, finding a place in a social group, being believed in and not having a criminal identity’. The paper suggests that these factors combined with behavioural-cognitive approaches rather than punitive measures were most effective at reducing reoffending. </w:t>
      </w:r>
      <w:r w:rsidR="00310B51">
        <w:rPr>
          <w:rFonts w:eastAsia="Arial"/>
          <w:color w:val="000000" w:themeColor="text1"/>
          <w:sz w:val="24"/>
          <w:szCs w:val="24"/>
        </w:rPr>
        <w:t xml:space="preserve">This can be done through different sentences following an offence or conditional cautions from the police whereby the subject has to engage with a </w:t>
      </w:r>
      <w:r w:rsidR="00310B51">
        <w:rPr>
          <w:rFonts w:eastAsia="Arial"/>
          <w:color w:val="000000" w:themeColor="text1"/>
          <w:sz w:val="24"/>
          <w:szCs w:val="24"/>
        </w:rPr>
        <w:lastRenderedPageBreak/>
        <w:t>program to educate them on their behaviour and support them through the process. Ultimately, it is important to recognise vulnerabilities which can cause a person to reoffend in order to implement a solution which balances the victim’s satisfaction following an offence and the subject’s needs to be educated and supported to prevent reoffending.</w:t>
      </w:r>
    </w:p>
    <w:p w14:paraId="07A0C7B6" w14:textId="77777777" w:rsidR="00411F57" w:rsidRDefault="00411F57" w:rsidP="5B843AF0">
      <w:pPr>
        <w:ind w:right="237"/>
        <w:jc w:val="both"/>
        <w:rPr>
          <w:rFonts w:eastAsia="Arial"/>
          <w:color w:val="000000" w:themeColor="text1"/>
          <w:sz w:val="24"/>
          <w:szCs w:val="24"/>
        </w:rPr>
      </w:pPr>
    </w:p>
    <w:p w14:paraId="2154A223" w14:textId="31F489A3" w:rsidR="00411F57" w:rsidRDefault="00411F57" w:rsidP="5B843AF0">
      <w:pPr>
        <w:ind w:right="237"/>
        <w:jc w:val="both"/>
        <w:rPr>
          <w:rFonts w:eastAsia="Arial"/>
          <w:color w:val="000000" w:themeColor="text1"/>
          <w:sz w:val="24"/>
          <w:szCs w:val="24"/>
        </w:rPr>
      </w:pPr>
      <w:r>
        <w:rPr>
          <w:rFonts w:eastAsia="Arial"/>
          <w:color w:val="000000" w:themeColor="text1"/>
          <w:sz w:val="24"/>
          <w:szCs w:val="24"/>
        </w:rPr>
        <w:t xml:space="preserve">In conclusion, the incident discussed is one that is common throughout England and Wales. Due to the ages and vulnerabilities of the people involved, it is a difficult situation to manage in order to gain a positive outcome. It is important to understand the background of a person in order to understand how best to support them and the best course of action following an offence being committed. How the police and the courts impose themselves on a person can have serious consequences on that person in later life and it is vital to recognise this and the power that they hold. Different approaches need to be utilised for different persons based on their history and vulnerabilities so that they have a better chance of reducing reoffending and can be supported through the system. This is no simple task and requires support from different agencies such as social services, education agencies, the police and health services. A multi-agency approach is vital in </w:t>
      </w:r>
      <w:r w:rsidR="00096083">
        <w:rPr>
          <w:rFonts w:eastAsia="Arial"/>
          <w:color w:val="000000" w:themeColor="text1"/>
          <w:sz w:val="24"/>
          <w:szCs w:val="24"/>
        </w:rPr>
        <w:t xml:space="preserve">supporting persons through the process. </w:t>
      </w:r>
    </w:p>
    <w:p w14:paraId="50268A6B" w14:textId="77777777" w:rsidR="00310B51" w:rsidRDefault="00310B51" w:rsidP="5B843AF0">
      <w:pPr>
        <w:ind w:right="237"/>
        <w:jc w:val="both"/>
        <w:rPr>
          <w:rFonts w:eastAsia="Arial"/>
          <w:color w:val="000000" w:themeColor="text1"/>
          <w:sz w:val="24"/>
          <w:szCs w:val="24"/>
        </w:rPr>
      </w:pPr>
    </w:p>
    <w:p w14:paraId="21008B53" w14:textId="1258ED7B" w:rsidR="0022582D" w:rsidRDefault="00491135" w:rsidP="5B843AF0">
      <w:pPr>
        <w:ind w:right="237"/>
        <w:jc w:val="both"/>
        <w:rPr>
          <w:rFonts w:eastAsia="Arial"/>
          <w:color w:val="000000" w:themeColor="text1"/>
          <w:sz w:val="24"/>
          <w:szCs w:val="24"/>
        </w:rPr>
      </w:pPr>
      <w:r>
        <w:rPr>
          <w:rFonts w:eastAsia="Arial"/>
          <w:color w:val="000000" w:themeColor="text1"/>
          <w:sz w:val="24"/>
          <w:szCs w:val="24"/>
        </w:rPr>
        <w:t>Word count: 1832</w:t>
      </w:r>
    </w:p>
    <w:p w14:paraId="2B7E6A61" w14:textId="77777777" w:rsidR="00310B51" w:rsidRDefault="00310B51" w:rsidP="5B843AF0">
      <w:pPr>
        <w:ind w:right="237"/>
        <w:jc w:val="both"/>
        <w:rPr>
          <w:rFonts w:eastAsia="Arial"/>
          <w:color w:val="000000" w:themeColor="text1"/>
          <w:sz w:val="24"/>
          <w:szCs w:val="24"/>
        </w:rPr>
      </w:pPr>
    </w:p>
    <w:p w14:paraId="34AA0305" w14:textId="77777777" w:rsidR="00BC7E73" w:rsidRDefault="00BC7E73" w:rsidP="00FB648E">
      <w:pPr>
        <w:ind w:right="237"/>
      </w:pPr>
    </w:p>
    <w:p w14:paraId="18FF3E29" w14:textId="77777777" w:rsidR="004526B1" w:rsidRDefault="004526B1" w:rsidP="00FB648E">
      <w:pPr>
        <w:ind w:right="237"/>
      </w:pPr>
    </w:p>
    <w:p w14:paraId="1AFACA1B" w14:textId="77777777" w:rsidR="004526B1" w:rsidRDefault="004526B1" w:rsidP="00FB648E">
      <w:pPr>
        <w:ind w:right="237"/>
      </w:pPr>
    </w:p>
    <w:p w14:paraId="4AE76656" w14:textId="77777777" w:rsidR="001061B2" w:rsidRDefault="001061B2" w:rsidP="00FB648E">
      <w:pPr>
        <w:ind w:right="237"/>
      </w:pPr>
    </w:p>
    <w:p w14:paraId="52FB0921" w14:textId="3DA6F84C" w:rsidR="69F7424F" w:rsidRDefault="69F7424F" w:rsidP="00AB7A4B">
      <w:pPr>
        <w:ind w:right="237"/>
        <w:rPr>
          <w:b/>
          <w:bCs/>
          <w:sz w:val="24"/>
          <w:szCs w:val="24"/>
        </w:rPr>
      </w:pPr>
    </w:p>
    <w:p w14:paraId="1D23E302" w14:textId="77777777" w:rsidR="004526B1" w:rsidRDefault="004526B1"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0E143170" w14:textId="77777777" w:rsidR="00491135" w:rsidRDefault="00491135" w:rsidP="5B843AF0">
      <w:pPr>
        <w:ind w:right="237"/>
        <w:jc w:val="center"/>
        <w:rPr>
          <w:b/>
          <w:bCs/>
          <w:sz w:val="24"/>
          <w:szCs w:val="24"/>
        </w:rPr>
      </w:pPr>
    </w:p>
    <w:p w14:paraId="585E64EC" w14:textId="77777777" w:rsidR="00491135" w:rsidRDefault="00491135" w:rsidP="5B843AF0">
      <w:pPr>
        <w:ind w:right="237"/>
        <w:jc w:val="center"/>
        <w:rPr>
          <w:b/>
          <w:bCs/>
          <w:sz w:val="24"/>
          <w:szCs w:val="24"/>
        </w:rPr>
      </w:pPr>
    </w:p>
    <w:p w14:paraId="5502F292" w14:textId="77777777" w:rsidR="00491135" w:rsidRDefault="00491135" w:rsidP="5B843AF0">
      <w:pPr>
        <w:ind w:right="237"/>
        <w:jc w:val="center"/>
        <w:rPr>
          <w:b/>
          <w:bCs/>
          <w:sz w:val="24"/>
          <w:szCs w:val="24"/>
        </w:rPr>
      </w:pPr>
    </w:p>
    <w:p w14:paraId="1770A847" w14:textId="77777777" w:rsidR="00491135" w:rsidRDefault="00491135" w:rsidP="5B843AF0">
      <w:pPr>
        <w:ind w:right="237"/>
        <w:jc w:val="center"/>
        <w:rPr>
          <w:b/>
          <w:bCs/>
          <w:sz w:val="24"/>
          <w:szCs w:val="24"/>
        </w:rPr>
      </w:pPr>
    </w:p>
    <w:p w14:paraId="550EAAB4" w14:textId="77777777" w:rsidR="00491135" w:rsidRDefault="00491135" w:rsidP="5B843AF0">
      <w:pPr>
        <w:ind w:right="237"/>
        <w:jc w:val="center"/>
        <w:rPr>
          <w:b/>
          <w:bCs/>
          <w:sz w:val="24"/>
          <w:szCs w:val="24"/>
        </w:rPr>
      </w:pPr>
    </w:p>
    <w:p w14:paraId="54A28192" w14:textId="77777777" w:rsidR="00491135" w:rsidRDefault="00491135" w:rsidP="5B843AF0">
      <w:pPr>
        <w:ind w:right="237"/>
        <w:jc w:val="center"/>
        <w:rPr>
          <w:b/>
          <w:bCs/>
          <w:sz w:val="24"/>
          <w:szCs w:val="24"/>
        </w:rPr>
      </w:pPr>
    </w:p>
    <w:p w14:paraId="49A6EB23" w14:textId="77777777" w:rsidR="00491135" w:rsidRDefault="00491135" w:rsidP="5B843AF0">
      <w:pPr>
        <w:ind w:right="237"/>
        <w:jc w:val="center"/>
        <w:rPr>
          <w:b/>
          <w:bCs/>
          <w:sz w:val="24"/>
          <w:szCs w:val="24"/>
        </w:rPr>
      </w:pPr>
    </w:p>
    <w:p w14:paraId="02657032" w14:textId="77777777" w:rsidR="00491135" w:rsidRDefault="00491135" w:rsidP="5B843AF0">
      <w:pPr>
        <w:ind w:right="237"/>
        <w:jc w:val="center"/>
        <w:rPr>
          <w:b/>
          <w:bCs/>
          <w:sz w:val="24"/>
          <w:szCs w:val="24"/>
        </w:rPr>
      </w:pPr>
    </w:p>
    <w:p w14:paraId="472FD594" w14:textId="77777777" w:rsidR="00491135" w:rsidRDefault="00491135" w:rsidP="5B843AF0">
      <w:pPr>
        <w:ind w:right="237"/>
        <w:jc w:val="center"/>
        <w:rPr>
          <w:b/>
          <w:bCs/>
          <w:sz w:val="24"/>
          <w:szCs w:val="24"/>
        </w:rPr>
      </w:pPr>
    </w:p>
    <w:p w14:paraId="4A0F93F6" w14:textId="77777777" w:rsidR="00491135" w:rsidRDefault="00491135" w:rsidP="5B843AF0">
      <w:pPr>
        <w:ind w:right="237"/>
        <w:jc w:val="center"/>
        <w:rPr>
          <w:b/>
          <w:bCs/>
          <w:sz w:val="24"/>
          <w:szCs w:val="24"/>
        </w:rPr>
      </w:pPr>
    </w:p>
    <w:p w14:paraId="2DC8232E" w14:textId="77777777" w:rsidR="00491135" w:rsidRDefault="00491135" w:rsidP="5B843AF0">
      <w:pPr>
        <w:ind w:right="237"/>
        <w:jc w:val="center"/>
        <w:rPr>
          <w:b/>
          <w:bCs/>
          <w:sz w:val="24"/>
          <w:szCs w:val="24"/>
        </w:rPr>
      </w:pPr>
    </w:p>
    <w:p w14:paraId="2F4EA17A" w14:textId="77777777" w:rsidR="00491135" w:rsidRDefault="00491135" w:rsidP="5B843AF0">
      <w:pPr>
        <w:ind w:right="237"/>
        <w:jc w:val="center"/>
        <w:rPr>
          <w:b/>
          <w:bCs/>
          <w:sz w:val="24"/>
          <w:szCs w:val="24"/>
        </w:rPr>
      </w:pPr>
    </w:p>
    <w:p w14:paraId="60D4A9EF" w14:textId="77777777" w:rsidR="00491135" w:rsidRDefault="00491135" w:rsidP="5B843AF0">
      <w:pPr>
        <w:ind w:right="237"/>
        <w:jc w:val="center"/>
        <w:rPr>
          <w:b/>
          <w:bCs/>
          <w:sz w:val="24"/>
          <w:szCs w:val="24"/>
        </w:rPr>
      </w:pPr>
    </w:p>
    <w:p w14:paraId="54BF3391" w14:textId="77777777" w:rsidR="00491135" w:rsidRDefault="00491135" w:rsidP="5B843AF0">
      <w:pPr>
        <w:ind w:right="237"/>
        <w:jc w:val="center"/>
        <w:rPr>
          <w:b/>
          <w:bCs/>
          <w:sz w:val="24"/>
          <w:szCs w:val="24"/>
        </w:rPr>
      </w:pPr>
    </w:p>
    <w:p w14:paraId="583AAAF4" w14:textId="77777777" w:rsidR="00491135" w:rsidRDefault="00491135" w:rsidP="5B843AF0">
      <w:pPr>
        <w:ind w:right="237"/>
        <w:jc w:val="center"/>
        <w:rPr>
          <w:b/>
          <w:bCs/>
          <w:sz w:val="24"/>
          <w:szCs w:val="24"/>
        </w:rPr>
      </w:pPr>
    </w:p>
    <w:p w14:paraId="3CED4187" w14:textId="77777777" w:rsidR="00491135" w:rsidRDefault="00491135" w:rsidP="5B843AF0">
      <w:pPr>
        <w:ind w:right="237"/>
        <w:jc w:val="center"/>
        <w:rPr>
          <w:b/>
          <w:bCs/>
          <w:sz w:val="24"/>
          <w:szCs w:val="24"/>
        </w:rPr>
      </w:pPr>
    </w:p>
    <w:p w14:paraId="5F13A9E4" w14:textId="77777777" w:rsidR="00491135" w:rsidRDefault="00491135" w:rsidP="5B843AF0">
      <w:pPr>
        <w:ind w:right="237"/>
        <w:jc w:val="center"/>
        <w:rPr>
          <w:b/>
          <w:bCs/>
          <w:sz w:val="24"/>
          <w:szCs w:val="24"/>
        </w:rPr>
      </w:pPr>
    </w:p>
    <w:p w14:paraId="38C8029E" w14:textId="77777777" w:rsidR="00491135" w:rsidRDefault="00491135" w:rsidP="5B843AF0">
      <w:pPr>
        <w:ind w:right="237"/>
        <w:jc w:val="center"/>
        <w:rPr>
          <w:b/>
          <w:bCs/>
          <w:sz w:val="24"/>
          <w:szCs w:val="24"/>
        </w:rPr>
      </w:pPr>
    </w:p>
    <w:p w14:paraId="213BC393" w14:textId="77777777" w:rsidR="00491135" w:rsidRDefault="00491135" w:rsidP="5B843AF0">
      <w:pPr>
        <w:ind w:right="237"/>
        <w:jc w:val="center"/>
        <w:rPr>
          <w:b/>
          <w:bCs/>
          <w:sz w:val="24"/>
          <w:szCs w:val="24"/>
        </w:rPr>
      </w:pPr>
    </w:p>
    <w:p w14:paraId="541721B8" w14:textId="77777777" w:rsidR="00491135" w:rsidRDefault="00491135" w:rsidP="5B843AF0">
      <w:pPr>
        <w:ind w:right="237"/>
        <w:jc w:val="center"/>
        <w:rPr>
          <w:b/>
          <w:bCs/>
          <w:sz w:val="24"/>
          <w:szCs w:val="24"/>
        </w:rPr>
      </w:pPr>
    </w:p>
    <w:p w14:paraId="303EFD70" w14:textId="77777777" w:rsidR="00491135" w:rsidRDefault="00491135" w:rsidP="5B843AF0">
      <w:pPr>
        <w:ind w:right="237"/>
        <w:jc w:val="center"/>
        <w:rPr>
          <w:b/>
          <w:bCs/>
          <w:sz w:val="24"/>
          <w:szCs w:val="24"/>
        </w:rPr>
      </w:pPr>
    </w:p>
    <w:p w14:paraId="7FDE0F55" w14:textId="77777777" w:rsidR="00491135" w:rsidRDefault="00491135" w:rsidP="5B843AF0">
      <w:pPr>
        <w:ind w:right="237"/>
        <w:jc w:val="center"/>
        <w:rPr>
          <w:b/>
          <w:bCs/>
          <w:sz w:val="24"/>
          <w:szCs w:val="24"/>
        </w:rPr>
      </w:pPr>
    </w:p>
    <w:p w14:paraId="6B0989EF" w14:textId="7B8D896D"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3A98888C" w14:textId="77777777" w:rsidR="004771C4" w:rsidRDefault="004771C4" w:rsidP="004771C4">
      <w:pPr>
        <w:ind w:right="237"/>
        <w:jc w:val="both"/>
        <w:rPr>
          <w:color w:val="000000" w:themeColor="text1"/>
          <w:sz w:val="24"/>
          <w:szCs w:val="24"/>
        </w:rPr>
      </w:pPr>
      <w:r>
        <w:rPr>
          <w:color w:val="000000" w:themeColor="text1"/>
          <w:sz w:val="24"/>
          <w:szCs w:val="24"/>
        </w:rPr>
        <w:lastRenderedPageBreak/>
        <w:t xml:space="preserve">Domestic abuse incidents are at the forefront of response policing, existing as highly common occurrences, with the Office for National Statistics (2023) recording as many as 889,918 domestic abuse related crimes throughout England and Wales in the year ending March 2023. These figures have been rising steadily over the last 10 years, as referenced by the Domestic Abuse Commissioner (2023), and, therefore, it has not been uncommon for me to deal with multiple domestic incidents during my shifts. These incidents are often observed to be complex in nature due to a plethora of contributing factors, with these acting as the crux of this essay. When dealing with these particular incidents, each with their own unique challenges and complexities, it is essential to be prepared and aware of the many differing outcomes that can occur. The incident I have selected to discuss within this paper supports this notion, proving to be challenging to confront, whilst showing just how strenuous it can be at times for a response officer. This occurrence interestingly was not first reported as a domestic incident, being initially reported as a missing child case after the child had left the flat by climbing on a chair and unlocking the front door without the mother’s knowledge. The family consisted of a male and female who are married, and two children, with the reported missing child displaying complex needs. Throughout this essay I will discuss in depth each challenge that I faced along with my colleagues when dealing with this family and the domestic incident that occurred, assessing both the strategies I used, and those developed for this situation in order to police effectively. </w:t>
      </w:r>
    </w:p>
    <w:p w14:paraId="08BB36C8" w14:textId="77777777" w:rsidR="004771C4" w:rsidRDefault="004771C4" w:rsidP="004771C4">
      <w:pPr>
        <w:ind w:right="237"/>
        <w:jc w:val="both"/>
        <w:rPr>
          <w:color w:val="000000" w:themeColor="text1"/>
          <w:sz w:val="24"/>
          <w:szCs w:val="24"/>
        </w:rPr>
      </w:pPr>
    </w:p>
    <w:p w14:paraId="11315AEB" w14:textId="77777777" w:rsidR="004771C4" w:rsidRDefault="004771C4" w:rsidP="004771C4">
      <w:pPr>
        <w:ind w:right="237"/>
        <w:jc w:val="both"/>
        <w:rPr>
          <w:color w:val="000000" w:themeColor="text1"/>
          <w:sz w:val="24"/>
          <w:szCs w:val="24"/>
        </w:rPr>
      </w:pPr>
      <w:r>
        <w:rPr>
          <w:color w:val="000000" w:themeColor="text1"/>
          <w:sz w:val="24"/>
          <w:szCs w:val="24"/>
        </w:rPr>
        <w:t xml:space="preserve">The incident began as a missing child investigation, occurring when the child left the family flat to follow the father to the shop. The father however returned without the child leading to the incident being reported to police. Following the child going missing the mother highly emotionally reactive, being found in the street with neighbours crying. The mother did not speak any English; however, the neighbours were able to work out that her distress was due to her child being missing and communicated this to 999 call handlers. Following this, officers were called to attend and in the short time that it took the officers to respond, the child was sighted and found by the father just one street over. Once officers had arrived and spoken with the neighbours, who confirmed that the child was back at his flat with the family, they then went on to speak with the family. Officers initially had no concerns following this visit, as the flat was well kept, and all the family were well presented. Upon leaving the flat however, officers were alerted by their radio that one of the neighbours had previously seen an assault take place by the father on the mother, whereby he pushed her to the ground and stomped on her. This neighbour was not present at the time of officer’s arrival, and none of the other neighbours disclosed this to the officers on scene. Following this report officers returned to the flat to arrest the male on suspicion of domestic related common assault. Once in custody, an interpreter was called to relay the circumstances, as the male spoke very little English. During this, the suspect admitted under caution to kicking his wife, albeit he could not see any issue with this behaviour. Whilst this was occurring, other officers returned to the address with the interpreter to attempt to take a statement from the victim. However, the victim denied any assault taking place and also displayed no injuries. When interviewed the suspect went no comment and was subsequently bailed to a separate address and has since returned to his original address which was reported by social services. The complexities of this incident are found to involve the management of the victim, suspect, witnesses, interpreter, whilst also mitigating the risks surrounding any further incidents. </w:t>
      </w:r>
    </w:p>
    <w:p w14:paraId="2D79AF0E" w14:textId="77777777" w:rsidR="004771C4" w:rsidRDefault="004771C4" w:rsidP="004771C4">
      <w:pPr>
        <w:ind w:right="237"/>
        <w:jc w:val="both"/>
        <w:rPr>
          <w:color w:val="000000" w:themeColor="text1"/>
          <w:sz w:val="24"/>
          <w:szCs w:val="24"/>
        </w:rPr>
      </w:pPr>
      <w:r>
        <w:rPr>
          <w:color w:val="000000" w:themeColor="text1"/>
          <w:sz w:val="24"/>
          <w:szCs w:val="24"/>
        </w:rPr>
        <w:lastRenderedPageBreak/>
        <w:tab/>
      </w:r>
    </w:p>
    <w:p w14:paraId="303D8314" w14:textId="77777777" w:rsidR="004771C4" w:rsidRPr="003E4E9B" w:rsidRDefault="004771C4" w:rsidP="004771C4">
      <w:pPr>
        <w:ind w:right="237"/>
        <w:jc w:val="both"/>
        <w:rPr>
          <w:sz w:val="24"/>
          <w:szCs w:val="24"/>
        </w:rPr>
      </w:pPr>
      <w:r>
        <w:rPr>
          <w:color w:val="000000" w:themeColor="text1"/>
          <w:sz w:val="24"/>
          <w:szCs w:val="24"/>
        </w:rPr>
        <w:t xml:space="preserve">During this investigation I experienced difficulties managing the victim and witness, given both of their complex needs. The victim did not speak any English, with this language barrier causing her to heavily rely on the suspect to carry out everyday tasks. Therefore, the victim was often isolated from other people in the community and only left the house when accompanied by the suspect due to this. As a result, the victim was considered extremely vulnerable, and officers needed to consider this when safeguarding her. Communicating with the victim was difficult throughout the investigation given the language barrier, which meant that an interpreter had to be utilised to gain a full account and a statement. In her statement, the victim denied any assault took place and denied having any injuries, albeit, this was found to be a false statement following the obtainment and viewing of CCTV, which showed that an assault had indeed taken place. This incidence of false reporting can be explained by a number of possible factors, the first being the aforementioned vulnerability aspect of the victim, which can act as a barrier to reporting domestic violence. The victim in this case could have a fear of consequences from the perpetrator, leading to her refusal to disclose what had truly happened. Critical literature has been found to support this notion, with </w:t>
      </w:r>
      <w:r w:rsidRPr="00831EA6">
        <w:rPr>
          <w:sz w:val="24"/>
          <w:szCs w:val="24"/>
        </w:rPr>
        <w:t>Kääriäinen</w:t>
      </w:r>
      <w:r>
        <w:rPr>
          <w:sz w:val="24"/>
          <w:szCs w:val="24"/>
        </w:rPr>
        <w:t xml:space="preserve"> and </w:t>
      </w:r>
      <w:r w:rsidRPr="00CF09CD">
        <w:rPr>
          <w:sz w:val="24"/>
          <w:szCs w:val="24"/>
        </w:rPr>
        <w:t>Sirén</w:t>
      </w:r>
      <w:r>
        <w:rPr>
          <w:sz w:val="24"/>
          <w:szCs w:val="24"/>
        </w:rPr>
        <w:t xml:space="preserve"> (2011) positing that a fear of consequences can be considered as a barrier to reporting domestic violence, a point which I believe is relevant to this particular case. In addition to this, Shaheen et al (2020) considers another barrier to reporting domestic violence, this being dependency on the partner. In the context of this incident the victim was observed to heavily rely on her partner for everyday life, which could have acted as a potent deterrent for the disclosure of any details on violence against her. The victim could not speak any English, had no friends or family in the area, did not have access to her own money, and did not have access to any of her own methods of transport, all of which makes it exceptionally difficult for her to live independently. If she were to disclose details of an assault against her partner, she faces a life where she is isolated and has limited support circles in the community to help her through it. Critical literature stemming from </w:t>
      </w:r>
      <w:r w:rsidRPr="007E43C5">
        <w:rPr>
          <w:sz w:val="24"/>
          <w:szCs w:val="24"/>
        </w:rPr>
        <w:t>Katiti et al (2016), Shanko et al (2013) and Heron et al (2022)</w:t>
      </w:r>
      <w:r>
        <w:rPr>
          <w:sz w:val="24"/>
          <w:szCs w:val="24"/>
        </w:rPr>
        <w:t xml:space="preserve"> all recognise these factors as having the potential act as a disincentive to reporting domestic violence. Throughout the investigation, the victim continually did not wish to provide details of the assault which made the investigation challenging. </w:t>
      </w:r>
    </w:p>
    <w:p w14:paraId="42DA6BAF" w14:textId="77777777" w:rsidR="004771C4" w:rsidRDefault="004771C4" w:rsidP="004771C4">
      <w:pPr>
        <w:ind w:right="237"/>
        <w:jc w:val="both"/>
        <w:rPr>
          <w:color w:val="000000" w:themeColor="text1"/>
          <w:sz w:val="24"/>
          <w:szCs w:val="24"/>
        </w:rPr>
      </w:pPr>
      <w:r>
        <w:rPr>
          <w:color w:val="000000" w:themeColor="text1"/>
          <w:sz w:val="24"/>
          <w:szCs w:val="24"/>
        </w:rPr>
        <w:tab/>
      </w:r>
    </w:p>
    <w:p w14:paraId="5061F51C" w14:textId="77777777" w:rsidR="004771C4" w:rsidRDefault="004771C4" w:rsidP="004771C4">
      <w:pPr>
        <w:ind w:right="237"/>
        <w:jc w:val="both"/>
        <w:rPr>
          <w:color w:val="000000" w:themeColor="text1"/>
          <w:sz w:val="24"/>
          <w:szCs w:val="24"/>
        </w:rPr>
      </w:pPr>
      <w:r>
        <w:rPr>
          <w:color w:val="000000" w:themeColor="text1"/>
          <w:sz w:val="24"/>
          <w:szCs w:val="24"/>
        </w:rPr>
        <w:t xml:space="preserve">Whilst victim management proved to be confronting, suspect management also collated with its own challenges. Similar to the victim, the suspect was also from a foreign country and spoke broken English, providing communicative issues in which an interpreter was also required. Furthermore, the cultural differences between the UK and the suspect’s country of origin also acted as a likely mitigating factor. For example, in comparison to British culture, domestic violence is often more common within the suspect’s country, with women having less rights within society. In extension to this, the way in which domestic violence is defined within the law and society may also differ between the countries. These differences could act as a possible factor into the occurrence of the suspect’s behaviour, as it has been normalised for the suspect through his upbringing, carried through to adulthood. This effect is evidenced through the suspect’s significant comment whilst in custody, saying words to the effect of, “I only gave her a kick, it’s not like I murdered her”. Officers could tell from this comment, coupled with his casual attitude to the allegations laid out to him that he did not think that is actions were wrongful. This </w:t>
      </w:r>
      <w:r>
        <w:rPr>
          <w:color w:val="000000" w:themeColor="text1"/>
          <w:sz w:val="24"/>
          <w:szCs w:val="24"/>
        </w:rPr>
        <w:lastRenderedPageBreak/>
        <w:t xml:space="preserve">also applies to the victim, as it clear that she did not view the suspect’s actions as assault, despite the insurmountable evidence to the contrary. This phenomenon has been supported by surrounding critical literature, with Fernandez (2006) emphasising that cultural differences and attitudes must be considered when discussing domestic violence with victims, especially when related to women. Further evidence stems from Pan et al (2006) who argues that cultural differences and societal norms surrounding domestic violence put immigrant families at greater risk of domestic violence. As police officers, we are independent investigators and are not in charge of educating or punishing people such as the suspect in this case, therefore it can be very challenging when dealing with an individual who is convinced they have not done any wrong. The suspect’s poor understanding became particularly apparent following his bail, as he returned to the address a short time after, breaching his conditions of bail. This showed that he still lacked understanding of the gravity of the allegations, as well as the wrongfulness of his behaviour. Suspect management during bail often involves a delicate balance between their human rights, namely article 5 and 6, a right to liberty and a right to a fair trial (Equality and Human Rights Commission 2018) and the rights of the victim and witnesses is essential, as well as mitigating threat risk and harm. In this case, it proved to be challenging, as conditions were put in place to protect the victim and witnesses and preserve evidence, however the suspect did not abide by these, making it extremely difficult to manage the investigation and the aforementioned rights.  </w:t>
      </w:r>
    </w:p>
    <w:p w14:paraId="59051986" w14:textId="77777777" w:rsidR="004771C4" w:rsidRDefault="004771C4" w:rsidP="004771C4">
      <w:pPr>
        <w:ind w:right="237"/>
        <w:jc w:val="both"/>
        <w:rPr>
          <w:color w:val="000000" w:themeColor="text1"/>
          <w:sz w:val="24"/>
          <w:szCs w:val="24"/>
        </w:rPr>
      </w:pPr>
    </w:p>
    <w:p w14:paraId="33B1082A" w14:textId="77777777" w:rsidR="004771C4" w:rsidRDefault="004771C4" w:rsidP="004771C4">
      <w:pPr>
        <w:ind w:right="237"/>
        <w:jc w:val="both"/>
        <w:rPr>
          <w:color w:val="000000" w:themeColor="text1"/>
          <w:sz w:val="24"/>
          <w:szCs w:val="24"/>
        </w:rPr>
      </w:pPr>
      <w:r>
        <w:rPr>
          <w:color w:val="000000" w:themeColor="text1"/>
          <w:sz w:val="24"/>
          <w:szCs w:val="24"/>
        </w:rPr>
        <w:t xml:space="preserve">An additional obstacle officers often face during domestic violence incidents is gathering independent evidence. Difficulties in proving an offence has happened without independent evidence frequently arise, especially when two or more parties are involved, often resulting in one word against the other. In relation to this case however, it was advantageous to the investigation that the incident occurred outside on the street and in front of numerous witnesses and was also partially captured on CCTV. In this case, it was challenging gathering the CCTV evidence given that the area it occurred in had numerous properties and required a large CCTV trawl which took some time. Officers had to consider how much time was spent gathering the evidence so that it could be put to the suspect in interview, aiming to be proportionate to the level of assault and vulnerabilities. Further challenges arose related to the time of the day the assault occurred, this being in the middle of the afternoon, a time where most people were out at work or did not come to the door making it difficult to gather the evidence. </w:t>
      </w:r>
    </w:p>
    <w:p w14:paraId="29930EF9" w14:textId="77777777" w:rsidR="004771C4" w:rsidRDefault="004771C4" w:rsidP="004771C4">
      <w:pPr>
        <w:ind w:right="237"/>
        <w:jc w:val="both"/>
        <w:rPr>
          <w:color w:val="000000" w:themeColor="text1"/>
          <w:sz w:val="24"/>
          <w:szCs w:val="24"/>
        </w:rPr>
      </w:pPr>
    </w:p>
    <w:p w14:paraId="09B22686" w14:textId="77777777" w:rsidR="004771C4" w:rsidRDefault="004771C4" w:rsidP="004771C4">
      <w:pPr>
        <w:ind w:right="237"/>
        <w:jc w:val="both"/>
        <w:rPr>
          <w:color w:val="000000" w:themeColor="text1"/>
          <w:sz w:val="24"/>
          <w:szCs w:val="24"/>
        </w:rPr>
      </w:pPr>
      <w:r>
        <w:rPr>
          <w:color w:val="000000" w:themeColor="text1"/>
          <w:sz w:val="24"/>
          <w:szCs w:val="24"/>
        </w:rPr>
        <w:t xml:space="preserve">Finally, one additional challenge I faced during the investigation was related to one of the witnesses. When all the evidence was considered, it appeared to be a low-level assault causing minimal injuries. However, one witness did not describe it as such, describing the assault as being a vicious attack where the victim was repeatedly stomped on. This account had many discrepancies when compared to the other witness statements and the CCTV footage, possibly explained by a number of factors. One such factor involves memory and its often fickle nature, with officers having to be aware of this when taking statements as they do not wish to lead the witness into stating something that may be untrue. Supportive evidence of this stems from Glomb et al (2023), arguing that eyewitnesses tend to recall events differently to each other, showing a tendency to recollect the details that proceeded the incident, rather than the criminal act itself. Further evidence of this is provided </w:t>
      </w:r>
      <w:r>
        <w:rPr>
          <w:color w:val="000000" w:themeColor="text1"/>
          <w:sz w:val="24"/>
          <w:szCs w:val="24"/>
        </w:rPr>
        <w:lastRenderedPageBreak/>
        <w:t xml:space="preserve">by Loftus (2019), Gustafsson et al (2022) and Marr et al (2021) recognising how delicate memory can be and how easy it can be to influence someone’s account. </w:t>
      </w:r>
    </w:p>
    <w:p w14:paraId="127CA1C6" w14:textId="77777777" w:rsidR="004771C4" w:rsidRDefault="004771C4" w:rsidP="004771C4">
      <w:pPr>
        <w:ind w:right="237"/>
        <w:jc w:val="both"/>
        <w:rPr>
          <w:color w:val="000000" w:themeColor="text1"/>
          <w:sz w:val="24"/>
          <w:szCs w:val="24"/>
        </w:rPr>
      </w:pPr>
    </w:p>
    <w:p w14:paraId="5256DA28" w14:textId="77777777" w:rsidR="004771C4" w:rsidRPr="00E676F7" w:rsidRDefault="004771C4" w:rsidP="004771C4">
      <w:pPr>
        <w:ind w:right="237"/>
        <w:jc w:val="both"/>
        <w:rPr>
          <w:color w:val="000000" w:themeColor="text1"/>
          <w:sz w:val="24"/>
          <w:szCs w:val="24"/>
        </w:rPr>
      </w:pPr>
      <w:r>
        <w:rPr>
          <w:color w:val="000000" w:themeColor="text1"/>
          <w:sz w:val="24"/>
          <w:szCs w:val="24"/>
        </w:rPr>
        <w:t>In conclusion, there are a number of difficult challenges faced when dealing with incidents, specifically domestic related incidents. These range from challenges that are faced whilst on scene such as taking statements and using interpreters, as well as challenges that arise further down the line, such as proving the incident. A main aim of the officers attending these incidents is to safeguard any victims and mitigate threat risk and harm which at times, such as the incident above, can be very challenging due to several reasons, such as cultural differences, breach of bail, and lack of cooperation from both the suspect and victim.</w:t>
      </w:r>
    </w:p>
    <w:p w14:paraId="68FC1755" w14:textId="77777777" w:rsidR="004771C4" w:rsidRPr="00E676F7" w:rsidRDefault="004771C4" w:rsidP="004771C4">
      <w:pPr>
        <w:ind w:right="237"/>
        <w:jc w:val="both"/>
        <w:rPr>
          <w:color w:val="000000" w:themeColor="text1"/>
          <w:sz w:val="24"/>
          <w:szCs w:val="24"/>
        </w:rPr>
      </w:pPr>
    </w:p>
    <w:p w14:paraId="2A17F9D0" w14:textId="77777777" w:rsidR="004771C4" w:rsidRDefault="004771C4" w:rsidP="004771C4"/>
    <w:p w14:paraId="2E902B8F" w14:textId="04D4B231" w:rsidR="00025650" w:rsidRPr="00E676F7" w:rsidRDefault="00025650" w:rsidP="0FF883D4">
      <w:pPr>
        <w:ind w:right="237"/>
        <w:jc w:val="both"/>
        <w:rPr>
          <w:color w:val="000000" w:themeColor="text1"/>
          <w:sz w:val="24"/>
          <w:szCs w:val="24"/>
        </w:rPr>
      </w:pPr>
    </w:p>
    <w:p w14:paraId="72529F42" w14:textId="42703A88" w:rsidR="00025650" w:rsidRPr="00E676F7" w:rsidRDefault="00491135" w:rsidP="0FF883D4">
      <w:pPr>
        <w:ind w:right="237"/>
        <w:jc w:val="both"/>
        <w:rPr>
          <w:color w:val="000000" w:themeColor="text1"/>
          <w:sz w:val="24"/>
          <w:szCs w:val="24"/>
        </w:rPr>
      </w:pPr>
      <w:r>
        <w:rPr>
          <w:color w:val="000000" w:themeColor="text1"/>
          <w:sz w:val="24"/>
          <w:szCs w:val="24"/>
        </w:rPr>
        <w:t>Word count: 20</w:t>
      </w:r>
      <w:r w:rsidR="004771C4">
        <w:rPr>
          <w:color w:val="000000" w:themeColor="text1"/>
          <w:sz w:val="24"/>
          <w:szCs w:val="24"/>
        </w:rPr>
        <w:t>45</w:t>
      </w:r>
    </w:p>
    <w:p w14:paraId="41381FDB" w14:textId="10AF242D" w:rsidR="00025650" w:rsidRPr="00E676F7" w:rsidRDefault="00025650" w:rsidP="0FF883D4">
      <w:pPr>
        <w:ind w:right="237"/>
        <w:jc w:val="both"/>
        <w:rPr>
          <w:color w:val="000000" w:themeColor="text1"/>
          <w:sz w:val="24"/>
          <w:szCs w:val="24"/>
        </w:rPr>
      </w:pPr>
    </w:p>
    <w:p w14:paraId="2BE8B04B" w14:textId="77777777" w:rsidR="0034274F" w:rsidRDefault="0034274F"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D5E3460" w14:textId="77777777" w:rsidR="00010E99" w:rsidRDefault="00010E99" w:rsidP="00491135">
      <w:pPr>
        <w:overflowPunct/>
        <w:autoSpaceDE/>
        <w:autoSpaceDN/>
        <w:adjustRightInd/>
        <w:textAlignment w:val="auto"/>
        <w:rPr>
          <w:sz w:val="24"/>
          <w:szCs w:val="24"/>
        </w:rPr>
      </w:pPr>
    </w:p>
    <w:p w14:paraId="715EAE3B" w14:textId="0C442578" w:rsidR="00491135" w:rsidRPr="00491135" w:rsidRDefault="00491135" w:rsidP="00491135">
      <w:pPr>
        <w:overflowPunct/>
        <w:autoSpaceDE/>
        <w:autoSpaceDN/>
        <w:adjustRightInd/>
        <w:textAlignment w:val="auto"/>
        <w:rPr>
          <w:rStyle w:val="Hyperlink"/>
          <w:sz w:val="24"/>
          <w:szCs w:val="24"/>
        </w:rPr>
      </w:pPr>
      <w:r w:rsidRPr="00491135">
        <w:rPr>
          <w:sz w:val="24"/>
          <w:szCs w:val="24"/>
        </w:rPr>
        <w:t>Blakeman, I (2011). ‘</w:t>
      </w:r>
      <w:r w:rsidRPr="00491135">
        <w:rPr>
          <w:i/>
          <w:iCs/>
          <w:sz w:val="24"/>
          <w:szCs w:val="24"/>
        </w:rPr>
        <w:t>The Youth Justice System of England and Wales</w:t>
      </w:r>
      <w:r w:rsidRPr="00491135">
        <w:rPr>
          <w:sz w:val="24"/>
          <w:szCs w:val="24"/>
        </w:rPr>
        <w:t xml:space="preserve">.’ </w:t>
      </w:r>
      <w:hyperlink r:id="rId16" w:history="1">
        <w:r w:rsidRPr="00491135">
          <w:rPr>
            <w:rStyle w:val="Hyperlink"/>
            <w:sz w:val="24"/>
            <w:szCs w:val="24"/>
          </w:rPr>
          <w:t>No78_13VE_Blakeman.pdf (unafei.or.jp)</w:t>
        </w:r>
      </w:hyperlink>
    </w:p>
    <w:p w14:paraId="584EFDE6" w14:textId="77777777" w:rsidR="00491135" w:rsidRPr="00491135" w:rsidRDefault="00491135" w:rsidP="00491135">
      <w:pPr>
        <w:ind w:right="237"/>
        <w:jc w:val="both"/>
        <w:rPr>
          <w:rFonts w:eastAsia="Arial"/>
          <w:color w:val="000000" w:themeColor="text1"/>
          <w:sz w:val="24"/>
          <w:szCs w:val="24"/>
        </w:rPr>
      </w:pPr>
    </w:p>
    <w:p w14:paraId="696F531E" w14:textId="77777777" w:rsidR="00491135" w:rsidRPr="00491135" w:rsidRDefault="00491135" w:rsidP="00491135">
      <w:pPr>
        <w:ind w:right="237"/>
        <w:rPr>
          <w:sz w:val="24"/>
          <w:szCs w:val="24"/>
        </w:rPr>
      </w:pPr>
      <w:r w:rsidRPr="00491135">
        <w:rPr>
          <w:sz w:val="24"/>
          <w:szCs w:val="24"/>
        </w:rPr>
        <w:t>Blow, M et al (2020) ‘</w:t>
      </w:r>
      <w:r w:rsidRPr="00491135">
        <w:rPr>
          <w:i/>
          <w:iCs/>
          <w:sz w:val="24"/>
          <w:szCs w:val="24"/>
        </w:rPr>
        <w:t>Adverse childhood experiences and justice system contact: a systematic review’</w:t>
      </w:r>
      <w:r w:rsidRPr="00491135">
        <w:rPr>
          <w:sz w:val="24"/>
          <w:szCs w:val="24"/>
        </w:rPr>
        <w:t xml:space="preserve">.  American Academy of Paediatrics. </w:t>
      </w:r>
      <w:hyperlink r:id="rId17" w:history="1">
        <w:r w:rsidRPr="00491135">
          <w:rPr>
            <w:rStyle w:val="Hyperlink"/>
            <w:sz w:val="24"/>
            <w:szCs w:val="24"/>
          </w:rPr>
          <w:t>Adverse Childhood Experiences and Justice System Contact: A Systematic Review - PubMed (nih.gov)</w:t>
        </w:r>
      </w:hyperlink>
    </w:p>
    <w:p w14:paraId="6ED49BAF" w14:textId="77777777" w:rsidR="00491135" w:rsidRPr="00491135" w:rsidRDefault="00491135" w:rsidP="00491135">
      <w:pPr>
        <w:ind w:right="237"/>
        <w:jc w:val="both"/>
        <w:rPr>
          <w:rFonts w:eastAsia="Arial"/>
          <w:color w:val="000000" w:themeColor="text1"/>
          <w:sz w:val="24"/>
          <w:szCs w:val="24"/>
        </w:rPr>
      </w:pPr>
    </w:p>
    <w:p w14:paraId="6D657717" w14:textId="77777777" w:rsidR="00491135" w:rsidRPr="00491135" w:rsidRDefault="00491135" w:rsidP="00491135">
      <w:pPr>
        <w:ind w:right="237"/>
        <w:jc w:val="both"/>
        <w:rPr>
          <w:rStyle w:val="Hyperlink"/>
          <w:sz w:val="24"/>
          <w:szCs w:val="24"/>
        </w:rPr>
      </w:pPr>
      <w:r w:rsidRPr="00491135">
        <w:rPr>
          <w:sz w:val="24"/>
          <w:szCs w:val="24"/>
        </w:rPr>
        <w:t xml:space="preserve">Centres for Disease Control and Prevention (2023). </w:t>
      </w:r>
      <w:r w:rsidRPr="00491135">
        <w:rPr>
          <w:i/>
          <w:iCs/>
          <w:sz w:val="24"/>
          <w:szCs w:val="24"/>
        </w:rPr>
        <w:t xml:space="preserve">Adverse Childhood Experiences (ACEs). </w:t>
      </w:r>
      <w:hyperlink r:id="rId18" w:history="1">
        <w:r w:rsidRPr="00491135">
          <w:rPr>
            <w:rStyle w:val="Hyperlink"/>
            <w:sz w:val="24"/>
            <w:szCs w:val="24"/>
          </w:rPr>
          <w:t>Adverse Childhood Experiences (ACEs) (cdc.gov)</w:t>
        </w:r>
      </w:hyperlink>
    </w:p>
    <w:p w14:paraId="6896AA8F" w14:textId="77777777" w:rsidR="00491135" w:rsidRPr="00491135" w:rsidRDefault="00491135" w:rsidP="00491135">
      <w:pPr>
        <w:ind w:right="237"/>
        <w:jc w:val="both"/>
        <w:rPr>
          <w:rStyle w:val="Hyperlink"/>
          <w:sz w:val="24"/>
          <w:szCs w:val="24"/>
        </w:rPr>
      </w:pPr>
    </w:p>
    <w:p w14:paraId="771A1DDE" w14:textId="77777777" w:rsidR="00491135" w:rsidRPr="00491135" w:rsidRDefault="00491135" w:rsidP="00491135">
      <w:pPr>
        <w:ind w:right="237"/>
        <w:rPr>
          <w:sz w:val="24"/>
          <w:szCs w:val="24"/>
        </w:rPr>
      </w:pPr>
      <w:r w:rsidRPr="00491135">
        <w:rPr>
          <w:sz w:val="24"/>
          <w:szCs w:val="24"/>
        </w:rPr>
        <w:t xml:space="preserve">Chainey, S and da Silva, B (2016). ‘Examining the extent of repeat and near repeated victimisation of domestic burglaries in Belo Horizonte, Brazil’. </w:t>
      </w:r>
      <w:r w:rsidRPr="00491135">
        <w:rPr>
          <w:i/>
          <w:iCs/>
          <w:sz w:val="24"/>
          <w:szCs w:val="24"/>
        </w:rPr>
        <w:t xml:space="preserve">Crime Sci. 5(1). </w:t>
      </w:r>
      <w:r w:rsidRPr="00491135">
        <w:rPr>
          <w:sz w:val="24"/>
          <w:szCs w:val="24"/>
        </w:rPr>
        <w:t xml:space="preserve"> </w:t>
      </w:r>
      <w:hyperlink r:id="rId19" w:anchor="citeas" w:history="1">
        <w:r w:rsidRPr="00491135">
          <w:rPr>
            <w:rStyle w:val="Hyperlink"/>
            <w:sz w:val="24"/>
            <w:szCs w:val="24"/>
          </w:rPr>
          <w:t>Examining the extent of repeat and near repeat victimisation of domestic burglaries in Belo Horizonte, Brazil | Crime Science | Full Text (biomedcentral.com)</w:t>
        </w:r>
      </w:hyperlink>
    </w:p>
    <w:p w14:paraId="3FF8B965" w14:textId="77777777" w:rsidR="00491135" w:rsidRPr="00491135" w:rsidRDefault="00491135" w:rsidP="00491135">
      <w:pPr>
        <w:ind w:right="237"/>
        <w:jc w:val="both"/>
        <w:rPr>
          <w:rFonts w:eastAsia="Arial"/>
          <w:color w:val="000000" w:themeColor="text1"/>
          <w:sz w:val="24"/>
          <w:szCs w:val="24"/>
        </w:rPr>
      </w:pPr>
    </w:p>
    <w:p w14:paraId="43ED3953" w14:textId="77777777" w:rsidR="00491135" w:rsidRPr="00491135" w:rsidRDefault="00491135" w:rsidP="00491135">
      <w:pPr>
        <w:ind w:right="237"/>
        <w:rPr>
          <w:rStyle w:val="Hyperlink"/>
          <w:sz w:val="24"/>
          <w:szCs w:val="24"/>
        </w:rPr>
      </w:pPr>
      <w:r w:rsidRPr="00491135">
        <w:rPr>
          <w:sz w:val="24"/>
          <w:szCs w:val="24"/>
        </w:rPr>
        <w:t xml:space="preserve">College of Policing (2016). People and places – how resources can be targeted. </w:t>
      </w:r>
      <w:hyperlink r:id="rId20" w:history="1">
        <w:r w:rsidRPr="00491135">
          <w:rPr>
            <w:rStyle w:val="Hyperlink"/>
            <w:sz w:val="24"/>
            <w:szCs w:val="24"/>
          </w:rPr>
          <w:t>People and places – how resources can be targeted | College of Policing</w:t>
        </w:r>
      </w:hyperlink>
    </w:p>
    <w:p w14:paraId="7EBCF2A0" w14:textId="77777777" w:rsidR="00491135" w:rsidRDefault="00491135" w:rsidP="00491135">
      <w:pPr>
        <w:ind w:right="237"/>
        <w:rPr>
          <w:rStyle w:val="Hyperlink"/>
          <w:sz w:val="24"/>
          <w:szCs w:val="24"/>
        </w:rPr>
      </w:pPr>
    </w:p>
    <w:p w14:paraId="3EAE0D02" w14:textId="77777777" w:rsidR="006C6885" w:rsidRPr="006C6885" w:rsidRDefault="006C6885" w:rsidP="006C6885">
      <w:pPr>
        <w:ind w:right="237"/>
        <w:jc w:val="both"/>
        <w:rPr>
          <w:i/>
          <w:iCs/>
          <w:color w:val="000000" w:themeColor="text1"/>
          <w:sz w:val="24"/>
          <w:szCs w:val="24"/>
        </w:rPr>
      </w:pPr>
      <w:r>
        <w:rPr>
          <w:color w:val="000000" w:themeColor="text1"/>
          <w:sz w:val="24"/>
          <w:szCs w:val="24"/>
        </w:rPr>
        <w:t>Domestic Abuse Commissioner (2023). ‘</w:t>
      </w:r>
      <w:r>
        <w:rPr>
          <w:i/>
          <w:iCs/>
          <w:color w:val="000000" w:themeColor="text1"/>
          <w:sz w:val="24"/>
          <w:szCs w:val="24"/>
        </w:rPr>
        <w:t xml:space="preserve">Domestic Abuse Commissioner responds to latest domestic abuse crime statistics’. </w:t>
      </w:r>
    </w:p>
    <w:p w14:paraId="3635EDE1" w14:textId="77777777" w:rsidR="006C6885" w:rsidRDefault="004771C4" w:rsidP="006C6885">
      <w:pPr>
        <w:ind w:right="237"/>
        <w:jc w:val="both"/>
        <w:rPr>
          <w:color w:val="000000" w:themeColor="text1"/>
          <w:sz w:val="24"/>
          <w:szCs w:val="24"/>
        </w:rPr>
      </w:pPr>
      <w:hyperlink r:id="rId21" w:anchor=":~:text=Police%20recorded%20data%20suggests%20that,domestic%20abuse%20are%20getting%20worse" w:history="1">
        <w:r w:rsidR="006C6885" w:rsidRPr="00C8195C">
          <w:rPr>
            <w:rStyle w:val="Hyperlink"/>
            <w:sz w:val="24"/>
            <w:szCs w:val="24"/>
          </w:rPr>
          <w:t>https://domesticabusecommissioner.uk/domestic-abuse-commissioner-responds-to-latest-criminal-justice-statistics/#:~:text=Police%20recorded%20data%20suggests%20that,domestic%20abuse%20are%20getting%20worse</w:t>
        </w:r>
      </w:hyperlink>
      <w:r w:rsidR="006C6885" w:rsidRPr="00A3179A">
        <w:rPr>
          <w:color w:val="000000" w:themeColor="text1"/>
          <w:sz w:val="24"/>
          <w:szCs w:val="24"/>
        </w:rPr>
        <w:t>.</w:t>
      </w:r>
    </w:p>
    <w:p w14:paraId="61636F34" w14:textId="77777777" w:rsidR="006C6885" w:rsidRDefault="006C6885" w:rsidP="00491135">
      <w:pPr>
        <w:ind w:right="237"/>
        <w:rPr>
          <w:rStyle w:val="Hyperlink"/>
          <w:sz w:val="24"/>
          <w:szCs w:val="24"/>
        </w:rPr>
      </w:pPr>
    </w:p>
    <w:p w14:paraId="5585902C" w14:textId="77777777" w:rsidR="006C6885" w:rsidRPr="006C6885" w:rsidRDefault="006C6885" w:rsidP="006C6885">
      <w:pPr>
        <w:ind w:right="237"/>
        <w:jc w:val="both"/>
        <w:rPr>
          <w:i/>
          <w:iCs/>
          <w:color w:val="000000" w:themeColor="text1"/>
          <w:sz w:val="24"/>
          <w:szCs w:val="24"/>
        </w:rPr>
      </w:pPr>
      <w:r>
        <w:rPr>
          <w:color w:val="000000" w:themeColor="text1"/>
          <w:sz w:val="24"/>
          <w:szCs w:val="24"/>
        </w:rPr>
        <w:t xml:space="preserve">Equality and Human Rights Commission (2018). </w:t>
      </w:r>
      <w:r>
        <w:rPr>
          <w:i/>
          <w:iCs/>
          <w:color w:val="000000" w:themeColor="text1"/>
          <w:sz w:val="24"/>
          <w:szCs w:val="24"/>
        </w:rPr>
        <w:t xml:space="preserve">‘The Human rights Act’. </w:t>
      </w:r>
    </w:p>
    <w:p w14:paraId="7FF8CD82" w14:textId="77777777" w:rsidR="006C6885" w:rsidRDefault="004771C4" w:rsidP="006C6885">
      <w:pPr>
        <w:ind w:right="237"/>
        <w:jc w:val="both"/>
        <w:rPr>
          <w:color w:val="000000" w:themeColor="text1"/>
          <w:sz w:val="24"/>
          <w:szCs w:val="24"/>
        </w:rPr>
      </w:pPr>
      <w:hyperlink r:id="rId22" w:history="1">
        <w:r w:rsidR="006C6885" w:rsidRPr="00C8195C">
          <w:rPr>
            <w:rStyle w:val="Hyperlink"/>
            <w:sz w:val="24"/>
            <w:szCs w:val="24"/>
          </w:rPr>
          <w:t>https://www.equalityhumanrights.com/human-rights/human-rights-act</w:t>
        </w:r>
      </w:hyperlink>
    </w:p>
    <w:p w14:paraId="610D47BA" w14:textId="77777777" w:rsidR="006C6885" w:rsidRPr="00491135" w:rsidRDefault="006C6885" w:rsidP="00491135">
      <w:pPr>
        <w:ind w:right="237"/>
        <w:rPr>
          <w:rStyle w:val="Hyperlink"/>
          <w:sz w:val="24"/>
          <w:szCs w:val="24"/>
        </w:rPr>
      </w:pPr>
    </w:p>
    <w:p w14:paraId="31B4DD49" w14:textId="77777777" w:rsidR="00491135" w:rsidRPr="00491135" w:rsidRDefault="00491135" w:rsidP="00491135">
      <w:pPr>
        <w:ind w:right="237"/>
        <w:rPr>
          <w:rStyle w:val="Hyperlink"/>
          <w:sz w:val="24"/>
          <w:szCs w:val="24"/>
        </w:rPr>
      </w:pPr>
      <w:r w:rsidRPr="00491135">
        <w:rPr>
          <w:sz w:val="24"/>
          <w:szCs w:val="24"/>
        </w:rPr>
        <w:t xml:space="preserve">Farell (2013). </w:t>
      </w:r>
      <w:r w:rsidRPr="00491135">
        <w:rPr>
          <w:i/>
          <w:iCs/>
          <w:sz w:val="24"/>
          <w:szCs w:val="24"/>
        </w:rPr>
        <w:t xml:space="preserve">‘Progress and prospects in the prevention of repeat victimisation’. </w:t>
      </w:r>
      <w:r w:rsidRPr="00491135">
        <w:rPr>
          <w:sz w:val="24"/>
          <w:szCs w:val="24"/>
        </w:rPr>
        <w:t xml:space="preserve">Handbook of Crime Prevention and Community Safety. </w:t>
      </w:r>
      <w:hyperlink r:id="rId23" w:history="1">
        <w:r w:rsidRPr="00491135">
          <w:rPr>
            <w:rStyle w:val="Hyperlink"/>
            <w:sz w:val="24"/>
            <w:szCs w:val="24"/>
          </w:rPr>
          <w:t>(12)Chapter 6.indd (researchgate.net)</w:t>
        </w:r>
      </w:hyperlink>
    </w:p>
    <w:p w14:paraId="029A086C" w14:textId="77777777" w:rsidR="00491135" w:rsidRPr="00491135" w:rsidRDefault="00491135" w:rsidP="00491135">
      <w:pPr>
        <w:ind w:right="237"/>
        <w:rPr>
          <w:rStyle w:val="Hyperlink"/>
          <w:sz w:val="24"/>
          <w:szCs w:val="24"/>
        </w:rPr>
      </w:pPr>
    </w:p>
    <w:p w14:paraId="6A41D4F9" w14:textId="77777777" w:rsidR="00491135" w:rsidRPr="00491135" w:rsidRDefault="00491135" w:rsidP="00491135">
      <w:pPr>
        <w:ind w:right="237"/>
        <w:rPr>
          <w:rFonts w:eastAsia="Arial"/>
          <w:color w:val="000000" w:themeColor="text1"/>
          <w:sz w:val="24"/>
          <w:szCs w:val="24"/>
        </w:rPr>
      </w:pPr>
      <w:r w:rsidRPr="00491135">
        <w:rPr>
          <w:rFonts w:eastAsia="Arial"/>
          <w:color w:val="000000" w:themeColor="text1"/>
          <w:sz w:val="24"/>
          <w:szCs w:val="24"/>
        </w:rPr>
        <w:t xml:space="preserve">Farrington, D.P., Ttofi, M.M. and Piquero, A.R. (2016) ‘Risk, promotive, and protective factors in youth offending: Results from the Cambridge study in delinquent development’, </w:t>
      </w:r>
      <w:r w:rsidRPr="00491135">
        <w:rPr>
          <w:rFonts w:eastAsia="Arial"/>
          <w:i/>
          <w:iCs/>
          <w:color w:val="000000" w:themeColor="text1"/>
          <w:sz w:val="24"/>
          <w:szCs w:val="24"/>
        </w:rPr>
        <w:t>Journal of criminal justice</w:t>
      </w:r>
      <w:r w:rsidRPr="00491135">
        <w:rPr>
          <w:rFonts w:eastAsia="Arial"/>
          <w:color w:val="000000" w:themeColor="text1"/>
          <w:sz w:val="24"/>
          <w:szCs w:val="24"/>
        </w:rPr>
        <w:t xml:space="preserve">, 45, pp. 63–70. Available at: </w:t>
      </w:r>
      <w:hyperlink r:id="rId24" w:history="1">
        <w:r w:rsidRPr="00491135">
          <w:rPr>
            <w:rStyle w:val="Hyperlink"/>
            <w:rFonts w:eastAsia="Arial"/>
            <w:sz w:val="24"/>
            <w:szCs w:val="24"/>
          </w:rPr>
          <w:t>https://doi.org/10.1016/j.jcrimjus.2016.02.014</w:t>
        </w:r>
      </w:hyperlink>
      <w:r w:rsidRPr="00491135">
        <w:rPr>
          <w:rFonts w:eastAsia="Arial"/>
          <w:color w:val="000000" w:themeColor="text1"/>
          <w:sz w:val="24"/>
          <w:szCs w:val="24"/>
        </w:rPr>
        <w:t>.</w:t>
      </w:r>
    </w:p>
    <w:p w14:paraId="7A944812" w14:textId="77777777" w:rsidR="00491135" w:rsidRDefault="00491135" w:rsidP="00491135">
      <w:pPr>
        <w:ind w:right="237"/>
        <w:rPr>
          <w:rFonts w:eastAsia="Arial"/>
          <w:color w:val="000000" w:themeColor="text1"/>
          <w:sz w:val="24"/>
          <w:szCs w:val="24"/>
        </w:rPr>
      </w:pPr>
    </w:p>
    <w:p w14:paraId="14A99795" w14:textId="77777777" w:rsidR="006C6885" w:rsidRPr="006C6885" w:rsidRDefault="006C6885" w:rsidP="006C6885">
      <w:pPr>
        <w:ind w:right="237"/>
        <w:jc w:val="both"/>
        <w:rPr>
          <w:color w:val="000000" w:themeColor="text1"/>
          <w:sz w:val="24"/>
          <w:szCs w:val="24"/>
        </w:rPr>
      </w:pPr>
      <w:r>
        <w:rPr>
          <w:color w:val="000000" w:themeColor="text1"/>
          <w:sz w:val="24"/>
          <w:szCs w:val="24"/>
        </w:rPr>
        <w:t xml:space="preserve">Fernandez, M (2006). ‘Cultural Beliefs and Domestic Violence’. </w:t>
      </w:r>
      <w:r>
        <w:rPr>
          <w:i/>
          <w:iCs/>
          <w:color w:val="000000" w:themeColor="text1"/>
          <w:sz w:val="24"/>
          <w:szCs w:val="24"/>
        </w:rPr>
        <w:t xml:space="preserve">Violence and Exploitation Against Women and Girls. </w:t>
      </w:r>
      <w:r>
        <w:rPr>
          <w:color w:val="000000" w:themeColor="text1"/>
          <w:sz w:val="24"/>
          <w:szCs w:val="24"/>
        </w:rPr>
        <w:t xml:space="preserve">1087 (1). Pp. 250-260. </w:t>
      </w:r>
    </w:p>
    <w:p w14:paraId="4928DF9B" w14:textId="77777777" w:rsidR="006C6885" w:rsidRDefault="004771C4" w:rsidP="006C6885">
      <w:pPr>
        <w:ind w:right="237"/>
        <w:jc w:val="both"/>
        <w:rPr>
          <w:color w:val="000000" w:themeColor="text1"/>
          <w:sz w:val="24"/>
          <w:szCs w:val="24"/>
        </w:rPr>
      </w:pPr>
      <w:hyperlink r:id="rId25" w:history="1">
        <w:r w:rsidR="006C6885" w:rsidRPr="00C8195C">
          <w:rPr>
            <w:rStyle w:val="Hyperlink"/>
            <w:sz w:val="24"/>
            <w:szCs w:val="24"/>
          </w:rPr>
          <w:t>https://nyaspubs.onlinelibrary.wiley.com/doi/full/10.1196/annals.1385.005?saml_referrer</w:t>
        </w:r>
      </w:hyperlink>
    </w:p>
    <w:p w14:paraId="70E4CD6C" w14:textId="77777777" w:rsidR="006C6885" w:rsidRDefault="006C6885" w:rsidP="00491135">
      <w:pPr>
        <w:ind w:right="237"/>
        <w:rPr>
          <w:rFonts w:eastAsia="Arial"/>
          <w:color w:val="000000" w:themeColor="text1"/>
          <w:sz w:val="24"/>
          <w:szCs w:val="24"/>
        </w:rPr>
      </w:pPr>
    </w:p>
    <w:p w14:paraId="3356DAB5" w14:textId="77777777" w:rsidR="00010E99" w:rsidRDefault="00010E99" w:rsidP="00010E99">
      <w:pPr>
        <w:ind w:right="237"/>
        <w:jc w:val="both"/>
        <w:rPr>
          <w:color w:val="000000" w:themeColor="text1"/>
          <w:sz w:val="24"/>
          <w:szCs w:val="24"/>
        </w:rPr>
      </w:pPr>
      <w:r w:rsidRPr="007002C9">
        <w:rPr>
          <w:color w:val="000000" w:themeColor="text1"/>
          <w:sz w:val="24"/>
          <w:szCs w:val="24"/>
        </w:rPr>
        <w:t>Glomb,</w:t>
      </w:r>
      <w:r>
        <w:rPr>
          <w:color w:val="000000" w:themeColor="text1"/>
          <w:sz w:val="24"/>
          <w:szCs w:val="24"/>
        </w:rPr>
        <w:t xml:space="preserve"> K</w:t>
      </w:r>
      <w:r w:rsidRPr="007002C9">
        <w:rPr>
          <w:color w:val="000000" w:themeColor="text1"/>
          <w:sz w:val="24"/>
          <w:szCs w:val="24"/>
        </w:rPr>
        <w:t xml:space="preserve"> </w:t>
      </w:r>
      <w:r>
        <w:rPr>
          <w:color w:val="000000" w:themeColor="text1"/>
          <w:sz w:val="24"/>
          <w:szCs w:val="24"/>
        </w:rPr>
        <w:t>(</w:t>
      </w:r>
      <w:r w:rsidRPr="007002C9">
        <w:rPr>
          <w:color w:val="000000" w:themeColor="text1"/>
          <w:sz w:val="24"/>
          <w:szCs w:val="24"/>
        </w:rPr>
        <w:t>2023</w:t>
      </w:r>
      <w:r>
        <w:rPr>
          <w:color w:val="000000" w:themeColor="text1"/>
          <w:sz w:val="24"/>
          <w:szCs w:val="24"/>
        </w:rPr>
        <w:t>)</w:t>
      </w:r>
      <w:r w:rsidRPr="007002C9">
        <w:rPr>
          <w:color w:val="000000" w:themeColor="text1"/>
          <w:sz w:val="24"/>
          <w:szCs w:val="24"/>
        </w:rPr>
        <w:t xml:space="preserve">. </w:t>
      </w:r>
      <w:r>
        <w:rPr>
          <w:color w:val="000000" w:themeColor="text1"/>
          <w:sz w:val="24"/>
          <w:szCs w:val="24"/>
        </w:rPr>
        <w:t>‘</w:t>
      </w:r>
      <w:r w:rsidRPr="00010E99">
        <w:rPr>
          <w:i/>
          <w:iCs/>
          <w:color w:val="000000" w:themeColor="text1"/>
          <w:sz w:val="24"/>
          <w:szCs w:val="24"/>
        </w:rPr>
        <w:t>How Emotions Shape Memory of Criminal Events: The Moderating Effect of Individual Differences in Emotionality on Eyewitness Testimony’</w:t>
      </w:r>
      <w:r w:rsidRPr="007002C9">
        <w:rPr>
          <w:color w:val="000000" w:themeColor="text1"/>
          <w:sz w:val="24"/>
          <w:szCs w:val="24"/>
        </w:rPr>
        <w:t>.</w:t>
      </w:r>
      <w:r>
        <w:rPr>
          <w:color w:val="000000" w:themeColor="text1"/>
          <w:sz w:val="24"/>
          <w:szCs w:val="24"/>
        </w:rPr>
        <w:t xml:space="preserve"> </w:t>
      </w:r>
    </w:p>
    <w:p w14:paraId="261113C5" w14:textId="77777777" w:rsidR="00010E99" w:rsidRDefault="004771C4" w:rsidP="00010E99">
      <w:pPr>
        <w:ind w:right="237"/>
        <w:jc w:val="both"/>
      </w:pPr>
      <w:hyperlink r:id="rId26" w:history="1">
        <w:r w:rsidR="00010E99">
          <w:rPr>
            <w:rStyle w:val="Hyperlink"/>
          </w:rPr>
          <w:t>PsyArXiv Preprints | How Emotions Shape Memory of Criminal Events: The Moderating Effect of Individual Differences in Emotionality on Eyewitness Testimony (osf.io)</w:t>
        </w:r>
      </w:hyperlink>
    </w:p>
    <w:p w14:paraId="2972C75C" w14:textId="77777777" w:rsidR="00010E99" w:rsidRPr="00491135" w:rsidRDefault="00010E99" w:rsidP="00491135">
      <w:pPr>
        <w:ind w:right="237"/>
        <w:rPr>
          <w:rFonts w:eastAsia="Arial"/>
          <w:color w:val="000000" w:themeColor="text1"/>
          <w:sz w:val="24"/>
          <w:szCs w:val="24"/>
        </w:rPr>
      </w:pPr>
    </w:p>
    <w:p w14:paraId="259DD5CC" w14:textId="77777777" w:rsidR="00491135" w:rsidRPr="00491135" w:rsidRDefault="00491135" w:rsidP="00491135">
      <w:pPr>
        <w:ind w:right="237"/>
        <w:rPr>
          <w:rFonts w:eastAsia="Arial"/>
          <w:color w:val="000000" w:themeColor="text1"/>
          <w:sz w:val="24"/>
          <w:szCs w:val="24"/>
        </w:rPr>
      </w:pPr>
      <w:r w:rsidRPr="00491135">
        <w:rPr>
          <w:rFonts w:eastAsia="Arial"/>
          <w:color w:val="000000" w:themeColor="text1"/>
          <w:sz w:val="24"/>
          <w:szCs w:val="24"/>
        </w:rPr>
        <w:t>Gray, P. (2016) ‘“Child friendly” international human rights standards and youth offending team partnerships’</w:t>
      </w:r>
      <w:r w:rsidRPr="00491135">
        <w:rPr>
          <w:rFonts w:eastAsia="Arial"/>
          <w:i/>
          <w:iCs/>
          <w:color w:val="000000" w:themeColor="text1"/>
          <w:sz w:val="24"/>
          <w:szCs w:val="24"/>
        </w:rPr>
        <w:t>, International journal of law, crime and justice</w:t>
      </w:r>
      <w:r w:rsidRPr="00491135">
        <w:rPr>
          <w:rFonts w:eastAsia="Arial"/>
          <w:color w:val="000000" w:themeColor="text1"/>
          <w:sz w:val="24"/>
          <w:szCs w:val="24"/>
        </w:rPr>
        <w:t xml:space="preserve">, 45, pp. 59–74. Available at: </w:t>
      </w:r>
      <w:hyperlink r:id="rId27" w:history="1">
        <w:r w:rsidRPr="00491135">
          <w:rPr>
            <w:rStyle w:val="Hyperlink"/>
            <w:rFonts w:eastAsia="Arial"/>
            <w:sz w:val="24"/>
            <w:szCs w:val="24"/>
          </w:rPr>
          <w:t>https://doi.org/10.1016/j.ijlcj.2015.11.001</w:t>
        </w:r>
      </w:hyperlink>
      <w:r w:rsidRPr="00491135">
        <w:rPr>
          <w:rFonts w:eastAsia="Arial"/>
          <w:color w:val="000000" w:themeColor="text1"/>
          <w:sz w:val="24"/>
          <w:szCs w:val="24"/>
        </w:rPr>
        <w:t>.</w:t>
      </w:r>
    </w:p>
    <w:p w14:paraId="331FC54F" w14:textId="77777777" w:rsidR="00491135" w:rsidRPr="00491135" w:rsidRDefault="00491135" w:rsidP="00491135">
      <w:pPr>
        <w:ind w:right="237"/>
        <w:jc w:val="both"/>
        <w:rPr>
          <w:rFonts w:eastAsia="Arial"/>
          <w:color w:val="000000" w:themeColor="text1"/>
          <w:sz w:val="24"/>
          <w:szCs w:val="24"/>
        </w:rPr>
      </w:pPr>
    </w:p>
    <w:p w14:paraId="64E12523" w14:textId="77777777" w:rsidR="00491135" w:rsidRPr="00491135" w:rsidRDefault="00491135" w:rsidP="00491135">
      <w:pPr>
        <w:ind w:right="237"/>
        <w:rPr>
          <w:sz w:val="24"/>
          <w:szCs w:val="24"/>
        </w:rPr>
      </w:pPr>
      <w:r w:rsidRPr="00491135">
        <w:rPr>
          <w:sz w:val="24"/>
          <w:szCs w:val="24"/>
        </w:rPr>
        <w:t xml:space="preserve">Grove et al (2012). </w:t>
      </w:r>
      <w:r w:rsidRPr="00491135">
        <w:rPr>
          <w:i/>
          <w:iCs/>
          <w:sz w:val="24"/>
          <w:szCs w:val="24"/>
        </w:rPr>
        <w:t>‘Preventing Repeat Victimisation: A Systematic Review’</w:t>
      </w:r>
      <w:r w:rsidRPr="00491135">
        <w:rPr>
          <w:sz w:val="24"/>
          <w:szCs w:val="24"/>
        </w:rPr>
        <w:t xml:space="preserve"> National Council for Crime Prevention. </w:t>
      </w:r>
      <w:hyperlink r:id="rId28" w:history="1">
        <w:r w:rsidRPr="00491135">
          <w:rPr>
            <w:rStyle w:val="Hyperlink"/>
            <w:sz w:val="24"/>
            <w:szCs w:val="24"/>
          </w:rPr>
          <w:t>Förord (whiterose.ac.uk)</w:t>
        </w:r>
      </w:hyperlink>
    </w:p>
    <w:p w14:paraId="2C5AADD2" w14:textId="77777777" w:rsidR="00491135" w:rsidRDefault="00491135" w:rsidP="00491135">
      <w:pPr>
        <w:ind w:right="237"/>
        <w:jc w:val="both"/>
        <w:rPr>
          <w:rFonts w:eastAsia="Arial"/>
          <w:color w:val="000000" w:themeColor="text1"/>
          <w:sz w:val="24"/>
          <w:szCs w:val="24"/>
        </w:rPr>
      </w:pPr>
    </w:p>
    <w:p w14:paraId="331E94C9" w14:textId="77777777" w:rsidR="00010E99" w:rsidRDefault="00010E99" w:rsidP="00010E99">
      <w:pPr>
        <w:ind w:right="237"/>
        <w:jc w:val="both"/>
        <w:rPr>
          <w:color w:val="000000" w:themeColor="text1"/>
          <w:sz w:val="24"/>
          <w:szCs w:val="24"/>
        </w:rPr>
      </w:pPr>
      <w:r w:rsidRPr="0034274F">
        <w:rPr>
          <w:color w:val="000000" w:themeColor="text1"/>
          <w:sz w:val="24"/>
          <w:szCs w:val="24"/>
        </w:rPr>
        <w:t xml:space="preserve">Gustafsson, P. U., Lindholm, T., &amp; Jönsson, F. U. (2022). </w:t>
      </w:r>
      <w:r>
        <w:rPr>
          <w:color w:val="000000" w:themeColor="text1"/>
          <w:sz w:val="24"/>
          <w:szCs w:val="24"/>
        </w:rPr>
        <w:t>‘</w:t>
      </w:r>
      <w:r w:rsidRPr="0034274F">
        <w:rPr>
          <w:color w:val="000000" w:themeColor="text1"/>
          <w:sz w:val="24"/>
          <w:szCs w:val="24"/>
        </w:rPr>
        <w:t>Eyewitness accuracy and retrieval effort: Effects of time and repetition</w:t>
      </w:r>
      <w:r>
        <w:rPr>
          <w:color w:val="000000" w:themeColor="text1"/>
          <w:sz w:val="24"/>
          <w:szCs w:val="24"/>
        </w:rPr>
        <w:t>’</w:t>
      </w:r>
      <w:r w:rsidRPr="0034274F">
        <w:rPr>
          <w:color w:val="000000" w:themeColor="text1"/>
          <w:sz w:val="24"/>
          <w:szCs w:val="24"/>
        </w:rPr>
        <w:t xml:space="preserve">. </w:t>
      </w:r>
      <w:r w:rsidRPr="00010E99">
        <w:rPr>
          <w:i/>
          <w:iCs/>
          <w:color w:val="000000" w:themeColor="text1"/>
          <w:sz w:val="24"/>
          <w:szCs w:val="24"/>
        </w:rPr>
        <w:t>PloS One</w:t>
      </w:r>
      <w:r w:rsidRPr="0034274F">
        <w:rPr>
          <w:color w:val="000000" w:themeColor="text1"/>
          <w:sz w:val="24"/>
          <w:szCs w:val="24"/>
        </w:rPr>
        <w:t>, 17(9)</w:t>
      </w:r>
    </w:p>
    <w:p w14:paraId="373EB7B0" w14:textId="77777777" w:rsidR="00010E99" w:rsidRDefault="00010E99" w:rsidP="00010E99">
      <w:pPr>
        <w:ind w:right="237"/>
        <w:jc w:val="both"/>
        <w:rPr>
          <w:color w:val="000000" w:themeColor="text1"/>
          <w:sz w:val="24"/>
          <w:szCs w:val="24"/>
        </w:rPr>
      </w:pPr>
      <w:r w:rsidRPr="0034274F">
        <w:rPr>
          <w:color w:val="000000" w:themeColor="text1"/>
          <w:sz w:val="24"/>
          <w:szCs w:val="24"/>
        </w:rPr>
        <w:t xml:space="preserve">. </w:t>
      </w:r>
      <w:hyperlink r:id="rId29" w:history="1">
        <w:r w:rsidRPr="00C8195C">
          <w:rPr>
            <w:rStyle w:val="Hyperlink"/>
            <w:sz w:val="24"/>
            <w:szCs w:val="24"/>
          </w:rPr>
          <w:t>https://doi.org/10.1371/journal.pone.0273455</w:t>
        </w:r>
      </w:hyperlink>
    </w:p>
    <w:p w14:paraId="1A9A78F2" w14:textId="77777777" w:rsidR="00010E99" w:rsidRPr="00491135" w:rsidRDefault="00010E99" w:rsidP="00491135">
      <w:pPr>
        <w:ind w:right="237"/>
        <w:jc w:val="both"/>
        <w:rPr>
          <w:rFonts w:eastAsia="Arial"/>
          <w:color w:val="000000" w:themeColor="text1"/>
          <w:sz w:val="24"/>
          <w:szCs w:val="24"/>
        </w:rPr>
      </w:pPr>
    </w:p>
    <w:p w14:paraId="2DCB1FAA" w14:textId="77777777" w:rsidR="00491135" w:rsidRPr="00491135" w:rsidRDefault="00491135" w:rsidP="00491135">
      <w:pPr>
        <w:ind w:right="237"/>
        <w:rPr>
          <w:sz w:val="24"/>
          <w:szCs w:val="24"/>
        </w:rPr>
      </w:pPr>
      <w:r w:rsidRPr="00491135">
        <w:rPr>
          <w:rFonts w:eastAsia="Arial"/>
          <w:color w:val="000000" w:themeColor="text1"/>
          <w:sz w:val="24"/>
          <w:szCs w:val="24"/>
        </w:rPr>
        <w:t>Hays-Grudo, J. and Morris, A.S. (2020) ‘</w:t>
      </w:r>
      <w:r w:rsidRPr="00491135">
        <w:rPr>
          <w:rFonts w:eastAsia="Arial"/>
          <w:i/>
          <w:iCs/>
          <w:color w:val="000000" w:themeColor="text1"/>
          <w:sz w:val="24"/>
          <w:szCs w:val="24"/>
        </w:rPr>
        <w:t>Adverse and protective childhood experiences: a developmental perspective</w:t>
      </w:r>
      <w:r w:rsidRPr="00491135">
        <w:rPr>
          <w:rFonts w:eastAsia="Arial"/>
          <w:color w:val="000000" w:themeColor="text1"/>
          <w:sz w:val="24"/>
          <w:szCs w:val="24"/>
        </w:rPr>
        <w:t>’. American Psychological Association.</w:t>
      </w:r>
      <w:r w:rsidRPr="00491135">
        <w:rPr>
          <w:sz w:val="24"/>
          <w:szCs w:val="24"/>
        </w:rPr>
        <w:t xml:space="preserve"> </w:t>
      </w:r>
      <w:hyperlink r:id="rId30" w:history="1">
        <w:r w:rsidRPr="00491135">
          <w:rPr>
            <w:rStyle w:val="Hyperlink"/>
            <w:sz w:val="24"/>
            <w:szCs w:val="24"/>
          </w:rPr>
          <w:t>Adverse and protective childhood experiences: A developmental perspective. (apa.org)</w:t>
        </w:r>
      </w:hyperlink>
    </w:p>
    <w:p w14:paraId="648A9672" w14:textId="77777777" w:rsidR="00491135" w:rsidRPr="00491135" w:rsidRDefault="00491135" w:rsidP="00491135">
      <w:pPr>
        <w:ind w:right="237"/>
        <w:rPr>
          <w:sz w:val="24"/>
          <w:szCs w:val="24"/>
        </w:rPr>
      </w:pPr>
    </w:p>
    <w:p w14:paraId="33BA7D83" w14:textId="77777777" w:rsidR="00491135" w:rsidRPr="00491135" w:rsidRDefault="00491135" w:rsidP="00491135">
      <w:pPr>
        <w:ind w:right="237"/>
        <w:rPr>
          <w:rFonts w:eastAsia="Arial"/>
          <w:color w:val="000000" w:themeColor="text1"/>
          <w:sz w:val="24"/>
          <w:szCs w:val="24"/>
        </w:rPr>
      </w:pPr>
      <w:r w:rsidRPr="00491135">
        <w:rPr>
          <w:rFonts w:eastAsia="Arial"/>
          <w:color w:val="000000" w:themeColor="text1"/>
          <w:sz w:val="24"/>
          <w:szCs w:val="24"/>
        </w:rPr>
        <w:t xml:space="preserve">Heirigs, M (2020). ‘Psychopathy, adverse childhood experiences, and antisocial behaviour. Iowa State University Digital Repository’. </w:t>
      </w:r>
      <w:hyperlink r:id="rId31" w:history="1">
        <w:r w:rsidRPr="00491135">
          <w:rPr>
            <w:rStyle w:val="Hyperlink"/>
            <w:sz w:val="24"/>
            <w:szCs w:val="24"/>
          </w:rPr>
          <w:t>Microsoft Word - 4_16_2020 Heirigs Dissertation Final .docx (iastate.edu)</w:t>
        </w:r>
      </w:hyperlink>
    </w:p>
    <w:p w14:paraId="146DEC39" w14:textId="77777777" w:rsidR="00491135" w:rsidRDefault="00491135" w:rsidP="00491135">
      <w:pPr>
        <w:ind w:right="237"/>
        <w:rPr>
          <w:rFonts w:eastAsia="Arial"/>
          <w:color w:val="000000" w:themeColor="text1"/>
          <w:sz w:val="24"/>
          <w:szCs w:val="24"/>
        </w:rPr>
      </w:pPr>
    </w:p>
    <w:p w14:paraId="58AEF5D9" w14:textId="77777777" w:rsidR="00010E99" w:rsidRPr="00021995" w:rsidRDefault="00010E99" w:rsidP="00010E99">
      <w:pPr>
        <w:rPr>
          <w:rStyle w:val="Hyperlink"/>
          <w:sz w:val="24"/>
          <w:szCs w:val="24"/>
        </w:rPr>
      </w:pPr>
      <w:r w:rsidRPr="00021995">
        <w:rPr>
          <w:sz w:val="24"/>
          <w:szCs w:val="24"/>
        </w:rPr>
        <w:t>Heron</w:t>
      </w:r>
      <w:r>
        <w:rPr>
          <w:sz w:val="24"/>
          <w:szCs w:val="24"/>
        </w:rPr>
        <w:t>, R.L</w:t>
      </w:r>
      <w:r w:rsidRPr="00021995">
        <w:rPr>
          <w:sz w:val="24"/>
          <w:szCs w:val="24"/>
        </w:rPr>
        <w:t xml:space="preserve"> et al (2022)</w:t>
      </w:r>
      <w:r>
        <w:rPr>
          <w:sz w:val="24"/>
          <w:szCs w:val="24"/>
        </w:rPr>
        <w:t xml:space="preserve">. ‘Barriers and Facilitators of Diclsoing Domestic Violence to the UK Health Service’. </w:t>
      </w:r>
      <w:r>
        <w:rPr>
          <w:i/>
          <w:iCs/>
          <w:sz w:val="24"/>
          <w:szCs w:val="24"/>
        </w:rPr>
        <w:t xml:space="preserve">Journal of Family Violence. </w:t>
      </w:r>
      <w:r>
        <w:rPr>
          <w:sz w:val="24"/>
          <w:szCs w:val="24"/>
        </w:rPr>
        <w:t>37. PP. 533-543.</w:t>
      </w:r>
      <w:r w:rsidRPr="00021995">
        <w:rPr>
          <w:sz w:val="24"/>
          <w:szCs w:val="24"/>
        </w:rPr>
        <w:t xml:space="preserve"> </w:t>
      </w:r>
      <w:hyperlink r:id="rId32" w:history="1">
        <w:r w:rsidRPr="00021995">
          <w:rPr>
            <w:rStyle w:val="Hyperlink"/>
            <w:sz w:val="24"/>
            <w:szCs w:val="24"/>
          </w:rPr>
          <w:t>Barriers and Facilitators of Disclosing Domestic Violence to the UK Health Service | SpringerLink</w:t>
        </w:r>
      </w:hyperlink>
    </w:p>
    <w:p w14:paraId="03B52DE9" w14:textId="77777777" w:rsidR="00010E99" w:rsidRPr="00491135" w:rsidRDefault="00010E99" w:rsidP="00491135">
      <w:pPr>
        <w:ind w:right="237"/>
        <w:rPr>
          <w:rFonts w:eastAsia="Arial"/>
          <w:color w:val="000000" w:themeColor="text1"/>
          <w:sz w:val="24"/>
          <w:szCs w:val="24"/>
        </w:rPr>
      </w:pPr>
    </w:p>
    <w:p w14:paraId="580C142F" w14:textId="77777777" w:rsidR="00491135" w:rsidRPr="00491135" w:rsidRDefault="00491135" w:rsidP="00491135">
      <w:pPr>
        <w:ind w:right="237"/>
        <w:rPr>
          <w:sz w:val="24"/>
          <w:szCs w:val="24"/>
        </w:rPr>
      </w:pPr>
      <w:r w:rsidRPr="00491135">
        <w:rPr>
          <w:sz w:val="24"/>
          <w:szCs w:val="24"/>
        </w:rPr>
        <w:t>House of Commons (2012). ‘</w:t>
      </w:r>
      <w:r w:rsidRPr="00491135">
        <w:rPr>
          <w:i/>
          <w:iCs/>
          <w:sz w:val="24"/>
          <w:szCs w:val="24"/>
        </w:rPr>
        <w:t xml:space="preserve">Reducing Reoffending: The “What Works” Debate’. </w:t>
      </w:r>
      <w:r w:rsidRPr="00491135">
        <w:rPr>
          <w:sz w:val="24"/>
          <w:szCs w:val="24"/>
        </w:rPr>
        <w:t xml:space="preserve">House of Commons Research Paper 12/71. </w:t>
      </w:r>
      <w:hyperlink r:id="rId33" w:history="1">
        <w:r w:rsidRPr="00491135">
          <w:rPr>
            <w:rStyle w:val="Hyperlink"/>
            <w:sz w:val="24"/>
            <w:szCs w:val="24"/>
          </w:rPr>
          <w:t>Reducing Reoffending: The 'What Works' Debate (ethz.ch)</w:t>
        </w:r>
      </w:hyperlink>
    </w:p>
    <w:p w14:paraId="626F21DE" w14:textId="77777777" w:rsidR="00491135" w:rsidRDefault="00491135" w:rsidP="00491135">
      <w:pPr>
        <w:ind w:right="237"/>
        <w:rPr>
          <w:rFonts w:eastAsia="Arial"/>
          <w:color w:val="000000" w:themeColor="text1"/>
          <w:sz w:val="24"/>
          <w:szCs w:val="24"/>
        </w:rPr>
      </w:pPr>
    </w:p>
    <w:p w14:paraId="529E95D0" w14:textId="77777777" w:rsidR="00010E99" w:rsidRPr="00021995" w:rsidRDefault="00010E99" w:rsidP="00010E99">
      <w:pPr>
        <w:rPr>
          <w:sz w:val="24"/>
          <w:szCs w:val="24"/>
        </w:rPr>
      </w:pPr>
      <w:r w:rsidRPr="00831EA6">
        <w:rPr>
          <w:sz w:val="24"/>
          <w:szCs w:val="24"/>
        </w:rPr>
        <w:t>Kääriäinen</w:t>
      </w:r>
      <w:r>
        <w:rPr>
          <w:sz w:val="24"/>
          <w:szCs w:val="24"/>
        </w:rPr>
        <w:t xml:space="preserve">, J and </w:t>
      </w:r>
      <w:r w:rsidRPr="00CF09CD">
        <w:rPr>
          <w:sz w:val="24"/>
          <w:szCs w:val="24"/>
        </w:rPr>
        <w:t>Sirén</w:t>
      </w:r>
      <w:r>
        <w:rPr>
          <w:sz w:val="24"/>
          <w:szCs w:val="24"/>
        </w:rPr>
        <w:t xml:space="preserve">, R (2011). ’Trust in the Police, generalized trust and reporting crime’. </w:t>
      </w:r>
      <w:r>
        <w:rPr>
          <w:i/>
          <w:iCs/>
          <w:sz w:val="24"/>
          <w:szCs w:val="24"/>
        </w:rPr>
        <w:t xml:space="preserve">European Society of Criminology. </w:t>
      </w:r>
      <w:r>
        <w:rPr>
          <w:sz w:val="24"/>
          <w:szCs w:val="24"/>
        </w:rPr>
        <w:t xml:space="preserve">8(1), Pp. 65-81. </w:t>
      </w:r>
      <w:hyperlink r:id="rId34" w:history="1">
        <w:r w:rsidRPr="00021995">
          <w:rPr>
            <w:rStyle w:val="Hyperlink"/>
            <w:sz w:val="24"/>
            <w:szCs w:val="24"/>
          </w:rPr>
          <w:t>Trust in the police, generalized trust and reporting crime (sagepub.com)</w:t>
        </w:r>
      </w:hyperlink>
    </w:p>
    <w:p w14:paraId="76A27CE7" w14:textId="77777777" w:rsidR="00010E99" w:rsidRDefault="00010E99" w:rsidP="00491135">
      <w:pPr>
        <w:ind w:right="237"/>
        <w:rPr>
          <w:rFonts w:eastAsia="Arial"/>
          <w:color w:val="000000" w:themeColor="text1"/>
          <w:sz w:val="24"/>
          <w:szCs w:val="24"/>
        </w:rPr>
      </w:pPr>
    </w:p>
    <w:p w14:paraId="657AFF7C" w14:textId="77777777" w:rsidR="00010E99" w:rsidRPr="00021995" w:rsidRDefault="00010E99" w:rsidP="00010E99">
      <w:pPr>
        <w:rPr>
          <w:sz w:val="24"/>
          <w:szCs w:val="24"/>
        </w:rPr>
      </w:pPr>
      <w:r w:rsidRPr="00021995">
        <w:rPr>
          <w:sz w:val="24"/>
          <w:szCs w:val="24"/>
        </w:rPr>
        <w:t>Katiti, V., Sigalla, G. N., Rogathi, J., Manongi, R., &amp; Mushi, D. (2016). Factors influencing disclosure among women experiencing intimate partner violence during pregnancy in Moshi municipality, Tanzania. BMC Public Health, 16, 715.</w:t>
      </w:r>
    </w:p>
    <w:p w14:paraId="109955BD" w14:textId="77777777" w:rsidR="00010E99" w:rsidRPr="00491135" w:rsidRDefault="00010E99" w:rsidP="00491135">
      <w:pPr>
        <w:ind w:right="237"/>
        <w:rPr>
          <w:rFonts w:eastAsia="Arial"/>
          <w:color w:val="000000" w:themeColor="text1"/>
          <w:sz w:val="24"/>
          <w:szCs w:val="24"/>
        </w:rPr>
      </w:pPr>
    </w:p>
    <w:p w14:paraId="5C7336D6" w14:textId="77777777" w:rsidR="00491135" w:rsidRPr="00491135" w:rsidRDefault="00491135" w:rsidP="00491135">
      <w:pPr>
        <w:ind w:right="237"/>
        <w:jc w:val="both"/>
        <w:rPr>
          <w:rStyle w:val="Hyperlink"/>
          <w:sz w:val="24"/>
          <w:szCs w:val="24"/>
        </w:rPr>
      </w:pPr>
      <w:r w:rsidRPr="00491135">
        <w:rPr>
          <w:sz w:val="24"/>
          <w:szCs w:val="24"/>
        </w:rPr>
        <w:t xml:space="preserve">Liverpool CAHMS (2023). </w:t>
      </w:r>
      <w:r w:rsidRPr="00491135">
        <w:rPr>
          <w:i/>
          <w:iCs/>
          <w:sz w:val="24"/>
          <w:szCs w:val="24"/>
        </w:rPr>
        <w:t xml:space="preserve">What are Adverse Childhood Experiences ACEs? </w:t>
      </w:r>
      <w:hyperlink r:id="rId35" w:history="1">
        <w:r w:rsidRPr="00491135">
          <w:rPr>
            <w:rStyle w:val="Hyperlink"/>
            <w:sz w:val="24"/>
            <w:szCs w:val="24"/>
          </w:rPr>
          <w:t>What are Adverse Childhood Experiences ACEs? - Liverpool CAMHS</w:t>
        </w:r>
      </w:hyperlink>
    </w:p>
    <w:p w14:paraId="4B0B8CE1" w14:textId="77777777" w:rsidR="00491135" w:rsidRPr="00491135" w:rsidRDefault="00491135" w:rsidP="00491135">
      <w:pPr>
        <w:ind w:right="237"/>
        <w:jc w:val="both"/>
        <w:rPr>
          <w:rStyle w:val="Hyperlink"/>
          <w:sz w:val="24"/>
          <w:szCs w:val="24"/>
        </w:rPr>
      </w:pPr>
    </w:p>
    <w:p w14:paraId="20BB74AA" w14:textId="77777777" w:rsidR="00491135" w:rsidRPr="00E676F7" w:rsidRDefault="00491135" w:rsidP="00491135">
      <w:pPr>
        <w:ind w:right="237"/>
        <w:jc w:val="both"/>
        <w:rPr>
          <w:color w:val="000000" w:themeColor="text1"/>
          <w:sz w:val="24"/>
          <w:szCs w:val="24"/>
        </w:rPr>
      </w:pPr>
      <w:r w:rsidRPr="0034274F">
        <w:rPr>
          <w:color w:val="000000" w:themeColor="text1"/>
          <w:sz w:val="24"/>
          <w:szCs w:val="24"/>
        </w:rPr>
        <w:lastRenderedPageBreak/>
        <w:t>Marr, C. et al. (2021) ‘The effects of acute stress on eyewitness memory: an integrative review for eyewitness researchers’, Memory (Hove), 29(8), pp. 1091–1100. Available at: https://doi.org/10.1080/09658211.2021.1955935.</w:t>
      </w:r>
    </w:p>
    <w:p w14:paraId="24530A36" w14:textId="77777777" w:rsidR="00491135" w:rsidRDefault="00491135" w:rsidP="00491135">
      <w:pPr>
        <w:ind w:right="237"/>
        <w:rPr>
          <w:rFonts w:eastAsia="Arial"/>
          <w:color w:val="000000" w:themeColor="text1"/>
          <w:sz w:val="24"/>
          <w:szCs w:val="24"/>
        </w:rPr>
      </w:pPr>
    </w:p>
    <w:p w14:paraId="1528651D" w14:textId="4CF313FF" w:rsidR="00491135" w:rsidRPr="00491135" w:rsidRDefault="00491135" w:rsidP="00491135">
      <w:pPr>
        <w:ind w:right="237"/>
        <w:rPr>
          <w:rFonts w:eastAsia="Arial"/>
          <w:color w:val="000000" w:themeColor="text1"/>
          <w:sz w:val="24"/>
          <w:szCs w:val="24"/>
        </w:rPr>
      </w:pPr>
      <w:r w:rsidRPr="00491135">
        <w:rPr>
          <w:rFonts w:eastAsia="Arial"/>
          <w:color w:val="000000" w:themeColor="text1"/>
          <w:sz w:val="24"/>
          <w:szCs w:val="24"/>
        </w:rPr>
        <w:t xml:space="preserve">McNally (2015). ‘Youth offending teams: making the difference for </w:t>
      </w:r>
    </w:p>
    <w:p w14:paraId="49BBC70D" w14:textId="77777777" w:rsidR="00491135" w:rsidRPr="00491135" w:rsidRDefault="00491135" w:rsidP="00491135">
      <w:pPr>
        <w:ind w:right="237"/>
        <w:rPr>
          <w:rFonts w:eastAsia="Arial"/>
          <w:color w:val="000000" w:themeColor="text1"/>
          <w:sz w:val="24"/>
          <w:szCs w:val="24"/>
        </w:rPr>
      </w:pPr>
      <w:r w:rsidRPr="00491135">
        <w:rPr>
          <w:rFonts w:eastAsia="Arial"/>
          <w:color w:val="000000" w:themeColor="text1"/>
          <w:sz w:val="24"/>
          <w:szCs w:val="24"/>
        </w:rPr>
        <w:t xml:space="preserve">children and young  people, victims and </w:t>
      </w:r>
      <w:r w:rsidRPr="00491135">
        <w:rPr>
          <w:rFonts w:eastAsia="Arial"/>
          <w:i/>
          <w:iCs/>
          <w:color w:val="000000" w:themeColor="text1"/>
          <w:sz w:val="24"/>
          <w:szCs w:val="24"/>
        </w:rPr>
        <w:t>communities’</w:t>
      </w:r>
      <w:r w:rsidRPr="00491135">
        <w:rPr>
          <w:rFonts w:eastAsia="Arial"/>
          <w:color w:val="000000" w:themeColor="text1"/>
          <w:sz w:val="24"/>
          <w:szCs w:val="24"/>
        </w:rPr>
        <w:t xml:space="preserve">. Youth Justice Board  </w:t>
      </w:r>
      <w:hyperlink r:id="rId36" w:history="1">
        <w:r w:rsidRPr="00491135">
          <w:rPr>
            <w:rStyle w:val="Hyperlink"/>
            <w:sz w:val="24"/>
            <w:szCs w:val="24"/>
          </w:rPr>
          <w:t>Board_Visits_Final_Report.pdf (publishing.service.gov.uk)</w:t>
        </w:r>
      </w:hyperlink>
    </w:p>
    <w:p w14:paraId="43D01C6F" w14:textId="77777777" w:rsidR="00491135" w:rsidRPr="00491135" w:rsidRDefault="00491135" w:rsidP="00491135">
      <w:pPr>
        <w:ind w:right="237"/>
        <w:jc w:val="both"/>
        <w:rPr>
          <w:rFonts w:eastAsia="Arial"/>
          <w:color w:val="000000" w:themeColor="text1"/>
          <w:sz w:val="24"/>
          <w:szCs w:val="24"/>
        </w:rPr>
      </w:pPr>
    </w:p>
    <w:p w14:paraId="14F145DC" w14:textId="77777777" w:rsidR="006C6885" w:rsidRDefault="006C6885" w:rsidP="006C6885">
      <w:pPr>
        <w:ind w:right="237"/>
        <w:jc w:val="both"/>
        <w:rPr>
          <w:color w:val="000000" w:themeColor="text1"/>
          <w:sz w:val="24"/>
          <w:szCs w:val="24"/>
        </w:rPr>
      </w:pPr>
      <w:r>
        <w:rPr>
          <w:color w:val="000000" w:themeColor="text1"/>
          <w:sz w:val="24"/>
          <w:szCs w:val="24"/>
        </w:rPr>
        <w:t xml:space="preserve">Office for National Statistics (2023). </w:t>
      </w:r>
      <w:r w:rsidRPr="00491135">
        <w:rPr>
          <w:i/>
          <w:iCs/>
          <w:color w:val="000000" w:themeColor="text1"/>
          <w:sz w:val="24"/>
          <w:szCs w:val="24"/>
        </w:rPr>
        <w:t>‘Domestic abuse in England and Wales overview: November 2023’.</w:t>
      </w:r>
      <w:r>
        <w:rPr>
          <w:color w:val="000000" w:themeColor="text1"/>
          <w:sz w:val="24"/>
          <w:szCs w:val="24"/>
        </w:rPr>
        <w:t xml:space="preserve"> </w:t>
      </w:r>
    </w:p>
    <w:p w14:paraId="0711C624" w14:textId="77777777" w:rsidR="006C6885" w:rsidRDefault="004771C4" w:rsidP="006C6885">
      <w:pPr>
        <w:ind w:right="237"/>
        <w:jc w:val="both"/>
        <w:rPr>
          <w:color w:val="000000" w:themeColor="text1"/>
          <w:sz w:val="24"/>
          <w:szCs w:val="24"/>
        </w:rPr>
      </w:pPr>
      <w:hyperlink r:id="rId37" w:anchor=":~:text=The%20police%20recorded%20889%2C918%20domestic,the%20year%20ending%20March%202022" w:history="1">
        <w:r w:rsidR="006C6885" w:rsidRPr="00C8195C">
          <w:rPr>
            <w:rStyle w:val="Hyperlink"/>
            <w:sz w:val="24"/>
            <w:szCs w:val="24"/>
          </w:rPr>
          <w:t>https://www.ons.gov.uk/peoplepopulationandcommunity/crimeandjustice/bulletins/domesticabuseinenglandandwalesoverview/november2023#:~:text=The%20police%20recorded%20889%2C918%20domestic,the%20year%20ending%20March%202022</w:t>
        </w:r>
      </w:hyperlink>
      <w:r w:rsidR="006C6885" w:rsidRPr="00A3179A">
        <w:rPr>
          <w:color w:val="000000" w:themeColor="text1"/>
          <w:sz w:val="24"/>
          <w:szCs w:val="24"/>
        </w:rPr>
        <w:t>.</w:t>
      </w:r>
    </w:p>
    <w:p w14:paraId="21DF9895" w14:textId="77777777" w:rsidR="00491135" w:rsidRDefault="00491135" w:rsidP="00491135">
      <w:pPr>
        <w:ind w:right="237"/>
        <w:rPr>
          <w:sz w:val="24"/>
          <w:szCs w:val="24"/>
        </w:rPr>
      </w:pPr>
    </w:p>
    <w:p w14:paraId="41C67B07" w14:textId="77777777" w:rsidR="006C6885" w:rsidRDefault="006C6885" w:rsidP="006C6885">
      <w:pPr>
        <w:ind w:right="237"/>
        <w:jc w:val="both"/>
        <w:rPr>
          <w:color w:val="000000" w:themeColor="text1"/>
          <w:sz w:val="24"/>
          <w:szCs w:val="24"/>
        </w:rPr>
      </w:pPr>
      <w:r>
        <w:rPr>
          <w:color w:val="000000" w:themeColor="text1"/>
          <w:sz w:val="24"/>
          <w:szCs w:val="24"/>
        </w:rPr>
        <w:t xml:space="preserve">Pan, A et al (2006). ‘Understanding the Role of Culture in Domestic Violence: The Ahimsa Project for Safe Families’. </w:t>
      </w:r>
      <w:r>
        <w:rPr>
          <w:i/>
          <w:iCs/>
          <w:color w:val="000000" w:themeColor="text1"/>
          <w:sz w:val="24"/>
          <w:szCs w:val="24"/>
        </w:rPr>
        <w:t xml:space="preserve">J Immigrant Health. </w:t>
      </w:r>
      <w:r>
        <w:rPr>
          <w:color w:val="000000" w:themeColor="text1"/>
          <w:sz w:val="24"/>
          <w:szCs w:val="24"/>
        </w:rPr>
        <w:t>8. Pp. 35-43</w:t>
      </w:r>
    </w:p>
    <w:p w14:paraId="766A96E1" w14:textId="77777777" w:rsidR="006C6885" w:rsidRDefault="004771C4" w:rsidP="006C6885">
      <w:pPr>
        <w:ind w:right="237"/>
        <w:jc w:val="both"/>
        <w:rPr>
          <w:color w:val="000000" w:themeColor="text1"/>
          <w:sz w:val="24"/>
          <w:szCs w:val="24"/>
        </w:rPr>
      </w:pPr>
      <w:hyperlink r:id="rId38" w:history="1">
        <w:r w:rsidR="006C6885" w:rsidRPr="00C8195C">
          <w:rPr>
            <w:rStyle w:val="Hyperlink"/>
            <w:sz w:val="24"/>
            <w:szCs w:val="24"/>
          </w:rPr>
          <w:t>https://link.springer.com/article/10.1007/s10903-006-6340-y</w:t>
        </w:r>
      </w:hyperlink>
    </w:p>
    <w:p w14:paraId="43201B5C" w14:textId="77777777" w:rsidR="006C6885" w:rsidRPr="00491135" w:rsidRDefault="006C6885" w:rsidP="00491135">
      <w:pPr>
        <w:ind w:right="237"/>
        <w:rPr>
          <w:sz w:val="24"/>
          <w:szCs w:val="24"/>
        </w:rPr>
      </w:pPr>
    </w:p>
    <w:p w14:paraId="19ED3FD5" w14:textId="77777777" w:rsidR="00491135" w:rsidRPr="00491135" w:rsidRDefault="00491135" w:rsidP="00491135">
      <w:pPr>
        <w:ind w:right="237"/>
        <w:rPr>
          <w:sz w:val="24"/>
          <w:szCs w:val="24"/>
        </w:rPr>
      </w:pPr>
      <w:r w:rsidRPr="00491135">
        <w:rPr>
          <w:sz w:val="24"/>
          <w:szCs w:val="24"/>
        </w:rPr>
        <w:t xml:space="preserve">Pratt, T and Turanovic, J (2012). “Can’t stop, Won’t stop”: Self-Control, Risky Lifestyles, and Repeat Victimisation’. </w:t>
      </w:r>
      <w:r w:rsidRPr="00491135">
        <w:rPr>
          <w:i/>
          <w:iCs/>
          <w:sz w:val="24"/>
          <w:szCs w:val="24"/>
        </w:rPr>
        <w:t>J Quant Criminal</w:t>
      </w:r>
      <w:r w:rsidRPr="00491135">
        <w:rPr>
          <w:sz w:val="24"/>
          <w:szCs w:val="24"/>
        </w:rPr>
        <w:t xml:space="preserve">. 30, pp. 29-56. </w:t>
      </w:r>
      <w:hyperlink r:id="rId39" w:history="1">
        <w:r w:rsidRPr="00491135">
          <w:rPr>
            <w:rStyle w:val="Hyperlink"/>
            <w:sz w:val="24"/>
            <w:szCs w:val="24"/>
          </w:rPr>
          <w:t>Cant-Stop-Wont-Stop-Self-Control-Risky-Lifestyles-and-Repeat-Victimization.pdf (researchgate.net)</w:t>
        </w:r>
      </w:hyperlink>
    </w:p>
    <w:p w14:paraId="3DB68E98" w14:textId="77777777" w:rsidR="00491135" w:rsidRPr="00491135" w:rsidRDefault="00491135" w:rsidP="00491135">
      <w:pPr>
        <w:ind w:right="237"/>
        <w:jc w:val="both"/>
        <w:rPr>
          <w:rFonts w:eastAsia="Arial"/>
          <w:color w:val="000000" w:themeColor="text1"/>
          <w:sz w:val="24"/>
          <w:szCs w:val="24"/>
        </w:rPr>
      </w:pPr>
    </w:p>
    <w:p w14:paraId="1F892A3F" w14:textId="77777777" w:rsidR="00491135" w:rsidRPr="00491135" w:rsidRDefault="00491135" w:rsidP="00491135">
      <w:pPr>
        <w:ind w:right="237"/>
        <w:jc w:val="both"/>
        <w:rPr>
          <w:rFonts w:eastAsia="Arial"/>
          <w:color w:val="000000" w:themeColor="text1"/>
          <w:sz w:val="24"/>
          <w:szCs w:val="24"/>
        </w:rPr>
      </w:pPr>
    </w:p>
    <w:p w14:paraId="6C26823C" w14:textId="77777777" w:rsidR="00491135" w:rsidRPr="00491135" w:rsidRDefault="00491135" w:rsidP="00491135">
      <w:pPr>
        <w:ind w:right="237"/>
        <w:jc w:val="both"/>
        <w:rPr>
          <w:sz w:val="24"/>
          <w:szCs w:val="24"/>
        </w:rPr>
      </w:pPr>
      <w:r w:rsidRPr="00491135">
        <w:rPr>
          <w:sz w:val="24"/>
          <w:szCs w:val="24"/>
        </w:rPr>
        <w:t xml:space="preserve">Public Health Scotland (2021). </w:t>
      </w:r>
      <w:r w:rsidRPr="00491135">
        <w:rPr>
          <w:i/>
          <w:iCs/>
          <w:sz w:val="24"/>
          <w:szCs w:val="24"/>
        </w:rPr>
        <w:t>Adverse Childhood Experiences (ACEs)</w:t>
      </w:r>
      <w:r w:rsidRPr="00491135">
        <w:rPr>
          <w:sz w:val="24"/>
          <w:szCs w:val="24"/>
        </w:rPr>
        <w:t>. (</w:t>
      </w:r>
      <w:hyperlink r:id="rId40" w:anchor=":~:text=Adverse%20Childhood%20Experiences%20(ACEs)%20are,%2C%20sexual%20and%2For%20emotional)" w:history="1">
        <w:r w:rsidRPr="00491135">
          <w:rPr>
            <w:rStyle w:val="Hyperlink"/>
            <w:sz w:val="24"/>
            <w:szCs w:val="24"/>
          </w:rPr>
          <w:t>Overview of ACEs - Adverse Childhood Experiences (ACEs) - Children - Population groups - Public Health Scotland</w:t>
        </w:r>
      </w:hyperlink>
    </w:p>
    <w:p w14:paraId="1C5F1F5A" w14:textId="77777777" w:rsidR="00491135" w:rsidRDefault="00491135" w:rsidP="00491135">
      <w:pPr>
        <w:ind w:right="237"/>
        <w:jc w:val="both"/>
        <w:rPr>
          <w:sz w:val="24"/>
          <w:szCs w:val="24"/>
        </w:rPr>
      </w:pPr>
    </w:p>
    <w:p w14:paraId="0ABC00D4" w14:textId="77777777" w:rsidR="00010E99" w:rsidRPr="00021995" w:rsidRDefault="004771C4" w:rsidP="00010E99">
      <w:pPr>
        <w:rPr>
          <w:sz w:val="24"/>
          <w:szCs w:val="24"/>
        </w:rPr>
      </w:pPr>
      <w:hyperlink r:id="rId41" w:history="1">
        <w:r w:rsidR="00010E99">
          <w:rPr>
            <w:sz w:val="24"/>
            <w:szCs w:val="24"/>
          </w:rPr>
          <w:t>Shaheen, A et al (2020). ‘</w:t>
        </w:r>
        <w:r w:rsidR="00010E99" w:rsidRPr="00EB4292">
          <w:rPr>
            <w:sz w:val="24"/>
            <w:szCs w:val="24"/>
          </w:rPr>
          <w:t>Barriers to women’s disclosure of domestic violence in health services in Palestine: qualitative interview-based study</w:t>
        </w:r>
        <w:r w:rsidR="00010E99">
          <w:rPr>
            <w:sz w:val="24"/>
            <w:szCs w:val="24"/>
          </w:rPr>
          <w:t xml:space="preserve">’. </w:t>
        </w:r>
        <w:r w:rsidR="00010E99">
          <w:rPr>
            <w:i/>
            <w:iCs/>
            <w:sz w:val="24"/>
            <w:szCs w:val="24"/>
          </w:rPr>
          <w:t xml:space="preserve">BMC Public Health. </w:t>
        </w:r>
        <w:r w:rsidR="00010E99">
          <w:rPr>
            <w:sz w:val="24"/>
            <w:szCs w:val="24"/>
          </w:rPr>
          <w:t xml:space="preserve">20(1795). </w:t>
        </w:r>
        <w:r w:rsidR="00010E99" w:rsidRPr="00021995">
          <w:rPr>
            <w:rStyle w:val="Hyperlink"/>
            <w:sz w:val="24"/>
            <w:szCs w:val="24"/>
          </w:rPr>
          <w:t>Barriers to women’s disclosure of domestic violence in health services in Palestine: qualitative interview-based study | BMC Public Health | Full Text (biomedcentral.com)</w:t>
        </w:r>
      </w:hyperlink>
    </w:p>
    <w:p w14:paraId="20A8E73E" w14:textId="77777777" w:rsidR="00010E99" w:rsidRPr="00491135" w:rsidRDefault="00010E99" w:rsidP="00491135">
      <w:pPr>
        <w:ind w:right="237"/>
        <w:jc w:val="both"/>
        <w:rPr>
          <w:sz w:val="24"/>
          <w:szCs w:val="24"/>
        </w:rPr>
      </w:pPr>
    </w:p>
    <w:p w14:paraId="10F3F0AC" w14:textId="77777777" w:rsidR="00010E99" w:rsidRPr="00021995" w:rsidRDefault="00010E99" w:rsidP="00010E99">
      <w:pPr>
        <w:rPr>
          <w:sz w:val="24"/>
          <w:szCs w:val="24"/>
        </w:rPr>
      </w:pPr>
      <w:r w:rsidRPr="00021995">
        <w:rPr>
          <w:sz w:val="24"/>
          <w:szCs w:val="24"/>
        </w:rPr>
        <w:t>Shanko, W., Wolday, M., Assefa, N., &amp; Aro, A.R (2013). Domestic violence against women in Kersa, Oromia region, eastern Ethiopia. Eastern Mediteranean Health Journal. 19, 18–23</w:t>
      </w:r>
    </w:p>
    <w:p w14:paraId="08427460" w14:textId="77777777" w:rsidR="00491135" w:rsidRPr="00491135" w:rsidRDefault="00491135" w:rsidP="00491135">
      <w:pPr>
        <w:overflowPunct/>
        <w:autoSpaceDE/>
        <w:autoSpaceDN/>
        <w:adjustRightInd/>
        <w:textAlignment w:val="auto"/>
        <w:rPr>
          <w:sz w:val="24"/>
          <w:szCs w:val="24"/>
        </w:rPr>
      </w:pPr>
    </w:p>
    <w:p w14:paraId="78772E95" w14:textId="77777777" w:rsidR="00491135" w:rsidRPr="00491135" w:rsidRDefault="00491135" w:rsidP="00491135">
      <w:pPr>
        <w:pStyle w:val="paragraph"/>
        <w:spacing w:before="0" w:beforeAutospacing="0" w:after="0" w:afterAutospacing="0"/>
        <w:ind w:right="225"/>
        <w:rPr>
          <w:rStyle w:val="normaltextrun"/>
          <w:rFonts w:ascii="Arial" w:hAnsi="Arial" w:cs="Arial"/>
          <w:color w:val="000000" w:themeColor="text1"/>
        </w:rPr>
      </w:pPr>
      <w:r w:rsidRPr="00491135">
        <w:rPr>
          <w:rStyle w:val="normaltextrun"/>
          <w:rFonts w:ascii="Arial" w:hAnsi="Arial" w:cs="Arial"/>
          <w:color w:val="000000" w:themeColor="text1"/>
        </w:rPr>
        <w:t>Taylor, C (2016). ‘</w:t>
      </w:r>
      <w:r w:rsidRPr="00491135">
        <w:rPr>
          <w:rStyle w:val="normaltextrun"/>
          <w:rFonts w:ascii="Arial" w:hAnsi="Arial" w:cs="Arial"/>
          <w:i/>
          <w:iCs/>
          <w:color w:val="000000" w:themeColor="text1"/>
        </w:rPr>
        <w:t>Review of the Youth Justice System in England and Wales</w:t>
      </w:r>
      <w:r w:rsidRPr="00491135">
        <w:rPr>
          <w:rStyle w:val="normaltextrun"/>
          <w:rFonts w:ascii="Arial" w:hAnsi="Arial" w:cs="Arial"/>
          <w:color w:val="000000" w:themeColor="text1"/>
        </w:rPr>
        <w:t xml:space="preserve">.’ Ministry of Justice. </w:t>
      </w:r>
      <w:hyperlink r:id="rId42" w:history="1">
        <w:r w:rsidRPr="00491135">
          <w:rPr>
            <w:rStyle w:val="Hyperlink"/>
          </w:rPr>
          <w:t>Review of the Youth Justice System (publishing.service.gov.uk)</w:t>
        </w:r>
      </w:hyperlink>
    </w:p>
    <w:p w14:paraId="0F4314AD" w14:textId="77777777" w:rsidR="00491135" w:rsidRPr="00491135" w:rsidRDefault="00491135" w:rsidP="00491135">
      <w:pPr>
        <w:pStyle w:val="paragraph"/>
        <w:spacing w:before="0" w:beforeAutospacing="0" w:after="0" w:afterAutospacing="0"/>
        <w:ind w:left="3600" w:right="225"/>
        <w:rPr>
          <w:rStyle w:val="normaltextrun"/>
          <w:rFonts w:ascii="Arial" w:hAnsi="Arial" w:cs="Arial"/>
          <w:color w:val="000000" w:themeColor="text1"/>
        </w:rPr>
      </w:pPr>
    </w:p>
    <w:p w14:paraId="1B7CDEC8" w14:textId="77777777" w:rsidR="00491135" w:rsidRPr="00491135" w:rsidRDefault="00491135" w:rsidP="00491135">
      <w:pPr>
        <w:pStyle w:val="paragraph"/>
        <w:spacing w:before="0" w:beforeAutospacing="0" w:after="0" w:afterAutospacing="0"/>
        <w:ind w:left="3600" w:right="225"/>
        <w:rPr>
          <w:rStyle w:val="normaltextrun"/>
          <w:rFonts w:ascii="Arial" w:hAnsi="Arial" w:cs="Arial"/>
          <w:color w:val="000000" w:themeColor="text1"/>
        </w:rPr>
      </w:pPr>
    </w:p>
    <w:p w14:paraId="207B5F66" w14:textId="77777777" w:rsidR="00491135" w:rsidRPr="00491135" w:rsidRDefault="00491135" w:rsidP="00491135">
      <w:pPr>
        <w:pStyle w:val="paragraph"/>
        <w:spacing w:before="0" w:beforeAutospacing="0" w:after="0" w:afterAutospacing="0"/>
        <w:textAlignment w:val="baseline"/>
        <w:rPr>
          <w:rFonts w:ascii="Arial" w:hAnsi="Arial" w:cs="Arial"/>
          <w:color w:val="000000" w:themeColor="text1"/>
        </w:rPr>
      </w:pPr>
      <w:r w:rsidRPr="00491135">
        <w:rPr>
          <w:rStyle w:val="eop"/>
          <w:rFonts w:ascii="Arial" w:hAnsi="Arial" w:cs="Arial"/>
          <w:color w:val="000000" w:themeColor="text1"/>
        </w:rPr>
        <w:t xml:space="preserve">UK Government. </w:t>
      </w:r>
      <w:r w:rsidRPr="00491135">
        <w:rPr>
          <w:rStyle w:val="eop"/>
          <w:rFonts w:ascii="Arial" w:hAnsi="Arial" w:cs="Arial"/>
          <w:i/>
          <w:iCs/>
          <w:color w:val="000000" w:themeColor="text1"/>
        </w:rPr>
        <w:t>Youth Offending Teams.</w:t>
      </w:r>
      <w:r w:rsidRPr="00491135">
        <w:rPr>
          <w:rStyle w:val="eop"/>
          <w:rFonts w:ascii="Arial" w:hAnsi="Arial" w:cs="Arial"/>
          <w:color w:val="000000" w:themeColor="text1"/>
        </w:rPr>
        <w:t xml:space="preserve"> </w:t>
      </w:r>
      <w:hyperlink r:id="rId43" w:history="1">
        <w:r w:rsidRPr="00491135">
          <w:rPr>
            <w:rStyle w:val="Hyperlink"/>
          </w:rPr>
          <w:t>Youth offending teams - GOV.UK (www.gov.uk)</w:t>
        </w:r>
      </w:hyperlink>
    </w:p>
    <w:p w14:paraId="38077D22" w14:textId="77777777" w:rsidR="00491135" w:rsidRPr="00491135" w:rsidRDefault="00491135" w:rsidP="00491135">
      <w:pPr>
        <w:ind w:right="237"/>
        <w:rPr>
          <w:sz w:val="24"/>
          <w:szCs w:val="24"/>
        </w:rPr>
      </w:pPr>
    </w:p>
    <w:p w14:paraId="12585A38" w14:textId="77777777" w:rsidR="00491135" w:rsidRPr="00491135" w:rsidRDefault="00491135" w:rsidP="00491135">
      <w:pPr>
        <w:ind w:right="237"/>
        <w:rPr>
          <w:sz w:val="24"/>
          <w:szCs w:val="24"/>
        </w:rPr>
      </w:pPr>
    </w:p>
    <w:p w14:paraId="4CE46760" w14:textId="201622DC" w:rsidR="00491135" w:rsidRPr="00010E99" w:rsidRDefault="00491135" w:rsidP="00010E99">
      <w:pPr>
        <w:ind w:right="237"/>
        <w:rPr>
          <w:sz w:val="24"/>
          <w:szCs w:val="24"/>
        </w:rPr>
      </w:pPr>
      <w:r w:rsidRPr="00491135">
        <w:rPr>
          <w:sz w:val="24"/>
          <w:szCs w:val="24"/>
        </w:rPr>
        <w:t>Weisel (2005). ‘</w:t>
      </w:r>
      <w:r w:rsidRPr="00491135">
        <w:rPr>
          <w:i/>
          <w:iCs/>
          <w:sz w:val="24"/>
          <w:szCs w:val="24"/>
        </w:rPr>
        <w:t xml:space="preserve">Analysing Repeat Victimisation’. </w:t>
      </w:r>
      <w:r w:rsidRPr="00491135">
        <w:rPr>
          <w:sz w:val="24"/>
          <w:szCs w:val="24"/>
        </w:rPr>
        <w:t xml:space="preserve">ASU Centre for Problem-Oriented Policing. </w:t>
      </w:r>
      <w:hyperlink r:id="rId44" w:anchor=":~:text=By%20most%20definitions%2C%20repeat%20victimization,time%20such%20as%20a%20year." w:history="1">
        <w:r w:rsidRPr="00491135">
          <w:rPr>
            <w:rStyle w:val="Hyperlink"/>
            <w:sz w:val="24"/>
            <w:szCs w:val="24"/>
          </w:rPr>
          <w:t>Analyzing Repeat Victimization | ASU Center for Problem-Oriented Policing | ASU</w:t>
        </w:r>
      </w:hyperlink>
    </w:p>
    <w:sectPr w:rsidR="00491135" w:rsidRPr="00010E9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92265010"/>
    <w:lvl w:ilvl="0" w:tplc="F1364C84">
      <w:start w:val="1"/>
      <w:numFmt w:val="decimal"/>
      <w:lvlText w:val="%1."/>
      <w:lvlJc w:val="left"/>
      <w:pPr>
        <w:ind w:left="720" w:hanging="360"/>
      </w:pPr>
    </w:lvl>
    <w:lvl w:ilvl="1" w:tplc="D1A087DA">
      <w:start w:val="1"/>
      <w:numFmt w:val="lowerLetter"/>
      <w:lvlText w:val="%2."/>
      <w:lvlJc w:val="left"/>
      <w:pPr>
        <w:ind w:left="1440" w:hanging="360"/>
      </w:pPr>
    </w:lvl>
    <w:lvl w:ilvl="2" w:tplc="491641E4">
      <w:start w:val="1"/>
      <w:numFmt w:val="lowerRoman"/>
      <w:lvlText w:val="%3."/>
      <w:lvlJc w:val="right"/>
      <w:pPr>
        <w:ind w:left="2160" w:hanging="180"/>
      </w:pPr>
    </w:lvl>
    <w:lvl w:ilvl="3" w:tplc="1C24EB08">
      <w:start w:val="1"/>
      <w:numFmt w:val="decimal"/>
      <w:lvlText w:val="%4."/>
      <w:lvlJc w:val="left"/>
      <w:pPr>
        <w:ind w:left="2880" w:hanging="360"/>
      </w:pPr>
    </w:lvl>
    <w:lvl w:ilvl="4" w:tplc="586A5568">
      <w:start w:val="1"/>
      <w:numFmt w:val="lowerLetter"/>
      <w:lvlText w:val="%5."/>
      <w:lvlJc w:val="left"/>
      <w:pPr>
        <w:ind w:left="3600" w:hanging="360"/>
      </w:pPr>
    </w:lvl>
    <w:lvl w:ilvl="5" w:tplc="FAFAF152">
      <w:start w:val="1"/>
      <w:numFmt w:val="lowerRoman"/>
      <w:lvlText w:val="%6."/>
      <w:lvlJc w:val="right"/>
      <w:pPr>
        <w:ind w:left="4320" w:hanging="180"/>
      </w:pPr>
    </w:lvl>
    <w:lvl w:ilvl="6" w:tplc="759EB1D0">
      <w:start w:val="1"/>
      <w:numFmt w:val="decimal"/>
      <w:lvlText w:val="%7."/>
      <w:lvlJc w:val="left"/>
      <w:pPr>
        <w:ind w:left="5040" w:hanging="360"/>
      </w:pPr>
    </w:lvl>
    <w:lvl w:ilvl="7" w:tplc="F43892B6">
      <w:start w:val="1"/>
      <w:numFmt w:val="lowerLetter"/>
      <w:lvlText w:val="%8."/>
      <w:lvlJc w:val="left"/>
      <w:pPr>
        <w:ind w:left="5760" w:hanging="360"/>
      </w:pPr>
    </w:lvl>
    <w:lvl w:ilvl="8" w:tplc="EA66CFB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682F320"/>
    <w:lvl w:ilvl="0" w:tplc="959E6704">
      <w:start w:val="1"/>
      <w:numFmt w:val="decimal"/>
      <w:lvlText w:val="%1."/>
      <w:lvlJc w:val="left"/>
      <w:pPr>
        <w:ind w:left="720" w:hanging="360"/>
      </w:pPr>
    </w:lvl>
    <w:lvl w:ilvl="1" w:tplc="62E419F6">
      <w:start w:val="1"/>
      <w:numFmt w:val="decimal"/>
      <w:lvlText w:val="%2."/>
      <w:lvlJc w:val="left"/>
      <w:pPr>
        <w:ind w:left="1440" w:hanging="360"/>
      </w:pPr>
    </w:lvl>
    <w:lvl w:ilvl="2" w:tplc="60285E06">
      <w:start w:val="1"/>
      <w:numFmt w:val="lowerRoman"/>
      <w:lvlText w:val="%3."/>
      <w:lvlJc w:val="right"/>
      <w:pPr>
        <w:ind w:left="2160" w:hanging="180"/>
      </w:pPr>
    </w:lvl>
    <w:lvl w:ilvl="3" w:tplc="8A90381E">
      <w:start w:val="1"/>
      <w:numFmt w:val="decimal"/>
      <w:lvlText w:val="%4."/>
      <w:lvlJc w:val="left"/>
      <w:pPr>
        <w:ind w:left="2880" w:hanging="360"/>
      </w:pPr>
    </w:lvl>
    <w:lvl w:ilvl="4" w:tplc="3D0AFC76">
      <w:start w:val="1"/>
      <w:numFmt w:val="lowerLetter"/>
      <w:lvlText w:val="%5."/>
      <w:lvlJc w:val="left"/>
      <w:pPr>
        <w:ind w:left="3600" w:hanging="360"/>
      </w:pPr>
    </w:lvl>
    <w:lvl w:ilvl="5" w:tplc="CB040F0C">
      <w:start w:val="1"/>
      <w:numFmt w:val="lowerRoman"/>
      <w:lvlText w:val="%6."/>
      <w:lvlJc w:val="right"/>
      <w:pPr>
        <w:ind w:left="4320" w:hanging="180"/>
      </w:pPr>
    </w:lvl>
    <w:lvl w:ilvl="6" w:tplc="C428D3D8">
      <w:start w:val="1"/>
      <w:numFmt w:val="decimal"/>
      <w:lvlText w:val="%7."/>
      <w:lvlJc w:val="left"/>
      <w:pPr>
        <w:ind w:left="5040" w:hanging="360"/>
      </w:pPr>
    </w:lvl>
    <w:lvl w:ilvl="7" w:tplc="7EB6905E">
      <w:start w:val="1"/>
      <w:numFmt w:val="lowerLetter"/>
      <w:lvlText w:val="%8."/>
      <w:lvlJc w:val="left"/>
      <w:pPr>
        <w:ind w:left="5760" w:hanging="360"/>
      </w:pPr>
    </w:lvl>
    <w:lvl w:ilvl="8" w:tplc="EAF6725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4492499">
    <w:abstractNumId w:val="47"/>
  </w:num>
  <w:num w:numId="2" w16cid:durableId="1655377892">
    <w:abstractNumId w:val="10"/>
  </w:num>
  <w:num w:numId="3" w16cid:durableId="1391079943">
    <w:abstractNumId w:val="1"/>
    <w:lvlOverride w:ilvl="0">
      <w:lvl w:ilvl="0">
        <w:start w:val="1"/>
        <w:numFmt w:val="bullet"/>
        <w:lvlText w:val=""/>
        <w:lvlJc w:val="left"/>
        <w:pPr>
          <w:ind w:left="720" w:hanging="360"/>
        </w:pPr>
        <w:rPr>
          <w:rFonts w:ascii="Symbol" w:hAnsi="Symbol" w:hint="default"/>
        </w:rPr>
      </w:lvl>
    </w:lvlOverride>
  </w:num>
  <w:num w:numId="4" w16cid:durableId="60102305">
    <w:abstractNumId w:val="22"/>
  </w:num>
  <w:num w:numId="5" w16cid:durableId="394277031">
    <w:abstractNumId w:val="44"/>
  </w:num>
  <w:num w:numId="6" w16cid:durableId="1656952552">
    <w:abstractNumId w:val="46"/>
  </w:num>
  <w:num w:numId="7" w16cid:durableId="1083453551">
    <w:abstractNumId w:val="34"/>
  </w:num>
  <w:num w:numId="8" w16cid:durableId="71389813">
    <w:abstractNumId w:val="32"/>
  </w:num>
  <w:num w:numId="9" w16cid:durableId="788476121">
    <w:abstractNumId w:val="29"/>
  </w:num>
  <w:num w:numId="10" w16cid:durableId="1498230489">
    <w:abstractNumId w:val="30"/>
  </w:num>
  <w:num w:numId="11" w16cid:durableId="717050662">
    <w:abstractNumId w:val="9"/>
  </w:num>
  <w:num w:numId="12" w16cid:durableId="1061446107">
    <w:abstractNumId w:val="33"/>
  </w:num>
  <w:num w:numId="13" w16cid:durableId="389574827">
    <w:abstractNumId w:val="17"/>
  </w:num>
  <w:num w:numId="14" w16cid:durableId="1194802020">
    <w:abstractNumId w:val="16"/>
  </w:num>
  <w:num w:numId="15" w16cid:durableId="2010013049">
    <w:abstractNumId w:val="26"/>
  </w:num>
  <w:num w:numId="16" w16cid:durableId="1072119395">
    <w:abstractNumId w:val="7"/>
  </w:num>
  <w:num w:numId="17" w16cid:durableId="533155574">
    <w:abstractNumId w:val="25"/>
  </w:num>
  <w:num w:numId="18" w16cid:durableId="797529234">
    <w:abstractNumId w:val="15"/>
  </w:num>
  <w:num w:numId="19" w16cid:durableId="1107578258">
    <w:abstractNumId w:val="13"/>
  </w:num>
  <w:num w:numId="20" w16cid:durableId="135307084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2823840">
    <w:abstractNumId w:val="23"/>
  </w:num>
  <w:num w:numId="22" w16cid:durableId="129979125">
    <w:abstractNumId w:val="18"/>
  </w:num>
  <w:num w:numId="23" w16cid:durableId="2042968921">
    <w:abstractNumId w:val="14"/>
  </w:num>
  <w:num w:numId="24" w16cid:durableId="1148596075">
    <w:abstractNumId w:val="11"/>
  </w:num>
  <w:num w:numId="25" w16cid:durableId="327562253">
    <w:abstractNumId w:val="27"/>
  </w:num>
  <w:num w:numId="26" w16cid:durableId="1114833480">
    <w:abstractNumId w:val="19"/>
  </w:num>
  <w:num w:numId="27" w16cid:durableId="948321032">
    <w:abstractNumId w:val="40"/>
  </w:num>
  <w:num w:numId="28" w16cid:durableId="1670795011">
    <w:abstractNumId w:val="35"/>
  </w:num>
  <w:num w:numId="29" w16cid:durableId="565070569">
    <w:abstractNumId w:val="39"/>
  </w:num>
  <w:num w:numId="30" w16cid:durableId="1649045343">
    <w:abstractNumId w:val="20"/>
  </w:num>
  <w:num w:numId="31" w16cid:durableId="1277367542">
    <w:abstractNumId w:val="42"/>
  </w:num>
  <w:num w:numId="32" w16cid:durableId="171534916">
    <w:abstractNumId w:val="31"/>
  </w:num>
  <w:num w:numId="33" w16cid:durableId="2047096230">
    <w:abstractNumId w:val="12"/>
  </w:num>
  <w:num w:numId="34" w16cid:durableId="1124033534">
    <w:abstractNumId w:val="43"/>
  </w:num>
  <w:num w:numId="35" w16cid:durableId="1659267632">
    <w:abstractNumId w:val="38"/>
  </w:num>
  <w:num w:numId="36" w16cid:durableId="1588270754">
    <w:abstractNumId w:val="4"/>
  </w:num>
  <w:num w:numId="37" w16cid:durableId="1031958495">
    <w:abstractNumId w:val="45"/>
  </w:num>
  <w:num w:numId="38" w16cid:durableId="1054423636">
    <w:abstractNumId w:val="41"/>
  </w:num>
  <w:num w:numId="39" w16cid:durableId="97604167">
    <w:abstractNumId w:val="36"/>
  </w:num>
  <w:num w:numId="40" w16cid:durableId="1912303331">
    <w:abstractNumId w:val="37"/>
  </w:num>
  <w:num w:numId="41" w16cid:durableId="1618020116">
    <w:abstractNumId w:val="3"/>
  </w:num>
  <w:num w:numId="42" w16cid:durableId="723261978">
    <w:abstractNumId w:val="5"/>
  </w:num>
  <w:num w:numId="43" w16cid:durableId="1210528467">
    <w:abstractNumId w:val="24"/>
  </w:num>
  <w:num w:numId="44" w16cid:durableId="2085565114">
    <w:abstractNumId w:val="6"/>
  </w:num>
  <w:num w:numId="45" w16cid:durableId="1100417198">
    <w:abstractNumId w:val="2"/>
  </w:num>
  <w:num w:numId="46" w16cid:durableId="159125857">
    <w:abstractNumId w:val="0"/>
  </w:num>
  <w:num w:numId="47" w16cid:durableId="1132207855">
    <w:abstractNumId w:val="21"/>
  </w:num>
  <w:num w:numId="48" w16cid:durableId="2136095867">
    <w:abstractNumId w:val="28"/>
  </w:num>
  <w:num w:numId="49" w16cid:durableId="15968631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E9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083"/>
    <w:rsid w:val="00096DEA"/>
    <w:rsid w:val="000A3095"/>
    <w:rsid w:val="000A4240"/>
    <w:rsid w:val="000A469A"/>
    <w:rsid w:val="000B1E96"/>
    <w:rsid w:val="000B20B4"/>
    <w:rsid w:val="000C378F"/>
    <w:rsid w:val="000C6892"/>
    <w:rsid w:val="000C6FFE"/>
    <w:rsid w:val="000D0BB6"/>
    <w:rsid w:val="000E26B0"/>
    <w:rsid w:val="000F1599"/>
    <w:rsid w:val="000F1769"/>
    <w:rsid w:val="000F1BE4"/>
    <w:rsid w:val="000F6196"/>
    <w:rsid w:val="000F7ECD"/>
    <w:rsid w:val="00102E64"/>
    <w:rsid w:val="0010312C"/>
    <w:rsid w:val="001061B2"/>
    <w:rsid w:val="00106DC7"/>
    <w:rsid w:val="00112391"/>
    <w:rsid w:val="00114F52"/>
    <w:rsid w:val="0012135C"/>
    <w:rsid w:val="00130E83"/>
    <w:rsid w:val="001347F8"/>
    <w:rsid w:val="00137BB5"/>
    <w:rsid w:val="00137E05"/>
    <w:rsid w:val="001447F6"/>
    <w:rsid w:val="00144F99"/>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3609"/>
    <w:rsid w:val="002246A0"/>
    <w:rsid w:val="00224AF9"/>
    <w:rsid w:val="0022582D"/>
    <w:rsid w:val="00230439"/>
    <w:rsid w:val="002347EA"/>
    <w:rsid w:val="00235176"/>
    <w:rsid w:val="00236061"/>
    <w:rsid w:val="0024100E"/>
    <w:rsid w:val="00241C1B"/>
    <w:rsid w:val="002423B2"/>
    <w:rsid w:val="0024288B"/>
    <w:rsid w:val="00255D8E"/>
    <w:rsid w:val="002657E9"/>
    <w:rsid w:val="0026665E"/>
    <w:rsid w:val="00270EEB"/>
    <w:rsid w:val="0027147E"/>
    <w:rsid w:val="002738C0"/>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6D75"/>
    <w:rsid w:val="002E7017"/>
    <w:rsid w:val="002F4F6E"/>
    <w:rsid w:val="003015C3"/>
    <w:rsid w:val="0030698D"/>
    <w:rsid w:val="00310B51"/>
    <w:rsid w:val="0031350A"/>
    <w:rsid w:val="00316815"/>
    <w:rsid w:val="003168CA"/>
    <w:rsid w:val="00321255"/>
    <w:rsid w:val="0032230D"/>
    <w:rsid w:val="00322A0B"/>
    <w:rsid w:val="00332F54"/>
    <w:rsid w:val="00333257"/>
    <w:rsid w:val="00335FC5"/>
    <w:rsid w:val="00340E9A"/>
    <w:rsid w:val="0034274F"/>
    <w:rsid w:val="003468C1"/>
    <w:rsid w:val="003516C0"/>
    <w:rsid w:val="00352E59"/>
    <w:rsid w:val="00354DBE"/>
    <w:rsid w:val="00355210"/>
    <w:rsid w:val="003555D5"/>
    <w:rsid w:val="00365DF9"/>
    <w:rsid w:val="0036668D"/>
    <w:rsid w:val="0037198F"/>
    <w:rsid w:val="00372DB4"/>
    <w:rsid w:val="0037490C"/>
    <w:rsid w:val="00375AF5"/>
    <w:rsid w:val="003761BD"/>
    <w:rsid w:val="003769F6"/>
    <w:rsid w:val="00385414"/>
    <w:rsid w:val="00390074"/>
    <w:rsid w:val="00394EC2"/>
    <w:rsid w:val="0039762B"/>
    <w:rsid w:val="00397BDE"/>
    <w:rsid w:val="003A0C37"/>
    <w:rsid w:val="003A1B6B"/>
    <w:rsid w:val="003A2F82"/>
    <w:rsid w:val="003A46C0"/>
    <w:rsid w:val="003A600E"/>
    <w:rsid w:val="003A6513"/>
    <w:rsid w:val="003B16C7"/>
    <w:rsid w:val="003C144A"/>
    <w:rsid w:val="003C19F1"/>
    <w:rsid w:val="003C4186"/>
    <w:rsid w:val="003C458C"/>
    <w:rsid w:val="003C4B20"/>
    <w:rsid w:val="003C6185"/>
    <w:rsid w:val="003D0D2D"/>
    <w:rsid w:val="003D4710"/>
    <w:rsid w:val="003E16D7"/>
    <w:rsid w:val="003E197E"/>
    <w:rsid w:val="003E19C8"/>
    <w:rsid w:val="003F2B0D"/>
    <w:rsid w:val="004046F0"/>
    <w:rsid w:val="0040668F"/>
    <w:rsid w:val="00411F57"/>
    <w:rsid w:val="00412677"/>
    <w:rsid w:val="00417925"/>
    <w:rsid w:val="004348AE"/>
    <w:rsid w:val="00435E9A"/>
    <w:rsid w:val="004376C0"/>
    <w:rsid w:val="0044115F"/>
    <w:rsid w:val="0044223A"/>
    <w:rsid w:val="00446792"/>
    <w:rsid w:val="00446F80"/>
    <w:rsid w:val="00450C83"/>
    <w:rsid w:val="00451851"/>
    <w:rsid w:val="004526B1"/>
    <w:rsid w:val="00453343"/>
    <w:rsid w:val="004608B9"/>
    <w:rsid w:val="00460ADB"/>
    <w:rsid w:val="00465947"/>
    <w:rsid w:val="004672C1"/>
    <w:rsid w:val="00470BB1"/>
    <w:rsid w:val="004718F7"/>
    <w:rsid w:val="00473153"/>
    <w:rsid w:val="004743AF"/>
    <w:rsid w:val="004771C4"/>
    <w:rsid w:val="00482C17"/>
    <w:rsid w:val="00491135"/>
    <w:rsid w:val="004911B4"/>
    <w:rsid w:val="0049196A"/>
    <w:rsid w:val="004923DA"/>
    <w:rsid w:val="00493434"/>
    <w:rsid w:val="004962F9"/>
    <w:rsid w:val="004968E2"/>
    <w:rsid w:val="004A07F1"/>
    <w:rsid w:val="004A14C4"/>
    <w:rsid w:val="004A2A49"/>
    <w:rsid w:val="004B071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2EC5"/>
    <w:rsid w:val="00574A0C"/>
    <w:rsid w:val="00576E4C"/>
    <w:rsid w:val="0057780F"/>
    <w:rsid w:val="00581E0A"/>
    <w:rsid w:val="00582870"/>
    <w:rsid w:val="00586D89"/>
    <w:rsid w:val="005916B8"/>
    <w:rsid w:val="00593D00"/>
    <w:rsid w:val="00596B51"/>
    <w:rsid w:val="005A1B4C"/>
    <w:rsid w:val="005A1BA3"/>
    <w:rsid w:val="005A545C"/>
    <w:rsid w:val="005C1567"/>
    <w:rsid w:val="005C6CE5"/>
    <w:rsid w:val="005C76DE"/>
    <w:rsid w:val="005D3F07"/>
    <w:rsid w:val="005D583E"/>
    <w:rsid w:val="005E13EA"/>
    <w:rsid w:val="005E53BD"/>
    <w:rsid w:val="005E6FCB"/>
    <w:rsid w:val="00606E27"/>
    <w:rsid w:val="006108C9"/>
    <w:rsid w:val="00615C7E"/>
    <w:rsid w:val="0062158D"/>
    <w:rsid w:val="00630F39"/>
    <w:rsid w:val="006326D1"/>
    <w:rsid w:val="00632E0A"/>
    <w:rsid w:val="00633165"/>
    <w:rsid w:val="00636B6C"/>
    <w:rsid w:val="006447DE"/>
    <w:rsid w:val="00645B9A"/>
    <w:rsid w:val="0065276E"/>
    <w:rsid w:val="006538EE"/>
    <w:rsid w:val="00654329"/>
    <w:rsid w:val="00654CEC"/>
    <w:rsid w:val="00655507"/>
    <w:rsid w:val="00657A83"/>
    <w:rsid w:val="006712A7"/>
    <w:rsid w:val="006733CC"/>
    <w:rsid w:val="00674FC2"/>
    <w:rsid w:val="00677E42"/>
    <w:rsid w:val="00682334"/>
    <w:rsid w:val="00684B16"/>
    <w:rsid w:val="00694C00"/>
    <w:rsid w:val="00695B87"/>
    <w:rsid w:val="00696F65"/>
    <w:rsid w:val="006A7A6D"/>
    <w:rsid w:val="006B5E67"/>
    <w:rsid w:val="006C2EB5"/>
    <w:rsid w:val="006C6885"/>
    <w:rsid w:val="006D18A3"/>
    <w:rsid w:val="006D5970"/>
    <w:rsid w:val="006E481E"/>
    <w:rsid w:val="006E4DCD"/>
    <w:rsid w:val="006E795F"/>
    <w:rsid w:val="00700249"/>
    <w:rsid w:val="007002C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00FA"/>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CE2"/>
    <w:rsid w:val="007C6A87"/>
    <w:rsid w:val="007C705D"/>
    <w:rsid w:val="007D0A07"/>
    <w:rsid w:val="007D0C96"/>
    <w:rsid w:val="007D133D"/>
    <w:rsid w:val="007D159B"/>
    <w:rsid w:val="007D3EB4"/>
    <w:rsid w:val="007D3F16"/>
    <w:rsid w:val="007D78CC"/>
    <w:rsid w:val="007E43C5"/>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49B"/>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BFF"/>
    <w:rsid w:val="008B07DE"/>
    <w:rsid w:val="008B28E7"/>
    <w:rsid w:val="008B512A"/>
    <w:rsid w:val="008C14C7"/>
    <w:rsid w:val="008C1D00"/>
    <w:rsid w:val="008C2FFB"/>
    <w:rsid w:val="008C6EEA"/>
    <w:rsid w:val="008D5813"/>
    <w:rsid w:val="008D634E"/>
    <w:rsid w:val="008D778A"/>
    <w:rsid w:val="008E3FE0"/>
    <w:rsid w:val="008E5105"/>
    <w:rsid w:val="008F22BD"/>
    <w:rsid w:val="009079BD"/>
    <w:rsid w:val="00912BD9"/>
    <w:rsid w:val="00916CFB"/>
    <w:rsid w:val="00920E5B"/>
    <w:rsid w:val="009249F8"/>
    <w:rsid w:val="00926436"/>
    <w:rsid w:val="0093018C"/>
    <w:rsid w:val="0093184D"/>
    <w:rsid w:val="00932CCA"/>
    <w:rsid w:val="009544C0"/>
    <w:rsid w:val="00954FA4"/>
    <w:rsid w:val="00956AE9"/>
    <w:rsid w:val="00964CC6"/>
    <w:rsid w:val="00984B1A"/>
    <w:rsid w:val="00991FDA"/>
    <w:rsid w:val="009927A1"/>
    <w:rsid w:val="0099774D"/>
    <w:rsid w:val="009A310E"/>
    <w:rsid w:val="009A5F3B"/>
    <w:rsid w:val="009A633E"/>
    <w:rsid w:val="009B0B61"/>
    <w:rsid w:val="009B11DF"/>
    <w:rsid w:val="009B28C0"/>
    <w:rsid w:val="009B395A"/>
    <w:rsid w:val="009B7136"/>
    <w:rsid w:val="009B7806"/>
    <w:rsid w:val="009C3AC2"/>
    <w:rsid w:val="009C3CA4"/>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79A"/>
    <w:rsid w:val="00A3273B"/>
    <w:rsid w:val="00A40ED6"/>
    <w:rsid w:val="00A470EE"/>
    <w:rsid w:val="00A47621"/>
    <w:rsid w:val="00A479CD"/>
    <w:rsid w:val="00A50CFC"/>
    <w:rsid w:val="00A54D67"/>
    <w:rsid w:val="00A55A3F"/>
    <w:rsid w:val="00A56BC4"/>
    <w:rsid w:val="00A626E4"/>
    <w:rsid w:val="00A652F6"/>
    <w:rsid w:val="00A732EA"/>
    <w:rsid w:val="00A7489E"/>
    <w:rsid w:val="00A8015F"/>
    <w:rsid w:val="00A80BD2"/>
    <w:rsid w:val="00A85039"/>
    <w:rsid w:val="00A851F7"/>
    <w:rsid w:val="00A906AA"/>
    <w:rsid w:val="00A94C5E"/>
    <w:rsid w:val="00AA0272"/>
    <w:rsid w:val="00AA241A"/>
    <w:rsid w:val="00AA252C"/>
    <w:rsid w:val="00AA666E"/>
    <w:rsid w:val="00AB5518"/>
    <w:rsid w:val="00AB7A4B"/>
    <w:rsid w:val="00AC01D4"/>
    <w:rsid w:val="00AC49CF"/>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20A6"/>
    <w:rsid w:val="00B6548F"/>
    <w:rsid w:val="00B7502A"/>
    <w:rsid w:val="00B77305"/>
    <w:rsid w:val="00B828AD"/>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7E73"/>
    <w:rsid w:val="00BD30B1"/>
    <w:rsid w:val="00BE0F7B"/>
    <w:rsid w:val="00BE10C2"/>
    <w:rsid w:val="00BF46E2"/>
    <w:rsid w:val="00BF53E9"/>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1F48"/>
    <w:rsid w:val="00C63D00"/>
    <w:rsid w:val="00C6441B"/>
    <w:rsid w:val="00C7108B"/>
    <w:rsid w:val="00C726D3"/>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6C6B"/>
    <w:rsid w:val="00D33491"/>
    <w:rsid w:val="00D44F8E"/>
    <w:rsid w:val="00D44FD0"/>
    <w:rsid w:val="00D5733C"/>
    <w:rsid w:val="00D607EF"/>
    <w:rsid w:val="00D60F88"/>
    <w:rsid w:val="00D625E7"/>
    <w:rsid w:val="00D646BD"/>
    <w:rsid w:val="00D70239"/>
    <w:rsid w:val="00D71201"/>
    <w:rsid w:val="00D720C7"/>
    <w:rsid w:val="00D75CCC"/>
    <w:rsid w:val="00D77A04"/>
    <w:rsid w:val="00D81D06"/>
    <w:rsid w:val="00D8652C"/>
    <w:rsid w:val="00D876E6"/>
    <w:rsid w:val="00D921EE"/>
    <w:rsid w:val="00DA1025"/>
    <w:rsid w:val="00DA22EC"/>
    <w:rsid w:val="00DA5860"/>
    <w:rsid w:val="00DB2767"/>
    <w:rsid w:val="00DC4729"/>
    <w:rsid w:val="00DE556F"/>
    <w:rsid w:val="00E03B6D"/>
    <w:rsid w:val="00E04964"/>
    <w:rsid w:val="00E0649E"/>
    <w:rsid w:val="00E10457"/>
    <w:rsid w:val="00E17160"/>
    <w:rsid w:val="00E35BEC"/>
    <w:rsid w:val="00E50821"/>
    <w:rsid w:val="00E50EF8"/>
    <w:rsid w:val="00E51F91"/>
    <w:rsid w:val="00E61C1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285E"/>
    <w:rsid w:val="00F8610A"/>
    <w:rsid w:val="00F927A1"/>
    <w:rsid w:val="00F92E4D"/>
    <w:rsid w:val="00F94392"/>
    <w:rsid w:val="00FA3764"/>
    <w:rsid w:val="00FA56ED"/>
    <w:rsid w:val="00FB2C97"/>
    <w:rsid w:val="00FB5FA6"/>
    <w:rsid w:val="00FB648E"/>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3F2B0D"/>
    <w:rPr>
      <w:color w:val="605E5C"/>
      <w:shd w:val="clear" w:color="auto" w:fill="E1DFDD"/>
    </w:rPr>
  </w:style>
  <w:style w:type="character" w:styleId="FollowedHyperlink">
    <w:name w:val="FollowedHyperlink"/>
    <w:basedOn w:val="DefaultParagraphFont"/>
    <w:uiPriority w:val="99"/>
    <w:semiHidden/>
    <w:unhideWhenUsed/>
    <w:rsid w:val="004B07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8524505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dc.gov/violenceprevention/aces/index.html" TargetMode="External"/><Relationship Id="rId26" Type="http://schemas.openxmlformats.org/officeDocument/2006/relationships/hyperlink" Target="https://osf.io/preprints/psyarxiv/p736e" TargetMode="External"/><Relationship Id="rId39" Type="http://schemas.openxmlformats.org/officeDocument/2006/relationships/hyperlink" Target="https://www.researchgate.net/profile/Jillian-Turanovic-2/publication/257594484_Can't_Stop_Won't_Stop_Self-Control_Risky_Lifestyles_and_Repeat_Victimization/links/0f317537d3c01b11ad000000/Cant-Stop-Wont-Stop-Self-Control-Risky-Lifestyles-and-Repeat-Victimization.pdf" TargetMode="External"/><Relationship Id="rId21" Type="http://schemas.openxmlformats.org/officeDocument/2006/relationships/hyperlink" Target="https://domesticabusecommissioner.uk/domestic-abuse-commissioner-responds-to-latest-criminal-justice-statistics/" TargetMode="External"/><Relationship Id="rId34" Type="http://schemas.openxmlformats.org/officeDocument/2006/relationships/hyperlink" Target="https://journals.sagepub.com/doi/epdf/10.1177/1477370810376562" TargetMode="External"/><Relationship Id="rId42" Type="http://schemas.openxmlformats.org/officeDocument/2006/relationships/hyperlink" Target="https://assets.publishing.service.gov.uk/government/uploads/system/uploads/attachment_data/file/577105/youth-justice-review-final-report-print.pdf"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unafei.or.jp/publications/pdf/RS_No78/No78_13VE_Blakeman.pdf" TargetMode="External"/><Relationship Id="rId29" Type="http://schemas.openxmlformats.org/officeDocument/2006/relationships/hyperlink" Target="https://doi.org/10.1371/journal.pone.027345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jcrimjus.2016.02.014" TargetMode="External"/><Relationship Id="rId32" Type="http://schemas.openxmlformats.org/officeDocument/2006/relationships/hyperlink" Target="https://link.springer.com/article/10.1007/s10896-020-00236-3" TargetMode="External"/><Relationship Id="rId37" Type="http://schemas.openxmlformats.org/officeDocument/2006/relationships/hyperlink" Target="https://www.ons.gov.uk/peoplepopulationandcommunity/crimeandjustice/bulletins/domesticabuseinenglandandwalesoverview/november2023" TargetMode="External"/><Relationship Id="rId40" Type="http://schemas.openxmlformats.org/officeDocument/2006/relationships/hyperlink" Target="https://www.healthscotland.scot/population-groups/children/adverse-childhood-experiences-aces/overview-of-aces"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researchgate.net/profile/Graham-Farrell/publication/247274737_Progress_and_prospects_in_the_prevention_of_repeat_victimization/links/54ef91d60cf2432ba656e6b9/Progress-and-prospects-in-the-prevention-of-repeat-victimization.pdf" TargetMode="External"/><Relationship Id="rId28" Type="http://schemas.openxmlformats.org/officeDocument/2006/relationships/hyperlink" Target="https://eprints.whiterose.ac.uk/116406/1/Grove%20et%20al%202012%20Preventing%20Repeat%20Victimization%20-%20A%20Systematic%20Review%20(Bra).pdf" TargetMode="External"/><Relationship Id="rId36" Type="http://schemas.openxmlformats.org/officeDocument/2006/relationships/hyperlink" Target="https://assets.publishing.service.gov.uk/media/5a7f8dcbed915d74e33f725e/Board_Visits_Final_Report.pdf" TargetMode="External"/><Relationship Id="rId10" Type="http://schemas.openxmlformats.org/officeDocument/2006/relationships/endnotes" Target="endnotes.xml"/><Relationship Id="rId19" Type="http://schemas.openxmlformats.org/officeDocument/2006/relationships/hyperlink" Target="https://crimesciencejournal.biomedcentral.com/articles/10.1186/s40163-016-0049-6" TargetMode="External"/><Relationship Id="rId31" Type="http://schemas.openxmlformats.org/officeDocument/2006/relationships/hyperlink" Target="https://dr.lib.iastate.edu/server/api/core/bitstreams/b60c3a1b-4456-48dd-8217-fbd57e68ed65/content" TargetMode="External"/><Relationship Id="rId44" Type="http://schemas.openxmlformats.org/officeDocument/2006/relationships/hyperlink" Target="https://popcenter.asu.edu/content/analyzing-repeat-victimiz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equalityhumanrights.com/human-rights/human-rights-act" TargetMode="External"/><Relationship Id="rId27" Type="http://schemas.openxmlformats.org/officeDocument/2006/relationships/hyperlink" Target="https://doi.org/10.1016/j.ijlcj.2015.11.001" TargetMode="External"/><Relationship Id="rId30" Type="http://schemas.openxmlformats.org/officeDocument/2006/relationships/hyperlink" Target="https://psycnet.apa.org/record/2020-14999-000" TargetMode="External"/><Relationship Id="rId35" Type="http://schemas.openxmlformats.org/officeDocument/2006/relationships/hyperlink" Target="https://www.liverpoolcamhs.com/aces/what-are-adverse-childhood-experiences/" TargetMode="External"/><Relationship Id="rId43" Type="http://schemas.openxmlformats.org/officeDocument/2006/relationships/hyperlink" Target="https://www.gov.uk/youth-offending-team"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ubmed.ncbi.nlm.nih.gov/33328338/" TargetMode="External"/><Relationship Id="rId25" Type="http://schemas.openxmlformats.org/officeDocument/2006/relationships/hyperlink" Target="https://nyaspubs.onlinelibrary.wiley.com/doi/full/10.1196/annals.1385.005?saml_referrer" TargetMode="External"/><Relationship Id="rId33" Type="http://schemas.openxmlformats.org/officeDocument/2006/relationships/hyperlink" Target="https://www.files.ethz.ch/isn/157081/RP12-71.pdf" TargetMode="External"/><Relationship Id="rId38" Type="http://schemas.openxmlformats.org/officeDocument/2006/relationships/hyperlink" Target="https://link.springer.com/article/10.1007/s10903-006-6340-y" TargetMode="External"/><Relationship Id="rId46" Type="http://schemas.openxmlformats.org/officeDocument/2006/relationships/theme" Target="theme/theme1.xml"/><Relationship Id="rId20" Type="http://schemas.openxmlformats.org/officeDocument/2006/relationships/hyperlink" Target="https://www.college.police.uk/research/what-works-policing-reduce-crime/people-and-places" TargetMode="External"/><Relationship Id="rId41" Type="http://schemas.openxmlformats.org/officeDocument/2006/relationships/hyperlink" Target="https://bmcpublichealth.biomedcentral.com/articles/10.1186/s12889-020-0990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5124</TotalTime>
  <Pages>23</Pages>
  <Words>6337</Words>
  <Characters>39327</Characters>
  <Application>Microsoft Office Word</Application>
  <DocSecurity>0</DocSecurity>
  <Lines>327</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Davies,Daniel swp8378</cp:lastModifiedBy>
  <cp:revision>43</cp:revision>
  <cp:lastPrinted>2014-08-26T08:55:00Z</cp:lastPrinted>
  <dcterms:created xsi:type="dcterms:W3CDTF">2023-09-19T12:37:00Z</dcterms:created>
  <dcterms:modified xsi:type="dcterms:W3CDTF">2024-02-04T12:38:00Z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2023-09-19T12:37:40Z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dc3ebf3f-ef85-44b4-a429-bdc8a1f11873</vt:lpwstr>
  </property>
  <property fmtid="{D5CDD505-2E9C-101B-9397-08002B2CF9AE}" pid="9" name="MSIP_Label_66cf8fe5-b7b7-4df7-b38d-1c61ac2f6639_ContentBits">
    <vt:lpwstr>0</vt:lpwstr>
  </property>
</Properties>
</file>