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4814A" w14:textId="4C9E54F1" w:rsidR="0098179C" w:rsidRPr="006F5F9A" w:rsidRDefault="00D706B9">
      <w:pPr>
        <w:rPr>
          <w:rFonts w:ascii="Arial" w:hAnsi="Arial" w:cs="Arial"/>
          <w:b/>
          <w:bCs/>
          <w:sz w:val="32"/>
          <w:szCs w:val="32"/>
        </w:rPr>
      </w:pPr>
      <w:r w:rsidRPr="006F5F9A">
        <w:rPr>
          <w:rFonts w:ascii="Arial" w:hAnsi="Arial" w:cs="Arial"/>
          <w:b/>
          <w:bCs/>
          <w:sz w:val="32"/>
          <w:szCs w:val="32"/>
        </w:rPr>
        <w:t xml:space="preserve">Identify a strategy/programme to implement </w:t>
      </w:r>
      <w:r w:rsidRPr="006F5F9A">
        <w:rPr>
          <w:rFonts w:ascii="Arial" w:hAnsi="Arial" w:cs="Arial"/>
          <w:b/>
          <w:bCs/>
          <w:sz w:val="32"/>
          <w:szCs w:val="32"/>
        </w:rPr>
        <w:t xml:space="preserve">SDG1 </w:t>
      </w:r>
      <w:r w:rsidRPr="006F5F9A">
        <w:rPr>
          <w:rFonts w:ascii="Arial" w:hAnsi="Arial" w:cs="Arial"/>
          <w:b/>
          <w:bCs/>
          <w:sz w:val="32"/>
          <w:szCs w:val="32"/>
        </w:rPr>
        <w:t xml:space="preserve"> and critically evaluate it</w:t>
      </w:r>
      <w:r w:rsidRPr="006F5F9A">
        <w:rPr>
          <w:rFonts w:ascii="Arial" w:hAnsi="Arial" w:cs="Arial"/>
          <w:b/>
          <w:bCs/>
          <w:sz w:val="32"/>
          <w:szCs w:val="32"/>
        </w:rPr>
        <w:t>.</w:t>
      </w:r>
      <w:r w:rsidRPr="006F5F9A">
        <w:rPr>
          <w:rFonts w:ascii="Arial" w:hAnsi="Arial" w:cs="Arial"/>
          <w:b/>
          <w:bCs/>
          <w:sz w:val="32"/>
          <w:szCs w:val="32"/>
        </w:rPr>
        <w:t xml:space="preserve"> </w:t>
      </w:r>
    </w:p>
    <w:p w14:paraId="4F6AEFB9" w14:textId="0D999063" w:rsidR="00032B60" w:rsidRPr="006F5F9A" w:rsidRDefault="00032B60" w:rsidP="00D706B9">
      <w:pPr>
        <w:jc w:val="both"/>
        <w:rPr>
          <w:rFonts w:ascii="Arial" w:hAnsi="Arial" w:cs="Arial"/>
          <w:b/>
          <w:bCs/>
          <w:color w:val="7030A0"/>
          <w:sz w:val="32"/>
          <w:szCs w:val="32"/>
          <w:u w:val="single"/>
        </w:rPr>
      </w:pPr>
      <w:r w:rsidRPr="006F5F9A">
        <w:rPr>
          <w:rFonts w:ascii="Arial" w:hAnsi="Arial" w:cs="Arial"/>
          <w:b/>
          <w:bCs/>
          <w:color w:val="7030A0"/>
          <w:sz w:val="32"/>
          <w:szCs w:val="32"/>
        </w:rPr>
        <w:t>Strategy/Programme</w:t>
      </w:r>
      <w:r w:rsidR="006F5F9A" w:rsidRPr="006F5F9A">
        <w:rPr>
          <w:rFonts w:ascii="Arial" w:hAnsi="Arial" w:cs="Arial"/>
          <w:b/>
          <w:bCs/>
          <w:color w:val="7030A0"/>
          <w:sz w:val="32"/>
          <w:szCs w:val="32"/>
        </w:rPr>
        <w:t xml:space="preserve"> 1</w:t>
      </w:r>
      <w:r w:rsidRPr="006F5F9A">
        <w:rPr>
          <w:rFonts w:ascii="Arial" w:hAnsi="Arial" w:cs="Arial"/>
          <w:b/>
          <w:bCs/>
          <w:color w:val="7030A0"/>
          <w:sz w:val="32"/>
          <w:szCs w:val="32"/>
        </w:rPr>
        <w:t xml:space="preserve">: </w:t>
      </w:r>
      <w:r w:rsidRPr="006F5F9A">
        <w:rPr>
          <w:rFonts w:ascii="Arial" w:hAnsi="Arial" w:cs="Arial"/>
          <w:b/>
          <w:bCs/>
          <w:color w:val="7030A0"/>
          <w:sz w:val="32"/>
          <w:szCs w:val="32"/>
          <w:u w:val="single"/>
        </w:rPr>
        <w:t>Living Wage Implementation</w:t>
      </w:r>
    </w:p>
    <w:p w14:paraId="1882316E" w14:textId="4CFE3603" w:rsidR="00D706B9" w:rsidRPr="006F5F9A" w:rsidRDefault="00D706B9" w:rsidP="00D706B9">
      <w:pPr>
        <w:jc w:val="both"/>
        <w:rPr>
          <w:rFonts w:ascii="Arial" w:hAnsi="Arial" w:cs="Arial"/>
          <w:sz w:val="28"/>
          <w:szCs w:val="28"/>
        </w:rPr>
      </w:pPr>
      <w:r w:rsidRPr="006F5F9A">
        <w:rPr>
          <w:rFonts w:ascii="Arial" w:hAnsi="Arial" w:cs="Arial"/>
          <w:sz w:val="28"/>
          <w:szCs w:val="28"/>
        </w:rPr>
        <w:t>Implementing a Living Wage is a strategy aimed at addressing SDG1 (No Poverty) in the UK. The Living Wage is a voluntary hourly wage rate set independently of the government, designed to ensure that employees receive an income sufficient to cover the basic cost of living. Employers who commit to paying the Living Wage provide their workers with a higher minimum wage than the statutory minimum wage. (</w:t>
      </w:r>
      <w:proofErr w:type="gramStart"/>
      <w:r w:rsidRPr="006F5F9A">
        <w:rPr>
          <w:rFonts w:ascii="Arial" w:hAnsi="Arial" w:cs="Arial"/>
          <w:sz w:val="28"/>
          <w:szCs w:val="28"/>
        </w:rPr>
        <w:t>as</w:t>
      </w:r>
      <w:proofErr w:type="gramEnd"/>
      <w:r w:rsidRPr="006F5F9A">
        <w:rPr>
          <w:rFonts w:ascii="Arial" w:hAnsi="Arial" w:cs="Arial"/>
          <w:sz w:val="28"/>
          <w:szCs w:val="28"/>
        </w:rPr>
        <w:t xml:space="preserve"> of April 2023 it is 10.42ph and the NMW (adult rate) is 10.18)</w:t>
      </w:r>
    </w:p>
    <w:p w14:paraId="4C7006B8" w14:textId="5D547096" w:rsidR="00D706B9" w:rsidRPr="006F5F9A" w:rsidRDefault="00D706B9" w:rsidP="00D706B9">
      <w:pPr>
        <w:jc w:val="both"/>
        <w:rPr>
          <w:rFonts w:ascii="Arial" w:hAnsi="Arial" w:cs="Arial"/>
          <w:b/>
          <w:bCs/>
          <w:color w:val="7030A0"/>
          <w:sz w:val="32"/>
          <w:szCs w:val="32"/>
        </w:rPr>
      </w:pPr>
      <w:r w:rsidRPr="006F5F9A">
        <w:rPr>
          <w:rFonts w:ascii="Arial" w:hAnsi="Arial" w:cs="Arial"/>
          <w:b/>
          <w:bCs/>
          <w:color w:val="7030A0"/>
          <w:sz w:val="32"/>
          <w:szCs w:val="32"/>
        </w:rPr>
        <w:t>Critical Evaluation</w:t>
      </w:r>
    </w:p>
    <w:p w14:paraId="6548CCB1" w14:textId="4EE3E686" w:rsidR="00D706B9" w:rsidRPr="006F5F9A" w:rsidRDefault="00D706B9" w:rsidP="00D706B9">
      <w:pPr>
        <w:jc w:val="both"/>
        <w:rPr>
          <w:rFonts w:ascii="Arial" w:hAnsi="Arial" w:cs="Arial"/>
          <w:b/>
          <w:bCs/>
          <w:color w:val="0070C0"/>
          <w:sz w:val="32"/>
          <w:szCs w:val="32"/>
        </w:rPr>
      </w:pPr>
      <w:r w:rsidRPr="006F5F9A">
        <w:rPr>
          <w:rFonts w:ascii="Arial" w:hAnsi="Arial" w:cs="Arial"/>
          <w:b/>
          <w:bCs/>
          <w:color w:val="0070C0"/>
          <w:sz w:val="32"/>
          <w:szCs w:val="32"/>
        </w:rPr>
        <w:t>Benefits</w:t>
      </w:r>
    </w:p>
    <w:p w14:paraId="5EF4EF82" w14:textId="6223C920" w:rsidR="00D706B9" w:rsidRPr="006F5F9A" w:rsidRDefault="00D706B9" w:rsidP="00D706B9">
      <w:pPr>
        <w:pStyle w:val="ListParagraph"/>
        <w:numPr>
          <w:ilvl w:val="0"/>
          <w:numId w:val="2"/>
        </w:numPr>
        <w:jc w:val="both"/>
        <w:rPr>
          <w:rFonts w:ascii="Arial" w:hAnsi="Arial" w:cs="Arial"/>
          <w:sz w:val="28"/>
          <w:szCs w:val="28"/>
        </w:rPr>
      </w:pPr>
      <w:r w:rsidRPr="006F5F9A">
        <w:rPr>
          <w:rFonts w:ascii="Arial" w:hAnsi="Arial" w:cs="Arial"/>
          <w:color w:val="0070C0"/>
          <w:sz w:val="28"/>
          <w:szCs w:val="28"/>
        </w:rPr>
        <w:t>Direct Income Increase:</w:t>
      </w:r>
      <w:r w:rsidRPr="006F5F9A">
        <w:rPr>
          <w:rFonts w:ascii="Arial" w:hAnsi="Arial" w:cs="Arial"/>
          <w:sz w:val="28"/>
          <w:szCs w:val="28"/>
        </w:rPr>
        <w:t xml:space="preserve"> Implementing the Living Wage increases the take-home pay of low-wage workers, reducing income poverty and improving their standard of living.</w:t>
      </w:r>
    </w:p>
    <w:p w14:paraId="797BFFD3" w14:textId="11E7BF86" w:rsidR="00D706B9" w:rsidRPr="006F5F9A" w:rsidRDefault="00D706B9" w:rsidP="00D706B9">
      <w:pPr>
        <w:pStyle w:val="ListParagraph"/>
        <w:numPr>
          <w:ilvl w:val="0"/>
          <w:numId w:val="2"/>
        </w:numPr>
        <w:jc w:val="both"/>
        <w:rPr>
          <w:rFonts w:ascii="Arial" w:hAnsi="Arial" w:cs="Arial"/>
          <w:sz w:val="28"/>
          <w:szCs w:val="28"/>
        </w:rPr>
      </w:pPr>
      <w:r w:rsidRPr="006F5F9A">
        <w:rPr>
          <w:rFonts w:ascii="Arial" w:hAnsi="Arial" w:cs="Arial"/>
          <w:color w:val="0070C0"/>
          <w:sz w:val="28"/>
          <w:szCs w:val="28"/>
        </w:rPr>
        <w:t>Incentive for Work:</w:t>
      </w:r>
      <w:r w:rsidRPr="006F5F9A">
        <w:rPr>
          <w:rFonts w:ascii="Arial" w:hAnsi="Arial" w:cs="Arial"/>
          <w:sz w:val="28"/>
          <w:szCs w:val="28"/>
        </w:rPr>
        <w:t xml:space="preserve"> It provides an incentive for individuals to seek and remain in employment, as the Living Wage often exceeds the statutory minimum wage.</w:t>
      </w:r>
    </w:p>
    <w:p w14:paraId="450B679F" w14:textId="02AB2491" w:rsidR="00D706B9" w:rsidRPr="006F5F9A" w:rsidRDefault="00D706B9" w:rsidP="00D706B9">
      <w:pPr>
        <w:pStyle w:val="ListParagraph"/>
        <w:numPr>
          <w:ilvl w:val="0"/>
          <w:numId w:val="2"/>
        </w:numPr>
        <w:jc w:val="both"/>
        <w:rPr>
          <w:rFonts w:ascii="Arial" w:hAnsi="Arial" w:cs="Arial"/>
          <w:sz w:val="28"/>
          <w:szCs w:val="28"/>
        </w:rPr>
      </w:pPr>
      <w:r w:rsidRPr="006F5F9A">
        <w:rPr>
          <w:rFonts w:ascii="Arial" w:hAnsi="Arial" w:cs="Arial"/>
          <w:color w:val="0070C0"/>
          <w:sz w:val="28"/>
          <w:szCs w:val="28"/>
        </w:rPr>
        <w:t xml:space="preserve">Employer Benefits: </w:t>
      </w:r>
      <w:r w:rsidRPr="006F5F9A">
        <w:rPr>
          <w:rFonts w:ascii="Arial" w:hAnsi="Arial" w:cs="Arial"/>
          <w:sz w:val="28"/>
          <w:szCs w:val="28"/>
        </w:rPr>
        <w:t>Companies implementing the Living Wage often report benefits such as improved employee morale, lower turnover, and enhanced public reputation, making it an attractive option for socially responsible employers.</w:t>
      </w:r>
    </w:p>
    <w:p w14:paraId="26176142" w14:textId="53008E43" w:rsidR="00D706B9" w:rsidRDefault="00D706B9" w:rsidP="00D706B9">
      <w:pPr>
        <w:pStyle w:val="ListParagraph"/>
        <w:numPr>
          <w:ilvl w:val="0"/>
          <w:numId w:val="2"/>
        </w:numPr>
        <w:jc w:val="both"/>
        <w:rPr>
          <w:rFonts w:ascii="Arial" w:hAnsi="Arial" w:cs="Arial"/>
          <w:sz w:val="28"/>
          <w:szCs w:val="28"/>
        </w:rPr>
      </w:pPr>
      <w:r w:rsidRPr="006F5F9A">
        <w:rPr>
          <w:rFonts w:ascii="Arial" w:hAnsi="Arial" w:cs="Arial"/>
          <w:color w:val="0070C0"/>
          <w:sz w:val="28"/>
          <w:szCs w:val="28"/>
        </w:rPr>
        <w:t>Reduction in Income Inequality:</w:t>
      </w:r>
      <w:r w:rsidRPr="006F5F9A">
        <w:rPr>
          <w:rFonts w:ascii="Arial" w:hAnsi="Arial" w:cs="Arial"/>
          <w:sz w:val="28"/>
          <w:szCs w:val="28"/>
        </w:rPr>
        <w:t xml:space="preserve"> Implementing the Living Wage helps reduce wage disparities and income inequality, contributing to greater economic fairness</w:t>
      </w:r>
      <w:r w:rsidR="006F5F9A">
        <w:rPr>
          <w:rFonts w:ascii="Arial" w:hAnsi="Arial" w:cs="Arial"/>
          <w:sz w:val="28"/>
          <w:szCs w:val="28"/>
        </w:rPr>
        <w:t>.</w:t>
      </w:r>
    </w:p>
    <w:p w14:paraId="5CEF9A7D" w14:textId="77777777" w:rsidR="006F5F9A" w:rsidRPr="006F5F9A" w:rsidRDefault="006F5F9A" w:rsidP="006F5F9A">
      <w:pPr>
        <w:pStyle w:val="ListParagraph"/>
        <w:jc w:val="both"/>
        <w:rPr>
          <w:rFonts w:ascii="Arial" w:hAnsi="Arial" w:cs="Arial"/>
          <w:sz w:val="28"/>
          <w:szCs w:val="28"/>
        </w:rPr>
      </w:pPr>
    </w:p>
    <w:p w14:paraId="4772EEB3" w14:textId="6649B565" w:rsidR="00D706B9" w:rsidRPr="006F5F9A" w:rsidRDefault="00D706B9" w:rsidP="00D706B9">
      <w:pPr>
        <w:jc w:val="both"/>
        <w:rPr>
          <w:rFonts w:ascii="Arial" w:hAnsi="Arial" w:cs="Arial"/>
          <w:b/>
          <w:bCs/>
          <w:color w:val="FF0000"/>
          <w:sz w:val="32"/>
          <w:szCs w:val="32"/>
        </w:rPr>
      </w:pPr>
      <w:r w:rsidRPr="006F5F9A">
        <w:rPr>
          <w:rFonts w:ascii="Arial" w:hAnsi="Arial" w:cs="Arial"/>
          <w:b/>
          <w:bCs/>
          <w:color w:val="FF0000"/>
          <w:sz w:val="32"/>
          <w:szCs w:val="32"/>
        </w:rPr>
        <w:lastRenderedPageBreak/>
        <w:t>Challenges and Considerations</w:t>
      </w:r>
    </w:p>
    <w:p w14:paraId="2CE21D7D" w14:textId="7468366F" w:rsidR="00D706B9" w:rsidRPr="006F5F9A" w:rsidRDefault="00D706B9" w:rsidP="00D706B9">
      <w:pPr>
        <w:pStyle w:val="ListParagraph"/>
        <w:numPr>
          <w:ilvl w:val="0"/>
          <w:numId w:val="3"/>
        </w:numPr>
        <w:jc w:val="both"/>
        <w:rPr>
          <w:rFonts w:ascii="Arial" w:hAnsi="Arial" w:cs="Arial"/>
          <w:sz w:val="28"/>
          <w:szCs w:val="28"/>
        </w:rPr>
      </w:pPr>
      <w:r w:rsidRPr="006F5F9A">
        <w:rPr>
          <w:rFonts w:ascii="Arial" w:hAnsi="Arial" w:cs="Arial"/>
          <w:color w:val="FF0000"/>
          <w:sz w:val="28"/>
          <w:szCs w:val="28"/>
        </w:rPr>
        <w:t xml:space="preserve">Impact on Business Costs: </w:t>
      </w:r>
      <w:r w:rsidRPr="006F5F9A">
        <w:rPr>
          <w:rFonts w:ascii="Arial" w:hAnsi="Arial" w:cs="Arial"/>
          <w:sz w:val="28"/>
          <w:szCs w:val="28"/>
        </w:rPr>
        <w:t xml:space="preserve">Some employers may argue that implementing the Living Wage increases </w:t>
      </w:r>
      <w:r w:rsidRPr="006F5F9A">
        <w:rPr>
          <w:rFonts w:ascii="Arial" w:hAnsi="Arial" w:cs="Arial"/>
          <w:sz w:val="28"/>
          <w:szCs w:val="28"/>
        </w:rPr>
        <w:t>labour</w:t>
      </w:r>
      <w:r w:rsidRPr="006F5F9A">
        <w:rPr>
          <w:rFonts w:ascii="Arial" w:hAnsi="Arial" w:cs="Arial"/>
          <w:sz w:val="28"/>
          <w:szCs w:val="28"/>
        </w:rPr>
        <w:t xml:space="preserve"> costs, potentially leading to job cuts, reduced working hours, or increased prices for consumers.</w:t>
      </w:r>
    </w:p>
    <w:p w14:paraId="73F5E20F" w14:textId="77777777" w:rsidR="00D706B9" w:rsidRPr="006F5F9A" w:rsidRDefault="00D706B9" w:rsidP="00D706B9">
      <w:pPr>
        <w:pStyle w:val="ListParagraph"/>
        <w:numPr>
          <w:ilvl w:val="0"/>
          <w:numId w:val="3"/>
        </w:numPr>
        <w:jc w:val="both"/>
        <w:rPr>
          <w:rFonts w:ascii="Arial" w:hAnsi="Arial" w:cs="Arial"/>
          <w:sz w:val="28"/>
          <w:szCs w:val="28"/>
        </w:rPr>
      </w:pPr>
      <w:r w:rsidRPr="006F5F9A">
        <w:rPr>
          <w:rFonts w:ascii="Arial" w:hAnsi="Arial" w:cs="Arial"/>
          <w:color w:val="FF0000"/>
          <w:sz w:val="28"/>
          <w:szCs w:val="28"/>
        </w:rPr>
        <w:t>Sectoral Variations:</w:t>
      </w:r>
      <w:r w:rsidRPr="006F5F9A">
        <w:rPr>
          <w:rFonts w:ascii="Arial" w:hAnsi="Arial" w:cs="Arial"/>
          <w:sz w:val="28"/>
          <w:szCs w:val="28"/>
        </w:rPr>
        <w:t xml:space="preserve"> The Living Wage may not address all aspects of poverty, as its impact depends on the sector and region. High living costs in certain areas might still pose challenges.</w:t>
      </w:r>
    </w:p>
    <w:p w14:paraId="645134A8" w14:textId="77777777" w:rsidR="00D706B9" w:rsidRPr="006F5F9A" w:rsidRDefault="00D706B9" w:rsidP="00D706B9">
      <w:pPr>
        <w:pStyle w:val="ListParagraph"/>
        <w:numPr>
          <w:ilvl w:val="0"/>
          <w:numId w:val="3"/>
        </w:numPr>
        <w:jc w:val="both"/>
        <w:rPr>
          <w:rFonts w:ascii="Arial" w:hAnsi="Arial" w:cs="Arial"/>
          <w:sz w:val="28"/>
          <w:szCs w:val="28"/>
        </w:rPr>
      </w:pPr>
      <w:r w:rsidRPr="006F5F9A">
        <w:rPr>
          <w:rFonts w:ascii="Arial" w:hAnsi="Arial" w:cs="Arial"/>
          <w:color w:val="FF0000"/>
          <w:sz w:val="28"/>
          <w:szCs w:val="28"/>
        </w:rPr>
        <w:t>Voluntary Nature:</w:t>
      </w:r>
      <w:r w:rsidRPr="006F5F9A">
        <w:rPr>
          <w:rFonts w:ascii="Arial" w:hAnsi="Arial" w:cs="Arial"/>
          <w:sz w:val="28"/>
          <w:szCs w:val="28"/>
        </w:rPr>
        <w:t xml:space="preserve"> The Living Wage is voluntary, and not all employers choose to adopt it, which limits its reach and impact.</w:t>
      </w:r>
    </w:p>
    <w:p w14:paraId="21195266" w14:textId="77777777" w:rsidR="00D706B9" w:rsidRPr="006F5F9A" w:rsidRDefault="00D706B9" w:rsidP="00D706B9">
      <w:pPr>
        <w:pStyle w:val="ListParagraph"/>
        <w:numPr>
          <w:ilvl w:val="0"/>
          <w:numId w:val="3"/>
        </w:numPr>
        <w:jc w:val="both"/>
        <w:rPr>
          <w:rFonts w:ascii="Arial" w:hAnsi="Arial" w:cs="Arial"/>
          <w:sz w:val="28"/>
          <w:szCs w:val="28"/>
        </w:rPr>
      </w:pPr>
      <w:r w:rsidRPr="006F5F9A">
        <w:rPr>
          <w:rFonts w:ascii="Arial" w:hAnsi="Arial" w:cs="Arial"/>
          <w:color w:val="FF0000"/>
          <w:sz w:val="28"/>
          <w:szCs w:val="28"/>
        </w:rPr>
        <w:t xml:space="preserve">Indexation: </w:t>
      </w:r>
      <w:r w:rsidRPr="006F5F9A">
        <w:rPr>
          <w:rFonts w:ascii="Arial" w:hAnsi="Arial" w:cs="Arial"/>
          <w:sz w:val="28"/>
          <w:szCs w:val="28"/>
        </w:rPr>
        <w:t>The Living Wage may need to be periodically adjusted to keep pace with changing living costs, which can pose challenges for both employers and workers.</w:t>
      </w:r>
    </w:p>
    <w:p w14:paraId="667ADF4B" w14:textId="7C9FCD37" w:rsidR="00D706B9" w:rsidRPr="006F5F9A" w:rsidRDefault="00D706B9" w:rsidP="00D706B9">
      <w:pPr>
        <w:pStyle w:val="ListParagraph"/>
        <w:numPr>
          <w:ilvl w:val="0"/>
          <w:numId w:val="3"/>
        </w:numPr>
        <w:jc w:val="both"/>
        <w:rPr>
          <w:rFonts w:ascii="Arial" w:hAnsi="Arial" w:cs="Arial"/>
          <w:sz w:val="28"/>
          <w:szCs w:val="28"/>
        </w:rPr>
      </w:pPr>
      <w:r w:rsidRPr="006F5F9A">
        <w:rPr>
          <w:rFonts w:ascii="Arial" w:hAnsi="Arial" w:cs="Arial"/>
          <w:color w:val="FF0000"/>
          <w:sz w:val="28"/>
          <w:szCs w:val="28"/>
        </w:rPr>
        <w:t xml:space="preserve">Enforcement: </w:t>
      </w:r>
      <w:r w:rsidRPr="006F5F9A">
        <w:rPr>
          <w:rFonts w:ascii="Arial" w:hAnsi="Arial" w:cs="Arial"/>
          <w:sz w:val="28"/>
          <w:szCs w:val="28"/>
        </w:rPr>
        <w:t>Ensuring compliance with the Living Wage can be challenging, as it relies on employers voluntarily adopting and maintaining the wage rate.</w:t>
      </w:r>
    </w:p>
    <w:p w14:paraId="6668E94C" w14:textId="77777777" w:rsidR="00D706B9" w:rsidRPr="006F5F9A" w:rsidRDefault="00D706B9" w:rsidP="00D706B9">
      <w:pPr>
        <w:jc w:val="both"/>
        <w:rPr>
          <w:rFonts w:ascii="Arial" w:hAnsi="Arial" w:cs="Arial"/>
          <w:sz w:val="28"/>
          <w:szCs w:val="28"/>
        </w:rPr>
      </w:pPr>
    </w:p>
    <w:p w14:paraId="20A5A765" w14:textId="078FBE8D" w:rsidR="00D706B9" w:rsidRDefault="00D706B9" w:rsidP="00D706B9">
      <w:pPr>
        <w:jc w:val="both"/>
        <w:rPr>
          <w:rFonts w:ascii="Arial" w:hAnsi="Arial" w:cs="Arial"/>
          <w:sz w:val="28"/>
          <w:szCs w:val="28"/>
        </w:rPr>
      </w:pPr>
      <w:r w:rsidRPr="006F5F9A">
        <w:rPr>
          <w:rFonts w:ascii="Arial" w:hAnsi="Arial" w:cs="Arial"/>
          <w:sz w:val="28"/>
          <w:szCs w:val="28"/>
        </w:rPr>
        <w:t>In conclusion, the implementation of the Living Wage is a valuable strategy to address poverty in the UK by directly increasing the incomes of low-wage workers. However, its effectiveness depends on widespread adoption by employers and may have varying impacts across different sectors and regions. To fully address SDG 1, the Living Wage should be considered as part of a broader set of policies and initiatives, including affordable housing, access to education, and social safety nets, to create a more comprehensive approach to poverty reduction.</w:t>
      </w:r>
    </w:p>
    <w:p w14:paraId="68A7B21C" w14:textId="77777777" w:rsidR="006F5F9A" w:rsidRPr="006F5F9A" w:rsidRDefault="006F5F9A" w:rsidP="00D706B9">
      <w:pPr>
        <w:jc w:val="both"/>
        <w:rPr>
          <w:rFonts w:ascii="Arial" w:hAnsi="Arial" w:cs="Arial"/>
          <w:sz w:val="28"/>
          <w:szCs w:val="28"/>
        </w:rPr>
      </w:pPr>
    </w:p>
    <w:p w14:paraId="5CA22349" w14:textId="77777777" w:rsidR="006F5F9A" w:rsidRDefault="006F5F9A" w:rsidP="00D706B9">
      <w:pPr>
        <w:jc w:val="both"/>
        <w:rPr>
          <w:rFonts w:ascii="Arial" w:hAnsi="Arial" w:cs="Arial"/>
          <w:szCs w:val="24"/>
        </w:rPr>
      </w:pPr>
    </w:p>
    <w:p w14:paraId="3EDBE4CB" w14:textId="1BEA68FA" w:rsidR="006F5F9A" w:rsidRPr="006F5F9A" w:rsidRDefault="006F5F9A" w:rsidP="00D706B9">
      <w:pPr>
        <w:jc w:val="both"/>
        <w:rPr>
          <w:rFonts w:ascii="Arial" w:hAnsi="Arial" w:cs="Arial"/>
          <w:b/>
          <w:bCs/>
          <w:color w:val="7030A0"/>
          <w:sz w:val="32"/>
          <w:szCs w:val="32"/>
          <w:u w:val="single"/>
        </w:rPr>
      </w:pPr>
      <w:r w:rsidRPr="006F5F9A">
        <w:rPr>
          <w:rFonts w:ascii="Arial" w:hAnsi="Arial" w:cs="Arial"/>
          <w:b/>
          <w:bCs/>
          <w:color w:val="7030A0"/>
          <w:sz w:val="32"/>
          <w:szCs w:val="32"/>
        </w:rPr>
        <w:t xml:space="preserve">Strategy/Programme </w:t>
      </w:r>
      <w:r w:rsidRPr="006F5F9A">
        <w:rPr>
          <w:rFonts w:ascii="Arial" w:hAnsi="Arial" w:cs="Arial"/>
          <w:b/>
          <w:bCs/>
          <w:color w:val="7030A0"/>
          <w:sz w:val="32"/>
          <w:szCs w:val="32"/>
        </w:rPr>
        <w:t>2</w:t>
      </w:r>
      <w:r w:rsidRPr="006F5F9A">
        <w:rPr>
          <w:rFonts w:ascii="Arial" w:hAnsi="Arial" w:cs="Arial"/>
          <w:b/>
          <w:bCs/>
          <w:color w:val="7030A0"/>
          <w:sz w:val="32"/>
          <w:szCs w:val="32"/>
        </w:rPr>
        <w:t>:</w:t>
      </w:r>
      <w:r w:rsidRPr="006F5F9A">
        <w:rPr>
          <w:rFonts w:ascii="Arial" w:hAnsi="Arial" w:cs="Arial"/>
          <w:b/>
          <w:bCs/>
          <w:color w:val="7030A0"/>
          <w:sz w:val="32"/>
          <w:szCs w:val="32"/>
        </w:rPr>
        <w:t xml:space="preserve"> </w:t>
      </w:r>
      <w:r w:rsidRPr="006F5F9A">
        <w:rPr>
          <w:rFonts w:ascii="Arial" w:hAnsi="Arial" w:cs="Arial"/>
          <w:b/>
          <w:bCs/>
          <w:color w:val="7030A0"/>
          <w:sz w:val="32"/>
          <w:szCs w:val="32"/>
          <w:u w:val="single"/>
        </w:rPr>
        <w:t>Social Housing Investment</w:t>
      </w:r>
    </w:p>
    <w:p w14:paraId="1F4748E0" w14:textId="11111B27" w:rsidR="006F5F9A" w:rsidRPr="006F5F9A" w:rsidRDefault="006F5F9A" w:rsidP="006F5F9A">
      <w:pPr>
        <w:jc w:val="both"/>
        <w:rPr>
          <w:rFonts w:ascii="Arial" w:hAnsi="Arial" w:cs="Arial"/>
          <w:sz w:val="28"/>
          <w:szCs w:val="28"/>
        </w:rPr>
      </w:pPr>
      <w:r w:rsidRPr="006F5F9A">
        <w:rPr>
          <w:rFonts w:ascii="Arial" w:hAnsi="Arial" w:cs="Arial"/>
          <w:sz w:val="28"/>
          <w:szCs w:val="28"/>
        </w:rPr>
        <w:t xml:space="preserve">Social Housing Investment is a strategy aimed at addressing </w:t>
      </w:r>
      <w:r w:rsidRPr="006F5F9A">
        <w:rPr>
          <w:rFonts w:ascii="Arial" w:hAnsi="Arial" w:cs="Arial"/>
          <w:sz w:val="28"/>
          <w:szCs w:val="28"/>
        </w:rPr>
        <w:t>SDG</w:t>
      </w:r>
      <w:r w:rsidRPr="006F5F9A">
        <w:rPr>
          <w:rFonts w:ascii="Arial" w:hAnsi="Arial" w:cs="Arial"/>
          <w:sz w:val="28"/>
          <w:szCs w:val="28"/>
        </w:rPr>
        <w:t>1 (No Poverty) in the UK. This program involves significant investment in the construction and maintenance of affordable and social housing units to ensure that individuals and families have access to safe and affordable housing. It includes partnerships with housing associations and local authorities to provide subsidized housing for those in need.</w:t>
      </w:r>
    </w:p>
    <w:p w14:paraId="1B07133D" w14:textId="5C82E519" w:rsidR="006F5F9A" w:rsidRPr="00A46F2B" w:rsidRDefault="006F5F9A" w:rsidP="006F5F9A">
      <w:pPr>
        <w:jc w:val="both"/>
        <w:rPr>
          <w:rFonts w:ascii="Arial" w:hAnsi="Arial" w:cs="Arial"/>
          <w:b/>
          <w:bCs/>
          <w:color w:val="7030A0"/>
          <w:sz w:val="32"/>
          <w:szCs w:val="32"/>
          <w:u w:val="single"/>
        </w:rPr>
      </w:pPr>
      <w:r w:rsidRPr="00A46F2B">
        <w:rPr>
          <w:rFonts w:ascii="Arial" w:hAnsi="Arial" w:cs="Arial"/>
          <w:b/>
          <w:bCs/>
          <w:color w:val="7030A0"/>
          <w:sz w:val="32"/>
          <w:szCs w:val="32"/>
          <w:u w:val="single"/>
        </w:rPr>
        <w:t>Critical Evaluation</w:t>
      </w:r>
    </w:p>
    <w:p w14:paraId="2C7D811A" w14:textId="77777777" w:rsidR="006F5F9A" w:rsidRPr="006F5F9A" w:rsidRDefault="006F5F9A" w:rsidP="006F5F9A">
      <w:pPr>
        <w:jc w:val="both"/>
        <w:rPr>
          <w:rFonts w:ascii="Arial" w:hAnsi="Arial" w:cs="Arial"/>
          <w:b/>
          <w:bCs/>
          <w:color w:val="0070C0"/>
          <w:sz w:val="32"/>
          <w:szCs w:val="32"/>
        </w:rPr>
      </w:pPr>
      <w:r w:rsidRPr="006F5F9A">
        <w:rPr>
          <w:rFonts w:ascii="Arial" w:hAnsi="Arial" w:cs="Arial"/>
          <w:b/>
          <w:bCs/>
          <w:color w:val="0070C0"/>
          <w:sz w:val="32"/>
          <w:szCs w:val="32"/>
        </w:rPr>
        <w:t>Benefits</w:t>
      </w:r>
    </w:p>
    <w:p w14:paraId="5E98BE72" w14:textId="7C74EB8D" w:rsidR="006F5F9A" w:rsidRPr="006F5F9A" w:rsidRDefault="006F5F9A" w:rsidP="006F5F9A">
      <w:pPr>
        <w:pStyle w:val="ListParagraph"/>
        <w:numPr>
          <w:ilvl w:val="0"/>
          <w:numId w:val="4"/>
        </w:numPr>
        <w:jc w:val="both"/>
        <w:rPr>
          <w:rFonts w:ascii="Arial" w:hAnsi="Arial" w:cs="Arial"/>
          <w:b/>
          <w:bCs/>
          <w:color w:val="0070C0"/>
          <w:sz w:val="28"/>
          <w:szCs w:val="28"/>
        </w:rPr>
      </w:pPr>
      <w:r w:rsidRPr="006F5F9A">
        <w:rPr>
          <w:rFonts w:ascii="Arial" w:hAnsi="Arial" w:cs="Arial"/>
          <w:color w:val="0070C0"/>
          <w:sz w:val="28"/>
          <w:szCs w:val="28"/>
        </w:rPr>
        <w:t>Reducing Housing Costs:</w:t>
      </w:r>
      <w:r w:rsidRPr="006F5F9A">
        <w:rPr>
          <w:rFonts w:ascii="Arial" w:hAnsi="Arial" w:cs="Arial"/>
          <w:sz w:val="28"/>
          <w:szCs w:val="28"/>
        </w:rPr>
        <w:t xml:space="preserve"> Social Housing Investment directly tackles the issue of housing affordability by increasing the supply of affordable housing, which can help reduce the number of people living in poverty due to high housing costs.</w:t>
      </w:r>
    </w:p>
    <w:p w14:paraId="35CE2BD1" w14:textId="65CE861B" w:rsidR="006F5F9A" w:rsidRPr="006F5F9A" w:rsidRDefault="006F5F9A" w:rsidP="006F5F9A">
      <w:pPr>
        <w:pStyle w:val="ListParagraph"/>
        <w:numPr>
          <w:ilvl w:val="0"/>
          <w:numId w:val="4"/>
        </w:numPr>
        <w:jc w:val="both"/>
        <w:rPr>
          <w:rFonts w:ascii="Arial" w:hAnsi="Arial" w:cs="Arial"/>
          <w:sz w:val="28"/>
          <w:szCs w:val="28"/>
        </w:rPr>
      </w:pPr>
      <w:r w:rsidRPr="006F5F9A">
        <w:rPr>
          <w:rFonts w:ascii="Arial" w:hAnsi="Arial" w:cs="Arial"/>
          <w:color w:val="0070C0"/>
          <w:sz w:val="28"/>
          <w:szCs w:val="28"/>
        </w:rPr>
        <w:t xml:space="preserve">Stability and Security: </w:t>
      </w:r>
      <w:r w:rsidRPr="006F5F9A">
        <w:rPr>
          <w:rFonts w:ascii="Arial" w:hAnsi="Arial" w:cs="Arial"/>
          <w:sz w:val="28"/>
          <w:szCs w:val="28"/>
        </w:rPr>
        <w:t>Affordable housing provides individuals and families with greater stability and security, reducing the risk of homelessness and housing-related financial stress.</w:t>
      </w:r>
    </w:p>
    <w:p w14:paraId="1076270E" w14:textId="77777777" w:rsidR="006F5F9A" w:rsidRPr="006F5F9A" w:rsidRDefault="006F5F9A" w:rsidP="006F5F9A">
      <w:pPr>
        <w:pStyle w:val="ListParagraph"/>
        <w:numPr>
          <w:ilvl w:val="0"/>
          <w:numId w:val="4"/>
        </w:numPr>
        <w:jc w:val="both"/>
        <w:rPr>
          <w:rFonts w:ascii="Arial" w:hAnsi="Arial" w:cs="Arial"/>
          <w:sz w:val="28"/>
          <w:szCs w:val="28"/>
        </w:rPr>
      </w:pPr>
      <w:r w:rsidRPr="006F5F9A">
        <w:rPr>
          <w:rFonts w:ascii="Arial" w:hAnsi="Arial" w:cs="Arial"/>
          <w:color w:val="0070C0"/>
          <w:sz w:val="28"/>
          <w:szCs w:val="28"/>
        </w:rPr>
        <w:t xml:space="preserve">Economic Stimulus: </w:t>
      </w:r>
      <w:r w:rsidRPr="006F5F9A">
        <w:rPr>
          <w:rFonts w:ascii="Arial" w:hAnsi="Arial" w:cs="Arial"/>
          <w:sz w:val="28"/>
          <w:szCs w:val="28"/>
        </w:rPr>
        <w:t>Investment in housing construction and renovation can boost the construction industry, create jobs, and stimulate economic growth.</w:t>
      </w:r>
    </w:p>
    <w:p w14:paraId="60E471CC" w14:textId="77777777" w:rsidR="006F5F9A" w:rsidRPr="006F5F9A" w:rsidRDefault="006F5F9A" w:rsidP="006F5F9A">
      <w:pPr>
        <w:pStyle w:val="ListParagraph"/>
        <w:numPr>
          <w:ilvl w:val="0"/>
          <w:numId w:val="4"/>
        </w:numPr>
        <w:jc w:val="both"/>
        <w:rPr>
          <w:rFonts w:ascii="Arial" w:hAnsi="Arial" w:cs="Arial"/>
          <w:sz w:val="28"/>
          <w:szCs w:val="28"/>
        </w:rPr>
      </w:pPr>
      <w:r w:rsidRPr="006F5F9A">
        <w:rPr>
          <w:rFonts w:ascii="Arial" w:hAnsi="Arial" w:cs="Arial"/>
          <w:color w:val="0070C0"/>
          <w:sz w:val="28"/>
          <w:szCs w:val="28"/>
        </w:rPr>
        <w:t>Health and Well-being:</w:t>
      </w:r>
      <w:r w:rsidRPr="006F5F9A">
        <w:rPr>
          <w:rFonts w:ascii="Arial" w:hAnsi="Arial" w:cs="Arial"/>
          <w:sz w:val="28"/>
          <w:szCs w:val="28"/>
        </w:rPr>
        <w:t xml:space="preserve"> Access to safe and stable housing is closely linked to improved physical and mental health outcomes, which can reduce the burden on healthcare services.</w:t>
      </w:r>
    </w:p>
    <w:p w14:paraId="36078AAA" w14:textId="755DD70D" w:rsidR="006F5F9A" w:rsidRDefault="006F5F9A" w:rsidP="006F5F9A">
      <w:pPr>
        <w:pStyle w:val="ListParagraph"/>
        <w:numPr>
          <w:ilvl w:val="0"/>
          <w:numId w:val="4"/>
        </w:numPr>
        <w:jc w:val="both"/>
        <w:rPr>
          <w:rFonts w:ascii="Arial" w:hAnsi="Arial" w:cs="Arial"/>
          <w:sz w:val="28"/>
          <w:szCs w:val="28"/>
        </w:rPr>
      </w:pPr>
      <w:r w:rsidRPr="006F5F9A">
        <w:rPr>
          <w:rFonts w:ascii="Arial" w:hAnsi="Arial" w:cs="Arial"/>
          <w:color w:val="0070C0"/>
          <w:sz w:val="28"/>
          <w:szCs w:val="28"/>
        </w:rPr>
        <w:t xml:space="preserve">Reducing Income Inequality: </w:t>
      </w:r>
      <w:r w:rsidRPr="006F5F9A">
        <w:rPr>
          <w:rFonts w:ascii="Arial" w:hAnsi="Arial" w:cs="Arial"/>
          <w:sz w:val="28"/>
          <w:szCs w:val="28"/>
        </w:rPr>
        <w:t>Affordable housing can free up income for other essential needs, such as education and healthcare, helping to reduce income inequality.</w:t>
      </w:r>
    </w:p>
    <w:p w14:paraId="4038A0C9" w14:textId="77777777" w:rsidR="006F5F9A" w:rsidRDefault="006F5F9A" w:rsidP="006F5F9A">
      <w:pPr>
        <w:jc w:val="both"/>
        <w:rPr>
          <w:rFonts w:ascii="Arial" w:hAnsi="Arial" w:cs="Arial"/>
          <w:sz w:val="28"/>
          <w:szCs w:val="28"/>
        </w:rPr>
      </w:pPr>
    </w:p>
    <w:p w14:paraId="25F0471D" w14:textId="77777777" w:rsidR="006F5F9A" w:rsidRPr="006F5F9A" w:rsidRDefault="006F5F9A" w:rsidP="006F5F9A">
      <w:pPr>
        <w:jc w:val="both"/>
        <w:rPr>
          <w:rFonts w:ascii="Arial" w:hAnsi="Arial" w:cs="Arial"/>
          <w:b/>
          <w:bCs/>
          <w:color w:val="FF0000"/>
          <w:sz w:val="32"/>
          <w:szCs w:val="32"/>
        </w:rPr>
      </w:pPr>
      <w:r w:rsidRPr="006F5F9A">
        <w:rPr>
          <w:rFonts w:ascii="Arial" w:hAnsi="Arial" w:cs="Arial"/>
          <w:b/>
          <w:bCs/>
          <w:color w:val="FF0000"/>
          <w:sz w:val="32"/>
          <w:szCs w:val="32"/>
        </w:rPr>
        <w:t>Challenges and Considerations</w:t>
      </w:r>
    </w:p>
    <w:p w14:paraId="0E181A89" w14:textId="77777777" w:rsidR="006F5F9A" w:rsidRPr="006F5F9A" w:rsidRDefault="006F5F9A" w:rsidP="006F5F9A">
      <w:pPr>
        <w:pStyle w:val="ListParagraph"/>
        <w:numPr>
          <w:ilvl w:val="0"/>
          <w:numId w:val="5"/>
        </w:numPr>
        <w:jc w:val="both"/>
        <w:rPr>
          <w:rFonts w:ascii="Arial" w:hAnsi="Arial" w:cs="Arial"/>
          <w:sz w:val="28"/>
          <w:szCs w:val="28"/>
        </w:rPr>
      </w:pPr>
      <w:r w:rsidRPr="006F5F9A">
        <w:rPr>
          <w:rFonts w:ascii="Arial" w:hAnsi="Arial" w:cs="Arial"/>
          <w:color w:val="FF0000"/>
          <w:sz w:val="28"/>
          <w:szCs w:val="28"/>
        </w:rPr>
        <w:t>Funding and Resources:</w:t>
      </w:r>
      <w:r w:rsidRPr="006F5F9A">
        <w:rPr>
          <w:rFonts w:ascii="Arial" w:hAnsi="Arial" w:cs="Arial"/>
          <w:sz w:val="28"/>
          <w:szCs w:val="28"/>
        </w:rPr>
        <w:t xml:space="preserve"> Social Housing Investment requires substantial funding, and governments must balance housing investment with other budgetary priorities.</w:t>
      </w:r>
    </w:p>
    <w:p w14:paraId="25AD4B35" w14:textId="77777777" w:rsidR="006F5F9A" w:rsidRPr="006F5F9A" w:rsidRDefault="006F5F9A" w:rsidP="006F5F9A">
      <w:pPr>
        <w:pStyle w:val="ListParagraph"/>
        <w:numPr>
          <w:ilvl w:val="0"/>
          <w:numId w:val="5"/>
        </w:numPr>
        <w:jc w:val="both"/>
        <w:rPr>
          <w:rFonts w:ascii="Arial" w:hAnsi="Arial" w:cs="Arial"/>
          <w:sz w:val="28"/>
          <w:szCs w:val="28"/>
        </w:rPr>
      </w:pPr>
      <w:r w:rsidRPr="006F5F9A">
        <w:rPr>
          <w:rFonts w:ascii="Arial" w:hAnsi="Arial" w:cs="Arial"/>
          <w:color w:val="FF0000"/>
          <w:sz w:val="28"/>
          <w:szCs w:val="28"/>
        </w:rPr>
        <w:t>Regional Disparities:</w:t>
      </w:r>
      <w:r w:rsidRPr="006F5F9A">
        <w:rPr>
          <w:rFonts w:ascii="Arial" w:hAnsi="Arial" w:cs="Arial"/>
          <w:sz w:val="28"/>
          <w:szCs w:val="28"/>
        </w:rPr>
        <w:t xml:space="preserve"> Housing needs and costs vary across regions, making it challenging to implement a one-size-fits-all approach.</w:t>
      </w:r>
    </w:p>
    <w:p w14:paraId="021AED4D" w14:textId="77777777" w:rsidR="006F5F9A" w:rsidRPr="006F5F9A" w:rsidRDefault="006F5F9A" w:rsidP="006F5F9A">
      <w:pPr>
        <w:pStyle w:val="ListParagraph"/>
        <w:numPr>
          <w:ilvl w:val="0"/>
          <w:numId w:val="5"/>
        </w:numPr>
        <w:jc w:val="both"/>
        <w:rPr>
          <w:rFonts w:ascii="Arial" w:hAnsi="Arial" w:cs="Arial"/>
          <w:sz w:val="28"/>
          <w:szCs w:val="28"/>
        </w:rPr>
      </w:pPr>
      <w:r w:rsidRPr="006F5F9A">
        <w:rPr>
          <w:rFonts w:ascii="Arial" w:hAnsi="Arial" w:cs="Arial"/>
          <w:color w:val="FF0000"/>
          <w:sz w:val="28"/>
          <w:szCs w:val="28"/>
        </w:rPr>
        <w:t>Supply and Demand:</w:t>
      </w:r>
      <w:r w:rsidRPr="006F5F9A">
        <w:rPr>
          <w:rFonts w:ascii="Arial" w:hAnsi="Arial" w:cs="Arial"/>
          <w:sz w:val="28"/>
          <w:szCs w:val="28"/>
        </w:rPr>
        <w:t xml:space="preserve"> Addressing housing affordability also depends on market forces, and increased supply may not always lead to immediate affordability improvements.</w:t>
      </w:r>
    </w:p>
    <w:p w14:paraId="6598FCA6" w14:textId="77777777" w:rsidR="006F5F9A" w:rsidRPr="006F5F9A" w:rsidRDefault="006F5F9A" w:rsidP="006F5F9A">
      <w:pPr>
        <w:pStyle w:val="ListParagraph"/>
        <w:numPr>
          <w:ilvl w:val="0"/>
          <w:numId w:val="5"/>
        </w:numPr>
        <w:jc w:val="both"/>
        <w:rPr>
          <w:rFonts w:ascii="Arial" w:hAnsi="Arial" w:cs="Arial"/>
          <w:sz w:val="28"/>
          <w:szCs w:val="28"/>
        </w:rPr>
      </w:pPr>
      <w:r w:rsidRPr="006F5F9A">
        <w:rPr>
          <w:rFonts w:ascii="Arial" w:hAnsi="Arial" w:cs="Arial"/>
          <w:color w:val="FF0000"/>
          <w:sz w:val="28"/>
          <w:szCs w:val="28"/>
        </w:rPr>
        <w:t xml:space="preserve">Maintenance and Quality: </w:t>
      </w:r>
      <w:r w:rsidRPr="006F5F9A">
        <w:rPr>
          <w:rFonts w:ascii="Arial" w:hAnsi="Arial" w:cs="Arial"/>
          <w:sz w:val="28"/>
          <w:szCs w:val="28"/>
        </w:rPr>
        <w:t>Ensuring the quality and maintenance of social housing units is essential to avoid creating new pockets of poverty through substandard housing.</w:t>
      </w:r>
    </w:p>
    <w:p w14:paraId="04DEF2CB" w14:textId="66AC639D" w:rsidR="006F5F9A" w:rsidRDefault="006F5F9A" w:rsidP="006F5F9A">
      <w:pPr>
        <w:pStyle w:val="ListParagraph"/>
        <w:numPr>
          <w:ilvl w:val="0"/>
          <w:numId w:val="5"/>
        </w:numPr>
        <w:jc w:val="both"/>
        <w:rPr>
          <w:rFonts w:ascii="Arial" w:hAnsi="Arial" w:cs="Arial"/>
          <w:sz w:val="28"/>
          <w:szCs w:val="28"/>
        </w:rPr>
      </w:pPr>
      <w:r w:rsidRPr="006F5F9A">
        <w:rPr>
          <w:rFonts w:ascii="Arial" w:hAnsi="Arial" w:cs="Arial"/>
          <w:color w:val="FF0000"/>
          <w:sz w:val="28"/>
          <w:szCs w:val="28"/>
        </w:rPr>
        <w:t xml:space="preserve">Social Inclusion: </w:t>
      </w:r>
      <w:r w:rsidRPr="006F5F9A">
        <w:rPr>
          <w:rFonts w:ascii="Arial" w:hAnsi="Arial" w:cs="Arial"/>
          <w:sz w:val="28"/>
          <w:szCs w:val="28"/>
        </w:rPr>
        <w:t xml:space="preserve">While social housing provides affordable housing options, it's important to consider policies that promote social inclusion and integration within </w:t>
      </w:r>
      <w:r w:rsidRPr="006F5F9A">
        <w:rPr>
          <w:rFonts w:ascii="Arial" w:hAnsi="Arial" w:cs="Arial"/>
          <w:sz w:val="28"/>
          <w:szCs w:val="28"/>
        </w:rPr>
        <w:t>communities</w:t>
      </w:r>
      <w:r w:rsidR="00A46F2B">
        <w:rPr>
          <w:rFonts w:ascii="Arial" w:hAnsi="Arial" w:cs="Arial"/>
          <w:sz w:val="28"/>
          <w:szCs w:val="28"/>
        </w:rPr>
        <w:t>.</w:t>
      </w:r>
    </w:p>
    <w:p w14:paraId="2231E335" w14:textId="77777777" w:rsidR="00A46F2B" w:rsidRPr="006F5F9A" w:rsidRDefault="00A46F2B" w:rsidP="00A46F2B">
      <w:pPr>
        <w:pStyle w:val="ListParagraph"/>
        <w:jc w:val="both"/>
        <w:rPr>
          <w:rFonts w:ascii="Arial" w:hAnsi="Arial" w:cs="Arial"/>
          <w:sz w:val="28"/>
          <w:szCs w:val="28"/>
        </w:rPr>
      </w:pPr>
    </w:p>
    <w:p w14:paraId="01CEAE6E" w14:textId="77777777" w:rsidR="00A46F2B" w:rsidRPr="00A46F2B" w:rsidRDefault="00A46F2B" w:rsidP="00A46F2B">
      <w:pPr>
        <w:jc w:val="both"/>
        <w:rPr>
          <w:rFonts w:ascii="Arial" w:hAnsi="Arial" w:cs="Arial"/>
          <w:sz w:val="28"/>
          <w:szCs w:val="28"/>
        </w:rPr>
      </w:pPr>
      <w:r w:rsidRPr="00A46F2B">
        <w:rPr>
          <w:rFonts w:ascii="Arial" w:hAnsi="Arial" w:cs="Arial"/>
          <w:sz w:val="28"/>
          <w:szCs w:val="28"/>
        </w:rPr>
        <w:t>In conclusion, Social Housing Investment is a crucial strategy to address poverty in the UK by tackling the issue of affordable housing. While it has the potential to significantly improve the living conditions of many individuals and families, successful implementation requires careful consideration of funding, regional disparities, and long-term maintenance. It should be part of a comprehensive approach to addressing poverty, including income support, education, and healthcare access.</w:t>
      </w:r>
    </w:p>
    <w:p w14:paraId="710650C1" w14:textId="77777777" w:rsidR="00A46F2B" w:rsidRPr="00A46F2B" w:rsidRDefault="00A46F2B" w:rsidP="00A46F2B">
      <w:pPr>
        <w:jc w:val="both"/>
        <w:rPr>
          <w:rFonts w:ascii="Arial" w:hAnsi="Arial" w:cs="Arial"/>
          <w:sz w:val="28"/>
          <w:szCs w:val="28"/>
        </w:rPr>
      </w:pPr>
    </w:p>
    <w:p w14:paraId="1A54EF0F" w14:textId="77777777" w:rsidR="00A46F2B" w:rsidRPr="00A46F2B" w:rsidRDefault="00A46F2B" w:rsidP="00A46F2B">
      <w:pPr>
        <w:jc w:val="both"/>
        <w:rPr>
          <w:rFonts w:ascii="Arial" w:hAnsi="Arial" w:cs="Arial"/>
          <w:sz w:val="28"/>
          <w:szCs w:val="28"/>
        </w:rPr>
      </w:pPr>
    </w:p>
    <w:p w14:paraId="4763CF11" w14:textId="77777777" w:rsidR="00A46F2B" w:rsidRPr="00A46F2B" w:rsidRDefault="00A46F2B" w:rsidP="00A46F2B">
      <w:pPr>
        <w:jc w:val="both"/>
        <w:rPr>
          <w:rFonts w:ascii="Arial" w:hAnsi="Arial" w:cs="Arial"/>
          <w:sz w:val="28"/>
          <w:szCs w:val="28"/>
        </w:rPr>
      </w:pPr>
    </w:p>
    <w:p w14:paraId="3E2284FE" w14:textId="36DE05E2" w:rsidR="006F5F9A" w:rsidRDefault="00A46F2B" w:rsidP="006F5F9A">
      <w:pPr>
        <w:jc w:val="both"/>
        <w:rPr>
          <w:rFonts w:ascii="Arial" w:hAnsi="Arial" w:cs="Arial"/>
          <w:b/>
          <w:bCs/>
          <w:color w:val="7030A0"/>
          <w:sz w:val="32"/>
          <w:szCs w:val="32"/>
        </w:rPr>
      </w:pPr>
      <w:r w:rsidRPr="006F5F9A">
        <w:rPr>
          <w:rFonts w:ascii="Arial" w:hAnsi="Arial" w:cs="Arial"/>
          <w:b/>
          <w:bCs/>
          <w:color w:val="7030A0"/>
          <w:sz w:val="32"/>
          <w:szCs w:val="32"/>
        </w:rPr>
        <w:t xml:space="preserve">Strategy/Programme </w:t>
      </w:r>
      <w:r>
        <w:rPr>
          <w:rFonts w:ascii="Arial" w:hAnsi="Arial" w:cs="Arial"/>
          <w:b/>
          <w:bCs/>
          <w:color w:val="7030A0"/>
          <w:sz w:val="32"/>
          <w:szCs w:val="32"/>
        </w:rPr>
        <w:t>3</w:t>
      </w:r>
      <w:r w:rsidRPr="006F5F9A">
        <w:rPr>
          <w:rFonts w:ascii="Arial" w:hAnsi="Arial" w:cs="Arial"/>
          <w:b/>
          <w:bCs/>
          <w:color w:val="7030A0"/>
          <w:sz w:val="32"/>
          <w:szCs w:val="32"/>
        </w:rPr>
        <w:t>:</w:t>
      </w:r>
      <w:r w:rsidRPr="00A46F2B">
        <w:rPr>
          <w:rFonts w:ascii="Arial" w:hAnsi="Arial" w:cs="Arial"/>
          <w:b/>
          <w:bCs/>
          <w:color w:val="7030A0"/>
          <w:sz w:val="32"/>
          <w:szCs w:val="32"/>
          <w:u w:val="single"/>
        </w:rPr>
        <w:t xml:space="preserve"> Financial Education and Inclusion</w:t>
      </w:r>
    </w:p>
    <w:p w14:paraId="55B731EA" w14:textId="6582B2E9" w:rsidR="00A46F2B" w:rsidRPr="00A46F2B" w:rsidRDefault="00A46F2B" w:rsidP="00A46F2B">
      <w:pPr>
        <w:rPr>
          <w:rFonts w:ascii="Arial" w:hAnsi="Arial" w:cs="Arial"/>
          <w:sz w:val="28"/>
          <w:szCs w:val="28"/>
        </w:rPr>
      </w:pPr>
      <w:r w:rsidRPr="00A46F2B">
        <w:rPr>
          <w:rFonts w:ascii="Arial" w:hAnsi="Arial" w:cs="Arial"/>
          <w:sz w:val="28"/>
          <w:szCs w:val="28"/>
        </w:rPr>
        <w:t xml:space="preserve">Financial education and inclusion programs aim to address </w:t>
      </w:r>
      <w:r>
        <w:rPr>
          <w:rFonts w:ascii="Arial" w:hAnsi="Arial" w:cs="Arial"/>
          <w:sz w:val="28"/>
          <w:szCs w:val="28"/>
        </w:rPr>
        <w:t>SDG</w:t>
      </w:r>
      <w:r w:rsidRPr="00A46F2B">
        <w:rPr>
          <w:rFonts w:ascii="Arial" w:hAnsi="Arial" w:cs="Arial"/>
          <w:sz w:val="28"/>
          <w:szCs w:val="28"/>
        </w:rPr>
        <w:t>1 (No Poverty) in the UK by equipping individuals and communities with the knowledge and tools needed to make informed financial decisions, access affordable financial services, and build financial resilience.</w:t>
      </w:r>
    </w:p>
    <w:p w14:paraId="13E98215" w14:textId="77777777" w:rsidR="00A46F2B" w:rsidRPr="00A46F2B" w:rsidRDefault="00A46F2B" w:rsidP="00A46F2B">
      <w:pPr>
        <w:jc w:val="both"/>
        <w:rPr>
          <w:rFonts w:ascii="Arial" w:hAnsi="Arial" w:cs="Arial"/>
          <w:b/>
          <w:bCs/>
          <w:color w:val="7030A0"/>
          <w:sz w:val="32"/>
          <w:szCs w:val="32"/>
          <w:u w:val="single"/>
        </w:rPr>
      </w:pPr>
      <w:r w:rsidRPr="00A46F2B">
        <w:rPr>
          <w:rFonts w:ascii="Arial" w:hAnsi="Arial" w:cs="Arial"/>
          <w:b/>
          <w:bCs/>
          <w:color w:val="7030A0"/>
          <w:sz w:val="32"/>
          <w:szCs w:val="32"/>
          <w:u w:val="single"/>
        </w:rPr>
        <w:t>Critical Evaluation</w:t>
      </w:r>
    </w:p>
    <w:p w14:paraId="4F1C7D28" w14:textId="77777777" w:rsidR="00A46F2B" w:rsidRPr="006F5F9A" w:rsidRDefault="00A46F2B" w:rsidP="00A46F2B">
      <w:pPr>
        <w:jc w:val="both"/>
        <w:rPr>
          <w:rFonts w:ascii="Arial" w:hAnsi="Arial" w:cs="Arial"/>
          <w:b/>
          <w:bCs/>
          <w:color w:val="0070C0"/>
          <w:sz w:val="32"/>
          <w:szCs w:val="32"/>
        </w:rPr>
      </w:pPr>
      <w:r w:rsidRPr="006F5F9A">
        <w:rPr>
          <w:rFonts w:ascii="Arial" w:hAnsi="Arial" w:cs="Arial"/>
          <w:b/>
          <w:bCs/>
          <w:color w:val="0070C0"/>
          <w:sz w:val="32"/>
          <w:szCs w:val="32"/>
        </w:rPr>
        <w:t>Benefits</w:t>
      </w:r>
    </w:p>
    <w:p w14:paraId="22D3D4B5" w14:textId="77777777" w:rsidR="00A46F2B" w:rsidRPr="00A46F2B" w:rsidRDefault="00A46F2B" w:rsidP="00A46F2B">
      <w:pPr>
        <w:pStyle w:val="ListParagraph"/>
        <w:numPr>
          <w:ilvl w:val="0"/>
          <w:numId w:val="6"/>
        </w:numPr>
        <w:jc w:val="both"/>
        <w:rPr>
          <w:rFonts w:ascii="Arial" w:hAnsi="Arial" w:cs="Arial"/>
          <w:sz w:val="28"/>
          <w:szCs w:val="28"/>
        </w:rPr>
      </w:pPr>
      <w:r w:rsidRPr="00A46F2B">
        <w:rPr>
          <w:rFonts w:ascii="Arial" w:hAnsi="Arial" w:cs="Arial"/>
          <w:color w:val="0070C0"/>
          <w:sz w:val="28"/>
          <w:szCs w:val="28"/>
        </w:rPr>
        <w:t xml:space="preserve">Empowering Individuals: </w:t>
      </w:r>
      <w:r w:rsidRPr="00A46F2B">
        <w:rPr>
          <w:rFonts w:ascii="Arial" w:hAnsi="Arial" w:cs="Arial"/>
          <w:sz w:val="28"/>
          <w:szCs w:val="28"/>
        </w:rPr>
        <w:t>Financial education empowers individuals with the knowledge and skills to manage their finances effectively, make informed choices, and avoid falling into poverty due to financial mismanagement.</w:t>
      </w:r>
    </w:p>
    <w:p w14:paraId="4D7D7886" w14:textId="77777777" w:rsidR="00A46F2B" w:rsidRPr="00A46F2B" w:rsidRDefault="00A46F2B" w:rsidP="00A46F2B">
      <w:pPr>
        <w:pStyle w:val="ListParagraph"/>
        <w:numPr>
          <w:ilvl w:val="0"/>
          <w:numId w:val="6"/>
        </w:numPr>
        <w:jc w:val="both"/>
        <w:rPr>
          <w:rFonts w:ascii="Arial" w:hAnsi="Arial" w:cs="Arial"/>
          <w:sz w:val="28"/>
          <w:szCs w:val="28"/>
        </w:rPr>
      </w:pPr>
      <w:r w:rsidRPr="00A46F2B">
        <w:rPr>
          <w:rFonts w:ascii="Arial" w:hAnsi="Arial" w:cs="Arial"/>
          <w:color w:val="0070C0"/>
          <w:sz w:val="28"/>
          <w:szCs w:val="28"/>
        </w:rPr>
        <w:t>Promoting Savings:</w:t>
      </w:r>
      <w:r w:rsidRPr="00A46F2B">
        <w:rPr>
          <w:rFonts w:ascii="Arial" w:hAnsi="Arial" w:cs="Arial"/>
          <w:sz w:val="28"/>
          <w:szCs w:val="28"/>
        </w:rPr>
        <w:t xml:space="preserve"> Financial education can encourage savings and asset-building, which are essential for long-term financial stability and poverty prevention.</w:t>
      </w:r>
    </w:p>
    <w:p w14:paraId="594D1C15" w14:textId="77777777" w:rsidR="00A46F2B" w:rsidRPr="00A46F2B" w:rsidRDefault="00A46F2B" w:rsidP="00A46F2B">
      <w:pPr>
        <w:pStyle w:val="ListParagraph"/>
        <w:numPr>
          <w:ilvl w:val="0"/>
          <w:numId w:val="6"/>
        </w:numPr>
        <w:jc w:val="both"/>
        <w:rPr>
          <w:rFonts w:ascii="Arial" w:hAnsi="Arial" w:cs="Arial"/>
          <w:sz w:val="28"/>
          <w:szCs w:val="28"/>
        </w:rPr>
      </w:pPr>
      <w:r w:rsidRPr="00A46F2B">
        <w:rPr>
          <w:rFonts w:ascii="Arial" w:hAnsi="Arial" w:cs="Arial"/>
          <w:color w:val="0070C0"/>
          <w:sz w:val="28"/>
          <w:szCs w:val="28"/>
        </w:rPr>
        <w:t xml:space="preserve">Access to Financial Services: </w:t>
      </w:r>
      <w:r w:rsidRPr="00A46F2B">
        <w:rPr>
          <w:rFonts w:ascii="Arial" w:hAnsi="Arial" w:cs="Arial"/>
          <w:sz w:val="28"/>
          <w:szCs w:val="28"/>
        </w:rPr>
        <w:t>Financial inclusion efforts aim to provide underserved populations with access to affordable banking, credit, and insurance services, reducing reliance on high-cost alternatives like payday lenders.</w:t>
      </w:r>
    </w:p>
    <w:p w14:paraId="43019E19" w14:textId="77777777" w:rsidR="00A46F2B" w:rsidRPr="00A46F2B" w:rsidRDefault="00A46F2B" w:rsidP="00A46F2B">
      <w:pPr>
        <w:pStyle w:val="ListParagraph"/>
        <w:numPr>
          <w:ilvl w:val="0"/>
          <w:numId w:val="6"/>
        </w:numPr>
        <w:jc w:val="both"/>
        <w:rPr>
          <w:rFonts w:ascii="Arial" w:hAnsi="Arial" w:cs="Arial"/>
          <w:sz w:val="28"/>
          <w:szCs w:val="28"/>
        </w:rPr>
      </w:pPr>
      <w:r w:rsidRPr="00A46F2B">
        <w:rPr>
          <w:rFonts w:ascii="Arial" w:hAnsi="Arial" w:cs="Arial"/>
          <w:color w:val="0070C0"/>
          <w:sz w:val="28"/>
          <w:szCs w:val="28"/>
        </w:rPr>
        <w:t xml:space="preserve">Reducing Debt and Financial Stress: </w:t>
      </w:r>
      <w:r w:rsidRPr="00A46F2B">
        <w:rPr>
          <w:rFonts w:ascii="Arial" w:hAnsi="Arial" w:cs="Arial"/>
          <w:sz w:val="28"/>
          <w:szCs w:val="28"/>
        </w:rPr>
        <w:t>Improved financial literacy can help individuals better manage debt, reducing financial stress and its negative impacts on well-being.</w:t>
      </w:r>
    </w:p>
    <w:p w14:paraId="20E97329" w14:textId="14A18D35" w:rsidR="00A46F2B" w:rsidRPr="00A46F2B" w:rsidRDefault="00A46F2B" w:rsidP="00A46F2B">
      <w:pPr>
        <w:pStyle w:val="ListParagraph"/>
        <w:numPr>
          <w:ilvl w:val="0"/>
          <w:numId w:val="6"/>
        </w:numPr>
        <w:jc w:val="both"/>
        <w:rPr>
          <w:rFonts w:ascii="Arial" w:hAnsi="Arial" w:cs="Arial"/>
          <w:sz w:val="28"/>
          <w:szCs w:val="28"/>
        </w:rPr>
      </w:pPr>
      <w:r w:rsidRPr="00A46F2B">
        <w:rPr>
          <w:rFonts w:ascii="Arial" w:hAnsi="Arial" w:cs="Arial"/>
          <w:color w:val="0070C0"/>
          <w:sz w:val="28"/>
          <w:szCs w:val="28"/>
        </w:rPr>
        <w:t>Youth and Education:</w:t>
      </w:r>
      <w:r w:rsidRPr="00A46F2B">
        <w:rPr>
          <w:rFonts w:ascii="Arial" w:hAnsi="Arial" w:cs="Arial"/>
          <w:sz w:val="28"/>
          <w:szCs w:val="28"/>
        </w:rPr>
        <w:t xml:space="preserve"> Integrating financial education into the school curriculum equips the next generation with essential financial skills early in life.</w:t>
      </w:r>
    </w:p>
    <w:p w14:paraId="49B1E90A" w14:textId="77777777" w:rsidR="006F5F9A" w:rsidRDefault="006F5F9A" w:rsidP="006F5F9A">
      <w:pPr>
        <w:jc w:val="both"/>
        <w:rPr>
          <w:rFonts w:ascii="Arial" w:hAnsi="Arial" w:cs="Arial"/>
          <w:sz w:val="28"/>
          <w:szCs w:val="28"/>
        </w:rPr>
      </w:pPr>
    </w:p>
    <w:p w14:paraId="13328D50" w14:textId="77777777" w:rsidR="00A46F2B" w:rsidRDefault="00A46F2B" w:rsidP="006F5F9A">
      <w:pPr>
        <w:jc w:val="both"/>
        <w:rPr>
          <w:rFonts w:ascii="Arial" w:hAnsi="Arial" w:cs="Arial"/>
          <w:sz w:val="28"/>
          <w:szCs w:val="28"/>
        </w:rPr>
      </w:pPr>
    </w:p>
    <w:p w14:paraId="06B0B56A" w14:textId="77777777" w:rsidR="00A46F2B" w:rsidRPr="006F5F9A" w:rsidRDefault="00A46F2B" w:rsidP="00A46F2B">
      <w:pPr>
        <w:jc w:val="both"/>
        <w:rPr>
          <w:rFonts w:ascii="Arial" w:hAnsi="Arial" w:cs="Arial"/>
          <w:b/>
          <w:bCs/>
          <w:color w:val="FF0000"/>
          <w:sz w:val="32"/>
          <w:szCs w:val="32"/>
        </w:rPr>
      </w:pPr>
      <w:r w:rsidRPr="006F5F9A">
        <w:rPr>
          <w:rFonts w:ascii="Arial" w:hAnsi="Arial" w:cs="Arial"/>
          <w:b/>
          <w:bCs/>
          <w:color w:val="FF0000"/>
          <w:sz w:val="32"/>
          <w:szCs w:val="32"/>
        </w:rPr>
        <w:t>Challenges and Considerations</w:t>
      </w:r>
    </w:p>
    <w:p w14:paraId="6D2A72F9" w14:textId="3EC1E61E" w:rsidR="00A46F2B" w:rsidRPr="00A46F2B" w:rsidRDefault="00A46F2B" w:rsidP="00A46F2B">
      <w:pPr>
        <w:pStyle w:val="ListParagraph"/>
        <w:numPr>
          <w:ilvl w:val="0"/>
          <w:numId w:val="7"/>
        </w:numPr>
        <w:jc w:val="both"/>
        <w:rPr>
          <w:rFonts w:ascii="Arial" w:hAnsi="Arial" w:cs="Arial"/>
          <w:sz w:val="28"/>
          <w:szCs w:val="28"/>
        </w:rPr>
      </w:pPr>
      <w:r w:rsidRPr="00A46F2B">
        <w:rPr>
          <w:rFonts w:ascii="Arial" w:hAnsi="Arial" w:cs="Arial"/>
          <w:color w:val="FF0000"/>
          <w:sz w:val="28"/>
          <w:szCs w:val="28"/>
        </w:rPr>
        <w:t>Effectiveness:</w:t>
      </w:r>
      <w:r w:rsidRPr="00A46F2B">
        <w:rPr>
          <w:rFonts w:ascii="Arial" w:hAnsi="Arial" w:cs="Arial"/>
          <w:sz w:val="28"/>
          <w:szCs w:val="28"/>
        </w:rPr>
        <w:t xml:space="preserve"> The impact of financial education on </w:t>
      </w:r>
      <w:r w:rsidRPr="00A46F2B">
        <w:rPr>
          <w:rFonts w:ascii="Arial" w:hAnsi="Arial" w:cs="Arial"/>
          <w:sz w:val="28"/>
          <w:szCs w:val="28"/>
        </w:rPr>
        <w:t>behaviour</w:t>
      </w:r>
      <w:r w:rsidRPr="00A46F2B">
        <w:rPr>
          <w:rFonts w:ascii="Arial" w:hAnsi="Arial" w:cs="Arial"/>
          <w:sz w:val="28"/>
          <w:szCs w:val="28"/>
        </w:rPr>
        <w:t xml:space="preserve"> and financial outcomes can vary. It may not immediately lift individuals out of poverty, and success often depends on the quality and accessibility of education programs.</w:t>
      </w:r>
    </w:p>
    <w:p w14:paraId="0F37F23B" w14:textId="77777777" w:rsidR="00A46F2B" w:rsidRPr="00A46F2B" w:rsidRDefault="00A46F2B" w:rsidP="00A46F2B">
      <w:pPr>
        <w:pStyle w:val="ListParagraph"/>
        <w:numPr>
          <w:ilvl w:val="0"/>
          <w:numId w:val="7"/>
        </w:numPr>
        <w:jc w:val="both"/>
        <w:rPr>
          <w:rFonts w:ascii="Arial" w:hAnsi="Arial" w:cs="Arial"/>
          <w:sz w:val="28"/>
          <w:szCs w:val="28"/>
        </w:rPr>
      </w:pPr>
      <w:r w:rsidRPr="00A46F2B">
        <w:rPr>
          <w:rFonts w:ascii="Arial" w:hAnsi="Arial" w:cs="Arial"/>
          <w:color w:val="FF0000"/>
          <w:sz w:val="28"/>
          <w:szCs w:val="28"/>
        </w:rPr>
        <w:t xml:space="preserve">Access Barriers: </w:t>
      </w:r>
      <w:r w:rsidRPr="00A46F2B">
        <w:rPr>
          <w:rFonts w:ascii="Arial" w:hAnsi="Arial" w:cs="Arial"/>
          <w:sz w:val="28"/>
          <w:szCs w:val="28"/>
        </w:rPr>
        <w:t>Some individuals facing poverty may have limited access to formal financial services or education, particularly vulnerable and marginalized populations.</w:t>
      </w:r>
    </w:p>
    <w:p w14:paraId="73973A7E" w14:textId="67264994" w:rsidR="00A46F2B" w:rsidRPr="00A46F2B" w:rsidRDefault="00A46F2B" w:rsidP="00A46F2B">
      <w:pPr>
        <w:pStyle w:val="ListParagraph"/>
        <w:numPr>
          <w:ilvl w:val="0"/>
          <w:numId w:val="7"/>
        </w:numPr>
        <w:jc w:val="both"/>
        <w:rPr>
          <w:rFonts w:ascii="Arial" w:hAnsi="Arial" w:cs="Arial"/>
          <w:sz w:val="28"/>
          <w:szCs w:val="28"/>
        </w:rPr>
      </w:pPr>
      <w:r w:rsidRPr="00A46F2B">
        <w:rPr>
          <w:rFonts w:ascii="Arial" w:hAnsi="Arial" w:cs="Arial"/>
          <w:color w:val="FF0000"/>
          <w:sz w:val="28"/>
          <w:szCs w:val="28"/>
        </w:rPr>
        <w:t>Behavioural</w:t>
      </w:r>
      <w:r w:rsidRPr="00A46F2B">
        <w:rPr>
          <w:rFonts w:ascii="Arial" w:hAnsi="Arial" w:cs="Arial"/>
          <w:color w:val="FF0000"/>
          <w:sz w:val="28"/>
          <w:szCs w:val="28"/>
        </w:rPr>
        <w:t xml:space="preserve"> Barriers: </w:t>
      </w:r>
      <w:r w:rsidRPr="00A46F2B">
        <w:rPr>
          <w:rFonts w:ascii="Arial" w:hAnsi="Arial" w:cs="Arial"/>
          <w:sz w:val="28"/>
          <w:szCs w:val="28"/>
        </w:rPr>
        <w:t xml:space="preserve">Financial education alone may not address deep-rooted financial </w:t>
      </w:r>
      <w:r w:rsidRPr="00A46F2B">
        <w:rPr>
          <w:rFonts w:ascii="Arial" w:hAnsi="Arial" w:cs="Arial"/>
          <w:sz w:val="28"/>
          <w:szCs w:val="28"/>
        </w:rPr>
        <w:t>behaviours</w:t>
      </w:r>
      <w:r w:rsidRPr="00A46F2B">
        <w:rPr>
          <w:rFonts w:ascii="Arial" w:hAnsi="Arial" w:cs="Arial"/>
          <w:sz w:val="28"/>
          <w:szCs w:val="28"/>
        </w:rPr>
        <w:t>, especially when external economic pressures are significant.</w:t>
      </w:r>
    </w:p>
    <w:p w14:paraId="5FA18538" w14:textId="77777777" w:rsidR="00A46F2B" w:rsidRPr="00A46F2B" w:rsidRDefault="00A46F2B" w:rsidP="00A46F2B">
      <w:pPr>
        <w:pStyle w:val="ListParagraph"/>
        <w:numPr>
          <w:ilvl w:val="0"/>
          <w:numId w:val="7"/>
        </w:numPr>
        <w:jc w:val="both"/>
        <w:rPr>
          <w:rFonts w:ascii="Arial" w:hAnsi="Arial" w:cs="Arial"/>
          <w:sz w:val="28"/>
          <w:szCs w:val="28"/>
        </w:rPr>
      </w:pPr>
      <w:r w:rsidRPr="00A46F2B">
        <w:rPr>
          <w:rFonts w:ascii="Arial" w:hAnsi="Arial" w:cs="Arial"/>
          <w:color w:val="FF0000"/>
          <w:sz w:val="28"/>
          <w:szCs w:val="28"/>
        </w:rPr>
        <w:t xml:space="preserve">Resource Allocation: </w:t>
      </w:r>
      <w:r w:rsidRPr="00A46F2B">
        <w:rPr>
          <w:rFonts w:ascii="Arial" w:hAnsi="Arial" w:cs="Arial"/>
          <w:sz w:val="28"/>
          <w:szCs w:val="28"/>
        </w:rPr>
        <w:t>Funding for financial education and inclusion programs may compete with other social services and poverty alleviation initiatives.</w:t>
      </w:r>
    </w:p>
    <w:p w14:paraId="371CAC9F" w14:textId="2C51C999" w:rsidR="00A46F2B" w:rsidRDefault="00A46F2B" w:rsidP="00A46F2B">
      <w:pPr>
        <w:pStyle w:val="ListParagraph"/>
        <w:numPr>
          <w:ilvl w:val="0"/>
          <w:numId w:val="7"/>
        </w:numPr>
        <w:jc w:val="both"/>
        <w:rPr>
          <w:rFonts w:ascii="Arial" w:hAnsi="Arial" w:cs="Arial"/>
          <w:sz w:val="28"/>
          <w:szCs w:val="28"/>
        </w:rPr>
      </w:pPr>
      <w:r w:rsidRPr="00A46F2B">
        <w:rPr>
          <w:rFonts w:ascii="Arial" w:hAnsi="Arial" w:cs="Arial"/>
          <w:color w:val="FF0000"/>
          <w:sz w:val="28"/>
          <w:szCs w:val="28"/>
        </w:rPr>
        <w:t xml:space="preserve">Policy Coordination: </w:t>
      </w:r>
      <w:r w:rsidRPr="00A46F2B">
        <w:rPr>
          <w:rFonts w:ascii="Arial" w:hAnsi="Arial" w:cs="Arial"/>
          <w:sz w:val="28"/>
          <w:szCs w:val="28"/>
        </w:rPr>
        <w:t>Effective implementation requires coordination among various stakeholders, including government agencies, financial institutions, and non-profit organizations.</w:t>
      </w:r>
    </w:p>
    <w:p w14:paraId="6531A192" w14:textId="77777777" w:rsidR="00A46F2B" w:rsidRDefault="00A46F2B" w:rsidP="00A46F2B">
      <w:pPr>
        <w:jc w:val="both"/>
        <w:rPr>
          <w:rFonts w:ascii="Arial" w:hAnsi="Arial" w:cs="Arial"/>
          <w:sz w:val="28"/>
          <w:szCs w:val="28"/>
        </w:rPr>
      </w:pPr>
    </w:p>
    <w:p w14:paraId="714BE145" w14:textId="77777777" w:rsidR="00A46F2B" w:rsidRPr="00A46F2B" w:rsidRDefault="00A46F2B" w:rsidP="00A46F2B">
      <w:pPr>
        <w:jc w:val="both"/>
        <w:rPr>
          <w:rFonts w:ascii="Arial" w:hAnsi="Arial" w:cs="Arial"/>
          <w:sz w:val="28"/>
          <w:szCs w:val="28"/>
        </w:rPr>
      </w:pPr>
      <w:r w:rsidRPr="00A46F2B">
        <w:rPr>
          <w:rFonts w:ascii="Arial" w:hAnsi="Arial" w:cs="Arial"/>
          <w:sz w:val="28"/>
          <w:szCs w:val="28"/>
        </w:rPr>
        <w:t>In conclusion, financial education and inclusion programs are valuable strategies to address SDG 1 by empowering individuals and communities with the tools needed to manage their finances and reduce vulnerability to poverty. However, their effectiveness depends on factors like program quality, accessibility, and the presence of supportive policies. Combining financial education with other poverty-reduction measures, such as affordable housing and income support, can create a more comprehensive approach to addressing poverty in the UK.</w:t>
      </w:r>
    </w:p>
    <w:p w14:paraId="7E8CBC62" w14:textId="77777777" w:rsidR="00A46F2B" w:rsidRDefault="00A46F2B" w:rsidP="00A46F2B">
      <w:pPr>
        <w:jc w:val="both"/>
        <w:rPr>
          <w:rFonts w:ascii="Arial" w:hAnsi="Arial" w:cs="Arial"/>
          <w:sz w:val="28"/>
          <w:szCs w:val="28"/>
        </w:rPr>
      </w:pPr>
    </w:p>
    <w:p w14:paraId="481D2C1D" w14:textId="7CBF0659" w:rsidR="00A46F2B" w:rsidRDefault="00500EEF" w:rsidP="00A46F2B">
      <w:pPr>
        <w:jc w:val="both"/>
        <w:rPr>
          <w:rFonts w:ascii="Arial" w:hAnsi="Arial" w:cs="Arial"/>
          <w:b/>
          <w:bCs/>
          <w:color w:val="7030A0"/>
          <w:sz w:val="32"/>
          <w:szCs w:val="32"/>
          <w:u w:val="single"/>
        </w:rPr>
      </w:pPr>
      <w:r w:rsidRPr="006F5F9A">
        <w:rPr>
          <w:rFonts w:ascii="Arial" w:hAnsi="Arial" w:cs="Arial"/>
          <w:b/>
          <w:bCs/>
          <w:color w:val="7030A0"/>
          <w:sz w:val="32"/>
          <w:szCs w:val="32"/>
        </w:rPr>
        <w:t xml:space="preserve">Strategy/Programme </w:t>
      </w:r>
      <w:r>
        <w:rPr>
          <w:rFonts w:ascii="Arial" w:hAnsi="Arial" w:cs="Arial"/>
          <w:b/>
          <w:bCs/>
          <w:color w:val="7030A0"/>
          <w:sz w:val="32"/>
          <w:szCs w:val="32"/>
        </w:rPr>
        <w:t>4</w:t>
      </w:r>
      <w:r w:rsidRPr="006F5F9A">
        <w:rPr>
          <w:rFonts w:ascii="Arial" w:hAnsi="Arial" w:cs="Arial"/>
          <w:b/>
          <w:bCs/>
          <w:color w:val="7030A0"/>
          <w:sz w:val="32"/>
          <w:szCs w:val="32"/>
        </w:rPr>
        <w:t>:</w:t>
      </w:r>
      <w:r>
        <w:rPr>
          <w:rFonts w:ascii="Arial" w:hAnsi="Arial" w:cs="Arial"/>
          <w:b/>
          <w:bCs/>
          <w:color w:val="7030A0"/>
          <w:sz w:val="32"/>
          <w:szCs w:val="32"/>
        </w:rPr>
        <w:t xml:space="preserve"> </w:t>
      </w:r>
      <w:r w:rsidRPr="00500EEF">
        <w:rPr>
          <w:rFonts w:ascii="Arial" w:hAnsi="Arial" w:cs="Arial"/>
          <w:b/>
          <w:bCs/>
          <w:color w:val="7030A0"/>
          <w:sz w:val="32"/>
          <w:szCs w:val="32"/>
          <w:u w:val="single"/>
        </w:rPr>
        <w:t>Strengthening Income Support Systems and State Benefits</w:t>
      </w:r>
    </w:p>
    <w:p w14:paraId="3BE8DC69" w14:textId="12F9BA6D" w:rsidR="00500EEF" w:rsidRPr="00500EEF" w:rsidRDefault="00500EEF" w:rsidP="00500EEF">
      <w:pPr>
        <w:jc w:val="both"/>
        <w:rPr>
          <w:rFonts w:ascii="Arial" w:hAnsi="Arial" w:cs="Arial"/>
          <w:sz w:val="28"/>
          <w:szCs w:val="28"/>
        </w:rPr>
      </w:pPr>
      <w:r w:rsidRPr="00500EEF">
        <w:rPr>
          <w:rFonts w:ascii="Arial" w:hAnsi="Arial" w:cs="Arial"/>
          <w:sz w:val="28"/>
          <w:szCs w:val="28"/>
        </w:rPr>
        <w:t>Strengthening income support systems, including Universal Credit</w:t>
      </w:r>
      <w:r w:rsidR="00A30D14">
        <w:rPr>
          <w:rFonts w:ascii="Arial" w:hAnsi="Arial" w:cs="Arial"/>
          <w:sz w:val="28"/>
          <w:szCs w:val="28"/>
        </w:rPr>
        <w:t xml:space="preserve"> </w:t>
      </w:r>
      <w:r w:rsidRPr="00500EEF">
        <w:rPr>
          <w:rFonts w:ascii="Arial" w:hAnsi="Arial" w:cs="Arial"/>
          <w:sz w:val="28"/>
          <w:szCs w:val="28"/>
        </w:rPr>
        <w:t xml:space="preserve">and other state benefits, is a strategy aimed at addressing </w:t>
      </w:r>
      <w:r>
        <w:rPr>
          <w:rFonts w:ascii="Arial" w:hAnsi="Arial" w:cs="Arial"/>
          <w:sz w:val="28"/>
          <w:szCs w:val="28"/>
        </w:rPr>
        <w:t>SDG</w:t>
      </w:r>
      <w:r w:rsidRPr="00500EEF">
        <w:rPr>
          <w:rFonts w:ascii="Arial" w:hAnsi="Arial" w:cs="Arial"/>
          <w:sz w:val="28"/>
          <w:szCs w:val="28"/>
        </w:rPr>
        <w:t>1 (No Poverty) in the UK. This approach involves enhancing and expanding social safety nets and financial assistance programs to provide a more comprehensive and effective safety net for individuals and families experiencing income-related poverty.</w:t>
      </w:r>
    </w:p>
    <w:p w14:paraId="6F7819C4" w14:textId="77777777" w:rsidR="00500EEF" w:rsidRPr="00A46F2B" w:rsidRDefault="00500EEF" w:rsidP="00500EEF">
      <w:pPr>
        <w:jc w:val="both"/>
        <w:rPr>
          <w:rFonts w:ascii="Arial" w:hAnsi="Arial" w:cs="Arial"/>
          <w:b/>
          <w:bCs/>
          <w:color w:val="7030A0"/>
          <w:sz w:val="32"/>
          <w:szCs w:val="32"/>
          <w:u w:val="single"/>
        </w:rPr>
      </w:pPr>
      <w:r w:rsidRPr="00A46F2B">
        <w:rPr>
          <w:rFonts w:ascii="Arial" w:hAnsi="Arial" w:cs="Arial"/>
          <w:b/>
          <w:bCs/>
          <w:color w:val="7030A0"/>
          <w:sz w:val="32"/>
          <w:szCs w:val="32"/>
          <w:u w:val="single"/>
        </w:rPr>
        <w:t>Critical Evaluation</w:t>
      </w:r>
    </w:p>
    <w:p w14:paraId="6D8177A0" w14:textId="77777777" w:rsidR="00500EEF" w:rsidRPr="006F5F9A" w:rsidRDefault="00500EEF" w:rsidP="00500EEF">
      <w:pPr>
        <w:jc w:val="both"/>
        <w:rPr>
          <w:rFonts w:ascii="Arial" w:hAnsi="Arial" w:cs="Arial"/>
          <w:b/>
          <w:bCs/>
          <w:color w:val="0070C0"/>
          <w:sz w:val="32"/>
          <w:szCs w:val="32"/>
        </w:rPr>
      </w:pPr>
      <w:r w:rsidRPr="006F5F9A">
        <w:rPr>
          <w:rFonts w:ascii="Arial" w:hAnsi="Arial" w:cs="Arial"/>
          <w:b/>
          <w:bCs/>
          <w:color w:val="0070C0"/>
          <w:sz w:val="32"/>
          <w:szCs w:val="32"/>
        </w:rPr>
        <w:t>Benefits</w:t>
      </w:r>
    </w:p>
    <w:p w14:paraId="20FBF46D" w14:textId="33306D58" w:rsidR="00500EEF" w:rsidRPr="00500EEF" w:rsidRDefault="00500EEF" w:rsidP="00500EEF">
      <w:pPr>
        <w:jc w:val="both"/>
        <w:rPr>
          <w:rFonts w:ascii="Arial" w:hAnsi="Arial" w:cs="Arial"/>
          <w:sz w:val="28"/>
          <w:szCs w:val="28"/>
        </w:rPr>
      </w:pPr>
      <w:r w:rsidRPr="00500EEF">
        <w:rPr>
          <w:rFonts w:ascii="Arial" w:hAnsi="Arial" w:cs="Arial"/>
          <w:color w:val="0070C0"/>
          <w:sz w:val="28"/>
          <w:szCs w:val="28"/>
        </w:rPr>
        <w:t>Universal Credit:</w:t>
      </w:r>
      <w:r w:rsidRPr="00500EEF">
        <w:rPr>
          <w:rFonts w:ascii="Arial" w:hAnsi="Arial" w:cs="Arial"/>
          <w:sz w:val="28"/>
          <w:szCs w:val="28"/>
        </w:rPr>
        <w:t xml:space="preserve"> Universal Credit serves as a comprehensive income support system that consolidates several benefits, simplifying the application process and ensuring that eligible claimants receive financial assistance efficiently.</w:t>
      </w:r>
      <w:r w:rsidR="00A30D14">
        <w:rPr>
          <w:rFonts w:ascii="Arial" w:hAnsi="Arial" w:cs="Arial"/>
          <w:sz w:val="28"/>
          <w:szCs w:val="28"/>
        </w:rPr>
        <w:t xml:space="preserve"> </w:t>
      </w:r>
      <w:r w:rsidRPr="00500EEF">
        <w:rPr>
          <w:rFonts w:ascii="Arial" w:hAnsi="Arial" w:cs="Arial"/>
          <w:color w:val="0070C0"/>
          <w:sz w:val="28"/>
          <w:szCs w:val="28"/>
        </w:rPr>
        <w:t>Jobseeker's Allowance</w:t>
      </w:r>
      <w:r w:rsidR="00A30D14">
        <w:rPr>
          <w:rFonts w:ascii="Arial" w:hAnsi="Arial" w:cs="Arial"/>
          <w:color w:val="0070C0"/>
          <w:sz w:val="28"/>
          <w:szCs w:val="28"/>
        </w:rPr>
        <w:t xml:space="preserve"> </w:t>
      </w:r>
      <w:r w:rsidRPr="00500EEF">
        <w:rPr>
          <w:rFonts w:ascii="Arial" w:hAnsi="Arial" w:cs="Arial"/>
          <w:sz w:val="28"/>
          <w:szCs w:val="28"/>
        </w:rPr>
        <w:t>provides support to individuals actively seeking employment, helping them meet their basic needs while transitioning back into the workforce.</w:t>
      </w:r>
    </w:p>
    <w:p w14:paraId="38980732" w14:textId="77777777" w:rsidR="00500EEF" w:rsidRPr="00500EEF" w:rsidRDefault="00500EEF" w:rsidP="00500EEF">
      <w:pPr>
        <w:jc w:val="both"/>
        <w:rPr>
          <w:rFonts w:ascii="Arial" w:hAnsi="Arial" w:cs="Arial"/>
          <w:sz w:val="28"/>
          <w:szCs w:val="28"/>
        </w:rPr>
      </w:pPr>
      <w:r w:rsidRPr="00500EEF">
        <w:rPr>
          <w:rFonts w:ascii="Arial" w:hAnsi="Arial" w:cs="Arial"/>
          <w:color w:val="0070C0"/>
          <w:sz w:val="28"/>
          <w:szCs w:val="28"/>
        </w:rPr>
        <w:t xml:space="preserve">Housing Benefit: </w:t>
      </w:r>
      <w:r w:rsidRPr="00500EEF">
        <w:rPr>
          <w:rFonts w:ascii="Arial" w:hAnsi="Arial" w:cs="Arial"/>
          <w:sz w:val="28"/>
          <w:szCs w:val="28"/>
        </w:rPr>
        <w:t>Housing Benefit assists low-income individuals and families in covering the cost of rent, reducing the risk of homelessness and housing-related financial stress.</w:t>
      </w:r>
    </w:p>
    <w:p w14:paraId="5C096F09" w14:textId="77777777" w:rsidR="00500EEF" w:rsidRPr="00500EEF" w:rsidRDefault="00500EEF" w:rsidP="00500EEF">
      <w:pPr>
        <w:jc w:val="both"/>
        <w:rPr>
          <w:rFonts w:ascii="Arial" w:hAnsi="Arial" w:cs="Arial"/>
          <w:sz w:val="28"/>
          <w:szCs w:val="28"/>
        </w:rPr>
      </w:pPr>
      <w:r w:rsidRPr="00500EEF">
        <w:rPr>
          <w:rFonts w:ascii="Arial" w:hAnsi="Arial" w:cs="Arial"/>
          <w:color w:val="0070C0"/>
          <w:sz w:val="28"/>
          <w:szCs w:val="28"/>
        </w:rPr>
        <w:t>Income Redistribution:</w:t>
      </w:r>
      <w:r w:rsidRPr="00500EEF">
        <w:rPr>
          <w:rFonts w:ascii="Arial" w:hAnsi="Arial" w:cs="Arial"/>
          <w:sz w:val="28"/>
          <w:szCs w:val="28"/>
        </w:rPr>
        <w:t xml:space="preserve"> These income support systems, including Disability Living Allowance and Personal Independence Payment, help redistribute wealth and reduce income inequality by providing targeted financial assistance to those who need it most.</w:t>
      </w:r>
    </w:p>
    <w:p w14:paraId="55A2602E" w14:textId="1615729F" w:rsidR="00500EEF" w:rsidRDefault="00500EEF" w:rsidP="00500EEF">
      <w:pPr>
        <w:jc w:val="both"/>
        <w:rPr>
          <w:rFonts w:ascii="Arial" w:hAnsi="Arial" w:cs="Arial"/>
          <w:sz w:val="28"/>
          <w:szCs w:val="28"/>
        </w:rPr>
      </w:pPr>
      <w:r w:rsidRPr="00500EEF">
        <w:rPr>
          <w:rFonts w:ascii="Arial" w:hAnsi="Arial" w:cs="Arial"/>
          <w:color w:val="0070C0"/>
          <w:sz w:val="28"/>
          <w:szCs w:val="28"/>
        </w:rPr>
        <w:t xml:space="preserve">Crisis Response: </w:t>
      </w:r>
      <w:r w:rsidRPr="00500EEF">
        <w:rPr>
          <w:rFonts w:ascii="Arial" w:hAnsi="Arial" w:cs="Arial"/>
          <w:sz w:val="28"/>
          <w:szCs w:val="28"/>
        </w:rPr>
        <w:t>During economic downturns, job losses, or unexpected crises, state benefits act as crucial safety nets, preventing individuals and families from falling deeper into poverty.</w:t>
      </w:r>
    </w:p>
    <w:p w14:paraId="7B0D01C7" w14:textId="77777777" w:rsidR="00A30D14" w:rsidRPr="006F5F9A" w:rsidRDefault="00A30D14" w:rsidP="00A30D14">
      <w:pPr>
        <w:jc w:val="both"/>
        <w:rPr>
          <w:rFonts w:ascii="Arial" w:hAnsi="Arial" w:cs="Arial"/>
          <w:b/>
          <w:bCs/>
          <w:color w:val="FF0000"/>
          <w:sz w:val="32"/>
          <w:szCs w:val="32"/>
        </w:rPr>
      </w:pPr>
      <w:r w:rsidRPr="006F5F9A">
        <w:rPr>
          <w:rFonts w:ascii="Arial" w:hAnsi="Arial" w:cs="Arial"/>
          <w:b/>
          <w:bCs/>
          <w:color w:val="FF0000"/>
          <w:sz w:val="32"/>
          <w:szCs w:val="32"/>
        </w:rPr>
        <w:t>Challenges and Considerations</w:t>
      </w:r>
    </w:p>
    <w:p w14:paraId="505F5C39" w14:textId="77777777" w:rsidR="00A30D14" w:rsidRPr="00A30D14" w:rsidRDefault="00A30D14" w:rsidP="00A30D14">
      <w:pPr>
        <w:pStyle w:val="ListParagraph"/>
        <w:numPr>
          <w:ilvl w:val="0"/>
          <w:numId w:val="8"/>
        </w:numPr>
        <w:jc w:val="both"/>
        <w:rPr>
          <w:rFonts w:ascii="Arial" w:hAnsi="Arial" w:cs="Arial"/>
          <w:sz w:val="28"/>
          <w:szCs w:val="28"/>
        </w:rPr>
      </w:pPr>
      <w:r w:rsidRPr="00A30D14">
        <w:rPr>
          <w:rFonts w:ascii="Arial" w:hAnsi="Arial" w:cs="Arial"/>
          <w:color w:val="FF0000"/>
          <w:sz w:val="28"/>
          <w:szCs w:val="28"/>
        </w:rPr>
        <w:t>Adequacy of Benefits:</w:t>
      </w:r>
      <w:r w:rsidRPr="00A30D14">
        <w:rPr>
          <w:rFonts w:ascii="Arial" w:hAnsi="Arial" w:cs="Arial"/>
          <w:sz w:val="28"/>
          <w:szCs w:val="28"/>
        </w:rPr>
        <w:t xml:space="preserve"> One of the primary challenges is the adequacy of benefit levels. In some cases, benefit amounts may not fully cover the cost of living, especially in high-cost areas like London, leading to in-work poverty.</w:t>
      </w:r>
    </w:p>
    <w:p w14:paraId="47DD3640" w14:textId="77777777" w:rsidR="00A30D14" w:rsidRPr="00A30D14" w:rsidRDefault="00A30D14" w:rsidP="00A30D14">
      <w:pPr>
        <w:pStyle w:val="ListParagraph"/>
        <w:numPr>
          <w:ilvl w:val="0"/>
          <w:numId w:val="8"/>
        </w:numPr>
        <w:jc w:val="both"/>
        <w:rPr>
          <w:rFonts w:ascii="Arial" w:hAnsi="Arial" w:cs="Arial"/>
          <w:sz w:val="28"/>
          <w:szCs w:val="28"/>
        </w:rPr>
      </w:pPr>
      <w:r w:rsidRPr="00A30D14">
        <w:rPr>
          <w:rFonts w:ascii="Arial" w:hAnsi="Arial" w:cs="Arial"/>
          <w:color w:val="FF0000"/>
          <w:sz w:val="28"/>
          <w:szCs w:val="28"/>
        </w:rPr>
        <w:t>Conditionality:</w:t>
      </w:r>
      <w:r w:rsidRPr="00A30D14">
        <w:rPr>
          <w:rFonts w:ascii="Arial" w:hAnsi="Arial" w:cs="Arial"/>
          <w:sz w:val="28"/>
          <w:szCs w:val="28"/>
        </w:rPr>
        <w:t xml:space="preserve"> Some income support programs, such as Jobseeker's Allowance, come with strict eligibility criteria and conditions, which can be difficult for vulnerable individuals to meet, potentially leading to benefit sanctions and increased hardship.</w:t>
      </w:r>
    </w:p>
    <w:p w14:paraId="4FAA2A18" w14:textId="77777777" w:rsidR="00A30D14" w:rsidRPr="00A30D14" w:rsidRDefault="00A30D14" w:rsidP="00A30D14">
      <w:pPr>
        <w:pStyle w:val="ListParagraph"/>
        <w:numPr>
          <w:ilvl w:val="0"/>
          <w:numId w:val="8"/>
        </w:numPr>
        <w:jc w:val="both"/>
        <w:rPr>
          <w:rFonts w:ascii="Arial" w:hAnsi="Arial" w:cs="Arial"/>
          <w:sz w:val="28"/>
          <w:szCs w:val="28"/>
        </w:rPr>
      </w:pPr>
      <w:r w:rsidRPr="00A30D14">
        <w:rPr>
          <w:rFonts w:ascii="Arial" w:hAnsi="Arial" w:cs="Arial"/>
          <w:color w:val="FF0000"/>
          <w:sz w:val="28"/>
          <w:szCs w:val="28"/>
        </w:rPr>
        <w:t>Digital Exclusion:</w:t>
      </w:r>
      <w:r w:rsidRPr="00A30D14">
        <w:rPr>
          <w:rFonts w:ascii="Arial" w:hAnsi="Arial" w:cs="Arial"/>
          <w:sz w:val="28"/>
          <w:szCs w:val="28"/>
        </w:rPr>
        <w:t xml:space="preserve"> The transition to digital application and management of benefits, as seen with Universal Credit, can exclude those without internet access or digital literacy skills, creating additional barriers for some claimants.</w:t>
      </w:r>
    </w:p>
    <w:p w14:paraId="660ED353" w14:textId="77777777" w:rsidR="00A30D14" w:rsidRPr="00A30D14" w:rsidRDefault="00A30D14" w:rsidP="00A30D14">
      <w:pPr>
        <w:pStyle w:val="ListParagraph"/>
        <w:numPr>
          <w:ilvl w:val="0"/>
          <w:numId w:val="8"/>
        </w:numPr>
        <w:jc w:val="both"/>
        <w:rPr>
          <w:rFonts w:ascii="Arial" w:hAnsi="Arial" w:cs="Arial"/>
          <w:sz w:val="28"/>
          <w:szCs w:val="28"/>
        </w:rPr>
      </w:pPr>
      <w:r w:rsidRPr="00A30D14">
        <w:rPr>
          <w:rFonts w:ascii="Arial" w:hAnsi="Arial" w:cs="Arial"/>
          <w:color w:val="FF0000"/>
          <w:sz w:val="28"/>
          <w:szCs w:val="28"/>
        </w:rPr>
        <w:t xml:space="preserve">Complexity: </w:t>
      </w:r>
      <w:r w:rsidRPr="00A30D14">
        <w:rPr>
          <w:rFonts w:ascii="Arial" w:hAnsi="Arial" w:cs="Arial"/>
          <w:sz w:val="28"/>
          <w:szCs w:val="28"/>
        </w:rPr>
        <w:t>The complexity of benefit systems can lead to administrative errors, delays in payments, and difficulties for claimants in understanding their entitlements.</w:t>
      </w:r>
    </w:p>
    <w:p w14:paraId="15AFF1AC" w14:textId="373DF3F1" w:rsidR="00A30D14" w:rsidRDefault="00A30D14" w:rsidP="00A30D14">
      <w:pPr>
        <w:pStyle w:val="ListParagraph"/>
        <w:numPr>
          <w:ilvl w:val="0"/>
          <w:numId w:val="8"/>
        </w:numPr>
        <w:jc w:val="both"/>
        <w:rPr>
          <w:rFonts w:ascii="Arial" w:hAnsi="Arial" w:cs="Arial"/>
          <w:sz w:val="28"/>
          <w:szCs w:val="28"/>
        </w:rPr>
      </w:pPr>
      <w:r w:rsidRPr="00A30D14">
        <w:rPr>
          <w:rFonts w:ascii="Arial" w:hAnsi="Arial" w:cs="Arial"/>
          <w:color w:val="FF0000"/>
          <w:sz w:val="28"/>
          <w:szCs w:val="28"/>
        </w:rPr>
        <w:t xml:space="preserve">Stigma: </w:t>
      </w:r>
      <w:r w:rsidRPr="00A30D14">
        <w:rPr>
          <w:rFonts w:ascii="Arial" w:hAnsi="Arial" w:cs="Arial"/>
          <w:sz w:val="28"/>
          <w:szCs w:val="28"/>
        </w:rPr>
        <w:t>There can be social stigma associated with receiving income support, which may discourage eligible individuals from seeking assistance.</w:t>
      </w:r>
    </w:p>
    <w:p w14:paraId="50D348E8" w14:textId="15CEE3DE" w:rsidR="00A30D14" w:rsidRPr="00A30D14" w:rsidRDefault="00A30D14" w:rsidP="00A30D14">
      <w:pPr>
        <w:ind w:left="360"/>
        <w:jc w:val="both"/>
        <w:rPr>
          <w:rFonts w:ascii="Arial" w:hAnsi="Arial" w:cs="Arial"/>
          <w:sz w:val="28"/>
          <w:szCs w:val="28"/>
        </w:rPr>
      </w:pPr>
      <w:r w:rsidRPr="00A30D14">
        <w:rPr>
          <w:rFonts w:ascii="Arial" w:hAnsi="Arial" w:cs="Arial"/>
          <w:sz w:val="28"/>
          <w:szCs w:val="28"/>
        </w:rPr>
        <w:t>In conclusion, strengthening income support systems, state benefits, is a crucial strategy for addressing SDG 1 by providing direct financial assistance to those in need and reducing income-related poverty. However, the effectiveness of these systems depends on addressing challenges related to benefit adequacy, conditionality, digital access, complexity, and stigma. Maintaining a balance between supporting individuals and incentivi</w:t>
      </w:r>
      <w:r>
        <w:rPr>
          <w:rFonts w:ascii="Arial" w:hAnsi="Arial" w:cs="Arial"/>
          <w:sz w:val="28"/>
          <w:szCs w:val="28"/>
        </w:rPr>
        <w:t>s</w:t>
      </w:r>
      <w:r w:rsidRPr="00A30D14">
        <w:rPr>
          <w:rFonts w:ascii="Arial" w:hAnsi="Arial" w:cs="Arial"/>
          <w:sz w:val="28"/>
          <w:szCs w:val="28"/>
        </w:rPr>
        <w:t>ing work is essential for the success of income support programs in the UK.</w:t>
      </w:r>
    </w:p>
    <w:sectPr w:rsidR="00A30D14" w:rsidRPr="00A30D1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C1DCD" w14:textId="77777777" w:rsidR="00A46F2B" w:rsidRDefault="00A46F2B" w:rsidP="00A46F2B">
      <w:pPr>
        <w:spacing w:after="0" w:line="240" w:lineRule="auto"/>
      </w:pPr>
      <w:r>
        <w:separator/>
      </w:r>
    </w:p>
  </w:endnote>
  <w:endnote w:type="continuationSeparator" w:id="0">
    <w:p w14:paraId="30434756" w14:textId="77777777" w:rsidR="00A46F2B" w:rsidRDefault="00A46F2B" w:rsidP="00A46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4792235"/>
      <w:docPartObj>
        <w:docPartGallery w:val="Page Numbers (Bottom of Page)"/>
        <w:docPartUnique/>
      </w:docPartObj>
    </w:sdtPr>
    <w:sdtEndPr>
      <w:rPr>
        <w:noProof/>
      </w:rPr>
    </w:sdtEndPr>
    <w:sdtContent>
      <w:p w14:paraId="5390CA05" w14:textId="65EABA1B" w:rsidR="00A46F2B" w:rsidRDefault="00A46F2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17F06C" w14:textId="77777777" w:rsidR="00A46F2B" w:rsidRDefault="00A46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DF7A4" w14:textId="77777777" w:rsidR="00A46F2B" w:rsidRDefault="00A46F2B" w:rsidP="00A46F2B">
      <w:pPr>
        <w:spacing w:after="0" w:line="240" w:lineRule="auto"/>
      </w:pPr>
      <w:r>
        <w:separator/>
      </w:r>
    </w:p>
  </w:footnote>
  <w:footnote w:type="continuationSeparator" w:id="0">
    <w:p w14:paraId="21B99322" w14:textId="77777777" w:rsidR="00A46F2B" w:rsidRDefault="00A46F2B" w:rsidP="00A46F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707798"/>
    <w:multiLevelType w:val="hybridMultilevel"/>
    <w:tmpl w:val="BE3C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045EDD"/>
    <w:multiLevelType w:val="hybridMultilevel"/>
    <w:tmpl w:val="C45ED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7846AF"/>
    <w:multiLevelType w:val="hybridMultilevel"/>
    <w:tmpl w:val="E0606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4A3689"/>
    <w:multiLevelType w:val="hybridMultilevel"/>
    <w:tmpl w:val="BCB4E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FD72C9"/>
    <w:multiLevelType w:val="hybridMultilevel"/>
    <w:tmpl w:val="C4AC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9065F2"/>
    <w:multiLevelType w:val="hybridMultilevel"/>
    <w:tmpl w:val="8D64C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4C728C"/>
    <w:multiLevelType w:val="hybridMultilevel"/>
    <w:tmpl w:val="88E68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DA0F07"/>
    <w:multiLevelType w:val="hybridMultilevel"/>
    <w:tmpl w:val="89A03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1093188">
    <w:abstractNumId w:val="1"/>
  </w:num>
  <w:num w:numId="2" w16cid:durableId="1828135319">
    <w:abstractNumId w:val="4"/>
  </w:num>
  <w:num w:numId="3" w16cid:durableId="25907551">
    <w:abstractNumId w:val="6"/>
  </w:num>
  <w:num w:numId="4" w16cid:durableId="1053306264">
    <w:abstractNumId w:val="3"/>
  </w:num>
  <w:num w:numId="5" w16cid:durableId="385758008">
    <w:abstractNumId w:val="0"/>
  </w:num>
  <w:num w:numId="6" w16cid:durableId="615525286">
    <w:abstractNumId w:val="2"/>
  </w:num>
  <w:num w:numId="7" w16cid:durableId="2083211892">
    <w:abstractNumId w:val="5"/>
  </w:num>
  <w:num w:numId="8" w16cid:durableId="20457850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6B9"/>
    <w:rsid w:val="000114AF"/>
    <w:rsid w:val="000208B6"/>
    <w:rsid w:val="00032B60"/>
    <w:rsid w:val="00034BB2"/>
    <w:rsid w:val="00055A99"/>
    <w:rsid w:val="000607A9"/>
    <w:rsid w:val="0007793B"/>
    <w:rsid w:val="001027FD"/>
    <w:rsid w:val="00125CAA"/>
    <w:rsid w:val="00127DF7"/>
    <w:rsid w:val="00141D74"/>
    <w:rsid w:val="00156A5D"/>
    <w:rsid w:val="00173567"/>
    <w:rsid w:val="00176919"/>
    <w:rsid w:val="001A7799"/>
    <w:rsid w:val="001A78DF"/>
    <w:rsid w:val="001B467D"/>
    <w:rsid w:val="001D5C1A"/>
    <w:rsid w:val="001F0517"/>
    <w:rsid w:val="00220FF9"/>
    <w:rsid w:val="002400B3"/>
    <w:rsid w:val="002B15B5"/>
    <w:rsid w:val="00366CC8"/>
    <w:rsid w:val="003F410C"/>
    <w:rsid w:val="0040533D"/>
    <w:rsid w:val="00414F1F"/>
    <w:rsid w:val="00456289"/>
    <w:rsid w:val="00466FAD"/>
    <w:rsid w:val="0047793A"/>
    <w:rsid w:val="00494FD7"/>
    <w:rsid w:val="004B781C"/>
    <w:rsid w:val="004F7D39"/>
    <w:rsid w:val="00500EEF"/>
    <w:rsid w:val="005C3438"/>
    <w:rsid w:val="005D21F3"/>
    <w:rsid w:val="005E0A86"/>
    <w:rsid w:val="005E3241"/>
    <w:rsid w:val="005F0F6A"/>
    <w:rsid w:val="00634DAC"/>
    <w:rsid w:val="0065629A"/>
    <w:rsid w:val="00673B8E"/>
    <w:rsid w:val="006920F3"/>
    <w:rsid w:val="00697930"/>
    <w:rsid w:val="006D0368"/>
    <w:rsid w:val="006E53A2"/>
    <w:rsid w:val="006F0013"/>
    <w:rsid w:val="006F5F9A"/>
    <w:rsid w:val="007059E6"/>
    <w:rsid w:val="0073495F"/>
    <w:rsid w:val="00751806"/>
    <w:rsid w:val="007A7DB7"/>
    <w:rsid w:val="007F68FB"/>
    <w:rsid w:val="0082701A"/>
    <w:rsid w:val="00844DF8"/>
    <w:rsid w:val="00861535"/>
    <w:rsid w:val="00863478"/>
    <w:rsid w:val="00880B59"/>
    <w:rsid w:val="008B29C5"/>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30D14"/>
    <w:rsid w:val="00A40CB5"/>
    <w:rsid w:val="00A46F2B"/>
    <w:rsid w:val="00AE3065"/>
    <w:rsid w:val="00B05A40"/>
    <w:rsid w:val="00B1054E"/>
    <w:rsid w:val="00B2337F"/>
    <w:rsid w:val="00B66A4D"/>
    <w:rsid w:val="00B66D80"/>
    <w:rsid w:val="00B818CE"/>
    <w:rsid w:val="00B95E92"/>
    <w:rsid w:val="00BB2D4A"/>
    <w:rsid w:val="00BD5D89"/>
    <w:rsid w:val="00BE243F"/>
    <w:rsid w:val="00BF7357"/>
    <w:rsid w:val="00C21A36"/>
    <w:rsid w:val="00C44761"/>
    <w:rsid w:val="00CA37AA"/>
    <w:rsid w:val="00CA771C"/>
    <w:rsid w:val="00CD476B"/>
    <w:rsid w:val="00CF181E"/>
    <w:rsid w:val="00D00BD3"/>
    <w:rsid w:val="00D05411"/>
    <w:rsid w:val="00D64A76"/>
    <w:rsid w:val="00D706B9"/>
    <w:rsid w:val="00DD4005"/>
    <w:rsid w:val="00DF04A9"/>
    <w:rsid w:val="00E0389F"/>
    <w:rsid w:val="00E239EE"/>
    <w:rsid w:val="00E7764E"/>
    <w:rsid w:val="00EA1173"/>
    <w:rsid w:val="00EA2F6A"/>
    <w:rsid w:val="00EE3193"/>
    <w:rsid w:val="00F2555A"/>
    <w:rsid w:val="00F36A69"/>
    <w:rsid w:val="00F7714E"/>
    <w:rsid w:val="00F929D4"/>
    <w:rsid w:val="00F940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06225"/>
  <w15:chartTrackingRefBased/>
  <w15:docId w15:val="{3A42CCB8-4D39-4AC6-9C46-38EBF2406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0D1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6B9"/>
    <w:pPr>
      <w:ind w:left="720"/>
      <w:contextualSpacing/>
    </w:pPr>
  </w:style>
  <w:style w:type="character" w:styleId="Strong">
    <w:name w:val="Strong"/>
    <w:basedOn w:val="DefaultParagraphFont"/>
    <w:uiPriority w:val="22"/>
    <w:qFormat/>
    <w:rsid w:val="00D706B9"/>
    <w:rPr>
      <w:b/>
      <w:bCs/>
    </w:rPr>
  </w:style>
  <w:style w:type="paragraph" w:styleId="Header">
    <w:name w:val="header"/>
    <w:basedOn w:val="Normal"/>
    <w:link w:val="HeaderChar"/>
    <w:uiPriority w:val="99"/>
    <w:unhideWhenUsed/>
    <w:rsid w:val="00A46F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6F2B"/>
  </w:style>
  <w:style w:type="paragraph" w:styleId="Footer">
    <w:name w:val="footer"/>
    <w:basedOn w:val="Normal"/>
    <w:link w:val="FooterChar"/>
    <w:uiPriority w:val="99"/>
    <w:unhideWhenUsed/>
    <w:rsid w:val="00A46F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6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8</Pages>
  <Words>1689</Words>
  <Characters>9630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1</cp:revision>
  <dcterms:created xsi:type="dcterms:W3CDTF">2023-09-24T18:11:00Z</dcterms:created>
  <dcterms:modified xsi:type="dcterms:W3CDTF">2023-09-24T19:12:00Z</dcterms:modified>
</cp:coreProperties>
</file>