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5265C" w14:textId="7EA7C6D1" w:rsidR="00BE4319" w:rsidRDefault="00C51AD1" w:rsidP="00BC612D">
      <w:pPr>
        <w:spacing w:line="360" w:lineRule="auto"/>
        <w:rPr>
          <w:rFonts w:ascii="Arial" w:hAnsi="Arial" w:cs="Arial"/>
          <w:b/>
          <w:bCs/>
          <w:sz w:val="28"/>
          <w:szCs w:val="28"/>
        </w:rPr>
      </w:pPr>
      <w:r>
        <w:rPr>
          <w:rFonts w:ascii="Arial" w:hAnsi="Arial" w:cs="Arial"/>
          <w:b/>
          <w:bCs/>
          <w:noProof/>
          <w:sz w:val="28"/>
          <w:szCs w:val="28"/>
        </w:rPr>
        <w:drawing>
          <wp:anchor distT="0" distB="0" distL="114300" distR="114300" simplePos="0" relativeHeight="251659264" behindDoc="0" locked="0" layoutInCell="1" allowOverlap="1" wp14:anchorId="4ACD4AAC" wp14:editId="19342D3C">
            <wp:simplePos x="0" y="0"/>
            <wp:positionH relativeFrom="column">
              <wp:posOffset>77470</wp:posOffset>
            </wp:positionH>
            <wp:positionV relativeFrom="paragraph">
              <wp:posOffset>0</wp:posOffset>
            </wp:positionV>
            <wp:extent cx="5943600" cy="3120390"/>
            <wp:effectExtent l="0" t="0" r="0" b="3810"/>
            <wp:wrapTopAndBottom/>
            <wp:docPr id="11535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860" name="Picture 11535860"/>
                    <pic:cNvPicPr/>
                  </pic:nvPicPr>
                  <pic:blipFill>
                    <a:blip r:embed="rId5">
                      <a:extLst>
                        <a:ext uri="{28A0092B-C50C-407E-A947-70E740481C1C}">
                          <a14:useLocalDpi xmlns:a14="http://schemas.microsoft.com/office/drawing/2010/main" val="0"/>
                        </a:ext>
                      </a:extLst>
                    </a:blip>
                    <a:stretch>
                      <a:fillRect/>
                    </a:stretch>
                  </pic:blipFill>
                  <pic:spPr>
                    <a:xfrm>
                      <a:off x="0" y="0"/>
                      <a:ext cx="5943600" cy="3120390"/>
                    </a:xfrm>
                    <a:prstGeom prst="rect">
                      <a:avLst/>
                    </a:prstGeom>
                  </pic:spPr>
                </pic:pic>
              </a:graphicData>
            </a:graphic>
          </wp:anchor>
        </w:drawing>
      </w:r>
    </w:p>
    <w:p w14:paraId="2A1CDE90" w14:textId="77777777" w:rsidR="00715F24" w:rsidRDefault="00715F24">
      <w:pPr>
        <w:rPr>
          <w:rFonts w:ascii="Arial" w:hAnsi="Arial" w:cs="Arial"/>
          <w:b/>
          <w:bCs/>
          <w:sz w:val="28"/>
          <w:szCs w:val="28"/>
        </w:rPr>
      </w:pPr>
    </w:p>
    <w:p w14:paraId="15BB165F" w14:textId="77777777" w:rsidR="00715F24" w:rsidRDefault="00715F24">
      <w:pPr>
        <w:rPr>
          <w:rFonts w:ascii="Arial" w:hAnsi="Arial" w:cs="Arial"/>
          <w:b/>
          <w:bCs/>
          <w:sz w:val="28"/>
          <w:szCs w:val="28"/>
        </w:rPr>
      </w:pPr>
    </w:p>
    <w:p w14:paraId="3AE2240F" w14:textId="77777777" w:rsidR="00715F24" w:rsidRDefault="00715F24">
      <w:pPr>
        <w:rPr>
          <w:rFonts w:ascii="Arial" w:hAnsi="Arial" w:cs="Arial"/>
          <w:b/>
          <w:bCs/>
          <w:sz w:val="28"/>
          <w:szCs w:val="28"/>
        </w:rPr>
      </w:pPr>
      <w:r>
        <w:rPr>
          <w:rFonts w:ascii="Arial" w:hAnsi="Arial" w:cs="Arial"/>
          <w:b/>
          <w:bCs/>
          <w:sz w:val="28"/>
          <w:szCs w:val="28"/>
        </w:rPr>
        <w:t>Course: BSc (Hons) Health and Social Care</w:t>
      </w:r>
    </w:p>
    <w:p w14:paraId="108E30E3" w14:textId="77777777" w:rsidR="00715F24" w:rsidRDefault="00715F24">
      <w:pPr>
        <w:rPr>
          <w:rFonts w:ascii="Arial" w:hAnsi="Arial" w:cs="Arial"/>
          <w:b/>
          <w:bCs/>
          <w:sz w:val="28"/>
          <w:szCs w:val="28"/>
        </w:rPr>
      </w:pPr>
    </w:p>
    <w:p w14:paraId="39F63B59" w14:textId="77777777" w:rsidR="00715F24" w:rsidRDefault="00715F24">
      <w:pPr>
        <w:rPr>
          <w:rFonts w:ascii="Arial" w:hAnsi="Arial" w:cs="Arial"/>
          <w:b/>
          <w:bCs/>
          <w:sz w:val="28"/>
          <w:szCs w:val="28"/>
        </w:rPr>
      </w:pPr>
      <w:r>
        <w:rPr>
          <w:rFonts w:ascii="Arial" w:hAnsi="Arial" w:cs="Arial"/>
          <w:b/>
          <w:bCs/>
          <w:sz w:val="28"/>
          <w:szCs w:val="28"/>
        </w:rPr>
        <w:t>Module: Independent Project (BMHP6020_BIRM)</w:t>
      </w:r>
    </w:p>
    <w:p w14:paraId="364F98BA" w14:textId="77777777" w:rsidR="00715F24" w:rsidRDefault="00715F24">
      <w:pPr>
        <w:rPr>
          <w:rFonts w:ascii="Arial" w:hAnsi="Arial" w:cs="Arial"/>
          <w:b/>
          <w:bCs/>
          <w:sz w:val="28"/>
          <w:szCs w:val="28"/>
        </w:rPr>
      </w:pPr>
    </w:p>
    <w:p w14:paraId="26A2F7C8" w14:textId="77777777" w:rsidR="00715F24" w:rsidRDefault="00715F24">
      <w:pPr>
        <w:rPr>
          <w:rFonts w:ascii="Arial" w:hAnsi="Arial" w:cs="Arial"/>
          <w:b/>
          <w:bCs/>
          <w:sz w:val="28"/>
          <w:szCs w:val="28"/>
        </w:rPr>
      </w:pPr>
    </w:p>
    <w:p w14:paraId="6C76D708" w14:textId="77777777" w:rsidR="00715F24" w:rsidRDefault="00715F24">
      <w:pPr>
        <w:rPr>
          <w:rFonts w:ascii="Arial" w:hAnsi="Arial" w:cs="Arial"/>
          <w:b/>
          <w:bCs/>
          <w:sz w:val="28"/>
          <w:szCs w:val="28"/>
        </w:rPr>
      </w:pPr>
    </w:p>
    <w:p w14:paraId="2D3E594B" w14:textId="0898E431" w:rsidR="00371B28" w:rsidRDefault="00371B28">
      <w:pPr>
        <w:rPr>
          <w:rFonts w:ascii="Arial" w:hAnsi="Arial" w:cs="Arial"/>
          <w:sz w:val="28"/>
          <w:szCs w:val="28"/>
        </w:rPr>
      </w:pPr>
      <w:r>
        <w:rPr>
          <w:rFonts w:ascii="Arial" w:hAnsi="Arial" w:cs="Arial"/>
          <w:b/>
          <w:bCs/>
          <w:sz w:val="28"/>
          <w:szCs w:val="28"/>
        </w:rPr>
        <w:t xml:space="preserve">Name: </w:t>
      </w:r>
      <w:r>
        <w:rPr>
          <w:rFonts w:ascii="Arial" w:hAnsi="Arial" w:cs="Arial"/>
          <w:sz w:val="28"/>
          <w:szCs w:val="28"/>
        </w:rPr>
        <w:t>Nazmin Malik</w:t>
      </w:r>
    </w:p>
    <w:p w14:paraId="51FA57F1" w14:textId="3C270C31" w:rsidR="00BE4319" w:rsidRDefault="00AE6DE5">
      <w:pPr>
        <w:rPr>
          <w:rFonts w:ascii="Arial" w:hAnsi="Arial" w:cs="Arial"/>
          <w:b/>
          <w:bCs/>
          <w:sz w:val="28"/>
          <w:szCs w:val="28"/>
        </w:rPr>
      </w:pPr>
      <w:r>
        <w:rPr>
          <w:rFonts w:ascii="Arial" w:hAnsi="Arial" w:cs="Arial"/>
          <w:b/>
          <w:bCs/>
          <w:sz w:val="28"/>
          <w:szCs w:val="28"/>
        </w:rPr>
        <w:t xml:space="preserve">Student no: </w:t>
      </w:r>
      <w:r>
        <w:rPr>
          <w:rFonts w:ascii="Arial" w:hAnsi="Arial" w:cs="Arial"/>
          <w:sz w:val="28"/>
          <w:szCs w:val="28"/>
        </w:rPr>
        <w:t>2242813</w:t>
      </w:r>
      <w:r w:rsidR="00BE4319">
        <w:rPr>
          <w:rFonts w:ascii="Arial" w:hAnsi="Arial" w:cs="Arial"/>
          <w:b/>
          <w:bCs/>
          <w:sz w:val="28"/>
          <w:szCs w:val="28"/>
        </w:rPr>
        <w:br w:type="page"/>
      </w:r>
    </w:p>
    <w:p w14:paraId="46F0F503" w14:textId="24F4435E" w:rsidR="00AF42F9" w:rsidRPr="00715F24" w:rsidRDefault="00AF42F9" w:rsidP="00BC612D">
      <w:pPr>
        <w:spacing w:line="360" w:lineRule="auto"/>
        <w:rPr>
          <w:rFonts w:ascii="Arial" w:hAnsi="Arial" w:cs="Arial"/>
          <w:b/>
          <w:bCs/>
          <w:i/>
          <w:iCs/>
          <w:sz w:val="28"/>
          <w:szCs w:val="28"/>
        </w:rPr>
      </w:pPr>
      <w:r w:rsidRPr="00715F24">
        <w:rPr>
          <w:rFonts w:ascii="Arial" w:hAnsi="Arial" w:cs="Arial"/>
          <w:b/>
          <w:bCs/>
          <w:i/>
          <w:iCs/>
          <w:sz w:val="28"/>
          <w:szCs w:val="28"/>
        </w:rPr>
        <w:lastRenderedPageBreak/>
        <w:t>Invisible Struggles: Addressing Burnout and Mental Health Among Healthcare Workers</w:t>
      </w:r>
    </w:p>
    <w:p w14:paraId="6A52213E" w14:textId="2D30DF3D" w:rsidR="00795339" w:rsidRPr="00BC612D" w:rsidRDefault="00795339" w:rsidP="00BC612D">
      <w:pPr>
        <w:spacing w:line="360" w:lineRule="auto"/>
        <w:rPr>
          <w:rFonts w:ascii="Arial" w:hAnsi="Arial" w:cs="Arial"/>
          <w:b/>
          <w:bCs/>
          <w:sz w:val="28"/>
          <w:szCs w:val="28"/>
        </w:rPr>
      </w:pPr>
      <w:r w:rsidRPr="00BC612D">
        <w:rPr>
          <w:rFonts w:ascii="Arial" w:hAnsi="Arial" w:cs="Arial"/>
          <w:b/>
          <w:bCs/>
          <w:sz w:val="28"/>
          <w:szCs w:val="28"/>
        </w:rPr>
        <w:t>CHAPTER 1: Introduction</w:t>
      </w:r>
    </w:p>
    <w:p w14:paraId="7CA94127" w14:textId="0C7E4A3F" w:rsidR="00795339" w:rsidRPr="00BC612D" w:rsidRDefault="00795339" w:rsidP="00BC612D">
      <w:pPr>
        <w:pStyle w:val="ListParagraph"/>
        <w:numPr>
          <w:ilvl w:val="1"/>
          <w:numId w:val="1"/>
        </w:numPr>
        <w:spacing w:line="360" w:lineRule="auto"/>
        <w:rPr>
          <w:rFonts w:ascii="Arial" w:hAnsi="Arial" w:cs="Arial"/>
          <w:sz w:val="22"/>
          <w:szCs w:val="22"/>
        </w:rPr>
      </w:pPr>
      <w:r w:rsidRPr="00BC612D">
        <w:rPr>
          <w:rFonts w:ascii="Arial" w:hAnsi="Arial" w:cs="Arial"/>
          <w:sz w:val="22"/>
          <w:szCs w:val="22"/>
        </w:rPr>
        <w:t xml:space="preserve">Introduction </w:t>
      </w:r>
    </w:p>
    <w:p w14:paraId="124C0A9B" w14:textId="77DA61DF"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The wellbeing of healthcare workers has become a critical area of academic and professional interest, particularly as global health systems have experienced unprecedented strain in recent years. According to </w:t>
      </w:r>
      <w:proofErr w:type="spellStart"/>
      <w:r w:rsidRPr="00BC612D">
        <w:rPr>
          <w:rFonts w:ascii="Arial" w:hAnsi="Arial" w:cs="Arial"/>
          <w:sz w:val="22"/>
          <w:szCs w:val="22"/>
        </w:rPr>
        <w:t>Maslach</w:t>
      </w:r>
      <w:proofErr w:type="spellEnd"/>
      <w:r w:rsidRPr="00BC612D">
        <w:rPr>
          <w:rFonts w:ascii="Arial" w:hAnsi="Arial" w:cs="Arial"/>
          <w:sz w:val="22"/>
          <w:szCs w:val="22"/>
        </w:rPr>
        <w:t xml:space="preserve"> and Leiter (2016), healthcare environments are inherently demanding, often characterised by long working hours, high emotional involvement, and continual pressure to deliver safe and effective care. These pressures have intensified through contemporary developments such as the COVID-19 pandemic, chronic staff shortages, and increasing patient complexity. As noted by the World Health Organization (2022), these factors have significantly increased the risk of occupational burnout and deteriorating mental health among healthcare professionals. Furthermore, </w:t>
      </w:r>
      <w:proofErr w:type="spellStart"/>
      <w:r w:rsidRPr="00BC612D">
        <w:rPr>
          <w:rFonts w:ascii="Arial" w:hAnsi="Arial" w:cs="Arial"/>
          <w:sz w:val="22"/>
          <w:szCs w:val="22"/>
        </w:rPr>
        <w:t>Shanafelt</w:t>
      </w:r>
      <w:proofErr w:type="spellEnd"/>
      <w:r w:rsidRPr="00BC612D">
        <w:rPr>
          <w:rFonts w:ascii="Arial" w:hAnsi="Arial" w:cs="Arial"/>
          <w:sz w:val="22"/>
          <w:szCs w:val="22"/>
        </w:rPr>
        <w:t xml:space="preserve"> et al. (2017) emphasise that the mental health of healthcare workers has shifted from a peripheral concern to a central priority for policymakers, health leaders, and researchers.</w:t>
      </w:r>
    </w:p>
    <w:p w14:paraId="45396FA5" w14:textId="2CDCE574"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This dissertation seeks to examine the hidden or “invisible” struggles experienced by healthcare workers, aiming to understand how burnout develops, how it manifests, and what strategies may be employed to mitigate its effects. </w:t>
      </w:r>
      <w:proofErr w:type="spellStart"/>
      <w:r w:rsidRPr="00BC612D">
        <w:rPr>
          <w:rFonts w:ascii="Arial" w:hAnsi="Arial" w:cs="Arial"/>
          <w:sz w:val="22"/>
          <w:szCs w:val="22"/>
        </w:rPr>
        <w:t>Rotenstein</w:t>
      </w:r>
      <w:proofErr w:type="spellEnd"/>
      <w:r w:rsidRPr="00BC612D">
        <w:rPr>
          <w:rFonts w:ascii="Arial" w:hAnsi="Arial" w:cs="Arial"/>
          <w:sz w:val="22"/>
          <w:szCs w:val="22"/>
        </w:rPr>
        <w:t xml:space="preserve"> et al. (2018) argue that exploring both organisational and individual dimensions of mental health can provide a deeper understanding of the lived experiences of healthcare staff and the structural conditions that shape them. The ultimate goal is to identify meaningful approaches that can support sustainable wellbeing and improve working conditions within healthcare settings, as highlighted by </w:t>
      </w:r>
      <w:proofErr w:type="spellStart"/>
      <w:r w:rsidRPr="00BC612D">
        <w:rPr>
          <w:rFonts w:ascii="Arial" w:hAnsi="Arial" w:cs="Arial"/>
          <w:sz w:val="22"/>
          <w:szCs w:val="22"/>
        </w:rPr>
        <w:t>Dyrbye</w:t>
      </w:r>
      <w:proofErr w:type="spellEnd"/>
      <w:r w:rsidRPr="00BC612D">
        <w:rPr>
          <w:rFonts w:ascii="Arial" w:hAnsi="Arial" w:cs="Arial"/>
          <w:sz w:val="22"/>
          <w:szCs w:val="22"/>
        </w:rPr>
        <w:t xml:space="preserve"> et al. (2020). In doing so, the dissertation contributes to ongoing debates around workforce resilience, occupational stress, and the future of safe, compassionate healthcare delivery (West et al., 2018).</w:t>
      </w:r>
    </w:p>
    <w:p w14:paraId="1F9FA1F5" w14:textId="3577ABCF" w:rsidR="00795339" w:rsidRPr="00BC612D" w:rsidRDefault="00795339" w:rsidP="00BC612D">
      <w:pPr>
        <w:pStyle w:val="ListParagraph"/>
        <w:numPr>
          <w:ilvl w:val="1"/>
          <w:numId w:val="1"/>
        </w:numPr>
        <w:spacing w:line="360" w:lineRule="auto"/>
        <w:rPr>
          <w:rFonts w:ascii="Arial" w:hAnsi="Arial" w:cs="Arial"/>
          <w:sz w:val="22"/>
          <w:szCs w:val="22"/>
        </w:rPr>
      </w:pPr>
      <w:r w:rsidRPr="00BC612D">
        <w:rPr>
          <w:rFonts w:ascii="Arial" w:hAnsi="Arial" w:cs="Arial"/>
          <w:sz w:val="22"/>
          <w:szCs w:val="22"/>
        </w:rPr>
        <w:t xml:space="preserve">Definitions and Terminology </w:t>
      </w:r>
    </w:p>
    <w:p w14:paraId="21543096" w14:textId="3D93E31C"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For clarity and consistency, several key terms require definition. Burnout is defined by </w:t>
      </w:r>
      <w:proofErr w:type="spellStart"/>
      <w:r w:rsidRPr="00BC612D">
        <w:rPr>
          <w:rFonts w:ascii="Arial" w:hAnsi="Arial" w:cs="Arial"/>
          <w:sz w:val="22"/>
          <w:szCs w:val="22"/>
        </w:rPr>
        <w:t>Maslach</w:t>
      </w:r>
      <w:proofErr w:type="spellEnd"/>
      <w:r w:rsidRPr="00BC612D">
        <w:rPr>
          <w:rFonts w:ascii="Arial" w:hAnsi="Arial" w:cs="Arial"/>
          <w:sz w:val="22"/>
          <w:szCs w:val="22"/>
        </w:rPr>
        <w:t xml:space="preserve"> et al. (2001) as a psychological syndrome emerging as a prolonged response to chronic interpersonal stressors at work, typically involving emotional exhaustion, depersonalisation, and reduced personal accomplishment. Research by </w:t>
      </w:r>
      <w:proofErr w:type="spellStart"/>
      <w:r w:rsidRPr="00BC612D">
        <w:rPr>
          <w:rFonts w:ascii="Arial" w:hAnsi="Arial" w:cs="Arial"/>
          <w:sz w:val="22"/>
          <w:szCs w:val="22"/>
        </w:rPr>
        <w:t>Schaufeli</w:t>
      </w:r>
      <w:proofErr w:type="spellEnd"/>
      <w:r w:rsidRPr="00BC612D">
        <w:rPr>
          <w:rFonts w:ascii="Arial" w:hAnsi="Arial" w:cs="Arial"/>
          <w:sz w:val="22"/>
          <w:szCs w:val="22"/>
        </w:rPr>
        <w:t xml:space="preserve"> et al. (2009) supports this definition </w:t>
      </w:r>
      <w:r w:rsidRPr="00BC612D">
        <w:rPr>
          <w:rFonts w:ascii="Arial" w:hAnsi="Arial" w:cs="Arial"/>
          <w:sz w:val="22"/>
          <w:szCs w:val="22"/>
        </w:rPr>
        <w:lastRenderedPageBreak/>
        <w:t>and highlights its relevance for understanding how sustained workplace stress affects healthcare workers’ cognitive, emotional, and physical wellbeing.</w:t>
      </w:r>
    </w:p>
    <w:p w14:paraId="5683B2F9" w14:textId="71AC9AB1"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Mental health (MH) is described by the World Health Organization (2014) as a state of wellbeing in which individuals realise their abilities, cope with normal stresses, work productively, and contribute to their community. According to Keyes (2002), mental health in healthcare encompasses emotional resilience, stress management, and psychological safety. Healthcare workers (HCWs), as defined by </w:t>
      </w:r>
      <w:proofErr w:type="spellStart"/>
      <w:r w:rsidRPr="00BC612D">
        <w:rPr>
          <w:rFonts w:ascii="Arial" w:hAnsi="Arial" w:cs="Arial"/>
          <w:sz w:val="22"/>
          <w:szCs w:val="22"/>
        </w:rPr>
        <w:t>Bodenheimer</w:t>
      </w:r>
      <w:proofErr w:type="spellEnd"/>
      <w:r w:rsidRPr="00BC612D">
        <w:rPr>
          <w:rFonts w:ascii="Arial" w:hAnsi="Arial" w:cs="Arial"/>
          <w:sz w:val="22"/>
          <w:szCs w:val="22"/>
        </w:rPr>
        <w:t xml:space="preserve"> and </w:t>
      </w:r>
      <w:proofErr w:type="spellStart"/>
      <w:r w:rsidRPr="00BC612D">
        <w:rPr>
          <w:rFonts w:ascii="Arial" w:hAnsi="Arial" w:cs="Arial"/>
          <w:sz w:val="22"/>
          <w:szCs w:val="22"/>
        </w:rPr>
        <w:t>Sinsky</w:t>
      </w:r>
      <w:proofErr w:type="spellEnd"/>
      <w:r w:rsidRPr="00BC612D">
        <w:rPr>
          <w:rFonts w:ascii="Arial" w:hAnsi="Arial" w:cs="Arial"/>
          <w:sz w:val="22"/>
          <w:szCs w:val="22"/>
        </w:rPr>
        <w:t xml:space="preserve"> (2014), include doctors, nurses, allied health professionals, support staff, and others involved in delivering clinical or non-clinical care. Hall et al. (2016) note that the experiences of stress and burnout may vary across these professional groups due to their differing responsibilities and roles.</w:t>
      </w:r>
    </w:p>
    <w:p w14:paraId="1575EC80" w14:textId="77777777"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Several acronyms and abbreviations will be used throughout the dissertation:</w:t>
      </w:r>
    </w:p>
    <w:p w14:paraId="0342F295" w14:textId="2ECC3412" w:rsidR="00795339" w:rsidRPr="00C326E7" w:rsidRDefault="00795339" w:rsidP="00C326E7">
      <w:pPr>
        <w:pStyle w:val="ListParagraph"/>
        <w:numPr>
          <w:ilvl w:val="0"/>
          <w:numId w:val="3"/>
        </w:numPr>
        <w:spacing w:line="360" w:lineRule="auto"/>
        <w:rPr>
          <w:rFonts w:ascii="Arial" w:hAnsi="Arial" w:cs="Arial"/>
          <w:sz w:val="22"/>
          <w:szCs w:val="22"/>
        </w:rPr>
      </w:pPr>
      <w:r w:rsidRPr="00C326E7">
        <w:rPr>
          <w:rFonts w:ascii="Arial" w:hAnsi="Arial" w:cs="Arial"/>
          <w:sz w:val="22"/>
          <w:szCs w:val="22"/>
        </w:rPr>
        <w:t>NHS – National Health Service</w:t>
      </w:r>
    </w:p>
    <w:p w14:paraId="3407BA26" w14:textId="3DFD6D92" w:rsidR="00795339" w:rsidRPr="00C326E7" w:rsidRDefault="00795339" w:rsidP="00C326E7">
      <w:pPr>
        <w:pStyle w:val="ListParagraph"/>
        <w:numPr>
          <w:ilvl w:val="0"/>
          <w:numId w:val="3"/>
        </w:numPr>
        <w:spacing w:line="360" w:lineRule="auto"/>
        <w:rPr>
          <w:rFonts w:ascii="Arial" w:hAnsi="Arial" w:cs="Arial"/>
          <w:sz w:val="22"/>
          <w:szCs w:val="22"/>
        </w:rPr>
      </w:pPr>
      <w:r w:rsidRPr="00C326E7">
        <w:rPr>
          <w:rFonts w:ascii="Arial" w:hAnsi="Arial" w:cs="Arial"/>
          <w:sz w:val="22"/>
          <w:szCs w:val="22"/>
        </w:rPr>
        <w:t>HCWs – Healthcare Workers</w:t>
      </w:r>
    </w:p>
    <w:p w14:paraId="0357B21B" w14:textId="5EF6E9B3" w:rsidR="00795339" w:rsidRPr="00C326E7" w:rsidRDefault="00795339" w:rsidP="00C326E7">
      <w:pPr>
        <w:pStyle w:val="ListParagraph"/>
        <w:numPr>
          <w:ilvl w:val="0"/>
          <w:numId w:val="3"/>
        </w:numPr>
        <w:spacing w:line="360" w:lineRule="auto"/>
        <w:rPr>
          <w:rFonts w:ascii="Arial" w:hAnsi="Arial" w:cs="Arial"/>
          <w:sz w:val="22"/>
          <w:szCs w:val="22"/>
        </w:rPr>
      </w:pPr>
      <w:r w:rsidRPr="00C326E7">
        <w:rPr>
          <w:rFonts w:ascii="Arial" w:hAnsi="Arial" w:cs="Arial"/>
          <w:sz w:val="22"/>
          <w:szCs w:val="22"/>
        </w:rPr>
        <w:t>HSC – Health and Social Care</w:t>
      </w:r>
    </w:p>
    <w:p w14:paraId="15CF4998" w14:textId="75B08F05" w:rsidR="00795339" w:rsidRPr="00C326E7" w:rsidRDefault="00795339" w:rsidP="00C326E7">
      <w:pPr>
        <w:pStyle w:val="ListParagraph"/>
        <w:numPr>
          <w:ilvl w:val="0"/>
          <w:numId w:val="3"/>
        </w:numPr>
        <w:spacing w:line="360" w:lineRule="auto"/>
        <w:rPr>
          <w:rFonts w:ascii="Arial" w:hAnsi="Arial" w:cs="Arial"/>
          <w:sz w:val="22"/>
          <w:szCs w:val="22"/>
        </w:rPr>
      </w:pPr>
      <w:r w:rsidRPr="00C326E7">
        <w:rPr>
          <w:rFonts w:ascii="Arial" w:hAnsi="Arial" w:cs="Arial"/>
          <w:sz w:val="22"/>
          <w:szCs w:val="22"/>
        </w:rPr>
        <w:t>MH – Mental Health</w:t>
      </w:r>
    </w:p>
    <w:p w14:paraId="5E07FC17" w14:textId="3E5797C2" w:rsidR="00795339" w:rsidRPr="00C326E7" w:rsidRDefault="00795339" w:rsidP="00C326E7">
      <w:pPr>
        <w:pStyle w:val="ListParagraph"/>
        <w:numPr>
          <w:ilvl w:val="0"/>
          <w:numId w:val="3"/>
        </w:numPr>
        <w:spacing w:line="360" w:lineRule="auto"/>
        <w:rPr>
          <w:rFonts w:ascii="Arial" w:hAnsi="Arial" w:cs="Arial"/>
          <w:sz w:val="22"/>
          <w:szCs w:val="22"/>
        </w:rPr>
      </w:pPr>
      <w:r w:rsidRPr="00C326E7">
        <w:rPr>
          <w:rFonts w:ascii="Arial" w:hAnsi="Arial" w:cs="Arial"/>
          <w:sz w:val="22"/>
          <w:szCs w:val="22"/>
        </w:rPr>
        <w:t>WHO – World Health Organization</w:t>
      </w:r>
    </w:p>
    <w:p w14:paraId="18E3847A" w14:textId="076F22EB"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Clarifying these terms ensures that readers unfamiliar with occupational health terminology can follow the analysis and appreciate the nuances of burnout and mental health within healthcare environments.</w:t>
      </w:r>
    </w:p>
    <w:p w14:paraId="0EE4A9DA" w14:textId="76FF0FB5"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1.3 Rationale for Research </w:t>
      </w:r>
    </w:p>
    <w:p w14:paraId="514D9EDC" w14:textId="1EC80848"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The decision to focus on burnout and mental health among healthcare workers is supported by growing evidence that occupational stress has reached critical levels in healthcare settings. According to The King’s Fund (2021), chronic understaffing, rising patient demand, and the lingering effects of the pandemic have created a workforce under immense strain. Research by </w:t>
      </w:r>
      <w:proofErr w:type="spellStart"/>
      <w:r w:rsidRPr="00BC612D">
        <w:rPr>
          <w:rFonts w:ascii="Arial" w:hAnsi="Arial" w:cs="Arial"/>
          <w:sz w:val="22"/>
          <w:szCs w:val="22"/>
        </w:rPr>
        <w:t>Cañadas</w:t>
      </w:r>
      <w:proofErr w:type="spellEnd"/>
      <w:r w:rsidRPr="00BC612D">
        <w:rPr>
          <w:rFonts w:ascii="Arial" w:hAnsi="Arial" w:cs="Arial"/>
          <w:sz w:val="22"/>
          <w:szCs w:val="22"/>
        </w:rPr>
        <w:t xml:space="preserve">-De la Fuente et al. (2015) further highlights the timeliness and importance of studying these issues. Additionally, </w:t>
      </w:r>
      <w:proofErr w:type="spellStart"/>
      <w:r w:rsidRPr="00BC612D">
        <w:rPr>
          <w:rFonts w:ascii="Arial" w:hAnsi="Arial" w:cs="Arial"/>
          <w:sz w:val="22"/>
          <w:szCs w:val="22"/>
        </w:rPr>
        <w:t>Brotheridge</w:t>
      </w:r>
      <w:proofErr w:type="spellEnd"/>
      <w:r w:rsidRPr="00BC612D">
        <w:rPr>
          <w:rFonts w:ascii="Arial" w:hAnsi="Arial" w:cs="Arial"/>
          <w:sz w:val="22"/>
          <w:szCs w:val="22"/>
        </w:rPr>
        <w:t xml:space="preserve"> and Lee (2003) note that the emotional labour inherent in healthcare—such as managing distressing situations and supporting vulnerable patients—can exacerbate mental health risks, a point reinforced by </w:t>
      </w:r>
      <w:proofErr w:type="spellStart"/>
      <w:r w:rsidRPr="00BC612D">
        <w:rPr>
          <w:rFonts w:ascii="Arial" w:hAnsi="Arial" w:cs="Arial"/>
          <w:sz w:val="22"/>
          <w:szCs w:val="22"/>
        </w:rPr>
        <w:t>Mealer</w:t>
      </w:r>
      <w:proofErr w:type="spellEnd"/>
      <w:r w:rsidRPr="00BC612D">
        <w:rPr>
          <w:rFonts w:ascii="Arial" w:hAnsi="Arial" w:cs="Arial"/>
          <w:sz w:val="22"/>
          <w:szCs w:val="22"/>
        </w:rPr>
        <w:t xml:space="preserve"> et al. (2009).</w:t>
      </w:r>
    </w:p>
    <w:p w14:paraId="5006E782" w14:textId="17D42E7A"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Burnout not only affects individual wellbeing but also compromises patient safety, staff retention, and quality of care, as reported by </w:t>
      </w:r>
      <w:proofErr w:type="spellStart"/>
      <w:r w:rsidRPr="00BC612D">
        <w:rPr>
          <w:rFonts w:ascii="Arial" w:hAnsi="Arial" w:cs="Arial"/>
          <w:sz w:val="22"/>
          <w:szCs w:val="22"/>
        </w:rPr>
        <w:t>Dyrbye</w:t>
      </w:r>
      <w:proofErr w:type="spellEnd"/>
      <w:r w:rsidRPr="00BC612D">
        <w:rPr>
          <w:rFonts w:ascii="Arial" w:hAnsi="Arial" w:cs="Arial"/>
          <w:sz w:val="22"/>
          <w:szCs w:val="22"/>
        </w:rPr>
        <w:t xml:space="preserve"> et al. (2017). Despite substantial research, gaps remain in understanding how healthcare workers themselves experience burnout, particularly </w:t>
      </w:r>
      <w:r w:rsidRPr="00BC612D">
        <w:rPr>
          <w:rFonts w:ascii="Arial" w:hAnsi="Arial" w:cs="Arial"/>
          <w:sz w:val="22"/>
          <w:szCs w:val="22"/>
        </w:rPr>
        <w:lastRenderedPageBreak/>
        <w:t xml:space="preserve">when workplace cultures discourage open discussions about mental health, as noted by Shapiro et al. (2018). Furthermore, </w:t>
      </w:r>
      <w:proofErr w:type="spellStart"/>
      <w:r w:rsidRPr="00BC612D">
        <w:rPr>
          <w:rFonts w:ascii="Arial" w:hAnsi="Arial" w:cs="Arial"/>
          <w:sz w:val="22"/>
          <w:szCs w:val="22"/>
        </w:rPr>
        <w:t>Rotenstein</w:t>
      </w:r>
      <w:proofErr w:type="spellEnd"/>
      <w:r w:rsidRPr="00BC612D">
        <w:rPr>
          <w:rFonts w:ascii="Arial" w:hAnsi="Arial" w:cs="Arial"/>
          <w:sz w:val="22"/>
          <w:szCs w:val="22"/>
        </w:rPr>
        <w:t xml:space="preserve"> et al. (2018) observe that most studies focus on quantitative measures, with less attention to the qualitative, day-to-day struggles that remain largely invisible.</w:t>
      </w:r>
    </w:p>
    <w:p w14:paraId="09C45974" w14:textId="2C2D457A"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This research aims to address these gaps by examining burnout and mental health through a holistic lens, incorporating emotional, organisational, and systemic perspectives. As argued by </w:t>
      </w:r>
      <w:proofErr w:type="spellStart"/>
      <w:r w:rsidRPr="00BC612D">
        <w:rPr>
          <w:rFonts w:ascii="Arial" w:hAnsi="Arial" w:cs="Arial"/>
          <w:sz w:val="22"/>
          <w:szCs w:val="22"/>
        </w:rPr>
        <w:t>Shanafelt</w:t>
      </w:r>
      <w:proofErr w:type="spellEnd"/>
      <w:r w:rsidRPr="00BC612D">
        <w:rPr>
          <w:rFonts w:ascii="Arial" w:hAnsi="Arial" w:cs="Arial"/>
          <w:sz w:val="22"/>
          <w:szCs w:val="22"/>
        </w:rPr>
        <w:t xml:space="preserve"> and </w:t>
      </w:r>
      <w:proofErr w:type="spellStart"/>
      <w:r w:rsidRPr="00BC612D">
        <w:rPr>
          <w:rFonts w:ascii="Arial" w:hAnsi="Arial" w:cs="Arial"/>
          <w:sz w:val="22"/>
          <w:szCs w:val="22"/>
        </w:rPr>
        <w:t>Noseworthy</w:t>
      </w:r>
      <w:proofErr w:type="spellEnd"/>
      <w:r w:rsidRPr="00BC612D">
        <w:rPr>
          <w:rFonts w:ascii="Arial" w:hAnsi="Arial" w:cs="Arial"/>
          <w:sz w:val="22"/>
          <w:szCs w:val="22"/>
        </w:rPr>
        <w:t xml:space="preserve"> (2017), such an approach can inform more compassionate and effective strategies to support healthcare workers, ultimately improving workforce wellbeing and the quality of care.</w:t>
      </w:r>
    </w:p>
    <w:p w14:paraId="75FD6AD3" w14:textId="5AA75009" w:rsidR="00795339" w:rsidRPr="00BC612D" w:rsidRDefault="00795339" w:rsidP="00BC612D">
      <w:pPr>
        <w:pStyle w:val="ListParagraph"/>
        <w:numPr>
          <w:ilvl w:val="1"/>
          <w:numId w:val="1"/>
        </w:numPr>
        <w:spacing w:line="360" w:lineRule="auto"/>
        <w:rPr>
          <w:rFonts w:ascii="Arial" w:hAnsi="Arial" w:cs="Arial"/>
          <w:sz w:val="22"/>
          <w:szCs w:val="22"/>
        </w:rPr>
      </w:pPr>
      <w:r w:rsidRPr="00BC612D">
        <w:rPr>
          <w:rFonts w:ascii="Arial" w:hAnsi="Arial" w:cs="Arial"/>
          <w:sz w:val="22"/>
          <w:szCs w:val="22"/>
        </w:rPr>
        <w:t xml:space="preserve">Aim and Objectives </w:t>
      </w:r>
    </w:p>
    <w:p w14:paraId="6842A3A2" w14:textId="70745CD0"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The overarching aim of this research is to investigate the causes, experiences, and consequences of burnout and mental health challenges among healthcare workers, and to identify strategies for improving wellbeing within healthcare organisations. This aim reflects the need to understand burnout not as an individual failing, but as a complex phenomenon shaped by organisational environments, cultural expectations, and systemic pressures.</w:t>
      </w:r>
    </w:p>
    <w:p w14:paraId="2BF20F14" w14:textId="47383C6E"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To achieve this aim, the research is guided by the following objectives:</w:t>
      </w:r>
    </w:p>
    <w:p w14:paraId="2ED0B483" w14:textId="573A0024" w:rsidR="00795339" w:rsidRPr="00C326E7" w:rsidRDefault="00795339" w:rsidP="00C326E7">
      <w:pPr>
        <w:pStyle w:val="ListParagraph"/>
        <w:numPr>
          <w:ilvl w:val="0"/>
          <w:numId w:val="4"/>
        </w:numPr>
        <w:spacing w:line="360" w:lineRule="auto"/>
        <w:rPr>
          <w:rFonts w:ascii="Arial" w:hAnsi="Arial" w:cs="Arial"/>
          <w:sz w:val="22"/>
          <w:szCs w:val="22"/>
        </w:rPr>
      </w:pPr>
      <w:r w:rsidRPr="00C326E7">
        <w:rPr>
          <w:rFonts w:ascii="Arial" w:hAnsi="Arial" w:cs="Arial"/>
          <w:sz w:val="22"/>
          <w:szCs w:val="22"/>
        </w:rPr>
        <w:t>Objective 1: To explore the key factors contributing to burnout and mental health difficulties among healthcare workers within contemporary healthcare environments.</w:t>
      </w:r>
    </w:p>
    <w:p w14:paraId="67B46422" w14:textId="37316733" w:rsidR="00795339" w:rsidRPr="00C326E7" w:rsidRDefault="00795339" w:rsidP="00C326E7">
      <w:pPr>
        <w:pStyle w:val="ListParagraph"/>
        <w:numPr>
          <w:ilvl w:val="0"/>
          <w:numId w:val="4"/>
        </w:numPr>
        <w:spacing w:line="360" w:lineRule="auto"/>
        <w:rPr>
          <w:rFonts w:ascii="Arial" w:hAnsi="Arial" w:cs="Arial"/>
          <w:sz w:val="22"/>
          <w:szCs w:val="22"/>
        </w:rPr>
      </w:pPr>
      <w:r w:rsidRPr="00C326E7">
        <w:rPr>
          <w:rFonts w:ascii="Arial" w:hAnsi="Arial" w:cs="Arial"/>
          <w:sz w:val="22"/>
          <w:szCs w:val="22"/>
        </w:rPr>
        <w:t>Objective 2: To examine healthcare workers’ personal experiences and perceptions of burnout, with attention to emotional labour, workplace culture, and professional identity.</w:t>
      </w:r>
    </w:p>
    <w:p w14:paraId="54F80990" w14:textId="46D175E3" w:rsidR="00795339" w:rsidRPr="00C326E7" w:rsidRDefault="00795339" w:rsidP="00C326E7">
      <w:pPr>
        <w:pStyle w:val="ListParagraph"/>
        <w:numPr>
          <w:ilvl w:val="0"/>
          <w:numId w:val="4"/>
        </w:numPr>
        <w:spacing w:line="360" w:lineRule="auto"/>
        <w:rPr>
          <w:rFonts w:ascii="Arial" w:hAnsi="Arial" w:cs="Arial"/>
          <w:sz w:val="22"/>
          <w:szCs w:val="22"/>
        </w:rPr>
      </w:pPr>
      <w:r w:rsidRPr="00C326E7">
        <w:rPr>
          <w:rFonts w:ascii="Arial" w:hAnsi="Arial" w:cs="Arial"/>
          <w:sz w:val="22"/>
          <w:szCs w:val="22"/>
        </w:rPr>
        <w:t>Objective 3: To identify the organisational practices, policies, or cultural elements that may exacerbate or alleviate burnout among healthcare staff.</w:t>
      </w:r>
    </w:p>
    <w:p w14:paraId="1E751A8B" w14:textId="51799B3E" w:rsidR="00795339" w:rsidRPr="00C326E7" w:rsidRDefault="00795339" w:rsidP="00C326E7">
      <w:pPr>
        <w:pStyle w:val="ListParagraph"/>
        <w:numPr>
          <w:ilvl w:val="0"/>
          <w:numId w:val="4"/>
        </w:numPr>
        <w:spacing w:line="360" w:lineRule="auto"/>
        <w:rPr>
          <w:rFonts w:ascii="Arial" w:hAnsi="Arial" w:cs="Arial"/>
          <w:sz w:val="22"/>
          <w:szCs w:val="22"/>
        </w:rPr>
      </w:pPr>
      <w:r w:rsidRPr="00C326E7">
        <w:rPr>
          <w:rFonts w:ascii="Arial" w:hAnsi="Arial" w:cs="Arial"/>
          <w:sz w:val="22"/>
          <w:szCs w:val="22"/>
        </w:rPr>
        <w:t>Objective 4: To evaluate potential strategies and interventions that could support improved mental health and resilience among healthcare workers, and to consider how these may be implemented effectively in practice.</w:t>
      </w:r>
    </w:p>
    <w:p w14:paraId="34CFB428" w14:textId="6A75FACB"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Together, these objectives provide a structured pathway for investigating the research problem. They ensure the dissertation remains focused, coherent, and aligned with its overarching aim, while also contributing meaningful insight to ongoing discussions surrounding workforce wellbeing in healthcare.</w:t>
      </w:r>
    </w:p>
    <w:p w14:paraId="5535DA20" w14:textId="2A545241"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 xml:space="preserve">1.5 Conclusion </w:t>
      </w:r>
    </w:p>
    <w:p w14:paraId="613F3F5F" w14:textId="0697828D"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lastRenderedPageBreak/>
        <w:t xml:space="preserve">This chapter has introduced the central focus of the dissertation: the invisible struggles of burnout and mental health challenges experienced by healthcare workers. It has outlined the relevance of the topic, established key terminology and acronyms, justified the rationale for the study, and set out the research aim and objectives. </w:t>
      </w:r>
      <w:r w:rsidR="000D0465" w:rsidRPr="00BC612D">
        <w:rPr>
          <w:rFonts w:ascii="Arial" w:hAnsi="Arial" w:cs="Arial"/>
          <w:sz w:val="22"/>
          <w:szCs w:val="22"/>
        </w:rPr>
        <w:t>A</w:t>
      </w:r>
      <w:r w:rsidRPr="00BC612D">
        <w:rPr>
          <w:rFonts w:ascii="Arial" w:hAnsi="Arial" w:cs="Arial"/>
          <w:sz w:val="22"/>
          <w:szCs w:val="22"/>
        </w:rPr>
        <w:t>ddressing burnout is vital not only for the wellbeing of healthcare workers but also for the sustainability and quality of healthcare delivery.</w:t>
      </w:r>
    </w:p>
    <w:p w14:paraId="526F051D" w14:textId="77777777" w:rsidR="00795339" w:rsidRPr="00BC612D" w:rsidRDefault="00795339" w:rsidP="00BC612D">
      <w:pPr>
        <w:spacing w:line="360" w:lineRule="auto"/>
        <w:rPr>
          <w:rFonts w:ascii="Arial" w:hAnsi="Arial" w:cs="Arial"/>
          <w:sz w:val="22"/>
          <w:szCs w:val="22"/>
        </w:rPr>
      </w:pPr>
      <w:r w:rsidRPr="00BC612D">
        <w:rPr>
          <w:rFonts w:ascii="Arial" w:hAnsi="Arial" w:cs="Arial"/>
          <w:sz w:val="22"/>
          <w:szCs w:val="22"/>
        </w:rPr>
        <w:t>The next chapter will present a comprehensive review of relevant literature. Chapter 2 will examine existing research on burnout, mental health, workplace stress, and resilience within healthcare settings, highlighting theoretical frameworks, empirical findings, and current debates that inform the study and provide the foundation for the dissertation’s analysis.</w:t>
      </w:r>
    </w:p>
    <w:p w14:paraId="227E2457" w14:textId="77777777" w:rsidR="001F7435" w:rsidRPr="00BC612D" w:rsidRDefault="001F7435" w:rsidP="00BC612D">
      <w:pPr>
        <w:spacing w:line="360" w:lineRule="auto"/>
        <w:rPr>
          <w:rFonts w:ascii="Arial" w:hAnsi="Arial" w:cs="Arial"/>
          <w:sz w:val="22"/>
          <w:szCs w:val="22"/>
        </w:rPr>
      </w:pPr>
    </w:p>
    <w:p w14:paraId="754BEF43" w14:textId="77777777" w:rsidR="00FE66F9" w:rsidRPr="00BC612D" w:rsidRDefault="00FE66F9" w:rsidP="00BC612D">
      <w:pPr>
        <w:spacing w:line="360" w:lineRule="auto"/>
        <w:rPr>
          <w:rFonts w:ascii="Arial" w:hAnsi="Arial" w:cs="Arial"/>
          <w:b/>
          <w:bCs/>
          <w:sz w:val="28"/>
          <w:szCs w:val="28"/>
        </w:rPr>
      </w:pPr>
      <w:r w:rsidRPr="00BC612D">
        <w:rPr>
          <w:rFonts w:ascii="Arial" w:hAnsi="Arial" w:cs="Arial"/>
          <w:b/>
          <w:bCs/>
          <w:sz w:val="28"/>
          <w:szCs w:val="28"/>
        </w:rPr>
        <w:t>CHAPTER 2: Background Information and Analysis</w:t>
      </w:r>
    </w:p>
    <w:p w14:paraId="52EEFEA1" w14:textId="3D478073"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2.1 Introduction </w:t>
      </w:r>
    </w:p>
    <w:p w14:paraId="08310CC6" w14:textId="661CE276"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The purpose of this chapter is to provide the necessary background and context for understanding burnout and mental health challenges among healthcare workers. According to </w:t>
      </w:r>
      <w:proofErr w:type="spellStart"/>
      <w:r w:rsidRPr="00BC612D">
        <w:rPr>
          <w:rFonts w:ascii="Arial" w:hAnsi="Arial" w:cs="Arial"/>
          <w:sz w:val="22"/>
          <w:szCs w:val="22"/>
        </w:rPr>
        <w:t>Shanafelt</w:t>
      </w:r>
      <w:proofErr w:type="spellEnd"/>
      <w:r w:rsidRPr="00BC612D">
        <w:rPr>
          <w:rFonts w:ascii="Arial" w:hAnsi="Arial" w:cs="Arial"/>
          <w:sz w:val="22"/>
          <w:szCs w:val="22"/>
        </w:rPr>
        <w:t xml:space="preserve"> and </w:t>
      </w:r>
      <w:proofErr w:type="spellStart"/>
      <w:r w:rsidRPr="00BC612D">
        <w:rPr>
          <w:rFonts w:ascii="Arial" w:hAnsi="Arial" w:cs="Arial"/>
          <w:sz w:val="22"/>
          <w:szCs w:val="22"/>
        </w:rPr>
        <w:t>Noseworthy</w:t>
      </w:r>
      <w:proofErr w:type="spellEnd"/>
      <w:r w:rsidRPr="00BC612D">
        <w:rPr>
          <w:rFonts w:ascii="Arial" w:hAnsi="Arial" w:cs="Arial"/>
          <w:sz w:val="22"/>
          <w:szCs w:val="22"/>
        </w:rPr>
        <w:t xml:space="preserve"> (2017), a comprehensive understanding of historical, theoretical, and contextual factors is essential for addressing occupational stress in healthcare. This chapter sets the foundation for the research by exploring the origins and evolution of the topic, key theoretical frameworks, and both international and UK-specific perspectives.</w:t>
      </w:r>
    </w:p>
    <w:p w14:paraId="5D35883A" w14:textId="169BDA72"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By examining historical developments, significant contributions from researchers and organisations, and the application of key psychological and occupational theories, the chapter contextualises burnout and mental health within healthcare settings. Furthermore, it considers the global and national landscapes, highlighting international trends, comparative practices, and UK policy frameworks. This background provides the foundation for subsequent research methods and analysis, ensuring that the study is both evidence-based and relevant to contemporary healthcare challenges.</w:t>
      </w:r>
    </w:p>
    <w:p w14:paraId="51EB9AEF" w14:textId="781A7461"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2.2 Historical Background </w:t>
      </w:r>
    </w:p>
    <w:p w14:paraId="60D193FE" w14:textId="437D1423"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The concept of burnout was first formally identified by </w:t>
      </w:r>
      <w:proofErr w:type="spellStart"/>
      <w:r w:rsidRPr="00BC612D">
        <w:rPr>
          <w:rFonts w:ascii="Arial" w:hAnsi="Arial" w:cs="Arial"/>
          <w:sz w:val="22"/>
          <w:szCs w:val="22"/>
        </w:rPr>
        <w:t>Freudenberger</w:t>
      </w:r>
      <w:proofErr w:type="spellEnd"/>
      <w:r w:rsidRPr="00BC612D">
        <w:rPr>
          <w:rFonts w:ascii="Arial" w:hAnsi="Arial" w:cs="Arial"/>
          <w:sz w:val="22"/>
          <w:szCs w:val="22"/>
        </w:rPr>
        <w:t xml:space="preserve"> (1974), who described it as a state of physical and emotional exhaustion resulting from chronic workplace stress. This early work laid the foundation for understanding how occupational stress affects performance and wellbeing. </w:t>
      </w:r>
      <w:proofErr w:type="spellStart"/>
      <w:r w:rsidRPr="00BC612D">
        <w:rPr>
          <w:rFonts w:ascii="Arial" w:hAnsi="Arial" w:cs="Arial"/>
          <w:sz w:val="22"/>
          <w:szCs w:val="22"/>
        </w:rPr>
        <w:t>Maslach</w:t>
      </w:r>
      <w:proofErr w:type="spellEnd"/>
      <w:r w:rsidRPr="00BC612D">
        <w:rPr>
          <w:rFonts w:ascii="Arial" w:hAnsi="Arial" w:cs="Arial"/>
          <w:sz w:val="22"/>
          <w:szCs w:val="22"/>
        </w:rPr>
        <w:t xml:space="preserve"> and Jackson (1981) later expanded the concept, introducing the </w:t>
      </w:r>
      <w:proofErr w:type="spellStart"/>
      <w:r w:rsidRPr="00BC612D">
        <w:rPr>
          <w:rFonts w:ascii="Arial" w:hAnsi="Arial" w:cs="Arial"/>
          <w:sz w:val="22"/>
          <w:szCs w:val="22"/>
        </w:rPr>
        <w:lastRenderedPageBreak/>
        <w:t>Maslach</w:t>
      </w:r>
      <w:proofErr w:type="spellEnd"/>
      <w:r w:rsidRPr="00BC612D">
        <w:rPr>
          <w:rFonts w:ascii="Arial" w:hAnsi="Arial" w:cs="Arial"/>
          <w:sz w:val="22"/>
          <w:szCs w:val="22"/>
        </w:rPr>
        <w:t xml:space="preserve"> Burnout Inventory (MBI), which remains one of the most widely used instruments for assessing burnout in healthcare professionals (</w:t>
      </w:r>
      <w:proofErr w:type="spellStart"/>
      <w:r w:rsidRPr="00BC612D">
        <w:rPr>
          <w:rFonts w:ascii="Arial" w:hAnsi="Arial" w:cs="Arial"/>
          <w:sz w:val="22"/>
          <w:szCs w:val="22"/>
        </w:rPr>
        <w:t>Maslach</w:t>
      </w:r>
      <w:proofErr w:type="spellEnd"/>
      <w:r w:rsidRPr="00BC612D">
        <w:rPr>
          <w:rFonts w:ascii="Arial" w:hAnsi="Arial" w:cs="Arial"/>
          <w:sz w:val="22"/>
          <w:szCs w:val="22"/>
        </w:rPr>
        <w:t xml:space="preserve"> et al., 2001). Over time, the notion of burnout has evolved from a narrow occupational phenomenon to a multidimensional construct encompassing emotional exhaustion, depersonalisation, and reduced personal accomplishment.</w:t>
      </w:r>
    </w:p>
    <w:p w14:paraId="798FF27A" w14:textId="7E47FC4A"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Key historical milestones have shaped the contemporary understanding of burnout. In the 1980s and 1990s, research began to emphasise the psychological and organisational aspects of workplace stress, highlighting the influence of workload, role conflict, and lack of support on healthcare worker wellbeing (Leiter &amp; </w:t>
      </w:r>
      <w:proofErr w:type="spellStart"/>
      <w:r w:rsidRPr="00BC612D">
        <w:rPr>
          <w:rFonts w:ascii="Arial" w:hAnsi="Arial" w:cs="Arial"/>
          <w:sz w:val="22"/>
          <w:szCs w:val="22"/>
        </w:rPr>
        <w:t>Maslach</w:t>
      </w:r>
      <w:proofErr w:type="spellEnd"/>
      <w:r w:rsidRPr="00BC612D">
        <w:rPr>
          <w:rFonts w:ascii="Arial" w:hAnsi="Arial" w:cs="Arial"/>
          <w:sz w:val="22"/>
          <w:szCs w:val="22"/>
        </w:rPr>
        <w:t>, 2000). The COVID-19 pandemic has further accelerated recognition of burnout as a critical public health issue, with studies documenting widespread mental health impacts among healthcare workers worldwide (</w:t>
      </w:r>
      <w:proofErr w:type="spellStart"/>
      <w:r w:rsidRPr="00BC612D">
        <w:rPr>
          <w:rFonts w:ascii="Arial" w:hAnsi="Arial" w:cs="Arial"/>
          <w:sz w:val="22"/>
          <w:szCs w:val="22"/>
        </w:rPr>
        <w:t>Pappa</w:t>
      </w:r>
      <w:proofErr w:type="spellEnd"/>
      <w:r w:rsidRPr="00BC612D">
        <w:rPr>
          <w:rFonts w:ascii="Arial" w:hAnsi="Arial" w:cs="Arial"/>
          <w:sz w:val="22"/>
          <w:szCs w:val="22"/>
        </w:rPr>
        <w:t xml:space="preserve"> et al., 2020).</w:t>
      </w:r>
    </w:p>
    <w:p w14:paraId="5CE072D3" w14:textId="71FB9CF0"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Significant contributors to the field include Herbert </w:t>
      </w:r>
      <w:proofErr w:type="spellStart"/>
      <w:r w:rsidRPr="00BC612D">
        <w:rPr>
          <w:rFonts w:ascii="Arial" w:hAnsi="Arial" w:cs="Arial"/>
          <w:sz w:val="22"/>
          <w:szCs w:val="22"/>
        </w:rPr>
        <w:t>Freudenberger</w:t>
      </w:r>
      <w:proofErr w:type="spellEnd"/>
      <w:r w:rsidRPr="00BC612D">
        <w:rPr>
          <w:rFonts w:ascii="Arial" w:hAnsi="Arial" w:cs="Arial"/>
          <w:sz w:val="22"/>
          <w:szCs w:val="22"/>
        </w:rPr>
        <w:t xml:space="preserve">, whose early clinical observations informed burnout research, and Christina </w:t>
      </w:r>
      <w:proofErr w:type="spellStart"/>
      <w:r w:rsidRPr="00BC612D">
        <w:rPr>
          <w:rFonts w:ascii="Arial" w:hAnsi="Arial" w:cs="Arial"/>
          <w:sz w:val="22"/>
          <w:szCs w:val="22"/>
        </w:rPr>
        <w:t>Maslach</w:t>
      </w:r>
      <w:proofErr w:type="spellEnd"/>
      <w:r w:rsidRPr="00BC612D">
        <w:rPr>
          <w:rFonts w:ascii="Arial" w:hAnsi="Arial" w:cs="Arial"/>
          <w:sz w:val="22"/>
          <w:szCs w:val="22"/>
        </w:rPr>
        <w:t>, whose work provided the theoretical framework and measurement tools still in use today. Organisations such as the World Health Organization have also played a role by identifying burnout as an occupational phenomenon in the International Classification of Diseases (ICD-11) and promoting strategies for workplace mental health (WHO, 2019).</w:t>
      </w:r>
    </w:p>
    <w:p w14:paraId="46C1FC2C" w14:textId="178004DA"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Overall, the historical development of burnout highlights the increasing recognition of occupational stress as both an individual and systemic issue. Understanding this evolution is crucial for contextualising current research and identifying effective interventions for healthcare workers, particularly in high-pressure environments such as hospitals and emergency care settings (</w:t>
      </w:r>
      <w:proofErr w:type="spellStart"/>
      <w:r w:rsidRPr="00BC612D">
        <w:rPr>
          <w:rFonts w:ascii="Arial" w:hAnsi="Arial" w:cs="Arial"/>
          <w:sz w:val="22"/>
          <w:szCs w:val="22"/>
        </w:rPr>
        <w:t>Shanafelt</w:t>
      </w:r>
      <w:proofErr w:type="spellEnd"/>
      <w:r w:rsidRPr="00BC612D">
        <w:rPr>
          <w:rFonts w:ascii="Arial" w:hAnsi="Arial" w:cs="Arial"/>
          <w:sz w:val="22"/>
          <w:szCs w:val="22"/>
        </w:rPr>
        <w:t xml:space="preserve"> et al., 2017; </w:t>
      </w:r>
      <w:proofErr w:type="spellStart"/>
      <w:r w:rsidRPr="00BC612D">
        <w:rPr>
          <w:rFonts w:ascii="Arial" w:hAnsi="Arial" w:cs="Arial"/>
          <w:sz w:val="22"/>
          <w:szCs w:val="22"/>
        </w:rPr>
        <w:t>Dyrbye</w:t>
      </w:r>
      <w:proofErr w:type="spellEnd"/>
      <w:r w:rsidRPr="00BC612D">
        <w:rPr>
          <w:rFonts w:ascii="Arial" w:hAnsi="Arial" w:cs="Arial"/>
          <w:sz w:val="22"/>
          <w:szCs w:val="22"/>
        </w:rPr>
        <w:t xml:space="preserve"> et al., 2020).</w:t>
      </w:r>
    </w:p>
    <w:p w14:paraId="1DB67551" w14:textId="1016849D"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2.3 Theoretical Background </w:t>
      </w:r>
    </w:p>
    <w:p w14:paraId="7A64BF01" w14:textId="7A51F9A1"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Burnout and mental health in healthcare are underpinned by several key theories and concepts. One foundational framework is the Job Demands-Resources (JD-R) model, which posits that burnout results from an imbalance between job demands (e.g., workload, emotional strain) and available resources (e.g., support, autonomy) (</w:t>
      </w:r>
      <w:proofErr w:type="spellStart"/>
      <w:r w:rsidRPr="00BC612D">
        <w:rPr>
          <w:rFonts w:ascii="Arial" w:hAnsi="Arial" w:cs="Arial"/>
          <w:sz w:val="22"/>
          <w:szCs w:val="22"/>
        </w:rPr>
        <w:t>Demerouti</w:t>
      </w:r>
      <w:proofErr w:type="spellEnd"/>
      <w:r w:rsidRPr="00BC612D">
        <w:rPr>
          <w:rFonts w:ascii="Arial" w:hAnsi="Arial" w:cs="Arial"/>
          <w:sz w:val="22"/>
          <w:szCs w:val="22"/>
        </w:rPr>
        <w:t xml:space="preserve"> et al., 2001). According to Bakker and </w:t>
      </w:r>
      <w:proofErr w:type="spellStart"/>
      <w:r w:rsidRPr="00BC612D">
        <w:rPr>
          <w:rFonts w:ascii="Arial" w:hAnsi="Arial" w:cs="Arial"/>
          <w:sz w:val="22"/>
          <w:szCs w:val="22"/>
        </w:rPr>
        <w:t>Demerouti</w:t>
      </w:r>
      <w:proofErr w:type="spellEnd"/>
      <w:r w:rsidRPr="00BC612D">
        <w:rPr>
          <w:rFonts w:ascii="Arial" w:hAnsi="Arial" w:cs="Arial"/>
          <w:sz w:val="22"/>
          <w:szCs w:val="22"/>
        </w:rPr>
        <w:t xml:space="preserve"> (2017), this model helps explain why some healthcare workers experience burnout under identical working conditions, emphasising the role of organisational support and personal coping mechanisms.</w:t>
      </w:r>
    </w:p>
    <w:p w14:paraId="5C73DF63" w14:textId="3F8AB1E7"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lastRenderedPageBreak/>
        <w:t>Another relevant theory is the Conservation of Resources (COR) theory, which suggests that stress occurs when individuals perceive a threat to their resources or experience resource loss (</w:t>
      </w:r>
      <w:proofErr w:type="spellStart"/>
      <w:r w:rsidRPr="00BC612D">
        <w:rPr>
          <w:rFonts w:ascii="Arial" w:hAnsi="Arial" w:cs="Arial"/>
          <w:sz w:val="22"/>
          <w:szCs w:val="22"/>
        </w:rPr>
        <w:t>Hobfoll</w:t>
      </w:r>
      <w:proofErr w:type="spellEnd"/>
      <w:r w:rsidRPr="00BC612D">
        <w:rPr>
          <w:rFonts w:ascii="Arial" w:hAnsi="Arial" w:cs="Arial"/>
          <w:sz w:val="22"/>
          <w:szCs w:val="22"/>
        </w:rPr>
        <w:t xml:space="preserve">, 1989). Research by Lee and </w:t>
      </w:r>
      <w:proofErr w:type="spellStart"/>
      <w:r w:rsidRPr="00BC612D">
        <w:rPr>
          <w:rFonts w:ascii="Arial" w:hAnsi="Arial" w:cs="Arial"/>
          <w:sz w:val="22"/>
          <w:szCs w:val="22"/>
        </w:rPr>
        <w:t>Ashforth</w:t>
      </w:r>
      <w:proofErr w:type="spellEnd"/>
      <w:r w:rsidRPr="00BC612D">
        <w:rPr>
          <w:rFonts w:ascii="Arial" w:hAnsi="Arial" w:cs="Arial"/>
          <w:sz w:val="22"/>
          <w:szCs w:val="22"/>
        </w:rPr>
        <w:t xml:space="preserve"> (1996) applied COR theory to healthcare, demonstrating that emotional exhaustion arises when healthcare professionals cannot replenish their personal or professional resources effectively.</w:t>
      </w:r>
    </w:p>
    <w:p w14:paraId="1840C76D" w14:textId="410B8B62"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Emotional labour theory is also significant, particularly in nursing and patient-facing roles. According to </w:t>
      </w:r>
      <w:proofErr w:type="spellStart"/>
      <w:r w:rsidRPr="00BC612D">
        <w:rPr>
          <w:rFonts w:ascii="Arial" w:hAnsi="Arial" w:cs="Arial"/>
          <w:sz w:val="22"/>
          <w:szCs w:val="22"/>
        </w:rPr>
        <w:t>Hochschild</w:t>
      </w:r>
      <w:proofErr w:type="spellEnd"/>
      <w:r w:rsidRPr="00BC612D">
        <w:rPr>
          <w:rFonts w:ascii="Arial" w:hAnsi="Arial" w:cs="Arial"/>
          <w:sz w:val="22"/>
          <w:szCs w:val="22"/>
        </w:rPr>
        <w:t xml:space="preserve"> (1983), emotional labour involves managing feelings and expressions to meet organisational expectations, which can contribute to psychological strain. Studies by </w:t>
      </w:r>
      <w:proofErr w:type="spellStart"/>
      <w:r w:rsidRPr="00BC612D">
        <w:rPr>
          <w:rFonts w:ascii="Arial" w:hAnsi="Arial" w:cs="Arial"/>
          <w:sz w:val="22"/>
          <w:szCs w:val="22"/>
        </w:rPr>
        <w:t>Brotheridge</w:t>
      </w:r>
      <w:proofErr w:type="spellEnd"/>
      <w:r w:rsidRPr="00BC612D">
        <w:rPr>
          <w:rFonts w:ascii="Arial" w:hAnsi="Arial" w:cs="Arial"/>
          <w:sz w:val="22"/>
          <w:szCs w:val="22"/>
        </w:rPr>
        <w:t xml:space="preserve"> and Lee (2003) highlight the link between emotional labour and burnout among healthcare workers, particularly in high-stress environments.</w:t>
      </w:r>
    </w:p>
    <w:p w14:paraId="1DEC69B8" w14:textId="099B0CBA"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These theories have been widely applied in empirical research. For example, studies using the JD-R model have explored how workload and social support predict burnout among nurses (Bakker et al., 2005). COR theory has informed interventions targeting resilience and coping strategies in physicians and allied health professionals (</w:t>
      </w:r>
      <w:proofErr w:type="spellStart"/>
      <w:r w:rsidRPr="00BC612D">
        <w:rPr>
          <w:rFonts w:ascii="Arial" w:hAnsi="Arial" w:cs="Arial"/>
          <w:sz w:val="22"/>
          <w:szCs w:val="22"/>
        </w:rPr>
        <w:t>Mealer</w:t>
      </w:r>
      <w:proofErr w:type="spellEnd"/>
      <w:r w:rsidRPr="00BC612D">
        <w:rPr>
          <w:rFonts w:ascii="Arial" w:hAnsi="Arial" w:cs="Arial"/>
          <w:sz w:val="22"/>
          <w:szCs w:val="22"/>
        </w:rPr>
        <w:t xml:space="preserve"> et al., 2009). Emotional labour research has guided policies to improve staff wellbeing and reduce turnover in healthcare organisations (</w:t>
      </w:r>
      <w:proofErr w:type="spellStart"/>
      <w:r w:rsidRPr="00BC612D">
        <w:rPr>
          <w:rFonts w:ascii="Arial" w:hAnsi="Arial" w:cs="Arial"/>
          <w:sz w:val="22"/>
          <w:szCs w:val="22"/>
        </w:rPr>
        <w:t>Grandey</w:t>
      </w:r>
      <w:proofErr w:type="spellEnd"/>
      <w:r w:rsidRPr="00BC612D">
        <w:rPr>
          <w:rFonts w:ascii="Arial" w:hAnsi="Arial" w:cs="Arial"/>
          <w:sz w:val="22"/>
          <w:szCs w:val="22"/>
        </w:rPr>
        <w:t xml:space="preserve"> et al., 2004).</w:t>
      </w:r>
    </w:p>
    <w:p w14:paraId="546701C2" w14:textId="1CE56572"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Critically, each theory has limitations. The JD-R model, while flexible, may oversimplify complex organisational and cultural factors. COR theory emphasises resource loss but may underplay external systemic pressures, such as staffing shortages or policy constraints. Emotional labour theory focuses on individual emotional management but may neglect organisational responsibility for employee wellbeing. Debates continue regarding the best frameworks for understanding burnout, with scholars advocating for integrated models that consider both individual and systemic factors (</w:t>
      </w:r>
      <w:proofErr w:type="spellStart"/>
      <w:r w:rsidRPr="00BC612D">
        <w:rPr>
          <w:rFonts w:ascii="Arial" w:hAnsi="Arial" w:cs="Arial"/>
          <w:sz w:val="22"/>
          <w:szCs w:val="22"/>
        </w:rPr>
        <w:t>Shanafelt</w:t>
      </w:r>
      <w:proofErr w:type="spellEnd"/>
      <w:r w:rsidRPr="00BC612D">
        <w:rPr>
          <w:rFonts w:ascii="Arial" w:hAnsi="Arial" w:cs="Arial"/>
          <w:sz w:val="22"/>
          <w:szCs w:val="22"/>
        </w:rPr>
        <w:t xml:space="preserve"> &amp; </w:t>
      </w:r>
      <w:proofErr w:type="spellStart"/>
      <w:r w:rsidRPr="00BC612D">
        <w:rPr>
          <w:rFonts w:ascii="Arial" w:hAnsi="Arial" w:cs="Arial"/>
          <w:sz w:val="22"/>
          <w:szCs w:val="22"/>
        </w:rPr>
        <w:t>Noseworthy</w:t>
      </w:r>
      <w:proofErr w:type="spellEnd"/>
      <w:r w:rsidRPr="00BC612D">
        <w:rPr>
          <w:rFonts w:ascii="Arial" w:hAnsi="Arial" w:cs="Arial"/>
          <w:sz w:val="22"/>
          <w:szCs w:val="22"/>
        </w:rPr>
        <w:t>, 2017; West et al., 2018).</w:t>
      </w:r>
    </w:p>
    <w:p w14:paraId="44AD3AEE" w14:textId="06644603"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2.4 International Context </w:t>
      </w:r>
    </w:p>
    <w:p w14:paraId="45B7730D" w14:textId="76D488F7"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Burnout and healthcare worker mental health are recognised as global issues, affecting countries across all regions. According to the WHO (2022), burnout is prevalent in both high-income and low-income countries, with variations in prevalence influenced by healthcare infrastructure, staffing ratios, and cultural attitudes toward mental health.</w:t>
      </w:r>
    </w:p>
    <w:p w14:paraId="18E94D73" w14:textId="630B3801"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 xml:space="preserve">In the United States, research indicates high levels of physician burnout, prompting organisations such as the American Medical Association to develop national wellbeing initiatives </w:t>
      </w:r>
      <w:r w:rsidRPr="00BC612D">
        <w:rPr>
          <w:rFonts w:ascii="Arial" w:hAnsi="Arial" w:cs="Arial"/>
          <w:sz w:val="22"/>
          <w:szCs w:val="22"/>
        </w:rPr>
        <w:lastRenderedPageBreak/>
        <w:t>(</w:t>
      </w:r>
      <w:proofErr w:type="spellStart"/>
      <w:r w:rsidRPr="00BC612D">
        <w:rPr>
          <w:rFonts w:ascii="Arial" w:hAnsi="Arial" w:cs="Arial"/>
          <w:sz w:val="22"/>
          <w:szCs w:val="22"/>
        </w:rPr>
        <w:t>Shanafelt</w:t>
      </w:r>
      <w:proofErr w:type="spellEnd"/>
      <w:r w:rsidRPr="00BC612D">
        <w:rPr>
          <w:rFonts w:ascii="Arial" w:hAnsi="Arial" w:cs="Arial"/>
          <w:sz w:val="22"/>
          <w:szCs w:val="22"/>
        </w:rPr>
        <w:t xml:space="preserve"> et al., 2017). Similarly, in Canada, programs targeting resilience and stress management have been integrated into hospital systems (Hall et al., 2016).</w:t>
      </w:r>
    </w:p>
    <w:p w14:paraId="262EFA85" w14:textId="244A56DB"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European countries have also taken diverse approaches. For example, Sweden has implemented structured work-hour policies and occupational health support to reduce burnout, whereas Italy has focused on training interventions for emotional resilience among nurses (</w:t>
      </w:r>
      <w:proofErr w:type="spellStart"/>
      <w:r w:rsidRPr="00BC612D">
        <w:rPr>
          <w:rFonts w:ascii="Arial" w:hAnsi="Arial" w:cs="Arial"/>
          <w:sz w:val="22"/>
          <w:szCs w:val="22"/>
        </w:rPr>
        <w:t>Cañadas</w:t>
      </w:r>
      <w:proofErr w:type="spellEnd"/>
      <w:r w:rsidRPr="00BC612D">
        <w:rPr>
          <w:rFonts w:ascii="Arial" w:hAnsi="Arial" w:cs="Arial"/>
          <w:sz w:val="22"/>
          <w:szCs w:val="22"/>
        </w:rPr>
        <w:t>-De la Fuente et al., 2015; Giorgi et al., 2018). In contrast, low- and middle-income countries often face systemic challenges, including staff shortages and limited access to mental health support, which exacerbate occupational stress (Buchan et al., 2015).</w:t>
      </w:r>
    </w:p>
    <w:p w14:paraId="013FB7CE" w14:textId="71C89859"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Comparative analysis reveals that high-resource countries often prioritise individual resilience and organisational support, whereas lower-resource contexts may rely more on community and peer support networks (WHO, 2022). Global initiatives such as the WHO’s “Mental Health at Work” programme encourage cross-country collaboration to share best practices, emphasising both preventive strategies and organisational interventions (WHO, 2020).</w:t>
      </w:r>
    </w:p>
    <w:p w14:paraId="7F530C63" w14:textId="6F4AF61E"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Case studies illustrate successes and challenges. For example, hospitals in the United States that implemented structured mentorship and wellbeing programmes reported reductions in burnout and improved retention rates (</w:t>
      </w:r>
      <w:proofErr w:type="spellStart"/>
      <w:r w:rsidRPr="00BC612D">
        <w:rPr>
          <w:rFonts w:ascii="Arial" w:hAnsi="Arial" w:cs="Arial"/>
          <w:sz w:val="22"/>
          <w:szCs w:val="22"/>
        </w:rPr>
        <w:t>Shanafelt</w:t>
      </w:r>
      <w:proofErr w:type="spellEnd"/>
      <w:r w:rsidRPr="00BC612D">
        <w:rPr>
          <w:rFonts w:ascii="Arial" w:hAnsi="Arial" w:cs="Arial"/>
          <w:sz w:val="22"/>
          <w:szCs w:val="22"/>
        </w:rPr>
        <w:t xml:space="preserve"> &amp; </w:t>
      </w:r>
      <w:proofErr w:type="spellStart"/>
      <w:r w:rsidRPr="00BC612D">
        <w:rPr>
          <w:rFonts w:ascii="Arial" w:hAnsi="Arial" w:cs="Arial"/>
          <w:sz w:val="22"/>
          <w:szCs w:val="22"/>
        </w:rPr>
        <w:t>Noseworthy</w:t>
      </w:r>
      <w:proofErr w:type="spellEnd"/>
      <w:r w:rsidRPr="00BC612D">
        <w:rPr>
          <w:rFonts w:ascii="Arial" w:hAnsi="Arial" w:cs="Arial"/>
          <w:sz w:val="22"/>
          <w:szCs w:val="22"/>
        </w:rPr>
        <w:t>, 2017). In contrast, studies from sub-Saharan Africa highlight persistent stress due to high patient-to-staff ratios and limited resources, demonstrating that systemic factors strongly influence outcomes (Buchan et al., 2015).</w:t>
      </w:r>
    </w:p>
    <w:p w14:paraId="52E8F2F9" w14:textId="4F50CD34"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2.5 National/Local UK Contex</w:t>
      </w:r>
      <w:r w:rsidR="00884C2A" w:rsidRPr="00BC612D">
        <w:rPr>
          <w:rFonts w:ascii="Arial" w:hAnsi="Arial" w:cs="Arial"/>
          <w:sz w:val="22"/>
          <w:szCs w:val="22"/>
        </w:rPr>
        <w:t>t</w:t>
      </w:r>
    </w:p>
    <w:p w14:paraId="122B819E" w14:textId="4AB2D7D0"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In the UK, burnout and mental health among healthcare workers have received increasing attention. According to The King’s Fund (2021), NHS staff experience high levels of stress, linked to understaffing, long hours, and increasing patient demand. Research by West et al. (2018) highlights that burnout affects staff retention, patient care, and overall organisational performance.</w:t>
      </w:r>
    </w:p>
    <w:p w14:paraId="00F05632" w14:textId="5FFA51A2"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Key national policies aim to address these issues. The NHS Health and Wellbeing Framework (NHS England, 2019) provides guidelines for promoting staff mental health through wellbeing initiatives, counselling services, and leadership engagement. Additionally, the Health and Safety at Work Act (1974) and Management of Health and Safety at Work Regulations (1999) mandate employers to protect employee mental health alongside physical safet</w:t>
      </w:r>
      <w:r w:rsidRPr="00E7161B">
        <w:rPr>
          <w:rFonts w:ascii="Arial" w:hAnsi="Arial" w:cs="Arial"/>
          <w:sz w:val="22"/>
          <w:szCs w:val="22"/>
        </w:rPr>
        <w:t>y</w:t>
      </w:r>
      <w:r w:rsidR="00B31E3E" w:rsidRPr="00E7161B">
        <w:rPr>
          <w:rFonts w:ascii="Arial" w:hAnsi="Arial" w:cs="Arial"/>
          <w:sz w:val="22"/>
          <w:szCs w:val="22"/>
        </w:rPr>
        <w:t xml:space="preserve">, </w:t>
      </w:r>
      <w:r w:rsidR="00B31E3E" w:rsidRPr="00E7161B">
        <w:rPr>
          <w:rFonts w:ascii="Arial" w:eastAsia="Times New Roman" w:hAnsi="Arial" w:cs="Arial"/>
          <w:sz w:val="22"/>
          <w:szCs w:val="22"/>
        </w:rPr>
        <w:t xml:space="preserve">As an employer, you have a general legal duty to protect the health, safety, and wellbeing of your employees—and </w:t>
      </w:r>
      <w:r w:rsidR="00B31E3E" w:rsidRPr="00E7161B">
        <w:rPr>
          <w:rFonts w:ascii="Arial" w:eastAsia="Times New Roman" w:hAnsi="Arial" w:cs="Arial"/>
          <w:sz w:val="22"/>
          <w:szCs w:val="22"/>
        </w:rPr>
        <w:lastRenderedPageBreak/>
        <w:t xml:space="preserve">this responsibility applies to mental health just as much as it does to physical health. </w:t>
      </w:r>
      <w:r w:rsidR="001311E9" w:rsidRPr="00E7161B">
        <w:rPr>
          <w:rFonts w:ascii="Arial" w:eastAsia="Times New Roman" w:hAnsi="Arial" w:cs="Arial"/>
          <w:sz w:val="22"/>
          <w:szCs w:val="22"/>
        </w:rPr>
        <w:t xml:space="preserve">An employer </w:t>
      </w:r>
      <w:r w:rsidR="00B31E3E" w:rsidRPr="00E7161B">
        <w:rPr>
          <w:rFonts w:ascii="Arial" w:eastAsia="Times New Roman" w:hAnsi="Arial" w:cs="Arial"/>
          <w:sz w:val="22"/>
          <w:szCs w:val="22"/>
        </w:rPr>
        <w:t>must take all reasonably practicable steps to safeguard workers and anyone else who may be affected by their work.</w:t>
      </w:r>
      <w:r w:rsidR="00B31E3E" w:rsidRPr="00E7161B">
        <w:rPr>
          <w:rFonts w:ascii="Arial" w:hAnsi="Arial" w:cs="Arial"/>
          <w:sz w:val="22"/>
          <w:szCs w:val="22"/>
        </w:rPr>
        <w:t xml:space="preserve"> </w:t>
      </w:r>
      <w:r w:rsidRPr="00E7161B">
        <w:rPr>
          <w:rFonts w:ascii="Arial" w:hAnsi="Arial" w:cs="Arial"/>
          <w:sz w:val="22"/>
          <w:szCs w:val="22"/>
        </w:rPr>
        <w:t>These framework</w:t>
      </w:r>
      <w:r w:rsidRPr="00BC612D">
        <w:rPr>
          <w:rFonts w:ascii="Arial" w:hAnsi="Arial" w:cs="Arial"/>
          <w:sz w:val="22"/>
          <w:szCs w:val="22"/>
        </w:rPr>
        <w:t>s have encouraged NHS Trusts to implement wellbeing programmes, mindfulness training, and peer-support initiatives (Robertson et al., 2015).</w:t>
      </w:r>
    </w:p>
    <w:p w14:paraId="45FE633E" w14:textId="62F2B23A"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Local variations exist in how mental health support is delivered. For example, some NHS Trusts have embedded dedicated occupational health teams and resilience workshops, while others rely on external counselling services or employee assistance programmes (Crawford et al., 2019). Regional differences may reflect funding, leadership priorities, or workforce composition. Research by Mills et al. (2020) indicates that hospitals with proactive mental health strategies experience lower staff turnover and improved patient care outcomes, underscoring the impact of organisational culture.</w:t>
      </w:r>
    </w:p>
    <w:p w14:paraId="5EB924C1" w14:textId="60589708"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Professional organisations such as the Royal College of Nursing and the British Medical Association also provide resources and guidance to support staff wellbeing. These bodies advocate for systemic approaches, including workload management, flexible working, and the destigmatisation of mental health issues (BMA, 2021). Collectively, national and local strategies illustrate a commitment to improving healthcare worker wellbeing, although challenges remain in ensuring consistent implementation across regions and disciplines.</w:t>
      </w:r>
    </w:p>
    <w:p w14:paraId="17C3D4DC" w14:textId="5458FF97" w:rsidR="00FE66F9" w:rsidRPr="00C326E7" w:rsidRDefault="00FE66F9" w:rsidP="00BC612D">
      <w:pPr>
        <w:spacing w:line="360" w:lineRule="auto"/>
        <w:rPr>
          <w:rFonts w:ascii="Arial" w:hAnsi="Arial" w:cs="Arial"/>
          <w:sz w:val="22"/>
          <w:szCs w:val="22"/>
        </w:rPr>
      </w:pPr>
      <w:r w:rsidRPr="00C326E7">
        <w:rPr>
          <w:rFonts w:ascii="Arial" w:hAnsi="Arial" w:cs="Arial"/>
          <w:sz w:val="22"/>
          <w:szCs w:val="22"/>
        </w:rPr>
        <w:t xml:space="preserve">2.6 Conclusion </w:t>
      </w:r>
    </w:p>
    <w:p w14:paraId="2A0FF117" w14:textId="69DC6A12" w:rsidR="00FE66F9" w:rsidRPr="00BC612D" w:rsidRDefault="00FE66F9" w:rsidP="00BC612D">
      <w:pPr>
        <w:spacing w:line="360" w:lineRule="auto"/>
        <w:rPr>
          <w:rFonts w:ascii="Arial" w:hAnsi="Arial" w:cs="Arial"/>
          <w:sz w:val="22"/>
          <w:szCs w:val="22"/>
        </w:rPr>
      </w:pPr>
      <w:r w:rsidRPr="00BC612D">
        <w:rPr>
          <w:rFonts w:ascii="Arial" w:hAnsi="Arial" w:cs="Arial"/>
          <w:sz w:val="22"/>
          <w:szCs w:val="22"/>
        </w:rPr>
        <w:t>This chapter has provided a comprehensive overview of the background and context for studying burnout and mental health among healthcare workers. Historically, burnout has evolved from early clinical observations to a well-defined occupational phenomenon, with significant contributions from researchers and organisations shaping contemporary understanding (</w:t>
      </w:r>
      <w:proofErr w:type="spellStart"/>
      <w:r w:rsidRPr="00BC612D">
        <w:rPr>
          <w:rFonts w:ascii="Arial" w:hAnsi="Arial" w:cs="Arial"/>
          <w:sz w:val="22"/>
          <w:szCs w:val="22"/>
        </w:rPr>
        <w:t>Freudenberger</w:t>
      </w:r>
      <w:proofErr w:type="spellEnd"/>
      <w:r w:rsidRPr="00BC612D">
        <w:rPr>
          <w:rFonts w:ascii="Arial" w:hAnsi="Arial" w:cs="Arial"/>
          <w:sz w:val="22"/>
          <w:szCs w:val="22"/>
        </w:rPr>
        <w:t xml:space="preserve">, 1974; </w:t>
      </w:r>
      <w:proofErr w:type="spellStart"/>
      <w:r w:rsidRPr="00BC612D">
        <w:rPr>
          <w:rFonts w:ascii="Arial" w:hAnsi="Arial" w:cs="Arial"/>
          <w:sz w:val="22"/>
          <w:szCs w:val="22"/>
        </w:rPr>
        <w:t>Maslach</w:t>
      </w:r>
      <w:proofErr w:type="spellEnd"/>
      <w:r w:rsidRPr="00BC612D">
        <w:rPr>
          <w:rFonts w:ascii="Arial" w:hAnsi="Arial" w:cs="Arial"/>
          <w:sz w:val="22"/>
          <w:szCs w:val="22"/>
        </w:rPr>
        <w:t xml:space="preserve"> et al., 2001). Theoretical frameworks such as the JD-R model, COR theory, and emotional labour theory offer explanations for the mechanisms underlying burnout, while also highlighting ongoing debates and limitations.</w:t>
      </w:r>
    </w:p>
    <w:p w14:paraId="3D751603" w14:textId="77777777" w:rsidR="00715F24" w:rsidRDefault="00FE66F9" w:rsidP="00715F24">
      <w:pPr>
        <w:spacing w:line="360" w:lineRule="auto"/>
        <w:rPr>
          <w:rFonts w:ascii="Arial" w:hAnsi="Arial" w:cs="Arial"/>
          <w:sz w:val="22"/>
          <w:szCs w:val="22"/>
        </w:rPr>
      </w:pPr>
      <w:r w:rsidRPr="00BC612D">
        <w:rPr>
          <w:rFonts w:ascii="Arial" w:hAnsi="Arial" w:cs="Arial"/>
          <w:sz w:val="22"/>
          <w:szCs w:val="22"/>
        </w:rPr>
        <w:t>The international section emphasised that burnout is a global concern, with approaches varying according to resources, policies, and cultural contexts. The UK context illustrates the interplay between national frameworks, local organisational practices, and workforce wellbeing initiatives. Together, this background information provides a solid foundation for the methodology chapter</w:t>
      </w:r>
      <w:r w:rsidR="00AE7D01">
        <w:rPr>
          <w:rFonts w:ascii="Arial" w:hAnsi="Arial" w:cs="Arial"/>
          <w:sz w:val="22"/>
          <w:szCs w:val="22"/>
        </w:rPr>
        <w:t xml:space="preserve"> 3</w:t>
      </w:r>
      <w:r w:rsidRPr="00BC612D">
        <w:rPr>
          <w:rFonts w:ascii="Arial" w:hAnsi="Arial" w:cs="Arial"/>
          <w:sz w:val="22"/>
          <w:szCs w:val="22"/>
        </w:rPr>
        <w:t xml:space="preserve"> informing the research design, participant selection, and data collection strategies used to investigate burnout and mental health among healthcare workers.</w:t>
      </w:r>
    </w:p>
    <w:p w14:paraId="3923338A" w14:textId="42FEA10C" w:rsidR="00BC612D" w:rsidRPr="00715F24" w:rsidRDefault="002D3C60" w:rsidP="00715F24">
      <w:pPr>
        <w:spacing w:line="360" w:lineRule="auto"/>
        <w:rPr>
          <w:rFonts w:ascii="Arial" w:hAnsi="Arial" w:cs="Arial"/>
          <w:sz w:val="22"/>
          <w:szCs w:val="22"/>
        </w:rPr>
      </w:pPr>
      <w:r>
        <w:rPr>
          <w:b/>
          <w:bCs/>
        </w:rPr>
        <w:lastRenderedPageBreak/>
        <w:t xml:space="preserve">References </w:t>
      </w:r>
    </w:p>
    <w:p w14:paraId="584CB496" w14:textId="5511610C" w:rsidR="00FC0B5E" w:rsidRPr="00BC612D" w:rsidRDefault="00FC0B5E" w:rsidP="00BC612D">
      <w:pPr>
        <w:pStyle w:val="NormalWeb"/>
        <w:numPr>
          <w:ilvl w:val="0"/>
          <w:numId w:val="2"/>
        </w:numPr>
        <w:spacing w:line="360" w:lineRule="auto"/>
        <w:rPr>
          <w:rFonts w:ascii="Arial" w:hAnsi="Arial" w:cs="Arial"/>
          <w:sz w:val="22"/>
          <w:szCs w:val="22"/>
        </w:rPr>
      </w:pPr>
      <w:r w:rsidRPr="00BC612D">
        <w:rPr>
          <w:rFonts w:ascii="Arial" w:hAnsi="Arial" w:cs="Arial"/>
          <w:sz w:val="22"/>
          <w:szCs w:val="22"/>
        </w:rPr>
        <w:t xml:space="preserve">Bakker, A.B. &amp; </w:t>
      </w:r>
      <w:proofErr w:type="spellStart"/>
      <w:r w:rsidRPr="00BC612D">
        <w:rPr>
          <w:rFonts w:ascii="Arial" w:hAnsi="Arial" w:cs="Arial"/>
          <w:sz w:val="22"/>
          <w:szCs w:val="22"/>
        </w:rPr>
        <w:t>Demerouti</w:t>
      </w:r>
      <w:proofErr w:type="spellEnd"/>
      <w:r w:rsidRPr="00BC612D">
        <w:rPr>
          <w:rFonts w:ascii="Arial" w:hAnsi="Arial" w:cs="Arial"/>
          <w:sz w:val="22"/>
          <w:szCs w:val="22"/>
        </w:rPr>
        <w:t xml:space="preserve">, E. (2001) ‘The job demands-resources model of burnout’, </w:t>
      </w:r>
      <w:r w:rsidRPr="00BC612D">
        <w:rPr>
          <w:rStyle w:val="Emphasis"/>
          <w:rFonts w:ascii="Arial" w:hAnsi="Arial" w:cs="Arial"/>
          <w:sz w:val="22"/>
          <w:szCs w:val="22"/>
        </w:rPr>
        <w:t>Journal of Applied Psychology</w:t>
      </w:r>
      <w:r w:rsidRPr="00BC612D">
        <w:rPr>
          <w:rFonts w:ascii="Arial" w:hAnsi="Arial" w:cs="Arial"/>
          <w:sz w:val="22"/>
          <w:szCs w:val="22"/>
        </w:rPr>
        <w:t>, 86(3), pp. 499–512</w:t>
      </w:r>
      <w:r w:rsidR="00614131" w:rsidRPr="00BC612D">
        <w:rPr>
          <w:rFonts w:ascii="Arial" w:hAnsi="Arial" w:cs="Arial"/>
          <w:sz w:val="22"/>
          <w:szCs w:val="22"/>
        </w:rPr>
        <w:t xml:space="preserve">. </w:t>
      </w:r>
      <w:hyperlink r:id="rId6" w:history="1">
        <w:r w:rsidR="00681BA3" w:rsidRPr="00BC612D">
          <w:rPr>
            <w:rStyle w:val="Hyperlink"/>
            <w:rFonts w:ascii="Arial" w:hAnsi="Arial" w:cs="Arial"/>
            <w:sz w:val="22"/>
            <w:szCs w:val="22"/>
          </w:rPr>
          <w:t>https://psycnet.apa.org/doi/10.1037/0021-9010.86.3.499</w:t>
        </w:r>
      </w:hyperlink>
      <w:r w:rsidR="00681BA3" w:rsidRPr="00BC612D">
        <w:rPr>
          <w:rFonts w:ascii="Arial" w:hAnsi="Arial" w:cs="Arial"/>
          <w:sz w:val="22"/>
          <w:szCs w:val="22"/>
        </w:rPr>
        <w:t xml:space="preserve"> </w:t>
      </w:r>
      <w:r w:rsidR="00366BF4" w:rsidRPr="00BC612D">
        <w:rPr>
          <w:rFonts w:ascii="Arial" w:hAnsi="Arial" w:cs="Arial"/>
          <w:sz w:val="22"/>
          <w:szCs w:val="22"/>
        </w:rPr>
        <w:t xml:space="preserve"> </w:t>
      </w:r>
    </w:p>
    <w:p w14:paraId="10CCA96A" w14:textId="77777777" w:rsidR="00BE02E0" w:rsidRDefault="00FC0B5E" w:rsidP="002D13E5">
      <w:pPr>
        <w:pStyle w:val="NormalWeb"/>
        <w:numPr>
          <w:ilvl w:val="0"/>
          <w:numId w:val="2"/>
        </w:numPr>
        <w:spacing w:line="360" w:lineRule="auto"/>
        <w:rPr>
          <w:rFonts w:ascii="Arial" w:hAnsi="Arial" w:cs="Arial"/>
          <w:sz w:val="22"/>
          <w:szCs w:val="22"/>
        </w:rPr>
      </w:pPr>
      <w:r w:rsidRPr="00146DC7">
        <w:rPr>
          <w:rFonts w:ascii="Arial" w:hAnsi="Arial" w:cs="Arial"/>
          <w:sz w:val="22"/>
          <w:szCs w:val="22"/>
        </w:rPr>
        <w:t xml:space="preserve">Bakker, A.B., </w:t>
      </w:r>
      <w:proofErr w:type="spellStart"/>
      <w:r w:rsidRPr="00146DC7">
        <w:rPr>
          <w:rFonts w:ascii="Arial" w:hAnsi="Arial" w:cs="Arial"/>
          <w:sz w:val="22"/>
          <w:szCs w:val="22"/>
        </w:rPr>
        <w:t>Demerouti</w:t>
      </w:r>
      <w:proofErr w:type="spellEnd"/>
      <w:r w:rsidRPr="00146DC7">
        <w:rPr>
          <w:rFonts w:ascii="Arial" w:hAnsi="Arial" w:cs="Arial"/>
          <w:sz w:val="22"/>
          <w:szCs w:val="22"/>
        </w:rPr>
        <w:t xml:space="preserve">, E. &amp; </w:t>
      </w:r>
      <w:proofErr w:type="spellStart"/>
      <w:r w:rsidRPr="00146DC7">
        <w:rPr>
          <w:rFonts w:ascii="Arial" w:hAnsi="Arial" w:cs="Arial"/>
          <w:sz w:val="22"/>
          <w:szCs w:val="22"/>
        </w:rPr>
        <w:t>Euwema</w:t>
      </w:r>
      <w:proofErr w:type="spellEnd"/>
      <w:r w:rsidRPr="00146DC7">
        <w:rPr>
          <w:rFonts w:ascii="Arial" w:hAnsi="Arial" w:cs="Arial"/>
          <w:sz w:val="22"/>
          <w:szCs w:val="22"/>
        </w:rPr>
        <w:t xml:space="preserve">, M.C. (2005) ‘Job resources buffer the impact of job demands on burnout’, </w:t>
      </w:r>
      <w:r w:rsidRPr="00146DC7">
        <w:rPr>
          <w:rStyle w:val="Emphasis"/>
          <w:rFonts w:ascii="Arial" w:hAnsi="Arial" w:cs="Arial"/>
          <w:sz w:val="22"/>
          <w:szCs w:val="22"/>
        </w:rPr>
        <w:t>Journal of Occupational Health Psychology</w:t>
      </w:r>
      <w:r w:rsidRPr="00146DC7">
        <w:rPr>
          <w:rFonts w:ascii="Arial" w:hAnsi="Arial" w:cs="Arial"/>
          <w:sz w:val="22"/>
          <w:szCs w:val="22"/>
        </w:rPr>
        <w:t xml:space="preserve">, 10(2), pp. 170–180. </w:t>
      </w:r>
      <w:hyperlink r:id="rId7" w:history="1">
        <w:r w:rsidR="00BE02E0" w:rsidRPr="00472985">
          <w:rPr>
            <w:rStyle w:val="Hyperlink"/>
            <w:rFonts w:ascii="Arial" w:hAnsi="Arial" w:cs="Arial"/>
            <w:sz w:val="22"/>
            <w:szCs w:val="22"/>
          </w:rPr>
          <w:t>https://doi.org/10.1037/1076-8998.10.2.170</w:t>
        </w:r>
      </w:hyperlink>
      <w:r w:rsidR="00146DC7">
        <w:rPr>
          <w:rFonts w:ascii="Arial" w:hAnsi="Arial" w:cs="Arial"/>
          <w:sz w:val="22"/>
          <w:szCs w:val="22"/>
        </w:rPr>
        <w:t xml:space="preserve"> </w:t>
      </w:r>
    </w:p>
    <w:p w14:paraId="79B7A1B1" w14:textId="0B1597C5" w:rsidR="00FC0B5E" w:rsidRPr="00146DC7" w:rsidRDefault="00FC0B5E" w:rsidP="002D13E5">
      <w:pPr>
        <w:pStyle w:val="NormalWeb"/>
        <w:numPr>
          <w:ilvl w:val="0"/>
          <w:numId w:val="2"/>
        </w:numPr>
        <w:spacing w:line="360" w:lineRule="auto"/>
        <w:rPr>
          <w:rFonts w:ascii="Arial" w:hAnsi="Arial" w:cs="Arial"/>
          <w:sz w:val="22"/>
          <w:szCs w:val="22"/>
        </w:rPr>
      </w:pPr>
      <w:r w:rsidRPr="00146DC7">
        <w:rPr>
          <w:rFonts w:ascii="Arial" w:hAnsi="Arial" w:cs="Arial"/>
          <w:sz w:val="22"/>
          <w:szCs w:val="22"/>
        </w:rPr>
        <w:t xml:space="preserve">Bakker, A.B., </w:t>
      </w:r>
      <w:proofErr w:type="spellStart"/>
      <w:r w:rsidRPr="00146DC7">
        <w:rPr>
          <w:rFonts w:ascii="Arial" w:hAnsi="Arial" w:cs="Arial"/>
          <w:sz w:val="22"/>
          <w:szCs w:val="22"/>
        </w:rPr>
        <w:t>Demerouti</w:t>
      </w:r>
      <w:proofErr w:type="spellEnd"/>
      <w:r w:rsidRPr="00146DC7">
        <w:rPr>
          <w:rFonts w:ascii="Arial" w:hAnsi="Arial" w:cs="Arial"/>
          <w:sz w:val="22"/>
          <w:szCs w:val="22"/>
        </w:rPr>
        <w:t xml:space="preserve">, E. &amp; </w:t>
      </w:r>
      <w:proofErr w:type="spellStart"/>
      <w:r w:rsidRPr="00146DC7">
        <w:rPr>
          <w:rFonts w:ascii="Arial" w:hAnsi="Arial" w:cs="Arial"/>
          <w:sz w:val="22"/>
          <w:szCs w:val="22"/>
        </w:rPr>
        <w:t>Verbeke</w:t>
      </w:r>
      <w:proofErr w:type="spellEnd"/>
      <w:r w:rsidRPr="00146DC7">
        <w:rPr>
          <w:rFonts w:ascii="Arial" w:hAnsi="Arial" w:cs="Arial"/>
          <w:sz w:val="22"/>
          <w:szCs w:val="22"/>
        </w:rPr>
        <w:t xml:space="preserve">, W. (2004) ‘Using the job demands-resources model to predict burnout and performance’, </w:t>
      </w:r>
      <w:r w:rsidRPr="00146DC7">
        <w:rPr>
          <w:rStyle w:val="Emphasis"/>
          <w:rFonts w:ascii="Arial" w:hAnsi="Arial" w:cs="Arial"/>
          <w:sz w:val="22"/>
          <w:szCs w:val="22"/>
        </w:rPr>
        <w:t>Human Resource Management</w:t>
      </w:r>
      <w:r w:rsidRPr="00146DC7">
        <w:rPr>
          <w:rFonts w:ascii="Arial" w:hAnsi="Arial" w:cs="Arial"/>
          <w:sz w:val="22"/>
          <w:szCs w:val="22"/>
        </w:rPr>
        <w:t xml:space="preserve">, 43(1), pp. 83–104. </w:t>
      </w:r>
      <w:r w:rsidR="007B75F9">
        <w:rPr>
          <w:rFonts w:ascii="Arial" w:hAnsi="Arial" w:cs="Arial"/>
          <w:sz w:val="22"/>
          <w:szCs w:val="22"/>
        </w:rPr>
        <w:t xml:space="preserve"> </w:t>
      </w:r>
      <w:hyperlink r:id="rId8" w:history="1">
        <w:r w:rsidR="007B75F9" w:rsidRPr="00472985">
          <w:rPr>
            <w:rStyle w:val="Hyperlink"/>
            <w:rFonts w:ascii="Arial" w:hAnsi="Arial" w:cs="Arial"/>
            <w:sz w:val="22"/>
            <w:szCs w:val="22"/>
          </w:rPr>
          <w:t>https://doi.org/10.1002/hrm.20004</w:t>
        </w:r>
      </w:hyperlink>
      <w:r w:rsidR="007B75F9">
        <w:rPr>
          <w:rFonts w:ascii="Arial" w:hAnsi="Arial" w:cs="Arial"/>
          <w:sz w:val="22"/>
          <w:szCs w:val="22"/>
        </w:rPr>
        <w:t xml:space="preserve"> </w:t>
      </w:r>
    </w:p>
    <w:p w14:paraId="14C2EB74" w14:textId="7FD75638" w:rsidR="00FC0B5E" w:rsidRPr="002D13E5"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Brooks, S.K., Webster, R.K., Smith, L.E., Woodland, L., Wessely, S., Greenberg, N. &amp; Rubin, G.J. (2018) ‘The psychological impact of healthcare workers during outbreaks: a rapid review of the evidence’, </w:t>
      </w:r>
      <w:r w:rsidRPr="002D13E5">
        <w:rPr>
          <w:rStyle w:val="Emphasis"/>
          <w:rFonts w:ascii="Arial" w:hAnsi="Arial" w:cs="Arial"/>
          <w:sz w:val="22"/>
          <w:szCs w:val="22"/>
        </w:rPr>
        <w:t>Journal of Public Health</w:t>
      </w:r>
      <w:r w:rsidRPr="002D13E5">
        <w:rPr>
          <w:rFonts w:ascii="Arial" w:hAnsi="Arial" w:cs="Arial"/>
          <w:sz w:val="22"/>
          <w:szCs w:val="22"/>
        </w:rPr>
        <w:t>, 40(4), pp. 1–7.</w:t>
      </w:r>
      <w:r w:rsidR="00041E4B">
        <w:rPr>
          <w:rFonts w:ascii="Arial" w:hAnsi="Arial" w:cs="Arial"/>
          <w:sz w:val="22"/>
          <w:szCs w:val="22"/>
        </w:rPr>
        <w:t xml:space="preserve"> </w:t>
      </w:r>
      <w:hyperlink r:id="rId9" w:history="1">
        <w:r w:rsidR="00ED1476" w:rsidRPr="00472985">
          <w:rPr>
            <w:rStyle w:val="Hyperlink"/>
            <w:rFonts w:ascii="Arial" w:hAnsi="Arial" w:cs="Arial"/>
            <w:sz w:val="22"/>
            <w:szCs w:val="22"/>
          </w:rPr>
          <w:t>https://doi.org/10.1007/s11920-020-01166-z</w:t>
        </w:r>
      </w:hyperlink>
      <w:r w:rsidR="00ED1476">
        <w:rPr>
          <w:rFonts w:ascii="Arial" w:hAnsi="Arial" w:cs="Arial"/>
          <w:sz w:val="22"/>
          <w:szCs w:val="22"/>
        </w:rPr>
        <w:t xml:space="preserve"> </w:t>
      </w:r>
    </w:p>
    <w:p w14:paraId="14CF870D" w14:textId="2A5BC304" w:rsidR="00FC0B5E" w:rsidRPr="00CF7477" w:rsidRDefault="00FC0B5E" w:rsidP="00CF7477">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Cañadas</w:t>
      </w:r>
      <w:proofErr w:type="spellEnd"/>
      <w:r w:rsidRPr="002D13E5">
        <w:rPr>
          <w:rFonts w:ascii="Arial" w:hAnsi="Arial" w:cs="Arial"/>
          <w:sz w:val="22"/>
          <w:szCs w:val="22"/>
        </w:rPr>
        <w:noBreakHyphen/>
        <w:t xml:space="preserve">De la Fuente, G.A., San Luis, C., </w:t>
      </w:r>
      <w:proofErr w:type="spellStart"/>
      <w:r w:rsidRPr="002D13E5">
        <w:rPr>
          <w:rFonts w:ascii="Arial" w:hAnsi="Arial" w:cs="Arial"/>
          <w:sz w:val="22"/>
          <w:szCs w:val="22"/>
        </w:rPr>
        <w:t>García</w:t>
      </w:r>
      <w:proofErr w:type="spellEnd"/>
      <w:r w:rsidRPr="002D13E5">
        <w:rPr>
          <w:rFonts w:ascii="Arial" w:hAnsi="Arial" w:cs="Arial"/>
          <w:sz w:val="22"/>
          <w:szCs w:val="22"/>
        </w:rPr>
        <w:t xml:space="preserve">, I., Vargas, C., De la Fuente, E.I. &amp; Lozano, L.M. (2018) ‘Prevalence of burnout in a sample of Spanish nurses: descriptive study’, </w:t>
      </w:r>
      <w:proofErr w:type="spellStart"/>
      <w:r w:rsidRPr="002D13E5">
        <w:rPr>
          <w:rStyle w:val="Emphasis"/>
          <w:rFonts w:ascii="Arial" w:hAnsi="Arial" w:cs="Arial"/>
          <w:sz w:val="22"/>
          <w:szCs w:val="22"/>
        </w:rPr>
        <w:t>Medicina</w:t>
      </w:r>
      <w:proofErr w:type="spellEnd"/>
      <w:r w:rsidRPr="002D13E5">
        <w:rPr>
          <w:rStyle w:val="Emphasis"/>
          <w:rFonts w:ascii="Arial" w:hAnsi="Arial" w:cs="Arial"/>
          <w:sz w:val="22"/>
          <w:szCs w:val="22"/>
        </w:rPr>
        <w:t xml:space="preserve"> </w:t>
      </w:r>
      <w:proofErr w:type="spellStart"/>
      <w:r w:rsidRPr="002D13E5">
        <w:rPr>
          <w:rStyle w:val="Emphasis"/>
          <w:rFonts w:ascii="Arial" w:hAnsi="Arial" w:cs="Arial"/>
          <w:sz w:val="22"/>
          <w:szCs w:val="22"/>
        </w:rPr>
        <w:t>Clínica</w:t>
      </w:r>
      <w:proofErr w:type="spellEnd"/>
      <w:r w:rsidRPr="002D13E5">
        <w:rPr>
          <w:rFonts w:ascii="Arial" w:hAnsi="Arial" w:cs="Arial"/>
          <w:sz w:val="22"/>
          <w:szCs w:val="22"/>
        </w:rPr>
        <w:t xml:space="preserve">, 150(6), pp. 213–219. </w:t>
      </w:r>
      <w:hyperlink r:id="rId10" w:history="1">
        <w:r w:rsidR="00A574DA" w:rsidRPr="00472985">
          <w:rPr>
            <w:rStyle w:val="Hyperlink"/>
            <w:rFonts w:ascii="Arial" w:hAnsi="Arial" w:cs="Arial"/>
            <w:sz w:val="22"/>
            <w:szCs w:val="22"/>
          </w:rPr>
          <w:t>https://doi.org/10.1016/j.ijnurstu.2014.07.001</w:t>
        </w:r>
      </w:hyperlink>
      <w:r w:rsidR="002F4B10" w:rsidRPr="00CF7477">
        <w:rPr>
          <w:rFonts w:ascii="Arial" w:hAnsi="Arial" w:cs="Arial"/>
          <w:sz w:val="22"/>
          <w:szCs w:val="22"/>
        </w:rPr>
        <w:t xml:space="preserve"> </w:t>
      </w:r>
    </w:p>
    <w:p w14:paraId="787CC341" w14:textId="3718937D"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Cañadas</w:t>
      </w:r>
      <w:proofErr w:type="spellEnd"/>
      <w:r w:rsidRPr="002D13E5">
        <w:rPr>
          <w:rFonts w:ascii="Arial" w:hAnsi="Arial" w:cs="Arial"/>
          <w:sz w:val="22"/>
          <w:szCs w:val="22"/>
        </w:rPr>
        <w:noBreakHyphen/>
        <w:t xml:space="preserve">De la Fuente, G.A., Vargas, C., San Luis, C., </w:t>
      </w:r>
      <w:proofErr w:type="spellStart"/>
      <w:r w:rsidRPr="002D13E5">
        <w:rPr>
          <w:rFonts w:ascii="Arial" w:hAnsi="Arial" w:cs="Arial"/>
          <w:sz w:val="22"/>
          <w:szCs w:val="22"/>
        </w:rPr>
        <w:t>García</w:t>
      </w:r>
      <w:proofErr w:type="spellEnd"/>
      <w:r w:rsidRPr="002D13E5">
        <w:rPr>
          <w:rFonts w:ascii="Arial" w:hAnsi="Arial" w:cs="Arial"/>
          <w:sz w:val="22"/>
          <w:szCs w:val="22"/>
        </w:rPr>
        <w:t xml:space="preserve">, I., De la Fuente, E.I. &amp; Lozano, L.M. (2015) ‘Risk factors and prevalence of burnout in nursing professionals: a systematic review’, </w:t>
      </w:r>
      <w:r w:rsidRPr="002D13E5">
        <w:rPr>
          <w:rStyle w:val="Emphasis"/>
          <w:rFonts w:ascii="Arial" w:hAnsi="Arial" w:cs="Arial"/>
          <w:sz w:val="22"/>
          <w:szCs w:val="22"/>
        </w:rPr>
        <w:t>International Journal of Nursing Studies</w:t>
      </w:r>
      <w:r w:rsidRPr="002D13E5">
        <w:rPr>
          <w:rFonts w:ascii="Arial" w:hAnsi="Arial" w:cs="Arial"/>
          <w:sz w:val="22"/>
          <w:szCs w:val="22"/>
        </w:rPr>
        <w:t xml:space="preserve">, 52(1), pp. 240–249. </w:t>
      </w:r>
    </w:p>
    <w:p w14:paraId="02E504A5" w14:textId="226B2C6B"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Dall’Ora</w:t>
      </w:r>
      <w:proofErr w:type="spellEnd"/>
      <w:r w:rsidRPr="002D13E5">
        <w:rPr>
          <w:rFonts w:ascii="Arial" w:hAnsi="Arial" w:cs="Arial"/>
          <w:sz w:val="22"/>
          <w:szCs w:val="22"/>
        </w:rPr>
        <w:t>, C., Griffiths, P., Ball, J., Simon, M. &amp; Aiken, L.H. (2015) ‘Association of 12</w:t>
      </w:r>
      <w:r w:rsidRPr="002D13E5">
        <w:rPr>
          <w:rFonts w:ascii="Arial" w:hAnsi="Arial" w:cs="Arial"/>
          <w:sz w:val="22"/>
          <w:szCs w:val="22"/>
        </w:rPr>
        <w:noBreakHyphen/>
        <w:t xml:space="preserve">hour shifts and nurses’ job satisfaction, burnout and intention to leave: findings from a cross-sectional study of 12 European countries’, </w:t>
      </w:r>
      <w:r w:rsidRPr="002D13E5">
        <w:rPr>
          <w:rStyle w:val="Emphasis"/>
          <w:rFonts w:ascii="Arial" w:hAnsi="Arial" w:cs="Arial"/>
          <w:sz w:val="22"/>
          <w:szCs w:val="22"/>
        </w:rPr>
        <w:t>BMJ Open</w:t>
      </w:r>
      <w:r w:rsidRPr="002D13E5">
        <w:rPr>
          <w:rFonts w:ascii="Arial" w:hAnsi="Arial" w:cs="Arial"/>
          <w:sz w:val="22"/>
          <w:szCs w:val="22"/>
        </w:rPr>
        <w:t xml:space="preserve">, 5(9), e008331. </w:t>
      </w:r>
      <w:r w:rsidR="00C32461">
        <w:rPr>
          <w:rFonts w:ascii="Arial" w:hAnsi="Arial" w:cs="Arial"/>
          <w:sz w:val="22"/>
          <w:szCs w:val="22"/>
        </w:rPr>
        <w:t xml:space="preserve"> </w:t>
      </w:r>
      <w:hyperlink r:id="rId11" w:history="1">
        <w:r w:rsidR="00C32461" w:rsidRPr="00472985">
          <w:rPr>
            <w:rStyle w:val="Hyperlink"/>
            <w:rFonts w:ascii="Arial" w:hAnsi="Arial" w:cs="Arial"/>
            <w:sz w:val="22"/>
            <w:szCs w:val="22"/>
          </w:rPr>
          <w:t>https://doi.org/10.1136/bmjopen-2015-008331</w:t>
        </w:r>
      </w:hyperlink>
      <w:r w:rsidR="00C32461">
        <w:rPr>
          <w:rFonts w:ascii="Arial" w:hAnsi="Arial" w:cs="Arial"/>
          <w:sz w:val="22"/>
          <w:szCs w:val="22"/>
        </w:rPr>
        <w:t xml:space="preserve"> </w:t>
      </w:r>
    </w:p>
    <w:p w14:paraId="26EFEA56" w14:textId="7ED0C7AF"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Demerouti</w:t>
      </w:r>
      <w:proofErr w:type="spellEnd"/>
      <w:r w:rsidRPr="002D13E5">
        <w:rPr>
          <w:rFonts w:ascii="Arial" w:hAnsi="Arial" w:cs="Arial"/>
          <w:sz w:val="22"/>
          <w:szCs w:val="22"/>
        </w:rPr>
        <w:t xml:space="preserve">, E., </w:t>
      </w:r>
      <w:proofErr w:type="spellStart"/>
      <w:r w:rsidRPr="002D13E5">
        <w:rPr>
          <w:rFonts w:ascii="Arial" w:hAnsi="Arial" w:cs="Arial"/>
          <w:sz w:val="22"/>
          <w:szCs w:val="22"/>
        </w:rPr>
        <w:t>Geurts</w:t>
      </w:r>
      <w:proofErr w:type="spellEnd"/>
      <w:r w:rsidRPr="002D13E5">
        <w:rPr>
          <w:rFonts w:ascii="Arial" w:hAnsi="Arial" w:cs="Arial"/>
          <w:sz w:val="22"/>
          <w:szCs w:val="22"/>
        </w:rPr>
        <w:t xml:space="preserve">, S.A. &amp; </w:t>
      </w:r>
      <w:proofErr w:type="spellStart"/>
      <w:r w:rsidRPr="002D13E5">
        <w:rPr>
          <w:rFonts w:ascii="Arial" w:hAnsi="Arial" w:cs="Arial"/>
          <w:sz w:val="22"/>
          <w:szCs w:val="22"/>
        </w:rPr>
        <w:t>Kompier</w:t>
      </w:r>
      <w:proofErr w:type="spellEnd"/>
      <w:r w:rsidRPr="002D13E5">
        <w:rPr>
          <w:rFonts w:ascii="Arial" w:hAnsi="Arial" w:cs="Arial"/>
          <w:sz w:val="22"/>
          <w:szCs w:val="22"/>
        </w:rPr>
        <w:t xml:space="preserve">, M. (2004) ‘Positive and negative work–home interaction: Prevalence and correlates’, </w:t>
      </w:r>
      <w:r w:rsidRPr="002D13E5">
        <w:rPr>
          <w:rStyle w:val="Emphasis"/>
          <w:rFonts w:ascii="Arial" w:hAnsi="Arial" w:cs="Arial"/>
          <w:sz w:val="22"/>
          <w:szCs w:val="22"/>
        </w:rPr>
        <w:t>Equal Opportunities International</w:t>
      </w:r>
      <w:r w:rsidRPr="002D13E5">
        <w:rPr>
          <w:rFonts w:ascii="Arial" w:hAnsi="Arial" w:cs="Arial"/>
          <w:sz w:val="22"/>
          <w:szCs w:val="22"/>
        </w:rPr>
        <w:t xml:space="preserve">, 24(1–2), pp. 1–35. </w:t>
      </w:r>
      <w:hyperlink r:id="rId12" w:history="1">
        <w:r w:rsidR="001853DB" w:rsidRPr="00A004BE">
          <w:rPr>
            <w:rStyle w:val="Hyperlink"/>
            <w:rFonts w:ascii="Arial" w:hAnsi="Arial" w:cs="Arial"/>
            <w:sz w:val="22"/>
            <w:szCs w:val="22"/>
          </w:rPr>
          <w:t>https://doi.org/10.1108/02610150</w:t>
        </w:r>
      </w:hyperlink>
      <w:r w:rsidR="001853DB">
        <w:rPr>
          <w:rFonts w:ascii="Arial" w:hAnsi="Arial" w:cs="Arial"/>
          <w:sz w:val="22"/>
          <w:szCs w:val="22"/>
        </w:rPr>
        <w:t xml:space="preserve"> </w:t>
      </w:r>
    </w:p>
    <w:p w14:paraId="5CFDA827" w14:textId="286617DF"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Demerouti</w:t>
      </w:r>
      <w:proofErr w:type="spellEnd"/>
      <w:r w:rsidRPr="002D13E5">
        <w:rPr>
          <w:rFonts w:ascii="Arial" w:hAnsi="Arial" w:cs="Arial"/>
          <w:sz w:val="22"/>
          <w:szCs w:val="22"/>
        </w:rPr>
        <w:t xml:space="preserve">, E., </w:t>
      </w:r>
      <w:proofErr w:type="spellStart"/>
      <w:r w:rsidRPr="002D13E5">
        <w:rPr>
          <w:rFonts w:ascii="Arial" w:hAnsi="Arial" w:cs="Arial"/>
          <w:sz w:val="22"/>
          <w:szCs w:val="22"/>
        </w:rPr>
        <w:t>Mostert</w:t>
      </w:r>
      <w:proofErr w:type="spellEnd"/>
      <w:r w:rsidRPr="002D13E5">
        <w:rPr>
          <w:rFonts w:ascii="Arial" w:hAnsi="Arial" w:cs="Arial"/>
          <w:sz w:val="22"/>
          <w:szCs w:val="22"/>
        </w:rPr>
        <w:t xml:space="preserve">, K. &amp; Bakker, A.B. (2010) ‘Burnout and work engagement: A thorough investigation of the independency of both constructs’, </w:t>
      </w:r>
      <w:r w:rsidRPr="002D13E5">
        <w:rPr>
          <w:rStyle w:val="Emphasis"/>
          <w:rFonts w:ascii="Arial" w:hAnsi="Arial" w:cs="Arial"/>
          <w:sz w:val="22"/>
          <w:szCs w:val="22"/>
        </w:rPr>
        <w:t>Journal of Occupational Health Psychology</w:t>
      </w:r>
      <w:r w:rsidRPr="002D13E5">
        <w:rPr>
          <w:rFonts w:ascii="Arial" w:hAnsi="Arial" w:cs="Arial"/>
          <w:sz w:val="22"/>
          <w:szCs w:val="22"/>
        </w:rPr>
        <w:t xml:space="preserve">, 15(3), pp. 209–222. </w:t>
      </w:r>
      <w:hyperlink r:id="rId13" w:history="1">
        <w:r w:rsidR="000F2CD1" w:rsidRPr="00A004BE">
          <w:rPr>
            <w:rStyle w:val="Hyperlink"/>
            <w:rFonts w:ascii="Arial" w:hAnsi="Arial" w:cs="Arial"/>
            <w:sz w:val="22"/>
            <w:szCs w:val="22"/>
          </w:rPr>
          <w:t>https://doi.org/10.1037/a0019408</w:t>
        </w:r>
      </w:hyperlink>
      <w:r w:rsidR="000F2CD1">
        <w:rPr>
          <w:rFonts w:ascii="Arial" w:hAnsi="Arial" w:cs="Arial"/>
          <w:sz w:val="22"/>
          <w:szCs w:val="22"/>
        </w:rPr>
        <w:t xml:space="preserve"> </w:t>
      </w:r>
    </w:p>
    <w:p w14:paraId="0A28D8E2" w14:textId="77777777"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lastRenderedPageBreak/>
        <w:t>Dolea</w:t>
      </w:r>
      <w:proofErr w:type="spellEnd"/>
      <w:r w:rsidRPr="002D13E5">
        <w:rPr>
          <w:rFonts w:ascii="Arial" w:hAnsi="Arial" w:cs="Arial"/>
          <w:sz w:val="22"/>
          <w:szCs w:val="22"/>
        </w:rPr>
        <w:t xml:space="preserve">, C. &amp; Adams, O. (2005) ‘Motivation of health care workers: review of theories and empirical evidence’, </w:t>
      </w:r>
      <w:r w:rsidRPr="002D13E5">
        <w:rPr>
          <w:rStyle w:val="Emphasis"/>
          <w:rFonts w:ascii="Arial" w:hAnsi="Arial" w:cs="Arial"/>
          <w:sz w:val="22"/>
          <w:szCs w:val="22"/>
        </w:rPr>
        <w:t xml:space="preserve">Cahiers de </w:t>
      </w:r>
      <w:proofErr w:type="spellStart"/>
      <w:r w:rsidRPr="002D13E5">
        <w:rPr>
          <w:rStyle w:val="Emphasis"/>
          <w:rFonts w:ascii="Arial" w:hAnsi="Arial" w:cs="Arial"/>
          <w:sz w:val="22"/>
          <w:szCs w:val="22"/>
        </w:rPr>
        <w:t>Sociologie</w:t>
      </w:r>
      <w:proofErr w:type="spellEnd"/>
      <w:r w:rsidRPr="002D13E5">
        <w:rPr>
          <w:rStyle w:val="Emphasis"/>
          <w:rFonts w:ascii="Arial" w:hAnsi="Arial" w:cs="Arial"/>
          <w:sz w:val="22"/>
          <w:szCs w:val="22"/>
        </w:rPr>
        <w:t xml:space="preserve"> et de </w:t>
      </w:r>
      <w:proofErr w:type="spellStart"/>
      <w:r w:rsidRPr="002D13E5">
        <w:rPr>
          <w:rStyle w:val="Emphasis"/>
          <w:rFonts w:ascii="Arial" w:hAnsi="Arial" w:cs="Arial"/>
          <w:sz w:val="22"/>
          <w:szCs w:val="22"/>
        </w:rPr>
        <w:t>Démographie</w:t>
      </w:r>
      <w:proofErr w:type="spellEnd"/>
      <w:r w:rsidRPr="002D13E5">
        <w:rPr>
          <w:rStyle w:val="Emphasis"/>
          <w:rFonts w:ascii="Arial" w:hAnsi="Arial" w:cs="Arial"/>
          <w:sz w:val="22"/>
          <w:szCs w:val="22"/>
        </w:rPr>
        <w:t xml:space="preserve"> </w:t>
      </w:r>
      <w:proofErr w:type="spellStart"/>
      <w:r w:rsidRPr="002D13E5">
        <w:rPr>
          <w:rStyle w:val="Emphasis"/>
          <w:rFonts w:ascii="Arial" w:hAnsi="Arial" w:cs="Arial"/>
          <w:sz w:val="22"/>
          <w:szCs w:val="22"/>
        </w:rPr>
        <w:t>Médicale</w:t>
      </w:r>
      <w:proofErr w:type="spellEnd"/>
      <w:r w:rsidRPr="002D13E5">
        <w:rPr>
          <w:rFonts w:ascii="Arial" w:hAnsi="Arial" w:cs="Arial"/>
          <w:sz w:val="22"/>
          <w:szCs w:val="22"/>
        </w:rPr>
        <w:t>, 45(1), pp. 135–161.</w:t>
      </w:r>
    </w:p>
    <w:p w14:paraId="5C14FB1D" w14:textId="2995BBCA"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Dolea</w:t>
      </w:r>
      <w:proofErr w:type="spellEnd"/>
      <w:r w:rsidRPr="002D13E5">
        <w:rPr>
          <w:rFonts w:ascii="Arial" w:hAnsi="Arial" w:cs="Arial"/>
          <w:sz w:val="22"/>
          <w:szCs w:val="22"/>
        </w:rPr>
        <w:t xml:space="preserve">, C., Stormont, L. &amp; Adams, O. (2009) ‘Improving the retention of health workers in remote and rural areas: a literature review’, </w:t>
      </w:r>
      <w:r w:rsidRPr="002D13E5">
        <w:rPr>
          <w:rStyle w:val="Emphasis"/>
          <w:rFonts w:ascii="Arial" w:hAnsi="Arial" w:cs="Arial"/>
          <w:sz w:val="22"/>
          <w:szCs w:val="22"/>
        </w:rPr>
        <w:t>Human Resources for Health</w:t>
      </w:r>
      <w:r w:rsidRPr="002D13E5">
        <w:rPr>
          <w:rFonts w:ascii="Arial" w:hAnsi="Arial" w:cs="Arial"/>
          <w:sz w:val="22"/>
          <w:szCs w:val="22"/>
        </w:rPr>
        <w:t xml:space="preserve">, 7, article 1. </w:t>
      </w:r>
    </w:p>
    <w:p w14:paraId="2BF27D66" w14:textId="50B48395"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Dyrbye</w:t>
      </w:r>
      <w:proofErr w:type="spellEnd"/>
      <w:r w:rsidRPr="002D13E5">
        <w:rPr>
          <w:rFonts w:ascii="Arial" w:hAnsi="Arial" w:cs="Arial"/>
          <w:sz w:val="22"/>
          <w:szCs w:val="22"/>
        </w:rPr>
        <w:t xml:space="preserve">, L.N., </w:t>
      </w:r>
      <w:proofErr w:type="spellStart"/>
      <w:r w:rsidRPr="002D13E5">
        <w:rPr>
          <w:rFonts w:ascii="Arial" w:hAnsi="Arial" w:cs="Arial"/>
          <w:sz w:val="22"/>
          <w:szCs w:val="22"/>
        </w:rPr>
        <w:t>Shanafelt</w:t>
      </w:r>
      <w:proofErr w:type="spellEnd"/>
      <w:r w:rsidRPr="002D13E5">
        <w:rPr>
          <w:rFonts w:ascii="Arial" w:hAnsi="Arial" w:cs="Arial"/>
          <w:sz w:val="22"/>
          <w:szCs w:val="22"/>
        </w:rPr>
        <w:t xml:space="preserve">, T.D., </w:t>
      </w:r>
      <w:proofErr w:type="spellStart"/>
      <w:r w:rsidRPr="002D13E5">
        <w:rPr>
          <w:rFonts w:ascii="Arial" w:hAnsi="Arial" w:cs="Arial"/>
          <w:sz w:val="22"/>
          <w:szCs w:val="22"/>
        </w:rPr>
        <w:t>Sinsky</w:t>
      </w:r>
      <w:proofErr w:type="spellEnd"/>
      <w:r w:rsidRPr="002D13E5">
        <w:rPr>
          <w:rFonts w:ascii="Arial" w:hAnsi="Arial" w:cs="Arial"/>
          <w:sz w:val="22"/>
          <w:szCs w:val="22"/>
        </w:rPr>
        <w:t xml:space="preserve">, C.A., </w:t>
      </w:r>
      <w:proofErr w:type="spellStart"/>
      <w:r w:rsidRPr="002D13E5">
        <w:rPr>
          <w:rFonts w:ascii="Arial" w:hAnsi="Arial" w:cs="Arial"/>
          <w:sz w:val="22"/>
          <w:szCs w:val="22"/>
        </w:rPr>
        <w:t>Goeders</w:t>
      </w:r>
      <w:proofErr w:type="spellEnd"/>
      <w:r w:rsidRPr="002D13E5">
        <w:rPr>
          <w:rFonts w:ascii="Arial" w:hAnsi="Arial" w:cs="Arial"/>
          <w:sz w:val="22"/>
          <w:szCs w:val="22"/>
        </w:rPr>
        <w:t xml:space="preserve">, L.E., </w:t>
      </w:r>
      <w:proofErr w:type="spellStart"/>
      <w:r w:rsidRPr="002D13E5">
        <w:rPr>
          <w:rFonts w:ascii="Arial" w:hAnsi="Arial" w:cs="Arial"/>
          <w:sz w:val="22"/>
          <w:szCs w:val="22"/>
        </w:rPr>
        <w:t>Satele</w:t>
      </w:r>
      <w:proofErr w:type="spellEnd"/>
      <w:r w:rsidRPr="002D13E5">
        <w:rPr>
          <w:rFonts w:ascii="Arial" w:hAnsi="Arial" w:cs="Arial"/>
          <w:sz w:val="22"/>
          <w:szCs w:val="22"/>
        </w:rPr>
        <w:t xml:space="preserve">, D.V. &amp; West, C.P. (2020) ‘Burnout among healthcare professionals: a review’, </w:t>
      </w:r>
      <w:r w:rsidRPr="002D13E5">
        <w:rPr>
          <w:rStyle w:val="Emphasis"/>
          <w:rFonts w:ascii="Arial" w:hAnsi="Arial" w:cs="Arial"/>
          <w:sz w:val="22"/>
          <w:szCs w:val="22"/>
        </w:rPr>
        <w:t>Mayo Clinic Proceedings</w:t>
      </w:r>
      <w:r w:rsidRPr="002D13E5">
        <w:rPr>
          <w:rFonts w:ascii="Arial" w:hAnsi="Arial" w:cs="Arial"/>
          <w:sz w:val="22"/>
          <w:szCs w:val="22"/>
        </w:rPr>
        <w:t>, 95(9), pp. 1792–1808.</w:t>
      </w:r>
      <w:r w:rsidR="003A2F91">
        <w:rPr>
          <w:rFonts w:ascii="Arial" w:hAnsi="Arial" w:cs="Arial"/>
          <w:sz w:val="22"/>
          <w:szCs w:val="22"/>
        </w:rPr>
        <w:t xml:space="preserve"> </w:t>
      </w:r>
      <w:hyperlink r:id="rId14" w:history="1">
        <w:r w:rsidR="00B32FFA" w:rsidRPr="00A004BE">
          <w:rPr>
            <w:rStyle w:val="Hyperlink"/>
            <w:rFonts w:ascii="Arial" w:hAnsi="Arial" w:cs="Arial"/>
            <w:sz w:val="22"/>
            <w:szCs w:val="22"/>
          </w:rPr>
          <w:t>https://doi.org/10.31478/201707b</w:t>
        </w:r>
      </w:hyperlink>
      <w:r w:rsidR="00B32FFA">
        <w:rPr>
          <w:rFonts w:ascii="Arial" w:hAnsi="Arial" w:cs="Arial"/>
          <w:sz w:val="22"/>
          <w:szCs w:val="22"/>
        </w:rPr>
        <w:t xml:space="preserve"> </w:t>
      </w:r>
    </w:p>
    <w:p w14:paraId="10C1812F" w14:textId="1CF1375E"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Dyrbye</w:t>
      </w:r>
      <w:proofErr w:type="spellEnd"/>
      <w:r w:rsidRPr="002D13E5">
        <w:rPr>
          <w:rFonts w:ascii="Arial" w:hAnsi="Arial" w:cs="Arial"/>
          <w:sz w:val="22"/>
          <w:szCs w:val="22"/>
        </w:rPr>
        <w:t xml:space="preserve">, L.N., West, C.P., </w:t>
      </w:r>
      <w:proofErr w:type="spellStart"/>
      <w:r w:rsidRPr="002D13E5">
        <w:rPr>
          <w:rFonts w:ascii="Arial" w:hAnsi="Arial" w:cs="Arial"/>
          <w:sz w:val="22"/>
          <w:szCs w:val="22"/>
        </w:rPr>
        <w:t>Sinsky</w:t>
      </w:r>
      <w:proofErr w:type="spellEnd"/>
      <w:r w:rsidRPr="002D13E5">
        <w:rPr>
          <w:rFonts w:ascii="Arial" w:hAnsi="Arial" w:cs="Arial"/>
          <w:sz w:val="22"/>
          <w:szCs w:val="22"/>
        </w:rPr>
        <w:t xml:space="preserve">, C.A., </w:t>
      </w:r>
      <w:proofErr w:type="spellStart"/>
      <w:r w:rsidRPr="002D13E5">
        <w:rPr>
          <w:rFonts w:ascii="Arial" w:hAnsi="Arial" w:cs="Arial"/>
          <w:sz w:val="22"/>
          <w:szCs w:val="22"/>
        </w:rPr>
        <w:t>Goeders</w:t>
      </w:r>
      <w:proofErr w:type="spellEnd"/>
      <w:r w:rsidRPr="002D13E5">
        <w:rPr>
          <w:rFonts w:ascii="Arial" w:hAnsi="Arial" w:cs="Arial"/>
          <w:sz w:val="22"/>
          <w:szCs w:val="22"/>
        </w:rPr>
        <w:t xml:space="preserve">, L.E., </w:t>
      </w:r>
      <w:proofErr w:type="spellStart"/>
      <w:r w:rsidRPr="002D13E5">
        <w:rPr>
          <w:rFonts w:ascii="Arial" w:hAnsi="Arial" w:cs="Arial"/>
          <w:sz w:val="22"/>
          <w:szCs w:val="22"/>
        </w:rPr>
        <w:t>Satele</w:t>
      </w:r>
      <w:proofErr w:type="spellEnd"/>
      <w:r w:rsidRPr="002D13E5">
        <w:rPr>
          <w:rFonts w:ascii="Arial" w:hAnsi="Arial" w:cs="Arial"/>
          <w:sz w:val="22"/>
          <w:szCs w:val="22"/>
        </w:rPr>
        <w:t xml:space="preserve">, D.V. &amp; </w:t>
      </w:r>
      <w:proofErr w:type="spellStart"/>
      <w:r w:rsidRPr="002D13E5">
        <w:rPr>
          <w:rFonts w:ascii="Arial" w:hAnsi="Arial" w:cs="Arial"/>
          <w:sz w:val="22"/>
          <w:szCs w:val="22"/>
        </w:rPr>
        <w:t>Shanafelt</w:t>
      </w:r>
      <w:proofErr w:type="spellEnd"/>
      <w:r w:rsidRPr="002D13E5">
        <w:rPr>
          <w:rFonts w:ascii="Arial" w:hAnsi="Arial" w:cs="Arial"/>
          <w:sz w:val="22"/>
          <w:szCs w:val="22"/>
        </w:rPr>
        <w:t xml:space="preserve">, T.D. (2020) ‘Medical licensure questions and physician reluctance to seek care for mental health conditions’, </w:t>
      </w:r>
      <w:r w:rsidRPr="002D13E5">
        <w:rPr>
          <w:rStyle w:val="Emphasis"/>
          <w:rFonts w:ascii="Arial" w:hAnsi="Arial" w:cs="Arial"/>
          <w:sz w:val="22"/>
          <w:szCs w:val="22"/>
        </w:rPr>
        <w:t>Mayo Clinic Proceedings</w:t>
      </w:r>
      <w:r w:rsidRPr="002D13E5">
        <w:rPr>
          <w:rFonts w:ascii="Arial" w:hAnsi="Arial" w:cs="Arial"/>
          <w:sz w:val="22"/>
          <w:szCs w:val="22"/>
        </w:rPr>
        <w:t>, 95(10), pp. 2064–2075.</w:t>
      </w:r>
      <w:r w:rsidR="00C13E2B">
        <w:rPr>
          <w:rFonts w:ascii="Arial" w:hAnsi="Arial" w:cs="Arial"/>
          <w:sz w:val="22"/>
          <w:szCs w:val="22"/>
        </w:rPr>
        <w:t xml:space="preserve"> </w:t>
      </w:r>
      <w:hyperlink r:id="rId15" w:history="1">
        <w:r w:rsidR="00C13E2B" w:rsidRPr="00472985">
          <w:rPr>
            <w:rStyle w:val="Hyperlink"/>
            <w:rFonts w:ascii="Arial" w:hAnsi="Arial" w:cs="Arial"/>
            <w:sz w:val="22"/>
            <w:szCs w:val="22"/>
          </w:rPr>
          <w:t>https://doi.org/10.1016/j.mayocp.2017.06.020</w:t>
        </w:r>
      </w:hyperlink>
      <w:r w:rsidR="00C13E2B">
        <w:rPr>
          <w:rFonts w:ascii="Arial" w:hAnsi="Arial" w:cs="Arial"/>
          <w:sz w:val="22"/>
          <w:szCs w:val="22"/>
        </w:rPr>
        <w:t xml:space="preserve"> </w:t>
      </w:r>
    </w:p>
    <w:p w14:paraId="6A85945B" w14:textId="77777777"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Freudenberger</w:t>
      </w:r>
      <w:proofErr w:type="spellEnd"/>
      <w:r w:rsidRPr="002D13E5">
        <w:rPr>
          <w:rFonts w:ascii="Arial" w:hAnsi="Arial" w:cs="Arial"/>
          <w:sz w:val="22"/>
          <w:szCs w:val="22"/>
        </w:rPr>
        <w:t xml:space="preserve">, H.J. (1974) ‘Staff burn-out’, </w:t>
      </w:r>
      <w:r w:rsidRPr="002D13E5">
        <w:rPr>
          <w:rStyle w:val="Emphasis"/>
          <w:rFonts w:ascii="Arial" w:hAnsi="Arial" w:cs="Arial"/>
          <w:sz w:val="22"/>
          <w:szCs w:val="22"/>
        </w:rPr>
        <w:t>Journal of Social Issues</w:t>
      </w:r>
      <w:r w:rsidRPr="002D13E5">
        <w:rPr>
          <w:rFonts w:ascii="Arial" w:hAnsi="Arial" w:cs="Arial"/>
          <w:sz w:val="22"/>
          <w:szCs w:val="22"/>
        </w:rPr>
        <w:t>, 30(1), pp. 159–165. doi: 10.1111/j.1540-4560.1974.tb00706.x</w:t>
      </w:r>
    </w:p>
    <w:p w14:paraId="21994E50" w14:textId="67FA5B34" w:rsidR="00FC0B5E"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Ghasemi</w:t>
      </w:r>
      <w:proofErr w:type="spellEnd"/>
      <w:r w:rsidRPr="002D13E5">
        <w:rPr>
          <w:rFonts w:ascii="Arial" w:hAnsi="Arial" w:cs="Arial"/>
          <w:sz w:val="22"/>
          <w:szCs w:val="22"/>
        </w:rPr>
        <w:t xml:space="preserve"> </w:t>
      </w:r>
      <w:proofErr w:type="spellStart"/>
      <w:r w:rsidRPr="002D13E5">
        <w:rPr>
          <w:rFonts w:ascii="Arial" w:hAnsi="Arial" w:cs="Arial"/>
          <w:sz w:val="22"/>
          <w:szCs w:val="22"/>
        </w:rPr>
        <w:t>Kooktapeh</w:t>
      </w:r>
      <w:proofErr w:type="spellEnd"/>
      <w:r w:rsidRPr="002D13E5">
        <w:rPr>
          <w:rFonts w:ascii="Arial" w:hAnsi="Arial" w:cs="Arial"/>
          <w:sz w:val="22"/>
          <w:szCs w:val="22"/>
        </w:rPr>
        <w:t xml:space="preserve">, Z., </w:t>
      </w:r>
      <w:proofErr w:type="spellStart"/>
      <w:r w:rsidRPr="002D13E5">
        <w:rPr>
          <w:rFonts w:ascii="Arial" w:hAnsi="Arial" w:cs="Arial"/>
          <w:sz w:val="22"/>
          <w:szCs w:val="22"/>
        </w:rPr>
        <w:t>Dustmohammadloo</w:t>
      </w:r>
      <w:proofErr w:type="spellEnd"/>
      <w:r w:rsidRPr="002D13E5">
        <w:rPr>
          <w:rFonts w:ascii="Arial" w:hAnsi="Arial" w:cs="Arial"/>
          <w:sz w:val="22"/>
          <w:szCs w:val="22"/>
        </w:rPr>
        <w:t xml:space="preserve">, H., </w:t>
      </w:r>
      <w:proofErr w:type="spellStart"/>
      <w:r w:rsidRPr="002D13E5">
        <w:rPr>
          <w:rFonts w:ascii="Arial" w:hAnsi="Arial" w:cs="Arial"/>
          <w:sz w:val="22"/>
          <w:szCs w:val="22"/>
        </w:rPr>
        <w:t>Mehrdoost</w:t>
      </w:r>
      <w:proofErr w:type="spellEnd"/>
      <w:r w:rsidRPr="002D13E5">
        <w:rPr>
          <w:rFonts w:ascii="Arial" w:hAnsi="Arial" w:cs="Arial"/>
          <w:sz w:val="22"/>
          <w:szCs w:val="22"/>
        </w:rPr>
        <w:t xml:space="preserve">, H. &amp; </w:t>
      </w:r>
      <w:proofErr w:type="spellStart"/>
      <w:r w:rsidRPr="002D13E5">
        <w:rPr>
          <w:rFonts w:ascii="Arial" w:hAnsi="Arial" w:cs="Arial"/>
          <w:sz w:val="22"/>
          <w:szCs w:val="22"/>
        </w:rPr>
        <w:t>Fatehi</w:t>
      </w:r>
      <w:proofErr w:type="spellEnd"/>
      <w:r w:rsidRPr="002D13E5">
        <w:rPr>
          <w:rFonts w:ascii="Arial" w:hAnsi="Arial" w:cs="Arial"/>
          <w:sz w:val="22"/>
          <w:szCs w:val="22"/>
        </w:rPr>
        <w:t xml:space="preserve">, F. (2023) ‘In the line of fire: a systematic review and meta-analysis of job burnout among nurses’, </w:t>
      </w:r>
      <w:proofErr w:type="spellStart"/>
      <w:r w:rsidRPr="002D13E5">
        <w:rPr>
          <w:rStyle w:val="Emphasis"/>
          <w:rFonts w:ascii="Arial" w:hAnsi="Arial" w:cs="Arial"/>
          <w:sz w:val="22"/>
          <w:szCs w:val="22"/>
        </w:rPr>
        <w:t>arXiv</w:t>
      </w:r>
      <w:proofErr w:type="spellEnd"/>
      <w:r w:rsidRPr="002D13E5">
        <w:rPr>
          <w:rStyle w:val="Emphasis"/>
          <w:rFonts w:ascii="Arial" w:hAnsi="Arial" w:cs="Arial"/>
          <w:sz w:val="22"/>
          <w:szCs w:val="22"/>
        </w:rPr>
        <w:t xml:space="preserve"> preprint arXiv:2312.14853</w:t>
      </w:r>
      <w:r w:rsidRPr="002D13E5">
        <w:rPr>
          <w:rFonts w:ascii="Arial" w:hAnsi="Arial" w:cs="Arial"/>
          <w:sz w:val="22"/>
          <w:szCs w:val="22"/>
        </w:rPr>
        <w:t xml:space="preserve">. Available at: </w:t>
      </w:r>
      <w:hyperlink r:id="rId16" w:tgtFrame="_new" w:history="1">
        <w:r w:rsidRPr="002D13E5">
          <w:rPr>
            <w:rStyle w:val="Hyperlink"/>
            <w:rFonts w:ascii="Arial" w:hAnsi="Arial" w:cs="Arial"/>
            <w:sz w:val="22"/>
            <w:szCs w:val="22"/>
          </w:rPr>
          <w:t>https://arxiv.org/abs/2312.14853</w:t>
        </w:r>
      </w:hyperlink>
      <w:r w:rsidRPr="002D13E5">
        <w:rPr>
          <w:rFonts w:ascii="Arial" w:hAnsi="Arial" w:cs="Arial"/>
          <w:sz w:val="22"/>
          <w:szCs w:val="22"/>
        </w:rPr>
        <w:t xml:space="preserve"> (Accessed: </w:t>
      </w:r>
      <w:r w:rsidR="00766FB6">
        <w:rPr>
          <w:rFonts w:ascii="Arial" w:hAnsi="Arial" w:cs="Arial"/>
          <w:sz w:val="22"/>
          <w:szCs w:val="22"/>
        </w:rPr>
        <w:t xml:space="preserve">26 November </w:t>
      </w:r>
      <w:r w:rsidRPr="002D13E5">
        <w:rPr>
          <w:rFonts w:ascii="Arial" w:hAnsi="Arial" w:cs="Arial"/>
          <w:sz w:val="22"/>
          <w:szCs w:val="22"/>
        </w:rPr>
        <w:t xml:space="preserve"> 2025).</w:t>
      </w:r>
    </w:p>
    <w:p w14:paraId="2AB2C099" w14:textId="6B1C995E" w:rsidR="00000A62" w:rsidRPr="009E71B1" w:rsidRDefault="00000A62" w:rsidP="002D13E5">
      <w:pPr>
        <w:pStyle w:val="NormalWeb"/>
        <w:numPr>
          <w:ilvl w:val="0"/>
          <w:numId w:val="2"/>
        </w:numPr>
        <w:spacing w:line="360" w:lineRule="auto"/>
        <w:rPr>
          <w:rFonts w:ascii="Arial" w:hAnsi="Arial" w:cs="Arial"/>
          <w:sz w:val="22"/>
          <w:szCs w:val="22"/>
        </w:rPr>
      </w:pPr>
      <w:r>
        <w:rPr>
          <w:rFonts w:ascii="Arial" w:hAnsi="Arial" w:cs="Arial"/>
          <w:sz w:val="22"/>
          <w:szCs w:val="22"/>
        </w:rPr>
        <w:t>Gov.UK</w:t>
      </w:r>
      <w:r w:rsidR="009E71B1">
        <w:rPr>
          <w:rFonts w:ascii="Arial" w:hAnsi="Arial" w:cs="Arial"/>
          <w:sz w:val="22"/>
          <w:szCs w:val="22"/>
        </w:rPr>
        <w:t xml:space="preserve">. (2025) </w:t>
      </w:r>
      <w:r w:rsidR="009E71B1" w:rsidRPr="009E71B1">
        <w:rPr>
          <w:rFonts w:ascii="Arial" w:eastAsia="Times New Roman" w:hAnsi="Arial" w:cs="Arial"/>
          <w:sz w:val="22"/>
          <w:szCs w:val="22"/>
        </w:rPr>
        <w:t xml:space="preserve">Work Right,  </w:t>
      </w:r>
      <w:r w:rsidR="009E71B1" w:rsidRPr="009E71B1">
        <w:rPr>
          <w:rStyle w:val="Emphasis"/>
          <w:rFonts w:ascii="Arial" w:eastAsia="Times New Roman" w:hAnsi="Arial" w:cs="Arial"/>
          <w:sz w:val="22"/>
          <w:szCs w:val="22"/>
        </w:rPr>
        <w:t>Work-related stress and the law</w:t>
      </w:r>
      <w:r w:rsidR="009E71B1" w:rsidRPr="009E71B1">
        <w:rPr>
          <w:rFonts w:ascii="Arial" w:eastAsia="Times New Roman" w:hAnsi="Arial" w:cs="Arial"/>
          <w:sz w:val="22"/>
          <w:szCs w:val="22"/>
        </w:rPr>
        <w:t xml:space="preserve">, Work Right. Available at: </w:t>
      </w:r>
      <w:hyperlink r:id="rId17" w:tgtFrame="_new" w:history="1">
        <w:r w:rsidR="009E71B1" w:rsidRPr="009E71B1">
          <w:rPr>
            <w:rStyle w:val="Hyperlink"/>
            <w:rFonts w:ascii="Arial" w:eastAsia="Times New Roman" w:hAnsi="Arial" w:cs="Arial"/>
            <w:sz w:val="22"/>
            <w:szCs w:val="22"/>
          </w:rPr>
          <w:t>https://workright.campaign.gov.uk/working-minds/work-related-stress-and-the-law/</w:t>
        </w:r>
      </w:hyperlink>
      <w:r w:rsidR="009E71B1" w:rsidRPr="009E71B1">
        <w:rPr>
          <w:rFonts w:ascii="Arial" w:eastAsia="Times New Roman" w:hAnsi="Arial" w:cs="Arial"/>
          <w:sz w:val="22"/>
          <w:szCs w:val="22"/>
        </w:rPr>
        <w:t xml:space="preserve"> (Accessed: </w:t>
      </w:r>
      <w:r w:rsidR="005D4BED">
        <w:rPr>
          <w:rFonts w:ascii="Arial" w:eastAsia="Times New Roman" w:hAnsi="Arial" w:cs="Arial"/>
          <w:sz w:val="22"/>
          <w:szCs w:val="22"/>
        </w:rPr>
        <w:t xml:space="preserve">26 November </w:t>
      </w:r>
      <w:r w:rsidR="009E71B1" w:rsidRPr="009E71B1">
        <w:rPr>
          <w:rFonts w:ascii="Arial" w:eastAsia="Times New Roman" w:hAnsi="Arial" w:cs="Arial"/>
          <w:sz w:val="22"/>
          <w:szCs w:val="22"/>
        </w:rPr>
        <w:t xml:space="preserve"> 2025). </w:t>
      </w:r>
    </w:p>
    <w:p w14:paraId="13B8F6CB" w14:textId="1367D94E" w:rsidR="00786AB0" w:rsidRPr="002D13E5" w:rsidRDefault="00786AB0" w:rsidP="002D13E5">
      <w:pPr>
        <w:pStyle w:val="NormalWeb"/>
        <w:numPr>
          <w:ilvl w:val="0"/>
          <w:numId w:val="2"/>
        </w:numPr>
        <w:spacing w:line="360" w:lineRule="auto"/>
        <w:rPr>
          <w:rFonts w:ascii="Arial" w:hAnsi="Arial" w:cs="Arial"/>
          <w:sz w:val="22"/>
          <w:szCs w:val="22"/>
        </w:rPr>
      </w:pPr>
      <w:proofErr w:type="spellStart"/>
      <w:r>
        <w:rPr>
          <w:rFonts w:ascii="Arial" w:hAnsi="Arial" w:cs="Arial"/>
          <w:sz w:val="22"/>
          <w:szCs w:val="22"/>
        </w:rPr>
        <w:t>Grandey</w:t>
      </w:r>
      <w:proofErr w:type="spellEnd"/>
      <w:r>
        <w:rPr>
          <w:rFonts w:ascii="Arial" w:hAnsi="Arial" w:cs="Arial"/>
          <w:sz w:val="22"/>
          <w:szCs w:val="22"/>
        </w:rPr>
        <w:t xml:space="preserve"> A, Foo SC, </w:t>
      </w:r>
      <w:proofErr w:type="spellStart"/>
      <w:r>
        <w:rPr>
          <w:rFonts w:ascii="Arial" w:hAnsi="Arial" w:cs="Arial"/>
          <w:sz w:val="22"/>
          <w:szCs w:val="22"/>
        </w:rPr>
        <w:t>Groth</w:t>
      </w:r>
      <w:proofErr w:type="spellEnd"/>
      <w:r>
        <w:rPr>
          <w:rFonts w:ascii="Arial" w:hAnsi="Arial" w:cs="Arial"/>
          <w:sz w:val="22"/>
          <w:szCs w:val="22"/>
        </w:rPr>
        <w:t xml:space="preserve"> M, Goodwin RE. Free to be you and me: a climate of authenticity alleviates burnout from emotional </w:t>
      </w:r>
      <w:proofErr w:type="spellStart"/>
      <w:r>
        <w:rPr>
          <w:rFonts w:ascii="Arial" w:hAnsi="Arial" w:cs="Arial"/>
          <w:sz w:val="22"/>
          <w:szCs w:val="22"/>
        </w:rPr>
        <w:t>labor</w:t>
      </w:r>
      <w:proofErr w:type="spellEnd"/>
      <w:r>
        <w:rPr>
          <w:rFonts w:ascii="Arial" w:hAnsi="Arial" w:cs="Arial"/>
          <w:sz w:val="22"/>
          <w:szCs w:val="22"/>
        </w:rPr>
        <w:t xml:space="preserve">. J </w:t>
      </w:r>
      <w:proofErr w:type="spellStart"/>
      <w:r>
        <w:rPr>
          <w:rFonts w:ascii="Arial" w:hAnsi="Arial" w:cs="Arial"/>
          <w:sz w:val="22"/>
          <w:szCs w:val="22"/>
        </w:rPr>
        <w:t>Occup</w:t>
      </w:r>
      <w:proofErr w:type="spellEnd"/>
      <w:r>
        <w:rPr>
          <w:rFonts w:ascii="Arial" w:hAnsi="Arial" w:cs="Arial"/>
          <w:sz w:val="22"/>
          <w:szCs w:val="22"/>
        </w:rPr>
        <w:t xml:space="preserve"> Health Psychol. 2012 Jan;17(1):1-14. </w:t>
      </w:r>
      <w:hyperlink r:id="rId18" w:history="1">
        <w:r w:rsidR="00833CAE" w:rsidRPr="00472985">
          <w:rPr>
            <w:rStyle w:val="Hyperlink"/>
            <w:rFonts w:ascii="Arial" w:hAnsi="Arial" w:cs="Arial"/>
            <w:sz w:val="22"/>
            <w:szCs w:val="22"/>
          </w:rPr>
          <w:t>https://doi.org/10.1037/a0025102</w:t>
        </w:r>
      </w:hyperlink>
      <w:r w:rsidR="00833CAE">
        <w:rPr>
          <w:rFonts w:ascii="Arial" w:hAnsi="Arial" w:cs="Arial"/>
          <w:sz w:val="22"/>
          <w:szCs w:val="22"/>
        </w:rPr>
        <w:t xml:space="preserve"> </w:t>
      </w:r>
    </w:p>
    <w:p w14:paraId="115E1215" w14:textId="2B12615D" w:rsidR="00FC0B5E" w:rsidRPr="002D13E5"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Hall, C.E., </w:t>
      </w:r>
      <w:proofErr w:type="spellStart"/>
      <w:r w:rsidRPr="002D13E5">
        <w:rPr>
          <w:rFonts w:ascii="Arial" w:hAnsi="Arial" w:cs="Arial"/>
          <w:sz w:val="22"/>
          <w:szCs w:val="22"/>
        </w:rPr>
        <w:t>Milward</w:t>
      </w:r>
      <w:proofErr w:type="spellEnd"/>
      <w:r w:rsidRPr="002D13E5">
        <w:rPr>
          <w:rFonts w:ascii="Arial" w:hAnsi="Arial" w:cs="Arial"/>
          <w:sz w:val="22"/>
          <w:szCs w:val="22"/>
        </w:rPr>
        <w:t xml:space="preserve">, J., </w:t>
      </w:r>
      <w:proofErr w:type="spellStart"/>
      <w:r w:rsidRPr="002D13E5">
        <w:rPr>
          <w:rFonts w:ascii="Arial" w:hAnsi="Arial" w:cs="Arial"/>
          <w:sz w:val="22"/>
          <w:szCs w:val="22"/>
        </w:rPr>
        <w:t>Spoiala</w:t>
      </w:r>
      <w:proofErr w:type="spellEnd"/>
      <w:r w:rsidRPr="002D13E5">
        <w:rPr>
          <w:rFonts w:ascii="Arial" w:hAnsi="Arial" w:cs="Arial"/>
          <w:sz w:val="22"/>
          <w:szCs w:val="22"/>
        </w:rPr>
        <w:t>, C. et al. (2022) ‘The mental health of staff working on intensive care units over the COVID</w:t>
      </w:r>
      <w:r w:rsidRPr="002D13E5">
        <w:rPr>
          <w:rFonts w:ascii="Arial" w:hAnsi="Arial" w:cs="Arial"/>
          <w:sz w:val="22"/>
          <w:szCs w:val="22"/>
        </w:rPr>
        <w:noBreakHyphen/>
        <w:t xml:space="preserve">19 winter surge of 2020 in England: a cross-sectional survey’, </w:t>
      </w:r>
      <w:r w:rsidRPr="002D13E5">
        <w:rPr>
          <w:rStyle w:val="Emphasis"/>
          <w:rFonts w:ascii="Arial" w:hAnsi="Arial" w:cs="Arial"/>
          <w:sz w:val="22"/>
          <w:szCs w:val="22"/>
        </w:rPr>
        <w:t>British Journal of Anaesthesia</w:t>
      </w:r>
      <w:r w:rsidRPr="002D13E5">
        <w:rPr>
          <w:rFonts w:ascii="Arial" w:hAnsi="Arial" w:cs="Arial"/>
          <w:sz w:val="22"/>
          <w:szCs w:val="22"/>
        </w:rPr>
        <w:t>, 128(6), pp. 971–979.</w:t>
      </w:r>
      <w:r w:rsidR="008D6490">
        <w:rPr>
          <w:rFonts w:ascii="Arial" w:hAnsi="Arial" w:cs="Arial"/>
          <w:sz w:val="22"/>
          <w:szCs w:val="22"/>
        </w:rPr>
        <w:t xml:space="preserve"> </w:t>
      </w:r>
      <w:hyperlink r:id="rId19" w:history="1">
        <w:r w:rsidR="008D6490" w:rsidRPr="00472985">
          <w:rPr>
            <w:rStyle w:val="Hyperlink"/>
            <w:rFonts w:ascii="Arial" w:hAnsi="Arial" w:cs="Arial"/>
            <w:sz w:val="22"/>
            <w:szCs w:val="22"/>
          </w:rPr>
          <w:t>https://doi.org/10.1016/j.bja.2022.03.016</w:t>
        </w:r>
      </w:hyperlink>
      <w:r w:rsidR="008D6490">
        <w:rPr>
          <w:rFonts w:ascii="Arial" w:hAnsi="Arial" w:cs="Arial"/>
          <w:sz w:val="22"/>
          <w:szCs w:val="22"/>
        </w:rPr>
        <w:t xml:space="preserve"> </w:t>
      </w:r>
    </w:p>
    <w:p w14:paraId="4CCD4463" w14:textId="77777777"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Hobfoll</w:t>
      </w:r>
      <w:proofErr w:type="spellEnd"/>
      <w:r w:rsidRPr="002D13E5">
        <w:rPr>
          <w:rFonts w:ascii="Arial" w:hAnsi="Arial" w:cs="Arial"/>
          <w:sz w:val="22"/>
          <w:szCs w:val="22"/>
        </w:rPr>
        <w:t xml:space="preserve">, S.E. (1989) ‘Conservation of resources: a new attempt at conceptualising stress’, </w:t>
      </w:r>
      <w:r w:rsidRPr="002D13E5">
        <w:rPr>
          <w:rStyle w:val="Emphasis"/>
          <w:rFonts w:ascii="Arial" w:hAnsi="Arial" w:cs="Arial"/>
          <w:sz w:val="22"/>
          <w:szCs w:val="22"/>
        </w:rPr>
        <w:t>American Psychologist</w:t>
      </w:r>
      <w:r w:rsidRPr="002D13E5">
        <w:rPr>
          <w:rFonts w:ascii="Arial" w:hAnsi="Arial" w:cs="Arial"/>
          <w:sz w:val="22"/>
          <w:szCs w:val="22"/>
        </w:rPr>
        <w:t>, 44(3), pp. 513–524. doi: 10.1037/0003-066X.44.3.513</w:t>
      </w:r>
    </w:p>
    <w:p w14:paraId="79C56B85" w14:textId="77777777"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Hochschild</w:t>
      </w:r>
      <w:proofErr w:type="spellEnd"/>
      <w:r w:rsidRPr="002D13E5">
        <w:rPr>
          <w:rFonts w:ascii="Arial" w:hAnsi="Arial" w:cs="Arial"/>
          <w:sz w:val="22"/>
          <w:szCs w:val="22"/>
        </w:rPr>
        <w:t xml:space="preserve">, A.R. (1983) </w:t>
      </w:r>
      <w:r w:rsidRPr="002D13E5">
        <w:rPr>
          <w:rStyle w:val="Emphasis"/>
          <w:rFonts w:ascii="Arial" w:hAnsi="Arial" w:cs="Arial"/>
          <w:sz w:val="22"/>
          <w:szCs w:val="22"/>
        </w:rPr>
        <w:t>The Managed Heart: Commercialisation of Human Feeling</w:t>
      </w:r>
      <w:r w:rsidRPr="002D13E5">
        <w:rPr>
          <w:rFonts w:ascii="Arial" w:hAnsi="Arial" w:cs="Arial"/>
          <w:sz w:val="22"/>
          <w:szCs w:val="22"/>
        </w:rPr>
        <w:t>. Berkeley, CA: University of California Press.</w:t>
      </w:r>
    </w:p>
    <w:p w14:paraId="25BABA30" w14:textId="4EDDD294"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Hülsheger</w:t>
      </w:r>
      <w:proofErr w:type="spellEnd"/>
      <w:r w:rsidRPr="002D13E5">
        <w:rPr>
          <w:rFonts w:ascii="Arial" w:hAnsi="Arial" w:cs="Arial"/>
          <w:sz w:val="22"/>
          <w:szCs w:val="22"/>
        </w:rPr>
        <w:t xml:space="preserve">, U.R., </w:t>
      </w:r>
      <w:proofErr w:type="spellStart"/>
      <w:r w:rsidRPr="002D13E5">
        <w:rPr>
          <w:rFonts w:ascii="Arial" w:hAnsi="Arial" w:cs="Arial"/>
          <w:sz w:val="22"/>
          <w:szCs w:val="22"/>
        </w:rPr>
        <w:t>Alberts</w:t>
      </w:r>
      <w:proofErr w:type="spellEnd"/>
      <w:r w:rsidRPr="002D13E5">
        <w:rPr>
          <w:rFonts w:ascii="Arial" w:hAnsi="Arial" w:cs="Arial"/>
          <w:sz w:val="22"/>
          <w:szCs w:val="22"/>
        </w:rPr>
        <w:t xml:space="preserve">, H.J.E.M., </w:t>
      </w:r>
      <w:proofErr w:type="spellStart"/>
      <w:r w:rsidRPr="002D13E5">
        <w:rPr>
          <w:rFonts w:ascii="Arial" w:hAnsi="Arial" w:cs="Arial"/>
          <w:sz w:val="22"/>
          <w:szCs w:val="22"/>
        </w:rPr>
        <w:t>Feinholdt</w:t>
      </w:r>
      <w:proofErr w:type="spellEnd"/>
      <w:r w:rsidRPr="002D13E5">
        <w:rPr>
          <w:rFonts w:ascii="Arial" w:hAnsi="Arial" w:cs="Arial"/>
          <w:sz w:val="22"/>
          <w:szCs w:val="22"/>
        </w:rPr>
        <w:t xml:space="preserve">, A. &amp; Lang, J.W.B. (2013) ‘Benefits of mindfulness at work: the role of mindfulness in emotion regulation, emotional </w:t>
      </w:r>
      <w:r w:rsidRPr="002D13E5">
        <w:rPr>
          <w:rFonts w:ascii="Arial" w:hAnsi="Arial" w:cs="Arial"/>
          <w:sz w:val="22"/>
          <w:szCs w:val="22"/>
        </w:rPr>
        <w:lastRenderedPageBreak/>
        <w:t xml:space="preserve">exhaustion, and job satisfaction’, </w:t>
      </w:r>
      <w:r w:rsidRPr="002D13E5">
        <w:rPr>
          <w:rStyle w:val="Emphasis"/>
          <w:rFonts w:ascii="Arial" w:hAnsi="Arial" w:cs="Arial"/>
          <w:sz w:val="22"/>
          <w:szCs w:val="22"/>
        </w:rPr>
        <w:t>Journal of Applied Psychology</w:t>
      </w:r>
      <w:r w:rsidRPr="002D13E5">
        <w:rPr>
          <w:rFonts w:ascii="Arial" w:hAnsi="Arial" w:cs="Arial"/>
          <w:sz w:val="22"/>
          <w:szCs w:val="22"/>
        </w:rPr>
        <w:t>, 98(2), pp. 310–325.</w:t>
      </w:r>
      <w:r w:rsidR="00806CEF">
        <w:rPr>
          <w:rFonts w:ascii="Arial" w:hAnsi="Arial" w:cs="Arial"/>
          <w:sz w:val="22"/>
          <w:szCs w:val="22"/>
        </w:rPr>
        <w:t xml:space="preserve"> </w:t>
      </w:r>
      <w:hyperlink r:id="rId20" w:history="1">
        <w:r w:rsidR="00806CEF" w:rsidRPr="00472985">
          <w:rPr>
            <w:rStyle w:val="Hyperlink"/>
            <w:rFonts w:ascii="Arial" w:hAnsi="Arial" w:cs="Arial"/>
            <w:sz w:val="22"/>
            <w:szCs w:val="22"/>
          </w:rPr>
          <w:t>https://doi.org/10.1037/a0031313</w:t>
        </w:r>
      </w:hyperlink>
      <w:r w:rsidR="00806CEF">
        <w:rPr>
          <w:rFonts w:ascii="Arial" w:hAnsi="Arial" w:cs="Arial"/>
          <w:sz w:val="22"/>
          <w:szCs w:val="22"/>
        </w:rPr>
        <w:t xml:space="preserve"> </w:t>
      </w:r>
    </w:p>
    <w:p w14:paraId="07859A6F" w14:textId="77777777"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Maslach</w:t>
      </w:r>
      <w:proofErr w:type="spellEnd"/>
      <w:r w:rsidRPr="002D13E5">
        <w:rPr>
          <w:rFonts w:ascii="Arial" w:hAnsi="Arial" w:cs="Arial"/>
          <w:sz w:val="22"/>
          <w:szCs w:val="22"/>
        </w:rPr>
        <w:t xml:space="preserve">, C., Jackson, S.E. &amp; Leiter, M.P. (1996) </w:t>
      </w:r>
      <w:proofErr w:type="spellStart"/>
      <w:r w:rsidRPr="002D13E5">
        <w:rPr>
          <w:rStyle w:val="Emphasis"/>
          <w:rFonts w:ascii="Arial" w:hAnsi="Arial" w:cs="Arial"/>
          <w:sz w:val="22"/>
          <w:szCs w:val="22"/>
        </w:rPr>
        <w:t>Maslach</w:t>
      </w:r>
      <w:proofErr w:type="spellEnd"/>
      <w:r w:rsidRPr="002D13E5">
        <w:rPr>
          <w:rStyle w:val="Emphasis"/>
          <w:rFonts w:ascii="Arial" w:hAnsi="Arial" w:cs="Arial"/>
          <w:sz w:val="22"/>
          <w:szCs w:val="22"/>
        </w:rPr>
        <w:t xml:space="preserve"> Burnout Inventory Manual</w:t>
      </w:r>
      <w:r w:rsidRPr="002D13E5">
        <w:rPr>
          <w:rFonts w:ascii="Arial" w:hAnsi="Arial" w:cs="Arial"/>
          <w:sz w:val="22"/>
          <w:szCs w:val="22"/>
        </w:rPr>
        <w:t xml:space="preserve">, 3rd </w:t>
      </w:r>
      <w:proofErr w:type="spellStart"/>
      <w:r w:rsidRPr="002D13E5">
        <w:rPr>
          <w:rFonts w:ascii="Arial" w:hAnsi="Arial" w:cs="Arial"/>
          <w:sz w:val="22"/>
          <w:szCs w:val="22"/>
        </w:rPr>
        <w:t>edn</w:t>
      </w:r>
      <w:proofErr w:type="spellEnd"/>
      <w:r w:rsidRPr="002D13E5">
        <w:rPr>
          <w:rFonts w:ascii="Arial" w:hAnsi="Arial" w:cs="Arial"/>
          <w:sz w:val="22"/>
          <w:szCs w:val="22"/>
        </w:rPr>
        <w:t>. Palo Alto, CA: Consulting Psychologists Press.</w:t>
      </w:r>
    </w:p>
    <w:p w14:paraId="2B824361" w14:textId="6A1A068E"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Maslach</w:t>
      </w:r>
      <w:proofErr w:type="spellEnd"/>
      <w:r w:rsidRPr="002D13E5">
        <w:rPr>
          <w:rFonts w:ascii="Arial" w:hAnsi="Arial" w:cs="Arial"/>
          <w:sz w:val="22"/>
          <w:szCs w:val="22"/>
        </w:rPr>
        <w:t xml:space="preserve">, C. &amp; Leiter, M.P. (2008) ‘Early predictors of job burnout and engagement’, </w:t>
      </w:r>
      <w:r w:rsidRPr="002D13E5">
        <w:rPr>
          <w:rStyle w:val="Emphasis"/>
          <w:rFonts w:ascii="Arial" w:hAnsi="Arial" w:cs="Arial"/>
          <w:sz w:val="22"/>
          <w:szCs w:val="22"/>
        </w:rPr>
        <w:t>Journal of Applied Psychology</w:t>
      </w:r>
      <w:r w:rsidRPr="002D13E5">
        <w:rPr>
          <w:rFonts w:ascii="Arial" w:hAnsi="Arial" w:cs="Arial"/>
          <w:sz w:val="22"/>
          <w:szCs w:val="22"/>
        </w:rPr>
        <w:t xml:space="preserve">, 93(3), pp. 498–512. </w:t>
      </w:r>
      <w:hyperlink r:id="rId21" w:history="1">
        <w:r w:rsidR="00691D56" w:rsidRPr="00472985">
          <w:rPr>
            <w:rStyle w:val="Hyperlink"/>
            <w:rFonts w:ascii="Arial" w:hAnsi="Arial" w:cs="Arial"/>
            <w:sz w:val="22"/>
            <w:szCs w:val="22"/>
          </w:rPr>
          <w:t>https://psycnet.apa.org/doi/10.1037/0021-9010.93.3.498</w:t>
        </w:r>
      </w:hyperlink>
      <w:r w:rsidR="00691D56">
        <w:rPr>
          <w:rFonts w:ascii="Arial" w:hAnsi="Arial" w:cs="Arial"/>
          <w:sz w:val="22"/>
          <w:szCs w:val="22"/>
        </w:rPr>
        <w:t xml:space="preserve"> </w:t>
      </w:r>
    </w:p>
    <w:p w14:paraId="3F5FBCC6" w14:textId="77777777"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Mealer</w:t>
      </w:r>
      <w:proofErr w:type="spellEnd"/>
      <w:r w:rsidRPr="002D13E5">
        <w:rPr>
          <w:rFonts w:ascii="Arial" w:hAnsi="Arial" w:cs="Arial"/>
          <w:sz w:val="22"/>
          <w:szCs w:val="22"/>
        </w:rPr>
        <w:t xml:space="preserve">, M., Moss, M., Good, V., </w:t>
      </w:r>
      <w:proofErr w:type="spellStart"/>
      <w:r w:rsidRPr="002D13E5">
        <w:rPr>
          <w:rFonts w:ascii="Arial" w:hAnsi="Arial" w:cs="Arial"/>
          <w:sz w:val="22"/>
          <w:szCs w:val="22"/>
        </w:rPr>
        <w:t>Gozal</w:t>
      </w:r>
      <w:proofErr w:type="spellEnd"/>
      <w:r w:rsidRPr="002D13E5">
        <w:rPr>
          <w:rFonts w:ascii="Arial" w:hAnsi="Arial" w:cs="Arial"/>
          <w:sz w:val="22"/>
          <w:szCs w:val="22"/>
        </w:rPr>
        <w:t xml:space="preserve">, D., </w:t>
      </w:r>
      <w:proofErr w:type="spellStart"/>
      <w:r w:rsidRPr="002D13E5">
        <w:rPr>
          <w:rFonts w:ascii="Arial" w:hAnsi="Arial" w:cs="Arial"/>
          <w:sz w:val="22"/>
          <w:szCs w:val="22"/>
        </w:rPr>
        <w:t>Kleinpell</w:t>
      </w:r>
      <w:proofErr w:type="spellEnd"/>
      <w:r w:rsidRPr="002D13E5">
        <w:rPr>
          <w:rFonts w:ascii="Arial" w:hAnsi="Arial" w:cs="Arial"/>
          <w:sz w:val="22"/>
          <w:szCs w:val="22"/>
        </w:rPr>
        <w:t xml:space="preserve">, R. &amp; </w:t>
      </w:r>
      <w:proofErr w:type="spellStart"/>
      <w:r w:rsidRPr="002D13E5">
        <w:rPr>
          <w:rFonts w:ascii="Arial" w:hAnsi="Arial" w:cs="Arial"/>
          <w:sz w:val="22"/>
          <w:szCs w:val="22"/>
        </w:rPr>
        <w:t>Sessler</w:t>
      </w:r>
      <w:proofErr w:type="spellEnd"/>
      <w:r w:rsidRPr="002D13E5">
        <w:rPr>
          <w:rFonts w:ascii="Arial" w:hAnsi="Arial" w:cs="Arial"/>
          <w:sz w:val="22"/>
          <w:szCs w:val="22"/>
        </w:rPr>
        <w:t xml:space="preserve">, C. (2009) ‘What is burnout syndrome in critical care nurses? A review of the evidence’, </w:t>
      </w:r>
      <w:r w:rsidRPr="002D13E5">
        <w:rPr>
          <w:rStyle w:val="Emphasis"/>
          <w:rFonts w:ascii="Arial" w:hAnsi="Arial" w:cs="Arial"/>
          <w:sz w:val="22"/>
          <w:szCs w:val="22"/>
        </w:rPr>
        <w:t>American Journal of Critical Care</w:t>
      </w:r>
      <w:r w:rsidRPr="002D13E5">
        <w:rPr>
          <w:rFonts w:ascii="Arial" w:hAnsi="Arial" w:cs="Arial"/>
          <w:sz w:val="22"/>
          <w:szCs w:val="22"/>
        </w:rPr>
        <w:t>, 18(3), pp. 200–208.</w:t>
      </w:r>
    </w:p>
    <w:p w14:paraId="56D9DE48" w14:textId="23528E8B"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Membrive</w:t>
      </w:r>
      <w:proofErr w:type="spellEnd"/>
      <w:r w:rsidRPr="002D13E5">
        <w:rPr>
          <w:rFonts w:ascii="Arial" w:hAnsi="Arial" w:cs="Arial"/>
          <w:sz w:val="22"/>
          <w:szCs w:val="22"/>
        </w:rPr>
        <w:noBreakHyphen/>
        <w:t xml:space="preserve">Jiménez, M.J., </w:t>
      </w:r>
      <w:proofErr w:type="spellStart"/>
      <w:r w:rsidRPr="002D13E5">
        <w:rPr>
          <w:rFonts w:ascii="Arial" w:hAnsi="Arial" w:cs="Arial"/>
          <w:sz w:val="22"/>
          <w:szCs w:val="22"/>
        </w:rPr>
        <w:t>Pradas</w:t>
      </w:r>
      <w:proofErr w:type="spellEnd"/>
      <w:r w:rsidRPr="002D13E5">
        <w:rPr>
          <w:rFonts w:ascii="Arial" w:hAnsi="Arial" w:cs="Arial"/>
          <w:sz w:val="22"/>
          <w:szCs w:val="22"/>
        </w:rPr>
        <w:noBreakHyphen/>
        <w:t>Hernández, L., Suleiman</w:t>
      </w:r>
      <w:r w:rsidRPr="002D13E5">
        <w:rPr>
          <w:rFonts w:ascii="Arial" w:hAnsi="Arial" w:cs="Arial"/>
          <w:sz w:val="22"/>
          <w:szCs w:val="22"/>
        </w:rPr>
        <w:noBreakHyphen/>
      </w:r>
      <w:proofErr w:type="spellStart"/>
      <w:r w:rsidRPr="002D13E5">
        <w:rPr>
          <w:rFonts w:ascii="Arial" w:hAnsi="Arial" w:cs="Arial"/>
          <w:sz w:val="22"/>
          <w:szCs w:val="22"/>
        </w:rPr>
        <w:t>Martos</w:t>
      </w:r>
      <w:proofErr w:type="spellEnd"/>
      <w:r w:rsidRPr="002D13E5">
        <w:rPr>
          <w:rFonts w:ascii="Arial" w:hAnsi="Arial" w:cs="Arial"/>
          <w:sz w:val="22"/>
          <w:szCs w:val="22"/>
        </w:rPr>
        <w:t>, N., Vargas</w:t>
      </w:r>
      <w:r w:rsidRPr="002D13E5">
        <w:rPr>
          <w:rFonts w:ascii="Arial" w:hAnsi="Arial" w:cs="Arial"/>
          <w:sz w:val="22"/>
          <w:szCs w:val="22"/>
        </w:rPr>
        <w:noBreakHyphen/>
      </w:r>
      <w:proofErr w:type="spellStart"/>
      <w:r w:rsidRPr="002D13E5">
        <w:rPr>
          <w:rFonts w:ascii="Arial" w:hAnsi="Arial" w:cs="Arial"/>
          <w:sz w:val="22"/>
          <w:szCs w:val="22"/>
        </w:rPr>
        <w:t>Román</w:t>
      </w:r>
      <w:proofErr w:type="spellEnd"/>
      <w:r w:rsidRPr="002D13E5">
        <w:rPr>
          <w:rFonts w:ascii="Arial" w:hAnsi="Arial" w:cs="Arial"/>
          <w:sz w:val="22"/>
          <w:szCs w:val="22"/>
        </w:rPr>
        <w:t xml:space="preserve">, K., </w:t>
      </w:r>
      <w:proofErr w:type="spellStart"/>
      <w:r w:rsidRPr="002D13E5">
        <w:rPr>
          <w:rFonts w:ascii="Arial" w:hAnsi="Arial" w:cs="Arial"/>
          <w:sz w:val="22"/>
          <w:szCs w:val="22"/>
        </w:rPr>
        <w:t>Cañadas</w:t>
      </w:r>
      <w:proofErr w:type="spellEnd"/>
      <w:r w:rsidRPr="002D13E5">
        <w:rPr>
          <w:rFonts w:ascii="Arial" w:hAnsi="Arial" w:cs="Arial"/>
          <w:sz w:val="22"/>
          <w:szCs w:val="22"/>
        </w:rPr>
        <w:noBreakHyphen/>
        <w:t>De la Fuente, G.A., Gómez</w:t>
      </w:r>
      <w:r w:rsidRPr="002D13E5">
        <w:rPr>
          <w:rFonts w:ascii="Arial" w:hAnsi="Arial" w:cs="Arial"/>
          <w:sz w:val="22"/>
          <w:szCs w:val="22"/>
        </w:rPr>
        <w:noBreakHyphen/>
      </w:r>
      <w:proofErr w:type="spellStart"/>
      <w:r w:rsidRPr="002D13E5">
        <w:rPr>
          <w:rFonts w:ascii="Arial" w:hAnsi="Arial" w:cs="Arial"/>
          <w:sz w:val="22"/>
          <w:szCs w:val="22"/>
        </w:rPr>
        <w:t>Urquiza</w:t>
      </w:r>
      <w:proofErr w:type="spellEnd"/>
      <w:r w:rsidRPr="002D13E5">
        <w:rPr>
          <w:rFonts w:ascii="Arial" w:hAnsi="Arial" w:cs="Arial"/>
          <w:sz w:val="22"/>
          <w:szCs w:val="22"/>
        </w:rPr>
        <w:t>, J.L. &amp; De la Fuente</w:t>
      </w:r>
      <w:r w:rsidRPr="002D13E5">
        <w:rPr>
          <w:rFonts w:ascii="Arial" w:hAnsi="Arial" w:cs="Arial"/>
          <w:sz w:val="22"/>
          <w:szCs w:val="22"/>
        </w:rPr>
        <w:noBreakHyphen/>
        <w:t>Solana, E.I. (2020) ‘Burnout in Nursing Managers: A Systematic Review and Meta</w:t>
      </w:r>
      <w:r w:rsidRPr="002D13E5">
        <w:rPr>
          <w:rFonts w:ascii="Arial" w:hAnsi="Arial" w:cs="Arial"/>
          <w:sz w:val="22"/>
          <w:szCs w:val="22"/>
        </w:rPr>
        <w:noBreakHyphen/>
        <w:t xml:space="preserve">Analysis of Related Factors, Levels and Prevalence’, </w:t>
      </w:r>
      <w:r w:rsidRPr="002D13E5">
        <w:rPr>
          <w:rStyle w:val="Emphasis"/>
          <w:rFonts w:ascii="Arial" w:hAnsi="Arial" w:cs="Arial"/>
          <w:sz w:val="22"/>
          <w:szCs w:val="22"/>
        </w:rPr>
        <w:t>International Journal of Environmental Research and Public Health</w:t>
      </w:r>
      <w:r w:rsidRPr="002D13E5">
        <w:rPr>
          <w:rFonts w:ascii="Arial" w:hAnsi="Arial" w:cs="Arial"/>
          <w:sz w:val="22"/>
          <w:szCs w:val="22"/>
        </w:rPr>
        <w:t xml:space="preserve">, 17(11), article 3983. </w:t>
      </w:r>
      <w:hyperlink r:id="rId22" w:history="1">
        <w:r w:rsidR="00902D08" w:rsidRPr="00472985">
          <w:rPr>
            <w:rStyle w:val="Hyperlink"/>
            <w:rFonts w:ascii="Arial" w:hAnsi="Arial" w:cs="Arial"/>
            <w:sz w:val="22"/>
            <w:szCs w:val="22"/>
          </w:rPr>
          <w:t>https://doi.org/10.3390/ijerph17113983</w:t>
        </w:r>
      </w:hyperlink>
      <w:r w:rsidR="00902D08">
        <w:rPr>
          <w:rFonts w:ascii="Arial" w:hAnsi="Arial" w:cs="Arial"/>
          <w:sz w:val="22"/>
          <w:szCs w:val="22"/>
        </w:rPr>
        <w:t xml:space="preserve"> </w:t>
      </w:r>
    </w:p>
    <w:p w14:paraId="7F314EA3" w14:textId="19C859E0" w:rsidR="00FC0B5E" w:rsidRPr="002D13E5"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NHS England (2021) </w:t>
      </w:r>
      <w:r w:rsidRPr="002D13E5">
        <w:rPr>
          <w:rStyle w:val="Emphasis"/>
          <w:rFonts w:ascii="Arial" w:hAnsi="Arial" w:cs="Arial"/>
          <w:sz w:val="22"/>
          <w:szCs w:val="22"/>
        </w:rPr>
        <w:t>NHS Health &amp; Well</w:t>
      </w:r>
      <w:r w:rsidRPr="002D13E5">
        <w:rPr>
          <w:rStyle w:val="Emphasis"/>
          <w:rFonts w:ascii="Arial" w:hAnsi="Arial" w:cs="Arial"/>
          <w:sz w:val="22"/>
          <w:szCs w:val="22"/>
        </w:rPr>
        <w:noBreakHyphen/>
        <w:t>being Improvement Framework</w:t>
      </w:r>
      <w:r w:rsidRPr="002D13E5">
        <w:rPr>
          <w:rFonts w:ascii="Arial" w:hAnsi="Arial" w:cs="Arial"/>
          <w:sz w:val="22"/>
          <w:szCs w:val="22"/>
        </w:rPr>
        <w:t xml:space="preserve">. Available at: </w:t>
      </w:r>
      <w:hyperlink r:id="rId23" w:tgtFrame="_new" w:history="1">
        <w:r w:rsidRPr="002D13E5">
          <w:rPr>
            <w:rStyle w:val="Hyperlink"/>
            <w:rFonts w:ascii="Arial" w:hAnsi="Arial" w:cs="Arial"/>
            <w:sz w:val="22"/>
            <w:szCs w:val="22"/>
          </w:rPr>
          <w:t>https://www.gov.uk/government/publications/nhs-health-well-being-improvement-framework</w:t>
        </w:r>
      </w:hyperlink>
      <w:r w:rsidRPr="002D13E5">
        <w:rPr>
          <w:rFonts w:ascii="Arial" w:hAnsi="Arial" w:cs="Arial"/>
          <w:sz w:val="22"/>
          <w:szCs w:val="22"/>
        </w:rPr>
        <w:t xml:space="preserve"> (Accessed: </w:t>
      </w:r>
      <w:r w:rsidR="003F0F31">
        <w:rPr>
          <w:rFonts w:ascii="Arial" w:hAnsi="Arial" w:cs="Arial"/>
          <w:sz w:val="22"/>
          <w:szCs w:val="22"/>
        </w:rPr>
        <w:t xml:space="preserve">28 November </w:t>
      </w:r>
      <w:r w:rsidRPr="002D13E5">
        <w:rPr>
          <w:rFonts w:ascii="Arial" w:hAnsi="Arial" w:cs="Arial"/>
          <w:sz w:val="22"/>
          <w:szCs w:val="22"/>
        </w:rPr>
        <w:t>2025).</w:t>
      </w:r>
    </w:p>
    <w:p w14:paraId="21A2C54B" w14:textId="6E0E3A7C"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Pappa</w:t>
      </w:r>
      <w:proofErr w:type="spellEnd"/>
      <w:r w:rsidRPr="002D13E5">
        <w:rPr>
          <w:rFonts w:ascii="Arial" w:hAnsi="Arial" w:cs="Arial"/>
          <w:sz w:val="22"/>
          <w:szCs w:val="22"/>
        </w:rPr>
        <w:t xml:space="preserve">, S., </w:t>
      </w:r>
      <w:proofErr w:type="spellStart"/>
      <w:r w:rsidRPr="002D13E5">
        <w:rPr>
          <w:rFonts w:ascii="Arial" w:hAnsi="Arial" w:cs="Arial"/>
          <w:sz w:val="22"/>
          <w:szCs w:val="22"/>
        </w:rPr>
        <w:t>Ntella</w:t>
      </w:r>
      <w:proofErr w:type="spellEnd"/>
      <w:r w:rsidRPr="002D13E5">
        <w:rPr>
          <w:rFonts w:ascii="Arial" w:hAnsi="Arial" w:cs="Arial"/>
          <w:sz w:val="22"/>
          <w:szCs w:val="22"/>
        </w:rPr>
        <w:t xml:space="preserve">, V., </w:t>
      </w:r>
      <w:proofErr w:type="spellStart"/>
      <w:r w:rsidRPr="002D13E5">
        <w:rPr>
          <w:rFonts w:ascii="Arial" w:hAnsi="Arial" w:cs="Arial"/>
          <w:sz w:val="22"/>
          <w:szCs w:val="22"/>
        </w:rPr>
        <w:t>Giannakas</w:t>
      </w:r>
      <w:proofErr w:type="spellEnd"/>
      <w:r w:rsidRPr="002D13E5">
        <w:rPr>
          <w:rFonts w:ascii="Arial" w:hAnsi="Arial" w:cs="Arial"/>
          <w:sz w:val="22"/>
          <w:szCs w:val="22"/>
        </w:rPr>
        <w:t xml:space="preserve">, T., </w:t>
      </w:r>
      <w:proofErr w:type="spellStart"/>
      <w:r w:rsidRPr="002D13E5">
        <w:rPr>
          <w:rFonts w:ascii="Arial" w:hAnsi="Arial" w:cs="Arial"/>
          <w:sz w:val="22"/>
          <w:szCs w:val="22"/>
        </w:rPr>
        <w:t>Giannakoulis</w:t>
      </w:r>
      <w:proofErr w:type="spellEnd"/>
      <w:r w:rsidRPr="002D13E5">
        <w:rPr>
          <w:rFonts w:ascii="Arial" w:hAnsi="Arial" w:cs="Arial"/>
          <w:sz w:val="22"/>
          <w:szCs w:val="22"/>
        </w:rPr>
        <w:t xml:space="preserve">, V.G., </w:t>
      </w:r>
      <w:proofErr w:type="spellStart"/>
      <w:r w:rsidRPr="002D13E5">
        <w:rPr>
          <w:rFonts w:ascii="Arial" w:hAnsi="Arial" w:cs="Arial"/>
          <w:sz w:val="22"/>
          <w:szCs w:val="22"/>
        </w:rPr>
        <w:t>Papoutsi</w:t>
      </w:r>
      <w:proofErr w:type="spellEnd"/>
      <w:r w:rsidRPr="002D13E5">
        <w:rPr>
          <w:rFonts w:ascii="Arial" w:hAnsi="Arial" w:cs="Arial"/>
          <w:sz w:val="22"/>
          <w:szCs w:val="22"/>
        </w:rPr>
        <w:t xml:space="preserve">, E. &amp; </w:t>
      </w:r>
      <w:proofErr w:type="spellStart"/>
      <w:r w:rsidRPr="002D13E5">
        <w:rPr>
          <w:rFonts w:ascii="Arial" w:hAnsi="Arial" w:cs="Arial"/>
          <w:sz w:val="22"/>
          <w:szCs w:val="22"/>
        </w:rPr>
        <w:t>Katsaounou</w:t>
      </w:r>
      <w:proofErr w:type="spellEnd"/>
      <w:r w:rsidRPr="002D13E5">
        <w:rPr>
          <w:rFonts w:ascii="Arial" w:hAnsi="Arial" w:cs="Arial"/>
          <w:sz w:val="22"/>
          <w:szCs w:val="22"/>
        </w:rPr>
        <w:t>, P. (2020) ‘Prevalence of depression, anxiety, and insomnia among healthcare workers during the COVID</w:t>
      </w:r>
      <w:r w:rsidRPr="002D13E5">
        <w:rPr>
          <w:rFonts w:ascii="Arial" w:hAnsi="Arial" w:cs="Arial"/>
          <w:sz w:val="22"/>
          <w:szCs w:val="22"/>
        </w:rPr>
        <w:noBreakHyphen/>
        <w:t xml:space="preserve">19 pandemic: a systematic review and meta-analysis’, </w:t>
      </w:r>
      <w:r w:rsidRPr="002D13E5">
        <w:rPr>
          <w:rStyle w:val="Emphasis"/>
          <w:rFonts w:ascii="Arial" w:hAnsi="Arial" w:cs="Arial"/>
          <w:sz w:val="22"/>
          <w:szCs w:val="22"/>
        </w:rPr>
        <w:t xml:space="preserve">Brain, </w:t>
      </w:r>
      <w:proofErr w:type="spellStart"/>
      <w:r w:rsidRPr="002D13E5">
        <w:rPr>
          <w:rStyle w:val="Emphasis"/>
          <w:rFonts w:ascii="Arial" w:hAnsi="Arial" w:cs="Arial"/>
          <w:sz w:val="22"/>
          <w:szCs w:val="22"/>
        </w:rPr>
        <w:t>Behavior</w:t>
      </w:r>
      <w:proofErr w:type="spellEnd"/>
      <w:r w:rsidRPr="002D13E5">
        <w:rPr>
          <w:rStyle w:val="Emphasis"/>
          <w:rFonts w:ascii="Arial" w:hAnsi="Arial" w:cs="Arial"/>
          <w:sz w:val="22"/>
          <w:szCs w:val="22"/>
        </w:rPr>
        <w:t xml:space="preserve"> and Immunity</w:t>
      </w:r>
      <w:r w:rsidRPr="002D13E5">
        <w:rPr>
          <w:rFonts w:ascii="Arial" w:hAnsi="Arial" w:cs="Arial"/>
          <w:sz w:val="22"/>
          <w:szCs w:val="22"/>
        </w:rPr>
        <w:t xml:space="preserve">, 88, pp. 901–907. </w:t>
      </w:r>
      <w:hyperlink r:id="rId24" w:history="1">
        <w:r w:rsidR="00697C8C" w:rsidRPr="00A004BE">
          <w:rPr>
            <w:rStyle w:val="Hyperlink"/>
            <w:rFonts w:ascii="Arial" w:hAnsi="Arial" w:cs="Arial"/>
            <w:sz w:val="22"/>
            <w:szCs w:val="22"/>
          </w:rPr>
          <w:t>https://doi.org/10.1016/j.bbi.2020.05.026</w:t>
        </w:r>
      </w:hyperlink>
      <w:r w:rsidR="003E657A">
        <w:rPr>
          <w:rFonts w:ascii="Arial" w:hAnsi="Arial" w:cs="Arial"/>
          <w:sz w:val="22"/>
          <w:szCs w:val="22"/>
        </w:rPr>
        <w:t xml:space="preserve"> </w:t>
      </w:r>
    </w:p>
    <w:p w14:paraId="7C778E4E" w14:textId="2B0CE995"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Portoghese</w:t>
      </w:r>
      <w:proofErr w:type="spellEnd"/>
      <w:r w:rsidRPr="002D13E5">
        <w:rPr>
          <w:rFonts w:ascii="Arial" w:hAnsi="Arial" w:cs="Arial"/>
          <w:sz w:val="22"/>
          <w:szCs w:val="22"/>
        </w:rPr>
        <w:t xml:space="preserve">, I., </w:t>
      </w:r>
      <w:proofErr w:type="spellStart"/>
      <w:r w:rsidRPr="002D13E5">
        <w:rPr>
          <w:rFonts w:ascii="Arial" w:hAnsi="Arial" w:cs="Arial"/>
          <w:sz w:val="22"/>
          <w:szCs w:val="22"/>
        </w:rPr>
        <w:t>Galletta</w:t>
      </w:r>
      <w:proofErr w:type="spellEnd"/>
      <w:r w:rsidRPr="002D13E5">
        <w:rPr>
          <w:rFonts w:ascii="Arial" w:hAnsi="Arial" w:cs="Arial"/>
          <w:sz w:val="22"/>
          <w:szCs w:val="22"/>
        </w:rPr>
        <w:t xml:space="preserve">, M., Coppola, R.C., </w:t>
      </w:r>
      <w:proofErr w:type="spellStart"/>
      <w:r w:rsidRPr="002D13E5">
        <w:rPr>
          <w:rFonts w:ascii="Arial" w:hAnsi="Arial" w:cs="Arial"/>
          <w:sz w:val="22"/>
          <w:szCs w:val="22"/>
        </w:rPr>
        <w:t>Finco</w:t>
      </w:r>
      <w:proofErr w:type="spellEnd"/>
      <w:r w:rsidRPr="002D13E5">
        <w:rPr>
          <w:rFonts w:ascii="Arial" w:hAnsi="Arial" w:cs="Arial"/>
          <w:sz w:val="22"/>
          <w:szCs w:val="22"/>
        </w:rPr>
        <w:t xml:space="preserve">, G. &amp; </w:t>
      </w:r>
      <w:proofErr w:type="spellStart"/>
      <w:r w:rsidRPr="002D13E5">
        <w:rPr>
          <w:rFonts w:ascii="Arial" w:hAnsi="Arial" w:cs="Arial"/>
          <w:sz w:val="22"/>
          <w:szCs w:val="22"/>
        </w:rPr>
        <w:t>Campagna</w:t>
      </w:r>
      <w:proofErr w:type="spellEnd"/>
      <w:r w:rsidRPr="002D13E5">
        <w:rPr>
          <w:rFonts w:ascii="Arial" w:hAnsi="Arial" w:cs="Arial"/>
          <w:sz w:val="22"/>
          <w:szCs w:val="22"/>
        </w:rPr>
        <w:t xml:space="preserve">, M. (2014) ‘Burnout and workload among health care workers: the moderating role of job control’, </w:t>
      </w:r>
      <w:r w:rsidRPr="002D13E5">
        <w:rPr>
          <w:rStyle w:val="Emphasis"/>
          <w:rFonts w:ascii="Arial" w:hAnsi="Arial" w:cs="Arial"/>
          <w:sz w:val="22"/>
          <w:szCs w:val="22"/>
        </w:rPr>
        <w:t>Safety and Health at Work</w:t>
      </w:r>
      <w:r w:rsidRPr="002D13E5">
        <w:rPr>
          <w:rFonts w:ascii="Arial" w:hAnsi="Arial" w:cs="Arial"/>
          <w:sz w:val="22"/>
          <w:szCs w:val="22"/>
        </w:rPr>
        <w:t xml:space="preserve">, 5(3), pp. 152–157. </w:t>
      </w:r>
      <w:hyperlink r:id="rId25" w:history="1">
        <w:r w:rsidR="005022EE" w:rsidRPr="00472985">
          <w:rPr>
            <w:rStyle w:val="Hyperlink"/>
            <w:rFonts w:ascii="Arial" w:hAnsi="Arial" w:cs="Arial"/>
            <w:sz w:val="22"/>
            <w:szCs w:val="22"/>
          </w:rPr>
          <w:t>https://doi.org/10.1016/j.shaw.2014.05.004</w:t>
        </w:r>
      </w:hyperlink>
      <w:r w:rsidR="005022EE">
        <w:rPr>
          <w:rFonts w:ascii="Arial" w:hAnsi="Arial" w:cs="Arial"/>
          <w:sz w:val="22"/>
          <w:szCs w:val="22"/>
        </w:rPr>
        <w:t xml:space="preserve"> </w:t>
      </w:r>
    </w:p>
    <w:p w14:paraId="119B5228" w14:textId="4D7AC609"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Rotenstein</w:t>
      </w:r>
      <w:proofErr w:type="spellEnd"/>
      <w:r w:rsidRPr="002D13E5">
        <w:rPr>
          <w:rFonts w:ascii="Arial" w:hAnsi="Arial" w:cs="Arial"/>
          <w:sz w:val="22"/>
          <w:szCs w:val="22"/>
        </w:rPr>
        <w:t xml:space="preserve">, L.S., Torre, M., Ramos, M.A., Rosales, R.C., </w:t>
      </w:r>
      <w:proofErr w:type="spellStart"/>
      <w:r w:rsidRPr="002D13E5">
        <w:rPr>
          <w:rFonts w:ascii="Arial" w:hAnsi="Arial" w:cs="Arial"/>
          <w:sz w:val="22"/>
          <w:szCs w:val="22"/>
        </w:rPr>
        <w:t>Guille</w:t>
      </w:r>
      <w:proofErr w:type="spellEnd"/>
      <w:r w:rsidRPr="002D13E5">
        <w:rPr>
          <w:rFonts w:ascii="Arial" w:hAnsi="Arial" w:cs="Arial"/>
          <w:sz w:val="22"/>
          <w:szCs w:val="22"/>
        </w:rPr>
        <w:t xml:space="preserve">, C., Sen, S. &amp; Mata, D.A. (2018) ‘Prevalence of burnout among physicians: a systematic review’, </w:t>
      </w:r>
      <w:r w:rsidRPr="002D13E5">
        <w:rPr>
          <w:rStyle w:val="Emphasis"/>
          <w:rFonts w:ascii="Arial" w:hAnsi="Arial" w:cs="Arial"/>
          <w:sz w:val="22"/>
          <w:szCs w:val="22"/>
        </w:rPr>
        <w:t>JAMA</w:t>
      </w:r>
      <w:r w:rsidRPr="002D13E5">
        <w:rPr>
          <w:rFonts w:ascii="Arial" w:hAnsi="Arial" w:cs="Arial"/>
          <w:sz w:val="22"/>
          <w:szCs w:val="22"/>
        </w:rPr>
        <w:t xml:space="preserve">, 320(11), pp. 1131–1150. </w:t>
      </w:r>
      <w:r w:rsidR="00DB2E19">
        <w:rPr>
          <w:rFonts w:ascii="Arial" w:hAnsi="Arial" w:cs="Arial"/>
          <w:sz w:val="22"/>
          <w:szCs w:val="22"/>
        </w:rPr>
        <w:t xml:space="preserve"> </w:t>
      </w:r>
      <w:hyperlink r:id="rId26" w:history="1">
        <w:r w:rsidR="006A26AC" w:rsidRPr="00A004BE">
          <w:rPr>
            <w:rStyle w:val="Hyperlink"/>
            <w:rFonts w:ascii="Arial" w:hAnsi="Arial" w:cs="Arial"/>
            <w:sz w:val="22"/>
            <w:szCs w:val="22"/>
          </w:rPr>
          <w:t>https://doi.org/10.1001/jama.2018.12777</w:t>
        </w:r>
      </w:hyperlink>
      <w:r w:rsidR="006A26AC">
        <w:rPr>
          <w:rFonts w:ascii="Arial" w:hAnsi="Arial" w:cs="Arial"/>
          <w:sz w:val="22"/>
          <w:szCs w:val="22"/>
        </w:rPr>
        <w:t xml:space="preserve"> </w:t>
      </w:r>
    </w:p>
    <w:p w14:paraId="053C128C" w14:textId="1115333C" w:rsidR="00016FA0" w:rsidRPr="00C83F1D" w:rsidRDefault="00FC0B5E" w:rsidP="00C83F1D">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Shanafelt</w:t>
      </w:r>
      <w:proofErr w:type="spellEnd"/>
      <w:r w:rsidRPr="002D13E5">
        <w:rPr>
          <w:rFonts w:ascii="Arial" w:hAnsi="Arial" w:cs="Arial"/>
          <w:sz w:val="22"/>
          <w:szCs w:val="22"/>
        </w:rPr>
        <w:t xml:space="preserve">, T.D., Boone, S., Tan, L., </w:t>
      </w:r>
      <w:proofErr w:type="spellStart"/>
      <w:r w:rsidRPr="002D13E5">
        <w:rPr>
          <w:rFonts w:ascii="Arial" w:hAnsi="Arial" w:cs="Arial"/>
          <w:sz w:val="22"/>
          <w:szCs w:val="22"/>
        </w:rPr>
        <w:t>Dyrbye</w:t>
      </w:r>
      <w:proofErr w:type="spellEnd"/>
      <w:r w:rsidRPr="002D13E5">
        <w:rPr>
          <w:rFonts w:ascii="Arial" w:hAnsi="Arial" w:cs="Arial"/>
          <w:sz w:val="22"/>
          <w:szCs w:val="22"/>
        </w:rPr>
        <w:t xml:space="preserve">, L.N., </w:t>
      </w:r>
      <w:proofErr w:type="spellStart"/>
      <w:r w:rsidRPr="002D13E5">
        <w:rPr>
          <w:rFonts w:ascii="Arial" w:hAnsi="Arial" w:cs="Arial"/>
          <w:sz w:val="22"/>
          <w:szCs w:val="22"/>
        </w:rPr>
        <w:t>Sotile</w:t>
      </w:r>
      <w:proofErr w:type="spellEnd"/>
      <w:r w:rsidRPr="002D13E5">
        <w:rPr>
          <w:rFonts w:ascii="Arial" w:hAnsi="Arial" w:cs="Arial"/>
          <w:sz w:val="22"/>
          <w:szCs w:val="22"/>
        </w:rPr>
        <w:t xml:space="preserve">, W., </w:t>
      </w:r>
      <w:proofErr w:type="spellStart"/>
      <w:r w:rsidRPr="002D13E5">
        <w:rPr>
          <w:rFonts w:ascii="Arial" w:hAnsi="Arial" w:cs="Arial"/>
          <w:sz w:val="22"/>
          <w:szCs w:val="22"/>
        </w:rPr>
        <w:t>Satele</w:t>
      </w:r>
      <w:proofErr w:type="spellEnd"/>
      <w:r w:rsidRPr="002D13E5">
        <w:rPr>
          <w:rFonts w:ascii="Arial" w:hAnsi="Arial" w:cs="Arial"/>
          <w:sz w:val="22"/>
          <w:szCs w:val="22"/>
        </w:rPr>
        <w:t xml:space="preserve">, D., Sloan, J. &amp; </w:t>
      </w:r>
      <w:proofErr w:type="spellStart"/>
      <w:r w:rsidRPr="002D13E5">
        <w:rPr>
          <w:rFonts w:ascii="Arial" w:hAnsi="Arial" w:cs="Arial"/>
          <w:sz w:val="22"/>
          <w:szCs w:val="22"/>
        </w:rPr>
        <w:t>Oreskovich</w:t>
      </w:r>
      <w:proofErr w:type="spellEnd"/>
      <w:r w:rsidRPr="002D13E5">
        <w:rPr>
          <w:rFonts w:ascii="Arial" w:hAnsi="Arial" w:cs="Arial"/>
          <w:sz w:val="22"/>
          <w:szCs w:val="22"/>
        </w:rPr>
        <w:t xml:space="preserve">, M.R. (2012) ‘Burnout and satisfaction with work-life balance among US </w:t>
      </w:r>
      <w:r w:rsidR="00E07026" w:rsidRPr="002D13E5">
        <w:rPr>
          <w:rFonts w:ascii="Arial" w:hAnsi="Arial" w:cs="Arial"/>
          <w:sz w:val="22"/>
          <w:szCs w:val="22"/>
        </w:rPr>
        <w:t>physician’s</w:t>
      </w:r>
      <w:r w:rsidRPr="002D13E5">
        <w:rPr>
          <w:rFonts w:ascii="Arial" w:hAnsi="Arial" w:cs="Arial"/>
          <w:sz w:val="22"/>
          <w:szCs w:val="22"/>
        </w:rPr>
        <w:t xml:space="preserve"> relative to the general US population’, </w:t>
      </w:r>
      <w:r w:rsidRPr="002D13E5">
        <w:rPr>
          <w:rStyle w:val="Emphasis"/>
          <w:rFonts w:ascii="Arial" w:hAnsi="Arial" w:cs="Arial"/>
          <w:sz w:val="22"/>
          <w:szCs w:val="22"/>
        </w:rPr>
        <w:t>Archives of Internal Medicine</w:t>
      </w:r>
      <w:r w:rsidRPr="002D13E5">
        <w:rPr>
          <w:rFonts w:ascii="Arial" w:hAnsi="Arial" w:cs="Arial"/>
          <w:sz w:val="22"/>
          <w:szCs w:val="22"/>
        </w:rPr>
        <w:t xml:space="preserve">, 172(18), pp. 1377–1385. </w:t>
      </w:r>
      <w:hyperlink r:id="rId27" w:history="1">
        <w:r w:rsidR="00A0456F" w:rsidRPr="00472985">
          <w:rPr>
            <w:rStyle w:val="Hyperlink"/>
            <w:rFonts w:ascii="Arial" w:hAnsi="Arial" w:cs="Arial"/>
            <w:sz w:val="22"/>
            <w:szCs w:val="22"/>
          </w:rPr>
          <w:t>https://doi.org/10.1001/archinternmed.2012.3199</w:t>
        </w:r>
      </w:hyperlink>
      <w:r w:rsidR="00A0456F">
        <w:rPr>
          <w:rFonts w:ascii="Arial" w:hAnsi="Arial" w:cs="Arial"/>
          <w:sz w:val="22"/>
          <w:szCs w:val="22"/>
        </w:rPr>
        <w:t xml:space="preserve"> </w:t>
      </w:r>
    </w:p>
    <w:p w14:paraId="636AEE47" w14:textId="52BE7146"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lastRenderedPageBreak/>
        <w:t>Shanafelt</w:t>
      </w:r>
      <w:proofErr w:type="spellEnd"/>
      <w:r w:rsidRPr="002D13E5">
        <w:rPr>
          <w:rFonts w:ascii="Arial" w:hAnsi="Arial" w:cs="Arial"/>
          <w:sz w:val="22"/>
          <w:szCs w:val="22"/>
        </w:rPr>
        <w:t xml:space="preserve">, T.D., </w:t>
      </w:r>
      <w:proofErr w:type="spellStart"/>
      <w:r w:rsidRPr="002D13E5">
        <w:rPr>
          <w:rFonts w:ascii="Arial" w:hAnsi="Arial" w:cs="Arial"/>
          <w:sz w:val="22"/>
          <w:szCs w:val="22"/>
        </w:rPr>
        <w:t>Ripp</w:t>
      </w:r>
      <w:proofErr w:type="spellEnd"/>
      <w:r w:rsidRPr="002D13E5">
        <w:rPr>
          <w:rFonts w:ascii="Arial" w:hAnsi="Arial" w:cs="Arial"/>
          <w:sz w:val="22"/>
          <w:szCs w:val="22"/>
        </w:rPr>
        <w:t xml:space="preserve">, J. &amp; </w:t>
      </w:r>
      <w:proofErr w:type="spellStart"/>
      <w:r w:rsidRPr="002D13E5">
        <w:rPr>
          <w:rFonts w:ascii="Arial" w:hAnsi="Arial" w:cs="Arial"/>
          <w:sz w:val="22"/>
          <w:szCs w:val="22"/>
        </w:rPr>
        <w:t>Trockel</w:t>
      </w:r>
      <w:proofErr w:type="spellEnd"/>
      <w:r w:rsidRPr="002D13E5">
        <w:rPr>
          <w:rFonts w:ascii="Arial" w:hAnsi="Arial" w:cs="Arial"/>
          <w:sz w:val="22"/>
          <w:szCs w:val="22"/>
        </w:rPr>
        <w:t xml:space="preserve">, M. (2020) ‘Understanding and addressing sources of anxiety among health care professionals during the COVID-19 pandemic’, </w:t>
      </w:r>
      <w:r w:rsidRPr="002D13E5">
        <w:rPr>
          <w:rStyle w:val="Emphasis"/>
          <w:rFonts w:ascii="Arial" w:hAnsi="Arial" w:cs="Arial"/>
          <w:sz w:val="22"/>
          <w:szCs w:val="22"/>
        </w:rPr>
        <w:t>JAMA</w:t>
      </w:r>
      <w:r w:rsidRPr="002D13E5">
        <w:rPr>
          <w:rFonts w:ascii="Arial" w:hAnsi="Arial" w:cs="Arial"/>
          <w:sz w:val="22"/>
          <w:szCs w:val="22"/>
        </w:rPr>
        <w:t xml:space="preserve">, 323(21), pp. 2133–2134. </w:t>
      </w:r>
      <w:r w:rsidR="00631C00">
        <w:rPr>
          <w:rFonts w:ascii="Arial" w:hAnsi="Arial" w:cs="Arial"/>
          <w:sz w:val="22"/>
          <w:szCs w:val="22"/>
        </w:rPr>
        <w:t xml:space="preserve"> </w:t>
      </w:r>
      <w:hyperlink r:id="rId28" w:history="1">
        <w:r w:rsidR="00631C00" w:rsidRPr="00472985">
          <w:rPr>
            <w:rStyle w:val="Hyperlink"/>
            <w:rFonts w:ascii="Verdana" w:eastAsia="Times New Roman" w:hAnsi="Verdana"/>
            <w:sz w:val="21"/>
            <w:szCs w:val="21"/>
            <w:shd w:val="clear" w:color="auto" w:fill="FFFFFF"/>
          </w:rPr>
          <w:t>https://doi.org/10.1001/jama.2020.5893</w:t>
        </w:r>
      </w:hyperlink>
      <w:r w:rsidR="00631C00">
        <w:rPr>
          <w:rFonts w:ascii="Verdana" w:eastAsia="Times New Roman" w:hAnsi="Verdana"/>
          <w:color w:val="232323"/>
          <w:sz w:val="21"/>
          <w:szCs w:val="21"/>
          <w:shd w:val="clear" w:color="auto" w:fill="FFFFFF"/>
        </w:rPr>
        <w:t xml:space="preserve"> </w:t>
      </w:r>
    </w:p>
    <w:p w14:paraId="1843FBBA" w14:textId="63F11EAB" w:rsidR="00FC0B5E" w:rsidRPr="00EA5AA6" w:rsidRDefault="00F21898" w:rsidP="002D13E5">
      <w:pPr>
        <w:pStyle w:val="NormalWeb"/>
        <w:numPr>
          <w:ilvl w:val="0"/>
          <w:numId w:val="2"/>
        </w:numPr>
        <w:spacing w:line="360" w:lineRule="auto"/>
        <w:rPr>
          <w:rFonts w:ascii="Arial" w:hAnsi="Arial" w:cs="Arial"/>
          <w:sz w:val="22"/>
          <w:szCs w:val="22"/>
        </w:rPr>
      </w:pPr>
      <w:proofErr w:type="spellStart"/>
      <w:r w:rsidRPr="00EA5AA6">
        <w:rPr>
          <w:rFonts w:ascii="Arial" w:eastAsia="Times New Roman" w:hAnsi="Arial" w:cs="Arial"/>
          <w:color w:val="222222"/>
          <w:sz w:val="22"/>
          <w:szCs w:val="22"/>
          <w:shd w:val="clear" w:color="auto" w:fill="FFFFFF"/>
        </w:rPr>
        <w:t>Shanafelt</w:t>
      </w:r>
      <w:proofErr w:type="spellEnd"/>
      <w:r w:rsidRPr="00EA5AA6">
        <w:rPr>
          <w:rFonts w:ascii="Arial" w:eastAsia="Times New Roman" w:hAnsi="Arial" w:cs="Arial"/>
          <w:color w:val="222222"/>
          <w:sz w:val="22"/>
          <w:szCs w:val="22"/>
          <w:shd w:val="clear" w:color="auto" w:fill="FFFFFF"/>
        </w:rPr>
        <w:t xml:space="preserve">, T.D. and </w:t>
      </w:r>
      <w:proofErr w:type="spellStart"/>
      <w:r w:rsidRPr="00EA5AA6">
        <w:rPr>
          <w:rFonts w:ascii="Arial" w:eastAsia="Times New Roman" w:hAnsi="Arial" w:cs="Arial"/>
          <w:color w:val="222222"/>
          <w:sz w:val="22"/>
          <w:szCs w:val="22"/>
          <w:shd w:val="clear" w:color="auto" w:fill="FFFFFF"/>
        </w:rPr>
        <w:t>Noseworthy</w:t>
      </w:r>
      <w:proofErr w:type="spellEnd"/>
      <w:r w:rsidRPr="00EA5AA6">
        <w:rPr>
          <w:rFonts w:ascii="Arial" w:eastAsia="Times New Roman" w:hAnsi="Arial" w:cs="Arial"/>
          <w:color w:val="222222"/>
          <w:sz w:val="22"/>
          <w:szCs w:val="22"/>
          <w:shd w:val="clear" w:color="auto" w:fill="FFFFFF"/>
        </w:rPr>
        <w:t>, J.H., 2017, January. Executive leadership and physician well-being: nine organizational strategies to promote engagement and reduce burnout. In </w:t>
      </w:r>
      <w:r w:rsidRPr="00EA5AA6">
        <w:rPr>
          <w:rFonts w:ascii="Arial" w:eastAsia="Times New Roman" w:hAnsi="Arial" w:cs="Arial"/>
          <w:i/>
          <w:iCs/>
          <w:color w:val="222222"/>
          <w:sz w:val="22"/>
          <w:szCs w:val="22"/>
          <w:shd w:val="clear" w:color="auto" w:fill="FFFFFF"/>
        </w:rPr>
        <w:t>Mayo clinic proceedings</w:t>
      </w:r>
      <w:r w:rsidRPr="00EA5AA6">
        <w:rPr>
          <w:rFonts w:ascii="Arial" w:eastAsia="Times New Roman" w:hAnsi="Arial" w:cs="Arial"/>
          <w:color w:val="222222"/>
          <w:sz w:val="22"/>
          <w:szCs w:val="22"/>
          <w:shd w:val="clear" w:color="auto" w:fill="FFFFFF"/>
        </w:rPr>
        <w:t xml:space="preserve"> (Vol. 92, No. 1, pp. 129-146). Elsevier. </w:t>
      </w:r>
    </w:p>
    <w:p w14:paraId="031CD18F" w14:textId="00F87833" w:rsidR="00FC0B5E"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Shapiro, S.L., </w:t>
      </w:r>
      <w:proofErr w:type="spellStart"/>
      <w:r w:rsidRPr="002D13E5">
        <w:rPr>
          <w:rFonts w:ascii="Arial" w:hAnsi="Arial" w:cs="Arial"/>
          <w:sz w:val="22"/>
          <w:szCs w:val="22"/>
        </w:rPr>
        <w:t>Astin</w:t>
      </w:r>
      <w:proofErr w:type="spellEnd"/>
      <w:r w:rsidRPr="002D13E5">
        <w:rPr>
          <w:rFonts w:ascii="Arial" w:hAnsi="Arial" w:cs="Arial"/>
          <w:sz w:val="22"/>
          <w:szCs w:val="22"/>
        </w:rPr>
        <w:t xml:space="preserve">, J.A., Bishop, S.R. &amp; Cordova, M. (2005) ‘Mindfulness-based stress reduction for health care professionals: results from a randomized trial’, </w:t>
      </w:r>
      <w:r w:rsidRPr="002D13E5">
        <w:rPr>
          <w:rStyle w:val="Emphasis"/>
          <w:rFonts w:ascii="Arial" w:hAnsi="Arial" w:cs="Arial"/>
          <w:sz w:val="22"/>
          <w:szCs w:val="22"/>
        </w:rPr>
        <w:t>International Journal of Stress Management</w:t>
      </w:r>
      <w:r w:rsidRPr="002D13E5">
        <w:rPr>
          <w:rFonts w:ascii="Arial" w:hAnsi="Arial" w:cs="Arial"/>
          <w:sz w:val="22"/>
          <w:szCs w:val="22"/>
        </w:rPr>
        <w:t xml:space="preserve">, 12(2), pp. 164–176. </w:t>
      </w:r>
      <w:hyperlink r:id="rId29" w:history="1">
        <w:r w:rsidR="003663BA" w:rsidRPr="00472985">
          <w:rPr>
            <w:rStyle w:val="Hyperlink"/>
            <w:rFonts w:ascii="Arial" w:hAnsi="Arial" w:cs="Arial"/>
            <w:sz w:val="22"/>
            <w:szCs w:val="22"/>
          </w:rPr>
          <w:t>https://psycnet.apa.org/doi/10.1037/1072-5245.12.2.164</w:t>
        </w:r>
      </w:hyperlink>
      <w:r w:rsidR="003663BA">
        <w:rPr>
          <w:rFonts w:ascii="Arial" w:hAnsi="Arial" w:cs="Arial"/>
          <w:sz w:val="22"/>
          <w:szCs w:val="22"/>
        </w:rPr>
        <w:t xml:space="preserve"> </w:t>
      </w:r>
    </w:p>
    <w:p w14:paraId="4AD17345" w14:textId="11330FAA" w:rsidR="008D115A" w:rsidRPr="002D13E5" w:rsidRDefault="008D115A" w:rsidP="002D13E5">
      <w:pPr>
        <w:pStyle w:val="NormalWeb"/>
        <w:numPr>
          <w:ilvl w:val="0"/>
          <w:numId w:val="2"/>
        </w:numPr>
        <w:spacing w:line="360" w:lineRule="auto"/>
        <w:rPr>
          <w:rFonts w:ascii="Arial" w:hAnsi="Arial" w:cs="Arial"/>
          <w:sz w:val="22"/>
          <w:szCs w:val="22"/>
        </w:rPr>
      </w:pPr>
      <w:r>
        <w:rPr>
          <w:rFonts w:ascii="Arial" w:hAnsi="Arial" w:cs="Arial"/>
          <w:sz w:val="22"/>
          <w:szCs w:val="22"/>
        </w:rPr>
        <w:t xml:space="preserve">O’Connor, K., Neff, D.M. and Pitman, S., 2018. Burnout in mental health professionals: A systematic review and meta-analysis of prevalence and determinants. European psychiatry, 53, pp.74-99. </w:t>
      </w:r>
    </w:p>
    <w:p w14:paraId="03A01D44" w14:textId="1C779ED2"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t>Taris</w:t>
      </w:r>
      <w:proofErr w:type="spellEnd"/>
      <w:r w:rsidRPr="002D13E5">
        <w:rPr>
          <w:rFonts w:ascii="Arial" w:hAnsi="Arial" w:cs="Arial"/>
          <w:sz w:val="22"/>
          <w:szCs w:val="22"/>
        </w:rPr>
        <w:t xml:space="preserve">, T.W., Le Blanc, P.M., </w:t>
      </w:r>
      <w:proofErr w:type="spellStart"/>
      <w:r w:rsidRPr="002D13E5">
        <w:rPr>
          <w:rFonts w:ascii="Arial" w:hAnsi="Arial" w:cs="Arial"/>
          <w:sz w:val="22"/>
          <w:szCs w:val="22"/>
        </w:rPr>
        <w:t>Schaufeli</w:t>
      </w:r>
      <w:proofErr w:type="spellEnd"/>
      <w:r w:rsidRPr="002D13E5">
        <w:rPr>
          <w:rFonts w:ascii="Arial" w:hAnsi="Arial" w:cs="Arial"/>
          <w:sz w:val="22"/>
          <w:szCs w:val="22"/>
        </w:rPr>
        <w:t xml:space="preserve">, W.B. &amp; </w:t>
      </w:r>
      <w:proofErr w:type="spellStart"/>
      <w:r w:rsidRPr="002D13E5">
        <w:rPr>
          <w:rFonts w:ascii="Arial" w:hAnsi="Arial" w:cs="Arial"/>
          <w:sz w:val="22"/>
          <w:szCs w:val="22"/>
        </w:rPr>
        <w:t>Schreurs</w:t>
      </w:r>
      <w:proofErr w:type="spellEnd"/>
      <w:r w:rsidRPr="002D13E5">
        <w:rPr>
          <w:rFonts w:ascii="Arial" w:hAnsi="Arial" w:cs="Arial"/>
          <w:sz w:val="22"/>
          <w:szCs w:val="22"/>
        </w:rPr>
        <w:t xml:space="preserve">, P.J. (2005) ‘Are there causal relationships between the dimensions of the </w:t>
      </w:r>
      <w:proofErr w:type="spellStart"/>
      <w:r w:rsidRPr="002D13E5">
        <w:rPr>
          <w:rFonts w:ascii="Arial" w:hAnsi="Arial" w:cs="Arial"/>
          <w:sz w:val="22"/>
          <w:szCs w:val="22"/>
        </w:rPr>
        <w:t>Maslach</w:t>
      </w:r>
      <w:proofErr w:type="spellEnd"/>
      <w:r w:rsidRPr="002D13E5">
        <w:rPr>
          <w:rFonts w:ascii="Arial" w:hAnsi="Arial" w:cs="Arial"/>
          <w:sz w:val="22"/>
          <w:szCs w:val="22"/>
        </w:rPr>
        <w:t xml:space="preserve"> Burnout Inventory? A review and two longitudinal tests’, </w:t>
      </w:r>
      <w:r w:rsidRPr="002D13E5">
        <w:rPr>
          <w:rStyle w:val="Emphasis"/>
          <w:rFonts w:ascii="Arial" w:hAnsi="Arial" w:cs="Arial"/>
          <w:sz w:val="22"/>
          <w:szCs w:val="22"/>
        </w:rPr>
        <w:t>Work &amp; Stress</w:t>
      </w:r>
      <w:r w:rsidRPr="002D13E5">
        <w:rPr>
          <w:rFonts w:ascii="Arial" w:hAnsi="Arial" w:cs="Arial"/>
          <w:sz w:val="22"/>
          <w:szCs w:val="22"/>
        </w:rPr>
        <w:t xml:space="preserve">, 19(3), pp. 238–255. </w:t>
      </w:r>
    </w:p>
    <w:p w14:paraId="308F63AB" w14:textId="11CA40DA" w:rsidR="00FC0B5E" w:rsidRPr="002D13E5"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The King’s Fund (2021) </w:t>
      </w:r>
      <w:r w:rsidRPr="002D13E5">
        <w:rPr>
          <w:rStyle w:val="Emphasis"/>
          <w:rFonts w:ascii="Arial" w:hAnsi="Arial" w:cs="Arial"/>
          <w:sz w:val="22"/>
          <w:szCs w:val="22"/>
        </w:rPr>
        <w:t>Burnt-out staff: The King’s Fund responds to NHS Staff Survey</w:t>
      </w:r>
      <w:r w:rsidRPr="002D13E5">
        <w:rPr>
          <w:rFonts w:ascii="Arial" w:hAnsi="Arial" w:cs="Arial"/>
          <w:sz w:val="22"/>
          <w:szCs w:val="22"/>
        </w:rPr>
        <w:t xml:space="preserve">. Available at: </w:t>
      </w:r>
      <w:hyperlink r:id="rId30" w:tgtFrame="_new" w:history="1">
        <w:r w:rsidRPr="002D13E5">
          <w:rPr>
            <w:rStyle w:val="Hyperlink"/>
            <w:rFonts w:ascii="Arial" w:hAnsi="Arial" w:cs="Arial"/>
            <w:sz w:val="22"/>
            <w:szCs w:val="22"/>
          </w:rPr>
          <w:t>https://www.kingsfund.org.uk/insight-and-analysis/press-releases/nhs-staff-survey-burnt-out</w:t>
        </w:r>
      </w:hyperlink>
      <w:r w:rsidRPr="002D13E5">
        <w:rPr>
          <w:rFonts w:ascii="Arial" w:hAnsi="Arial" w:cs="Arial"/>
          <w:sz w:val="22"/>
          <w:szCs w:val="22"/>
        </w:rPr>
        <w:t xml:space="preserve"> (Accessed: </w:t>
      </w:r>
      <w:r w:rsidR="003B395A">
        <w:rPr>
          <w:rFonts w:ascii="Arial" w:hAnsi="Arial" w:cs="Arial"/>
          <w:sz w:val="22"/>
          <w:szCs w:val="22"/>
        </w:rPr>
        <w:t xml:space="preserve">25 November </w:t>
      </w:r>
      <w:r w:rsidRPr="002D13E5">
        <w:rPr>
          <w:rFonts w:ascii="Arial" w:hAnsi="Arial" w:cs="Arial"/>
          <w:sz w:val="22"/>
          <w:szCs w:val="22"/>
        </w:rPr>
        <w:t>2025).</w:t>
      </w:r>
    </w:p>
    <w:p w14:paraId="07EF56CF" w14:textId="77777777" w:rsidR="00FC0B5E" w:rsidRPr="002D13E5"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West, C.P., </w:t>
      </w:r>
      <w:proofErr w:type="spellStart"/>
      <w:r w:rsidRPr="002D13E5">
        <w:rPr>
          <w:rFonts w:ascii="Arial" w:hAnsi="Arial" w:cs="Arial"/>
          <w:sz w:val="22"/>
          <w:szCs w:val="22"/>
        </w:rPr>
        <w:t>Dyrbye</w:t>
      </w:r>
      <w:proofErr w:type="spellEnd"/>
      <w:r w:rsidRPr="002D13E5">
        <w:rPr>
          <w:rFonts w:ascii="Arial" w:hAnsi="Arial" w:cs="Arial"/>
          <w:sz w:val="22"/>
          <w:szCs w:val="22"/>
        </w:rPr>
        <w:t xml:space="preserve">, L.N., </w:t>
      </w:r>
      <w:proofErr w:type="spellStart"/>
      <w:r w:rsidRPr="002D13E5">
        <w:rPr>
          <w:rFonts w:ascii="Arial" w:hAnsi="Arial" w:cs="Arial"/>
          <w:sz w:val="22"/>
          <w:szCs w:val="22"/>
        </w:rPr>
        <w:t>Sinsky</w:t>
      </w:r>
      <w:proofErr w:type="spellEnd"/>
      <w:r w:rsidRPr="002D13E5">
        <w:rPr>
          <w:rFonts w:ascii="Arial" w:hAnsi="Arial" w:cs="Arial"/>
          <w:sz w:val="22"/>
          <w:szCs w:val="22"/>
        </w:rPr>
        <w:t xml:space="preserve">, C., </w:t>
      </w:r>
      <w:proofErr w:type="spellStart"/>
      <w:r w:rsidRPr="002D13E5">
        <w:rPr>
          <w:rFonts w:ascii="Arial" w:hAnsi="Arial" w:cs="Arial"/>
          <w:sz w:val="22"/>
          <w:szCs w:val="22"/>
        </w:rPr>
        <w:t>Trockel</w:t>
      </w:r>
      <w:proofErr w:type="spellEnd"/>
      <w:r w:rsidRPr="002D13E5">
        <w:rPr>
          <w:rFonts w:ascii="Arial" w:hAnsi="Arial" w:cs="Arial"/>
          <w:sz w:val="22"/>
          <w:szCs w:val="22"/>
        </w:rPr>
        <w:t xml:space="preserve">, M., </w:t>
      </w:r>
      <w:proofErr w:type="spellStart"/>
      <w:r w:rsidRPr="002D13E5">
        <w:rPr>
          <w:rFonts w:ascii="Arial" w:hAnsi="Arial" w:cs="Arial"/>
          <w:sz w:val="22"/>
          <w:szCs w:val="22"/>
        </w:rPr>
        <w:t>Tutty</w:t>
      </w:r>
      <w:proofErr w:type="spellEnd"/>
      <w:r w:rsidRPr="002D13E5">
        <w:rPr>
          <w:rFonts w:ascii="Arial" w:hAnsi="Arial" w:cs="Arial"/>
          <w:sz w:val="22"/>
          <w:szCs w:val="22"/>
        </w:rPr>
        <w:t xml:space="preserve">, M., </w:t>
      </w:r>
      <w:proofErr w:type="spellStart"/>
      <w:r w:rsidRPr="002D13E5">
        <w:rPr>
          <w:rFonts w:ascii="Arial" w:hAnsi="Arial" w:cs="Arial"/>
          <w:sz w:val="22"/>
          <w:szCs w:val="22"/>
        </w:rPr>
        <w:t>Nedelec</w:t>
      </w:r>
      <w:proofErr w:type="spellEnd"/>
      <w:r w:rsidRPr="002D13E5">
        <w:rPr>
          <w:rFonts w:ascii="Arial" w:hAnsi="Arial" w:cs="Arial"/>
          <w:sz w:val="22"/>
          <w:szCs w:val="22"/>
        </w:rPr>
        <w:t xml:space="preserve">, L., </w:t>
      </w:r>
      <w:proofErr w:type="spellStart"/>
      <w:r w:rsidRPr="002D13E5">
        <w:rPr>
          <w:rFonts w:ascii="Arial" w:hAnsi="Arial" w:cs="Arial"/>
          <w:sz w:val="22"/>
          <w:szCs w:val="22"/>
        </w:rPr>
        <w:t>Carlasare</w:t>
      </w:r>
      <w:proofErr w:type="spellEnd"/>
      <w:r w:rsidRPr="002D13E5">
        <w:rPr>
          <w:rFonts w:ascii="Arial" w:hAnsi="Arial" w:cs="Arial"/>
          <w:sz w:val="22"/>
          <w:szCs w:val="22"/>
        </w:rPr>
        <w:t xml:space="preserve">, L.E., </w:t>
      </w:r>
      <w:proofErr w:type="spellStart"/>
      <w:r w:rsidRPr="002D13E5">
        <w:rPr>
          <w:rFonts w:ascii="Arial" w:hAnsi="Arial" w:cs="Arial"/>
          <w:sz w:val="22"/>
          <w:szCs w:val="22"/>
        </w:rPr>
        <w:t>Shanafelt</w:t>
      </w:r>
      <w:proofErr w:type="spellEnd"/>
      <w:r w:rsidRPr="002D13E5">
        <w:rPr>
          <w:rFonts w:ascii="Arial" w:hAnsi="Arial" w:cs="Arial"/>
          <w:sz w:val="22"/>
          <w:szCs w:val="22"/>
        </w:rPr>
        <w:t xml:space="preserve">, T.D. (2020) ‘Resilience and burnout among physicians and the general US working population’, </w:t>
      </w:r>
      <w:r w:rsidRPr="002D13E5">
        <w:rPr>
          <w:rStyle w:val="Emphasis"/>
          <w:rFonts w:ascii="Arial" w:hAnsi="Arial" w:cs="Arial"/>
          <w:sz w:val="22"/>
          <w:szCs w:val="22"/>
        </w:rPr>
        <w:t>JAMA Network Open</w:t>
      </w:r>
      <w:r w:rsidRPr="002D13E5">
        <w:rPr>
          <w:rFonts w:ascii="Arial" w:hAnsi="Arial" w:cs="Arial"/>
          <w:sz w:val="22"/>
          <w:szCs w:val="22"/>
        </w:rPr>
        <w:t>, 3(7), e209385. doi: 10.1001/jamanetworkopen.2020.9385</w:t>
      </w:r>
    </w:p>
    <w:p w14:paraId="03E1FE2C" w14:textId="77777777" w:rsidR="00FC0B5E" w:rsidRPr="002D13E5"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West, C.P., </w:t>
      </w:r>
      <w:proofErr w:type="spellStart"/>
      <w:r w:rsidRPr="002D13E5">
        <w:rPr>
          <w:rFonts w:ascii="Arial" w:hAnsi="Arial" w:cs="Arial"/>
          <w:sz w:val="22"/>
          <w:szCs w:val="22"/>
        </w:rPr>
        <w:t>Dyrbye</w:t>
      </w:r>
      <w:proofErr w:type="spellEnd"/>
      <w:r w:rsidRPr="002D13E5">
        <w:rPr>
          <w:rFonts w:ascii="Arial" w:hAnsi="Arial" w:cs="Arial"/>
          <w:sz w:val="22"/>
          <w:szCs w:val="22"/>
        </w:rPr>
        <w:t xml:space="preserve">, L.N. &amp; </w:t>
      </w:r>
      <w:proofErr w:type="spellStart"/>
      <w:r w:rsidRPr="002D13E5">
        <w:rPr>
          <w:rFonts w:ascii="Arial" w:hAnsi="Arial" w:cs="Arial"/>
          <w:sz w:val="22"/>
          <w:szCs w:val="22"/>
        </w:rPr>
        <w:t>Shanafelt</w:t>
      </w:r>
      <w:proofErr w:type="spellEnd"/>
      <w:r w:rsidRPr="002D13E5">
        <w:rPr>
          <w:rFonts w:ascii="Arial" w:hAnsi="Arial" w:cs="Arial"/>
          <w:sz w:val="22"/>
          <w:szCs w:val="22"/>
        </w:rPr>
        <w:t xml:space="preserve">, T.D. (2018) ‘Physician burnout: contributors, consequences and solutions’, </w:t>
      </w:r>
      <w:r w:rsidRPr="002D13E5">
        <w:rPr>
          <w:rStyle w:val="Emphasis"/>
          <w:rFonts w:ascii="Arial" w:hAnsi="Arial" w:cs="Arial"/>
          <w:sz w:val="22"/>
          <w:szCs w:val="22"/>
        </w:rPr>
        <w:t>Journal of Internal Medicine</w:t>
      </w:r>
      <w:r w:rsidRPr="002D13E5">
        <w:rPr>
          <w:rFonts w:ascii="Arial" w:hAnsi="Arial" w:cs="Arial"/>
          <w:sz w:val="22"/>
          <w:szCs w:val="22"/>
        </w:rPr>
        <w:t>, 283(6), pp. 516–529. doi: 10.1111/joim.12752</w:t>
      </w:r>
    </w:p>
    <w:p w14:paraId="0FE08F97" w14:textId="3EE51EC0" w:rsidR="00FC0B5E" w:rsidRPr="002D13E5"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World Health Organization (2019) </w:t>
      </w:r>
      <w:r w:rsidRPr="002D13E5">
        <w:rPr>
          <w:rStyle w:val="Emphasis"/>
          <w:rFonts w:ascii="Arial" w:hAnsi="Arial" w:cs="Arial"/>
          <w:sz w:val="22"/>
          <w:szCs w:val="22"/>
        </w:rPr>
        <w:t>Burn</w:t>
      </w:r>
      <w:r w:rsidRPr="002D13E5">
        <w:rPr>
          <w:rStyle w:val="Emphasis"/>
          <w:rFonts w:ascii="Arial" w:hAnsi="Arial" w:cs="Arial"/>
          <w:sz w:val="22"/>
          <w:szCs w:val="22"/>
        </w:rPr>
        <w:noBreakHyphen/>
        <w:t>out an “occupational phenomenon”: International Classification of Diseases (ICD</w:t>
      </w:r>
      <w:r w:rsidRPr="002D13E5">
        <w:rPr>
          <w:rStyle w:val="Emphasis"/>
          <w:rFonts w:ascii="Arial" w:hAnsi="Arial" w:cs="Arial"/>
          <w:sz w:val="22"/>
          <w:szCs w:val="22"/>
        </w:rPr>
        <w:noBreakHyphen/>
        <w:t>11)</w:t>
      </w:r>
      <w:r w:rsidRPr="002D13E5">
        <w:rPr>
          <w:rFonts w:ascii="Arial" w:hAnsi="Arial" w:cs="Arial"/>
          <w:sz w:val="22"/>
          <w:szCs w:val="22"/>
        </w:rPr>
        <w:t xml:space="preserve">. Available at: </w:t>
      </w:r>
      <w:hyperlink r:id="rId31" w:tgtFrame="_new" w:history="1">
        <w:r w:rsidRPr="002D13E5">
          <w:rPr>
            <w:rStyle w:val="Hyperlink"/>
            <w:rFonts w:ascii="Arial" w:hAnsi="Arial" w:cs="Arial"/>
            <w:sz w:val="22"/>
            <w:szCs w:val="22"/>
          </w:rPr>
          <w:t>https://www.who.int/news/item/28-05-2019-burn-out-an-occupational-phenomenon-international-classification-of-diseases</w:t>
        </w:r>
      </w:hyperlink>
      <w:r w:rsidRPr="002D13E5">
        <w:rPr>
          <w:rFonts w:ascii="Arial" w:hAnsi="Arial" w:cs="Arial"/>
          <w:sz w:val="22"/>
          <w:szCs w:val="22"/>
        </w:rPr>
        <w:t xml:space="preserve"> (Accessed: </w:t>
      </w:r>
      <w:r w:rsidR="008E2BA0">
        <w:rPr>
          <w:rFonts w:ascii="Arial" w:hAnsi="Arial" w:cs="Arial"/>
          <w:sz w:val="22"/>
          <w:szCs w:val="22"/>
        </w:rPr>
        <w:t>24 November</w:t>
      </w:r>
      <w:r w:rsidRPr="002D13E5">
        <w:rPr>
          <w:rFonts w:ascii="Arial" w:hAnsi="Arial" w:cs="Arial"/>
          <w:sz w:val="22"/>
          <w:szCs w:val="22"/>
        </w:rPr>
        <w:t xml:space="preserve"> 2025).</w:t>
      </w:r>
    </w:p>
    <w:p w14:paraId="34F150C6" w14:textId="28486A6C" w:rsidR="00FC0B5E" w:rsidRPr="002D13E5" w:rsidRDefault="00FC0B5E" w:rsidP="002D13E5">
      <w:pPr>
        <w:pStyle w:val="NormalWeb"/>
        <w:numPr>
          <w:ilvl w:val="0"/>
          <w:numId w:val="2"/>
        </w:numPr>
        <w:spacing w:line="360" w:lineRule="auto"/>
        <w:rPr>
          <w:rFonts w:ascii="Arial" w:hAnsi="Arial" w:cs="Arial"/>
          <w:sz w:val="22"/>
          <w:szCs w:val="22"/>
        </w:rPr>
      </w:pPr>
      <w:r w:rsidRPr="002D13E5">
        <w:rPr>
          <w:rFonts w:ascii="Arial" w:hAnsi="Arial" w:cs="Arial"/>
          <w:sz w:val="22"/>
          <w:szCs w:val="22"/>
        </w:rPr>
        <w:t xml:space="preserve">World Health Organization (2022) </w:t>
      </w:r>
      <w:r w:rsidRPr="002D13E5">
        <w:rPr>
          <w:rStyle w:val="Emphasis"/>
          <w:rFonts w:ascii="Arial" w:hAnsi="Arial" w:cs="Arial"/>
          <w:sz w:val="22"/>
          <w:szCs w:val="22"/>
        </w:rPr>
        <w:t>Mental health at work: policy brief</w:t>
      </w:r>
      <w:r w:rsidRPr="002D13E5">
        <w:rPr>
          <w:rFonts w:ascii="Arial" w:hAnsi="Arial" w:cs="Arial"/>
          <w:sz w:val="22"/>
          <w:szCs w:val="22"/>
        </w:rPr>
        <w:t xml:space="preserve">. Available at: </w:t>
      </w:r>
      <w:hyperlink r:id="rId32" w:history="1">
        <w:r w:rsidR="00BF06C1" w:rsidRPr="00472985">
          <w:rPr>
            <w:rStyle w:val="Hyperlink"/>
            <w:rFonts w:ascii="Arial" w:hAnsi="Arial" w:cs="Arial"/>
            <w:sz w:val="22"/>
            <w:szCs w:val="22"/>
          </w:rPr>
          <w:t>https://www.who.int/publications/i/item/9789240048759</w:t>
        </w:r>
      </w:hyperlink>
      <w:r w:rsidR="00BF06C1">
        <w:rPr>
          <w:rFonts w:ascii="Arial" w:hAnsi="Arial" w:cs="Arial"/>
          <w:sz w:val="22"/>
          <w:szCs w:val="22"/>
        </w:rPr>
        <w:t xml:space="preserve"> </w:t>
      </w:r>
      <w:r w:rsidRPr="002D13E5">
        <w:rPr>
          <w:rFonts w:ascii="Arial" w:hAnsi="Arial" w:cs="Arial"/>
          <w:sz w:val="22"/>
          <w:szCs w:val="22"/>
        </w:rPr>
        <w:t xml:space="preserve">(Accessed: </w:t>
      </w:r>
      <w:r w:rsidR="00BF06C1">
        <w:rPr>
          <w:rFonts w:ascii="Arial" w:hAnsi="Arial" w:cs="Arial"/>
          <w:sz w:val="22"/>
          <w:szCs w:val="22"/>
        </w:rPr>
        <w:t xml:space="preserve">27 November </w:t>
      </w:r>
      <w:r w:rsidRPr="002D13E5">
        <w:rPr>
          <w:rFonts w:ascii="Arial" w:hAnsi="Arial" w:cs="Arial"/>
          <w:sz w:val="22"/>
          <w:szCs w:val="22"/>
        </w:rPr>
        <w:t>2025).</w:t>
      </w:r>
    </w:p>
    <w:p w14:paraId="28B48942" w14:textId="3D1C803F" w:rsidR="00FC0B5E" w:rsidRPr="002D13E5" w:rsidRDefault="00FC0B5E" w:rsidP="002D13E5">
      <w:pPr>
        <w:pStyle w:val="NormalWeb"/>
        <w:numPr>
          <w:ilvl w:val="0"/>
          <w:numId w:val="2"/>
        </w:numPr>
        <w:spacing w:line="360" w:lineRule="auto"/>
        <w:rPr>
          <w:rFonts w:ascii="Arial" w:hAnsi="Arial" w:cs="Arial"/>
          <w:sz w:val="22"/>
          <w:szCs w:val="22"/>
        </w:rPr>
      </w:pPr>
      <w:proofErr w:type="spellStart"/>
      <w:r w:rsidRPr="002D13E5">
        <w:rPr>
          <w:rFonts w:ascii="Arial" w:hAnsi="Arial" w:cs="Arial"/>
          <w:sz w:val="22"/>
          <w:szCs w:val="22"/>
        </w:rPr>
        <w:lastRenderedPageBreak/>
        <w:t>Mealer</w:t>
      </w:r>
      <w:proofErr w:type="spellEnd"/>
      <w:r w:rsidRPr="002D13E5">
        <w:rPr>
          <w:rFonts w:ascii="Arial" w:hAnsi="Arial" w:cs="Arial"/>
          <w:sz w:val="22"/>
          <w:szCs w:val="22"/>
        </w:rPr>
        <w:t xml:space="preserve">, M., Shelton, A., Berg, B., </w:t>
      </w:r>
      <w:proofErr w:type="spellStart"/>
      <w:r w:rsidRPr="002D13E5">
        <w:rPr>
          <w:rFonts w:ascii="Arial" w:hAnsi="Arial" w:cs="Arial"/>
          <w:sz w:val="22"/>
          <w:szCs w:val="22"/>
        </w:rPr>
        <w:t>Rothbaum</w:t>
      </w:r>
      <w:proofErr w:type="spellEnd"/>
      <w:r w:rsidRPr="002D13E5">
        <w:rPr>
          <w:rFonts w:ascii="Arial" w:hAnsi="Arial" w:cs="Arial"/>
          <w:sz w:val="22"/>
          <w:szCs w:val="22"/>
        </w:rPr>
        <w:t xml:space="preserve">, B. &amp; Moss, M. (2007) ‘Increased prevalence of post-traumatic stress disorder symptoms in critical care nurses’, </w:t>
      </w:r>
      <w:r w:rsidRPr="002D13E5">
        <w:rPr>
          <w:rStyle w:val="Emphasis"/>
          <w:rFonts w:ascii="Arial" w:hAnsi="Arial" w:cs="Arial"/>
          <w:sz w:val="22"/>
          <w:szCs w:val="22"/>
        </w:rPr>
        <w:t>American Journal of Respiratory and Critical Care Medicine</w:t>
      </w:r>
      <w:r w:rsidRPr="002D13E5">
        <w:rPr>
          <w:rFonts w:ascii="Arial" w:hAnsi="Arial" w:cs="Arial"/>
          <w:sz w:val="22"/>
          <w:szCs w:val="22"/>
        </w:rPr>
        <w:t xml:space="preserve">, 175(7), pp. 693–697. </w:t>
      </w:r>
    </w:p>
    <w:p w14:paraId="5D26A10B" w14:textId="77777777" w:rsidR="006C2FBA" w:rsidRPr="002D13E5" w:rsidRDefault="006C2FBA" w:rsidP="002D13E5">
      <w:pPr>
        <w:spacing w:line="360" w:lineRule="auto"/>
        <w:rPr>
          <w:rFonts w:ascii="Arial" w:hAnsi="Arial" w:cs="Arial"/>
          <w:sz w:val="22"/>
          <w:szCs w:val="22"/>
        </w:rPr>
      </w:pPr>
    </w:p>
    <w:sectPr w:rsidR="006C2FBA" w:rsidRPr="002D13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D6BDA"/>
    <w:multiLevelType w:val="hybridMultilevel"/>
    <w:tmpl w:val="3FC4B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6D24AF"/>
    <w:multiLevelType w:val="hybridMultilevel"/>
    <w:tmpl w:val="C92E9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6340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2D7AC6"/>
    <w:multiLevelType w:val="multilevel"/>
    <w:tmpl w:val="FFFFFFFF"/>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47750570">
    <w:abstractNumId w:val="3"/>
  </w:num>
  <w:num w:numId="2" w16cid:durableId="1114441728">
    <w:abstractNumId w:val="2"/>
  </w:num>
  <w:num w:numId="3" w16cid:durableId="435634400">
    <w:abstractNumId w:val="1"/>
  </w:num>
  <w:num w:numId="4" w16cid:durableId="36971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2FD"/>
    <w:rsid w:val="00000A62"/>
    <w:rsid w:val="0001275E"/>
    <w:rsid w:val="00016FA0"/>
    <w:rsid w:val="00041E4B"/>
    <w:rsid w:val="000D0465"/>
    <w:rsid w:val="000F2CD1"/>
    <w:rsid w:val="001311E9"/>
    <w:rsid w:val="0013384C"/>
    <w:rsid w:val="00146DC7"/>
    <w:rsid w:val="001853DB"/>
    <w:rsid w:val="001F7435"/>
    <w:rsid w:val="002037D0"/>
    <w:rsid w:val="00254183"/>
    <w:rsid w:val="002905A7"/>
    <w:rsid w:val="002A1487"/>
    <w:rsid w:val="002D13E5"/>
    <w:rsid w:val="002D3C60"/>
    <w:rsid w:val="002F4B10"/>
    <w:rsid w:val="003663BA"/>
    <w:rsid w:val="00366BF4"/>
    <w:rsid w:val="00371B28"/>
    <w:rsid w:val="003A2F91"/>
    <w:rsid w:val="003B395A"/>
    <w:rsid w:val="003E657A"/>
    <w:rsid w:val="003F0F31"/>
    <w:rsid w:val="00422282"/>
    <w:rsid w:val="00485E19"/>
    <w:rsid w:val="0049650A"/>
    <w:rsid w:val="005022EE"/>
    <w:rsid w:val="00502C07"/>
    <w:rsid w:val="005821F9"/>
    <w:rsid w:val="005D4BED"/>
    <w:rsid w:val="005E571E"/>
    <w:rsid w:val="00614131"/>
    <w:rsid w:val="00631C00"/>
    <w:rsid w:val="00642EB3"/>
    <w:rsid w:val="00681BA3"/>
    <w:rsid w:val="00691D56"/>
    <w:rsid w:val="00697C8C"/>
    <w:rsid w:val="006A26AC"/>
    <w:rsid w:val="006C2FBA"/>
    <w:rsid w:val="00715F24"/>
    <w:rsid w:val="007529A2"/>
    <w:rsid w:val="00757365"/>
    <w:rsid w:val="00766FB6"/>
    <w:rsid w:val="00786AB0"/>
    <w:rsid w:val="0079281D"/>
    <w:rsid w:val="00795339"/>
    <w:rsid w:val="00796D06"/>
    <w:rsid w:val="007B75F9"/>
    <w:rsid w:val="00806CEF"/>
    <w:rsid w:val="00833CAE"/>
    <w:rsid w:val="00884C2A"/>
    <w:rsid w:val="00892EC1"/>
    <w:rsid w:val="008D115A"/>
    <w:rsid w:val="008D58D0"/>
    <w:rsid w:val="008D6490"/>
    <w:rsid w:val="008E2BA0"/>
    <w:rsid w:val="00902D08"/>
    <w:rsid w:val="009E71B1"/>
    <w:rsid w:val="00A0456F"/>
    <w:rsid w:val="00A574DA"/>
    <w:rsid w:val="00AE6DE5"/>
    <w:rsid w:val="00AE7D01"/>
    <w:rsid w:val="00AF42F9"/>
    <w:rsid w:val="00B31E3E"/>
    <w:rsid w:val="00B32FFA"/>
    <w:rsid w:val="00B5113F"/>
    <w:rsid w:val="00BC612D"/>
    <w:rsid w:val="00BE02E0"/>
    <w:rsid w:val="00BE4319"/>
    <w:rsid w:val="00BF06C1"/>
    <w:rsid w:val="00C13E2B"/>
    <w:rsid w:val="00C32461"/>
    <w:rsid w:val="00C326E7"/>
    <w:rsid w:val="00C51AD1"/>
    <w:rsid w:val="00C83F1D"/>
    <w:rsid w:val="00CF7477"/>
    <w:rsid w:val="00D40415"/>
    <w:rsid w:val="00D821C0"/>
    <w:rsid w:val="00DB2E19"/>
    <w:rsid w:val="00E07026"/>
    <w:rsid w:val="00E7161B"/>
    <w:rsid w:val="00EA5AA6"/>
    <w:rsid w:val="00EB6B2E"/>
    <w:rsid w:val="00ED1476"/>
    <w:rsid w:val="00EF004A"/>
    <w:rsid w:val="00F012FD"/>
    <w:rsid w:val="00F21898"/>
    <w:rsid w:val="00F53B51"/>
    <w:rsid w:val="00F96018"/>
    <w:rsid w:val="00FC0B5E"/>
    <w:rsid w:val="00FE6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863DA2"/>
  <w15:chartTrackingRefBased/>
  <w15:docId w15:val="{163D478C-48BB-F443-BC5B-E567865F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1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1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1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1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1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1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1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1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1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1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1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2FD"/>
    <w:rPr>
      <w:rFonts w:eastAsiaTheme="majorEastAsia" w:cstheme="majorBidi"/>
      <w:color w:val="272727" w:themeColor="text1" w:themeTint="D8"/>
    </w:rPr>
  </w:style>
  <w:style w:type="paragraph" w:styleId="Title">
    <w:name w:val="Title"/>
    <w:basedOn w:val="Normal"/>
    <w:next w:val="Normal"/>
    <w:link w:val="TitleChar"/>
    <w:uiPriority w:val="10"/>
    <w:qFormat/>
    <w:rsid w:val="00F01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1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2FD"/>
    <w:pPr>
      <w:spacing w:before="160"/>
      <w:jc w:val="center"/>
    </w:pPr>
    <w:rPr>
      <w:i/>
      <w:iCs/>
      <w:color w:val="404040" w:themeColor="text1" w:themeTint="BF"/>
    </w:rPr>
  </w:style>
  <w:style w:type="character" w:customStyle="1" w:styleId="QuoteChar">
    <w:name w:val="Quote Char"/>
    <w:basedOn w:val="DefaultParagraphFont"/>
    <w:link w:val="Quote"/>
    <w:uiPriority w:val="29"/>
    <w:rsid w:val="00F012FD"/>
    <w:rPr>
      <w:i/>
      <w:iCs/>
      <w:color w:val="404040" w:themeColor="text1" w:themeTint="BF"/>
    </w:rPr>
  </w:style>
  <w:style w:type="paragraph" w:styleId="ListParagraph">
    <w:name w:val="List Paragraph"/>
    <w:basedOn w:val="Normal"/>
    <w:uiPriority w:val="34"/>
    <w:qFormat/>
    <w:rsid w:val="00F012FD"/>
    <w:pPr>
      <w:ind w:left="720"/>
      <w:contextualSpacing/>
    </w:pPr>
  </w:style>
  <w:style w:type="character" w:styleId="IntenseEmphasis">
    <w:name w:val="Intense Emphasis"/>
    <w:basedOn w:val="DefaultParagraphFont"/>
    <w:uiPriority w:val="21"/>
    <w:qFormat/>
    <w:rsid w:val="00F012FD"/>
    <w:rPr>
      <w:i/>
      <w:iCs/>
      <w:color w:val="0F4761" w:themeColor="accent1" w:themeShade="BF"/>
    </w:rPr>
  </w:style>
  <w:style w:type="paragraph" w:styleId="IntenseQuote">
    <w:name w:val="Intense Quote"/>
    <w:basedOn w:val="Normal"/>
    <w:next w:val="Normal"/>
    <w:link w:val="IntenseQuoteChar"/>
    <w:uiPriority w:val="30"/>
    <w:qFormat/>
    <w:rsid w:val="00F01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12FD"/>
    <w:rPr>
      <w:i/>
      <w:iCs/>
      <w:color w:val="0F4761" w:themeColor="accent1" w:themeShade="BF"/>
    </w:rPr>
  </w:style>
  <w:style w:type="character" w:styleId="IntenseReference">
    <w:name w:val="Intense Reference"/>
    <w:basedOn w:val="DefaultParagraphFont"/>
    <w:uiPriority w:val="32"/>
    <w:qFormat/>
    <w:rsid w:val="00F012FD"/>
    <w:rPr>
      <w:b/>
      <w:bCs/>
      <w:smallCaps/>
      <w:color w:val="0F4761" w:themeColor="accent1" w:themeShade="BF"/>
      <w:spacing w:val="5"/>
    </w:rPr>
  </w:style>
  <w:style w:type="character" w:styleId="Strong">
    <w:name w:val="Strong"/>
    <w:basedOn w:val="DefaultParagraphFont"/>
    <w:uiPriority w:val="22"/>
    <w:qFormat/>
    <w:rsid w:val="0001275E"/>
    <w:rPr>
      <w:b/>
      <w:bCs/>
    </w:rPr>
  </w:style>
  <w:style w:type="paragraph" w:styleId="NormalWeb">
    <w:name w:val="Normal (Web)"/>
    <w:basedOn w:val="Normal"/>
    <w:uiPriority w:val="99"/>
    <w:semiHidden/>
    <w:unhideWhenUsed/>
    <w:rsid w:val="0001275E"/>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01275E"/>
    <w:rPr>
      <w:i/>
      <w:iCs/>
    </w:rPr>
  </w:style>
  <w:style w:type="paragraph" w:styleId="z-TopofForm">
    <w:name w:val="HTML Top of Form"/>
    <w:basedOn w:val="Normal"/>
    <w:next w:val="Normal"/>
    <w:link w:val="z-TopofFormChar"/>
    <w:hidden/>
    <w:uiPriority w:val="99"/>
    <w:semiHidden/>
    <w:unhideWhenUsed/>
    <w:rsid w:val="0001275E"/>
    <w:pPr>
      <w:pBdr>
        <w:bottom w:val="single" w:sz="6" w:space="1" w:color="auto"/>
      </w:pBdr>
      <w:spacing w:after="0" w:line="240" w:lineRule="auto"/>
      <w:jc w:val="center"/>
    </w:pPr>
    <w:rPr>
      <w:rFonts w:ascii="Arial"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01275E"/>
    <w:rPr>
      <w:rFonts w:ascii="Arial" w:hAnsi="Arial" w:cs="Arial"/>
      <w:vanish/>
      <w:kern w:val="0"/>
      <w:sz w:val="16"/>
      <w:szCs w:val="16"/>
      <w14:ligatures w14:val="none"/>
    </w:rPr>
  </w:style>
  <w:style w:type="paragraph" w:customStyle="1" w:styleId="placeholder">
    <w:name w:val="placeholder"/>
    <w:basedOn w:val="Normal"/>
    <w:rsid w:val="0001275E"/>
    <w:pPr>
      <w:spacing w:before="100" w:beforeAutospacing="1" w:after="100" w:afterAutospacing="1" w:line="240" w:lineRule="auto"/>
    </w:pPr>
    <w:rPr>
      <w:rFonts w:ascii="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01275E"/>
    <w:pPr>
      <w:pBdr>
        <w:top w:val="single" w:sz="6" w:space="1" w:color="auto"/>
      </w:pBdr>
      <w:spacing w:after="0" w:line="240" w:lineRule="auto"/>
      <w:jc w:val="center"/>
    </w:pPr>
    <w:rPr>
      <w:rFonts w:ascii="Arial"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01275E"/>
    <w:rPr>
      <w:rFonts w:ascii="Arial" w:hAnsi="Arial" w:cs="Arial"/>
      <w:vanish/>
      <w:kern w:val="0"/>
      <w:sz w:val="16"/>
      <w:szCs w:val="16"/>
      <w14:ligatures w14:val="none"/>
    </w:rPr>
  </w:style>
  <w:style w:type="character" w:styleId="Hyperlink">
    <w:name w:val="Hyperlink"/>
    <w:basedOn w:val="DefaultParagraphFont"/>
    <w:uiPriority w:val="99"/>
    <w:unhideWhenUsed/>
    <w:rsid w:val="006C2FBA"/>
    <w:rPr>
      <w:color w:val="467886" w:themeColor="hyperlink"/>
      <w:u w:val="single"/>
    </w:rPr>
  </w:style>
  <w:style w:type="character" w:styleId="UnresolvedMention">
    <w:name w:val="Unresolved Mention"/>
    <w:basedOn w:val="DefaultParagraphFont"/>
    <w:uiPriority w:val="99"/>
    <w:semiHidden/>
    <w:unhideWhenUsed/>
    <w:rsid w:val="006C2F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hrm.20004" TargetMode="External" /><Relationship Id="rId13" Type="http://schemas.openxmlformats.org/officeDocument/2006/relationships/hyperlink" Target="https://doi.org/10.1037/a0019408" TargetMode="External" /><Relationship Id="rId18" Type="http://schemas.openxmlformats.org/officeDocument/2006/relationships/hyperlink" Target="https://doi.org/10.1037/a0025102" TargetMode="External" /><Relationship Id="rId26" Type="http://schemas.openxmlformats.org/officeDocument/2006/relationships/hyperlink" Target="https://doi.org/10.1001/jama.2018.12777" TargetMode="External" /><Relationship Id="rId3" Type="http://schemas.openxmlformats.org/officeDocument/2006/relationships/settings" Target="settings.xml" /><Relationship Id="rId21" Type="http://schemas.openxmlformats.org/officeDocument/2006/relationships/hyperlink" Target="https://psycnet.apa.org/doi/10.1037/0021-9010.93.3.498" TargetMode="External" /><Relationship Id="rId34" Type="http://schemas.openxmlformats.org/officeDocument/2006/relationships/theme" Target="theme/theme1.xml" /><Relationship Id="rId7" Type="http://schemas.openxmlformats.org/officeDocument/2006/relationships/hyperlink" Target="https://doi.org/10.1037/1076-8998.10.2.170" TargetMode="External" /><Relationship Id="rId12" Type="http://schemas.openxmlformats.org/officeDocument/2006/relationships/hyperlink" Target="https://doi.org/10.1108/02610150" TargetMode="External" /><Relationship Id="rId17" Type="http://schemas.openxmlformats.org/officeDocument/2006/relationships/hyperlink" Target="https://workright.campaign.gov.uk/working-minds/work-related-stress-and-the-law/?utm_source=chatgpt.com" TargetMode="External" /><Relationship Id="rId25" Type="http://schemas.openxmlformats.org/officeDocument/2006/relationships/hyperlink" Target="https://doi.org/10.1016/j.shaw.2014.05.004" TargetMode="External"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arxiv.org/abs/2312.14853?utm_source=chatgpt.com" TargetMode="External" /><Relationship Id="rId20" Type="http://schemas.openxmlformats.org/officeDocument/2006/relationships/hyperlink" Target="https://doi.org/10.1037/a0031313" TargetMode="External" /><Relationship Id="rId29" Type="http://schemas.openxmlformats.org/officeDocument/2006/relationships/hyperlink" Target="https://psycnet.apa.org/doi/10.1037/1072-5245.12.2.164" TargetMode="External" /><Relationship Id="rId1" Type="http://schemas.openxmlformats.org/officeDocument/2006/relationships/numbering" Target="numbering.xml" /><Relationship Id="rId6" Type="http://schemas.openxmlformats.org/officeDocument/2006/relationships/hyperlink" Target="https://psycnet.apa.org/doi/10.1037/0021-9010.86.3.499" TargetMode="External" /><Relationship Id="rId11" Type="http://schemas.openxmlformats.org/officeDocument/2006/relationships/hyperlink" Target="https://doi.org/10.1136/bmjopen-2015-008331" TargetMode="External" /><Relationship Id="rId24" Type="http://schemas.openxmlformats.org/officeDocument/2006/relationships/hyperlink" Target="https://doi.org/10.1016/j.bbi.2020.05.026" TargetMode="External" /><Relationship Id="rId32" Type="http://schemas.openxmlformats.org/officeDocument/2006/relationships/hyperlink" Target="https://www.who.int/publications/i/item/9789240048759" TargetMode="External" /><Relationship Id="rId5" Type="http://schemas.openxmlformats.org/officeDocument/2006/relationships/image" Target="media/image1.jpeg" /><Relationship Id="rId15" Type="http://schemas.openxmlformats.org/officeDocument/2006/relationships/hyperlink" Target="https://doi.org/10.1016/j.mayocp.2017.06.020" TargetMode="External" /><Relationship Id="rId23" Type="http://schemas.openxmlformats.org/officeDocument/2006/relationships/hyperlink" Target="https://www.gov.uk/government/publications/nhs-health-well-being-improvement-framework?utm_source=chatgpt.com" TargetMode="External" /><Relationship Id="rId28" Type="http://schemas.openxmlformats.org/officeDocument/2006/relationships/hyperlink" Target="https://doi.org/10.1001/jama.2020.5893" TargetMode="External" /><Relationship Id="rId10" Type="http://schemas.openxmlformats.org/officeDocument/2006/relationships/hyperlink" Target="https://doi.org/10.1016/j.ijnurstu.2014.07.001" TargetMode="External" /><Relationship Id="rId19" Type="http://schemas.openxmlformats.org/officeDocument/2006/relationships/hyperlink" Target="https://doi.org/10.1016/j.bja.2022.03.016" TargetMode="External" /><Relationship Id="rId31" Type="http://schemas.openxmlformats.org/officeDocument/2006/relationships/hyperlink" Target="https://www.who.int/news/item/28-05-2019-burn-out-an-occupational-phenomenon-international-classification-of-diseases?utm_source=chatgpt.com" TargetMode="External" /><Relationship Id="rId4" Type="http://schemas.openxmlformats.org/officeDocument/2006/relationships/webSettings" Target="webSettings.xml" /><Relationship Id="rId9" Type="http://schemas.openxmlformats.org/officeDocument/2006/relationships/hyperlink" Target="https://doi.org/10.1007/s11920-020-01166-z" TargetMode="External" /><Relationship Id="rId14" Type="http://schemas.openxmlformats.org/officeDocument/2006/relationships/hyperlink" Target="https://doi.org/10.31478/201707b" TargetMode="External" /><Relationship Id="rId22" Type="http://schemas.openxmlformats.org/officeDocument/2006/relationships/hyperlink" Target="https://doi.org/10.3390/ijerph17113983" TargetMode="External" /><Relationship Id="rId27" Type="http://schemas.openxmlformats.org/officeDocument/2006/relationships/hyperlink" Target="https://doi.org/10.1001/archinternmed.2012.3199" TargetMode="External" /><Relationship Id="rId30" Type="http://schemas.openxmlformats.org/officeDocument/2006/relationships/hyperlink" Target="https://www.kingsfund.org.uk/insight-and-analysis/press-releases/nhs-staff-survey-burnt-out?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4650</Words>
  <Characters>26511</Characters>
  <Application>Microsoft Office Word</Application>
  <DocSecurity>0</DocSecurity>
  <Lines>220</Lines>
  <Paragraphs>62</Paragraphs>
  <ScaleCrop>false</ScaleCrop>
  <Company/>
  <LinksUpToDate>false</LinksUpToDate>
  <CharactersWithSpaces>31099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Nazmin Malik (2242813)</dc:creator>
  <cp:keywords/>
  <dc:description/>
  <cp:lastModifiedBy>Nazmin Malik (2242813)</cp:lastModifiedBy>
  <cp:revision>4</cp:revision>
  <dcterms:created xsi:type="dcterms:W3CDTF">2025-12-05T18:59:00Z</dcterms:created>
  <dcterms:modified xsi:type="dcterms:W3CDTF">2025-12-05T19:03:00Z</dcterms:modified>
</cp:coreProperties>
</file>