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992087867"/>
        <w:docPartObj>
          <w:docPartGallery w:val="Cover Pages"/>
          <w:docPartUnique/>
        </w:docPartObj>
      </w:sdtPr>
      <w:sdtEndPr>
        <w:rPr>
          <w:rFonts w:eastAsiaTheme="minorHAnsi"/>
          <w:color w:val="auto"/>
          <w:kern w:val="2"/>
          <w:sz w:val="24"/>
          <w:szCs w:val="24"/>
          <w:lang w:val="en-GB"/>
          <w14:ligatures w14:val="standardContextual"/>
        </w:rPr>
      </w:sdtEndPr>
      <w:sdtContent>
        <w:p w14:paraId="3A586AA2" w14:textId="39F344C4" w:rsidR="00DB4323" w:rsidRDefault="00DB4323">
          <w:pPr>
            <w:pStyle w:val="NoSpacing"/>
            <w:spacing w:before="1540" w:after="240"/>
            <w:jc w:val="center"/>
            <w:rPr>
              <w:color w:val="156082" w:themeColor="accent1"/>
            </w:rPr>
          </w:pPr>
          <w:r>
            <w:rPr>
              <w:noProof/>
              <w:color w:val="156082" w:themeColor="accent1"/>
            </w:rPr>
            <w:drawing>
              <wp:inline distT="0" distB="0" distL="0" distR="0" wp14:anchorId="5EA41DA1" wp14:editId="5911811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9F2414BDF6B468388C2C0D25D378644"/>
            </w:placeholder>
            <w:dataBinding w:prefixMappings="xmlns:ns0='http://purl.org/dc/elements/1.1/' xmlns:ns1='http://schemas.openxmlformats.org/package/2006/metadata/core-properties' " w:xpath="/ns1:coreProperties[1]/ns0:title[1]" w:storeItemID="{6C3C8BC8-F283-45AE-878A-BAB7291924A1}"/>
            <w:text/>
          </w:sdtPr>
          <w:sdtContent>
            <w:p w14:paraId="6CFFA755" w14:textId="4B44CB69" w:rsidR="00DB4323" w:rsidRDefault="00DB432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B4323">
                <w:rPr>
                  <w:rFonts w:asciiTheme="majorHAnsi" w:eastAsiaTheme="majorEastAsia" w:hAnsiTheme="majorHAnsi" w:cstheme="majorBidi"/>
                  <w:caps/>
                  <w:color w:val="156082" w:themeColor="accent1"/>
                  <w:sz w:val="72"/>
                  <w:szCs w:val="72"/>
                </w:rPr>
                <w:t>Research and case scenario in Data Security and Compliance</w:t>
              </w:r>
            </w:p>
          </w:sdtContent>
        </w:sdt>
        <w:sdt>
          <w:sdtPr>
            <w:rPr>
              <w:color w:val="156082" w:themeColor="accent1"/>
              <w:sz w:val="28"/>
              <w:szCs w:val="28"/>
            </w:rPr>
            <w:alias w:val="Subtitle"/>
            <w:tag w:val=""/>
            <w:id w:val="328029620"/>
            <w:placeholder>
              <w:docPart w:val="27686AF9DB8F488CB43F72D8B1885966"/>
            </w:placeholder>
            <w:dataBinding w:prefixMappings="xmlns:ns0='http://purl.org/dc/elements/1.1/' xmlns:ns1='http://schemas.openxmlformats.org/package/2006/metadata/core-properties' " w:xpath="/ns1:coreProperties[1]/ns0:subject[1]" w:storeItemID="{6C3C8BC8-F283-45AE-878A-BAB7291924A1}"/>
            <w:text/>
          </w:sdtPr>
          <w:sdtContent>
            <w:p w14:paraId="26C369F5" w14:textId="06C2E2AA" w:rsidR="00DB4323" w:rsidRDefault="00DB4323">
              <w:pPr>
                <w:pStyle w:val="NoSpacing"/>
                <w:jc w:val="center"/>
                <w:rPr>
                  <w:color w:val="156082" w:themeColor="accent1"/>
                  <w:sz w:val="28"/>
                  <w:szCs w:val="28"/>
                </w:rPr>
              </w:pPr>
              <w:r w:rsidRPr="00DB4323">
                <w:rPr>
                  <w:color w:val="156082" w:themeColor="accent1"/>
                  <w:sz w:val="28"/>
                  <w:szCs w:val="28"/>
                </w:rPr>
                <w:t>ACCA5034</w:t>
              </w:r>
            </w:p>
          </w:sdtContent>
        </w:sdt>
        <w:p w14:paraId="31C49C12" w14:textId="77777777" w:rsidR="00DB4323" w:rsidRDefault="00DB432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F91C312" wp14:editId="65F5451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6BA955D" w14:textId="1098920E" w:rsidR="00DB4323" w:rsidRDefault="00DB4323">
                                    <w:pPr>
                                      <w:pStyle w:val="NoSpacing"/>
                                      <w:spacing w:after="40"/>
                                      <w:jc w:val="center"/>
                                      <w:rPr>
                                        <w:caps/>
                                        <w:color w:val="156082" w:themeColor="accent1"/>
                                        <w:sz w:val="28"/>
                                        <w:szCs w:val="28"/>
                                      </w:rPr>
                                    </w:pPr>
                                    <w:r w:rsidRPr="00DB4323">
                                      <w:rPr>
                                        <w:caps/>
                                        <w:color w:val="156082" w:themeColor="accent1"/>
                                        <w:sz w:val="28"/>
                                        <w:szCs w:val="28"/>
                                      </w:rPr>
                                      <w:t>Data Security and Compliance</w:t>
                                    </w:r>
                                  </w:p>
                                </w:sdtContent>
                              </w:sdt>
                              <w:p w14:paraId="6F00F590" w14:textId="48B886EB" w:rsidR="00DB4323" w:rsidRDefault="00DB4323">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lEo richards</w:t>
                                    </w:r>
                                  </w:sdtContent>
                                </w:sdt>
                              </w:p>
                              <w:p w14:paraId="12D991EC" w14:textId="4C94F1A3" w:rsidR="00DB4323" w:rsidRDefault="00DB4323">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2418519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F91C312"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6BA955D" w14:textId="1098920E" w:rsidR="00DB4323" w:rsidRDefault="00DB4323">
                              <w:pPr>
                                <w:pStyle w:val="NoSpacing"/>
                                <w:spacing w:after="40"/>
                                <w:jc w:val="center"/>
                                <w:rPr>
                                  <w:caps/>
                                  <w:color w:val="156082" w:themeColor="accent1"/>
                                  <w:sz w:val="28"/>
                                  <w:szCs w:val="28"/>
                                </w:rPr>
                              </w:pPr>
                              <w:r w:rsidRPr="00DB4323">
                                <w:rPr>
                                  <w:caps/>
                                  <w:color w:val="156082" w:themeColor="accent1"/>
                                  <w:sz w:val="28"/>
                                  <w:szCs w:val="28"/>
                                </w:rPr>
                                <w:t>Data Security and Compliance</w:t>
                              </w:r>
                            </w:p>
                          </w:sdtContent>
                        </w:sdt>
                        <w:p w14:paraId="6F00F590" w14:textId="48B886EB" w:rsidR="00DB4323" w:rsidRDefault="00DB4323">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lEo richards</w:t>
                              </w:r>
                            </w:sdtContent>
                          </w:sdt>
                        </w:p>
                        <w:p w14:paraId="12D991EC" w14:textId="4C94F1A3" w:rsidR="00DB4323" w:rsidRDefault="00DB4323">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2418519</w:t>
                              </w:r>
                            </w:sdtContent>
                          </w:sdt>
                        </w:p>
                      </w:txbxContent>
                    </v:textbox>
                    <w10:wrap anchorx="margin" anchory="page"/>
                  </v:shape>
                </w:pict>
              </mc:Fallback>
            </mc:AlternateContent>
          </w:r>
          <w:r>
            <w:rPr>
              <w:noProof/>
              <w:color w:val="156082" w:themeColor="accent1"/>
            </w:rPr>
            <w:drawing>
              <wp:inline distT="0" distB="0" distL="0" distR="0" wp14:anchorId="0D690629" wp14:editId="111E153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89E6180" w14:textId="3F5E9EE9" w:rsidR="00DB4323" w:rsidRDefault="00DB4323">
          <w:r>
            <w:br w:type="page"/>
          </w:r>
        </w:p>
      </w:sdtContent>
    </w:sdt>
    <w:sdt>
      <w:sdtPr>
        <w:id w:val="116081162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AEA20A8" w14:textId="4DA08843" w:rsidR="00123B80" w:rsidRDefault="00123B80">
          <w:pPr>
            <w:pStyle w:val="TOCHeading"/>
          </w:pPr>
          <w:r>
            <w:t>Contents</w:t>
          </w:r>
        </w:p>
        <w:p w14:paraId="05E90321" w14:textId="3B40207C" w:rsidR="00AA4888" w:rsidRDefault="00123B8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521582" w:history="1">
            <w:r w:rsidR="00AA4888" w:rsidRPr="00CE5E03">
              <w:rPr>
                <w:rStyle w:val="Hyperlink"/>
                <w:noProof/>
              </w:rPr>
              <w:t>Introduction</w:t>
            </w:r>
            <w:r w:rsidR="00AA4888">
              <w:rPr>
                <w:noProof/>
                <w:webHidden/>
              </w:rPr>
              <w:tab/>
            </w:r>
            <w:r w:rsidR="00AA4888">
              <w:rPr>
                <w:noProof/>
                <w:webHidden/>
              </w:rPr>
              <w:fldChar w:fldCharType="begin"/>
            </w:r>
            <w:r w:rsidR="00AA4888">
              <w:rPr>
                <w:noProof/>
                <w:webHidden/>
              </w:rPr>
              <w:instrText xml:space="preserve"> PAGEREF _Toc218521582 \h </w:instrText>
            </w:r>
            <w:r w:rsidR="00AA4888">
              <w:rPr>
                <w:noProof/>
                <w:webHidden/>
              </w:rPr>
            </w:r>
            <w:r w:rsidR="00AA4888">
              <w:rPr>
                <w:noProof/>
                <w:webHidden/>
              </w:rPr>
              <w:fldChar w:fldCharType="separate"/>
            </w:r>
            <w:r w:rsidR="00AA4888">
              <w:rPr>
                <w:noProof/>
                <w:webHidden/>
              </w:rPr>
              <w:t>2</w:t>
            </w:r>
            <w:r w:rsidR="00AA4888">
              <w:rPr>
                <w:noProof/>
                <w:webHidden/>
              </w:rPr>
              <w:fldChar w:fldCharType="end"/>
            </w:r>
          </w:hyperlink>
        </w:p>
        <w:p w14:paraId="5729CC59" w14:textId="5E7C50E7" w:rsidR="00AA4888" w:rsidRDefault="00AA4888">
          <w:pPr>
            <w:pStyle w:val="TOC1"/>
            <w:tabs>
              <w:tab w:val="right" w:leader="dot" w:pos="9016"/>
            </w:tabs>
            <w:rPr>
              <w:rFonts w:eastAsiaTheme="minorEastAsia"/>
              <w:noProof/>
              <w:lang w:eastAsia="en-GB"/>
            </w:rPr>
          </w:pPr>
          <w:hyperlink w:anchor="_Toc218521583" w:history="1">
            <w:r w:rsidRPr="00CE5E03">
              <w:rPr>
                <w:rStyle w:val="Hyperlink"/>
                <w:noProof/>
              </w:rPr>
              <w:t>Task 1</w:t>
            </w:r>
            <w:r>
              <w:rPr>
                <w:noProof/>
                <w:webHidden/>
              </w:rPr>
              <w:tab/>
            </w:r>
            <w:r>
              <w:rPr>
                <w:noProof/>
                <w:webHidden/>
              </w:rPr>
              <w:fldChar w:fldCharType="begin"/>
            </w:r>
            <w:r>
              <w:rPr>
                <w:noProof/>
                <w:webHidden/>
              </w:rPr>
              <w:instrText xml:space="preserve"> PAGEREF _Toc218521583 \h </w:instrText>
            </w:r>
            <w:r>
              <w:rPr>
                <w:noProof/>
                <w:webHidden/>
              </w:rPr>
            </w:r>
            <w:r>
              <w:rPr>
                <w:noProof/>
                <w:webHidden/>
              </w:rPr>
              <w:fldChar w:fldCharType="separate"/>
            </w:r>
            <w:r>
              <w:rPr>
                <w:noProof/>
                <w:webHidden/>
              </w:rPr>
              <w:t>3</w:t>
            </w:r>
            <w:r>
              <w:rPr>
                <w:noProof/>
                <w:webHidden/>
              </w:rPr>
              <w:fldChar w:fldCharType="end"/>
            </w:r>
          </w:hyperlink>
        </w:p>
        <w:p w14:paraId="7991577B" w14:textId="3138070F" w:rsidR="00AA4888" w:rsidRDefault="00AA4888">
          <w:pPr>
            <w:pStyle w:val="TOC2"/>
            <w:tabs>
              <w:tab w:val="right" w:leader="dot" w:pos="9016"/>
            </w:tabs>
            <w:rPr>
              <w:rFonts w:eastAsiaTheme="minorEastAsia"/>
              <w:noProof/>
              <w:lang w:eastAsia="en-GB"/>
            </w:rPr>
          </w:pPr>
          <w:hyperlink w:anchor="_Toc218521584" w:history="1">
            <w:r w:rsidRPr="00CE5E03">
              <w:rPr>
                <w:rStyle w:val="Hyperlink"/>
                <w:noProof/>
              </w:rPr>
              <w:t>The Fragmented EU Regulatory Landscape</w:t>
            </w:r>
            <w:r>
              <w:rPr>
                <w:noProof/>
                <w:webHidden/>
              </w:rPr>
              <w:tab/>
            </w:r>
            <w:r>
              <w:rPr>
                <w:noProof/>
                <w:webHidden/>
              </w:rPr>
              <w:fldChar w:fldCharType="begin"/>
            </w:r>
            <w:r>
              <w:rPr>
                <w:noProof/>
                <w:webHidden/>
              </w:rPr>
              <w:instrText xml:space="preserve"> PAGEREF _Toc218521584 \h </w:instrText>
            </w:r>
            <w:r>
              <w:rPr>
                <w:noProof/>
                <w:webHidden/>
              </w:rPr>
            </w:r>
            <w:r>
              <w:rPr>
                <w:noProof/>
                <w:webHidden/>
              </w:rPr>
              <w:fldChar w:fldCharType="separate"/>
            </w:r>
            <w:r>
              <w:rPr>
                <w:noProof/>
                <w:webHidden/>
              </w:rPr>
              <w:t>3</w:t>
            </w:r>
            <w:r>
              <w:rPr>
                <w:noProof/>
                <w:webHidden/>
              </w:rPr>
              <w:fldChar w:fldCharType="end"/>
            </w:r>
          </w:hyperlink>
        </w:p>
        <w:p w14:paraId="57D61220" w14:textId="66A6913F" w:rsidR="00AA4888" w:rsidRDefault="00AA4888">
          <w:pPr>
            <w:pStyle w:val="TOC2"/>
            <w:tabs>
              <w:tab w:val="right" w:leader="dot" w:pos="9016"/>
            </w:tabs>
            <w:rPr>
              <w:rFonts w:eastAsiaTheme="minorEastAsia"/>
              <w:noProof/>
              <w:lang w:eastAsia="en-GB"/>
            </w:rPr>
          </w:pPr>
          <w:hyperlink w:anchor="_Toc218521585" w:history="1">
            <w:r w:rsidRPr="00CE5E03">
              <w:rPr>
                <w:rStyle w:val="Hyperlink"/>
                <w:noProof/>
              </w:rPr>
              <w:t>Zero Trust as a Compliance-Enabling Security Model</w:t>
            </w:r>
            <w:r>
              <w:rPr>
                <w:noProof/>
                <w:webHidden/>
              </w:rPr>
              <w:tab/>
            </w:r>
            <w:r>
              <w:rPr>
                <w:noProof/>
                <w:webHidden/>
              </w:rPr>
              <w:fldChar w:fldCharType="begin"/>
            </w:r>
            <w:r>
              <w:rPr>
                <w:noProof/>
                <w:webHidden/>
              </w:rPr>
              <w:instrText xml:space="preserve"> PAGEREF _Toc218521585 \h </w:instrText>
            </w:r>
            <w:r>
              <w:rPr>
                <w:noProof/>
                <w:webHidden/>
              </w:rPr>
            </w:r>
            <w:r>
              <w:rPr>
                <w:noProof/>
                <w:webHidden/>
              </w:rPr>
              <w:fldChar w:fldCharType="separate"/>
            </w:r>
            <w:r>
              <w:rPr>
                <w:noProof/>
                <w:webHidden/>
              </w:rPr>
              <w:t>4</w:t>
            </w:r>
            <w:r>
              <w:rPr>
                <w:noProof/>
                <w:webHidden/>
              </w:rPr>
              <w:fldChar w:fldCharType="end"/>
            </w:r>
          </w:hyperlink>
        </w:p>
        <w:p w14:paraId="4A824CFC" w14:textId="0315209B" w:rsidR="00AA4888" w:rsidRDefault="00AA4888">
          <w:pPr>
            <w:pStyle w:val="TOC2"/>
            <w:tabs>
              <w:tab w:val="right" w:leader="dot" w:pos="9016"/>
            </w:tabs>
            <w:rPr>
              <w:rFonts w:eastAsiaTheme="minorEastAsia"/>
              <w:noProof/>
              <w:lang w:eastAsia="en-GB"/>
            </w:rPr>
          </w:pPr>
          <w:hyperlink w:anchor="_Toc218521586" w:history="1">
            <w:r w:rsidRPr="00CE5E03">
              <w:rPr>
                <w:rStyle w:val="Hyperlink"/>
                <w:noProof/>
              </w:rPr>
              <w:t>Challenges of Compliance in Hybrid and Cloud Environments</w:t>
            </w:r>
            <w:r>
              <w:rPr>
                <w:noProof/>
                <w:webHidden/>
              </w:rPr>
              <w:tab/>
            </w:r>
            <w:r>
              <w:rPr>
                <w:noProof/>
                <w:webHidden/>
              </w:rPr>
              <w:fldChar w:fldCharType="begin"/>
            </w:r>
            <w:r>
              <w:rPr>
                <w:noProof/>
                <w:webHidden/>
              </w:rPr>
              <w:instrText xml:space="preserve"> PAGEREF _Toc218521586 \h </w:instrText>
            </w:r>
            <w:r>
              <w:rPr>
                <w:noProof/>
                <w:webHidden/>
              </w:rPr>
            </w:r>
            <w:r>
              <w:rPr>
                <w:noProof/>
                <w:webHidden/>
              </w:rPr>
              <w:fldChar w:fldCharType="separate"/>
            </w:r>
            <w:r>
              <w:rPr>
                <w:noProof/>
                <w:webHidden/>
              </w:rPr>
              <w:t>5</w:t>
            </w:r>
            <w:r>
              <w:rPr>
                <w:noProof/>
                <w:webHidden/>
              </w:rPr>
              <w:fldChar w:fldCharType="end"/>
            </w:r>
          </w:hyperlink>
        </w:p>
        <w:p w14:paraId="03D046F4" w14:textId="3273947C" w:rsidR="00AA4888" w:rsidRDefault="00AA4888">
          <w:pPr>
            <w:pStyle w:val="TOC2"/>
            <w:tabs>
              <w:tab w:val="right" w:leader="dot" w:pos="9016"/>
            </w:tabs>
            <w:rPr>
              <w:rFonts w:eastAsiaTheme="minorEastAsia"/>
              <w:noProof/>
              <w:lang w:eastAsia="en-GB"/>
            </w:rPr>
          </w:pPr>
          <w:hyperlink w:anchor="_Toc218521587" w:history="1">
            <w:r w:rsidRPr="00CE5E03">
              <w:rPr>
                <w:rStyle w:val="Hyperlink"/>
                <w:noProof/>
              </w:rPr>
              <w:t>Automated Detection and Response as a Compliance Requirement</w:t>
            </w:r>
            <w:r>
              <w:rPr>
                <w:noProof/>
                <w:webHidden/>
              </w:rPr>
              <w:tab/>
            </w:r>
            <w:r>
              <w:rPr>
                <w:noProof/>
                <w:webHidden/>
              </w:rPr>
              <w:fldChar w:fldCharType="begin"/>
            </w:r>
            <w:r>
              <w:rPr>
                <w:noProof/>
                <w:webHidden/>
              </w:rPr>
              <w:instrText xml:space="preserve"> PAGEREF _Toc218521587 \h </w:instrText>
            </w:r>
            <w:r>
              <w:rPr>
                <w:noProof/>
                <w:webHidden/>
              </w:rPr>
            </w:r>
            <w:r>
              <w:rPr>
                <w:noProof/>
                <w:webHidden/>
              </w:rPr>
              <w:fldChar w:fldCharType="separate"/>
            </w:r>
            <w:r>
              <w:rPr>
                <w:noProof/>
                <w:webHidden/>
              </w:rPr>
              <w:t>6</w:t>
            </w:r>
            <w:r>
              <w:rPr>
                <w:noProof/>
                <w:webHidden/>
              </w:rPr>
              <w:fldChar w:fldCharType="end"/>
            </w:r>
          </w:hyperlink>
        </w:p>
        <w:p w14:paraId="683EA53A" w14:textId="7CC5E213" w:rsidR="00AA4888" w:rsidRDefault="00AA4888">
          <w:pPr>
            <w:pStyle w:val="TOC2"/>
            <w:tabs>
              <w:tab w:val="right" w:leader="dot" w:pos="9016"/>
            </w:tabs>
            <w:rPr>
              <w:rFonts w:eastAsiaTheme="minorEastAsia"/>
              <w:noProof/>
              <w:lang w:eastAsia="en-GB"/>
            </w:rPr>
          </w:pPr>
          <w:hyperlink w:anchor="_Toc218521588" w:history="1">
            <w:r w:rsidRPr="00CE5E03">
              <w:rPr>
                <w:rStyle w:val="Hyperlink"/>
                <w:noProof/>
              </w:rPr>
              <w:t>Critical Evaluation of Regulatory Overlap and Practical Limitations</w:t>
            </w:r>
            <w:r>
              <w:rPr>
                <w:noProof/>
                <w:webHidden/>
              </w:rPr>
              <w:tab/>
            </w:r>
            <w:r>
              <w:rPr>
                <w:noProof/>
                <w:webHidden/>
              </w:rPr>
              <w:fldChar w:fldCharType="begin"/>
            </w:r>
            <w:r>
              <w:rPr>
                <w:noProof/>
                <w:webHidden/>
              </w:rPr>
              <w:instrText xml:space="preserve"> PAGEREF _Toc218521588 \h </w:instrText>
            </w:r>
            <w:r>
              <w:rPr>
                <w:noProof/>
                <w:webHidden/>
              </w:rPr>
            </w:r>
            <w:r>
              <w:rPr>
                <w:noProof/>
                <w:webHidden/>
              </w:rPr>
              <w:fldChar w:fldCharType="separate"/>
            </w:r>
            <w:r>
              <w:rPr>
                <w:noProof/>
                <w:webHidden/>
              </w:rPr>
              <w:t>7</w:t>
            </w:r>
            <w:r>
              <w:rPr>
                <w:noProof/>
                <w:webHidden/>
              </w:rPr>
              <w:fldChar w:fldCharType="end"/>
            </w:r>
          </w:hyperlink>
        </w:p>
        <w:p w14:paraId="465590D0" w14:textId="74F3DF24" w:rsidR="00AA4888" w:rsidRDefault="00AA4888">
          <w:pPr>
            <w:pStyle w:val="TOC2"/>
            <w:tabs>
              <w:tab w:val="right" w:leader="dot" w:pos="9016"/>
            </w:tabs>
            <w:rPr>
              <w:rFonts w:eastAsiaTheme="minorEastAsia"/>
              <w:noProof/>
              <w:lang w:eastAsia="en-GB"/>
            </w:rPr>
          </w:pPr>
          <w:hyperlink w:anchor="_Toc218521589" w:history="1">
            <w:r w:rsidRPr="00CE5E03">
              <w:rPr>
                <w:rStyle w:val="Hyperlink"/>
                <w:noProof/>
              </w:rPr>
              <w:t>Summary and Implications for Modern Enterprises</w:t>
            </w:r>
            <w:r>
              <w:rPr>
                <w:noProof/>
                <w:webHidden/>
              </w:rPr>
              <w:tab/>
            </w:r>
            <w:r>
              <w:rPr>
                <w:noProof/>
                <w:webHidden/>
              </w:rPr>
              <w:fldChar w:fldCharType="begin"/>
            </w:r>
            <w:r>
              <w:rPr>
                <w:noProof/>
                <w:webHidden/>
              </w:rPr>
              <w:instrText xml:space="preserve"> PAGEREF _Toc218521589 \h </w:instrText>
            </w:r>
            <w:r>
              <w:rPr>
                <w:noProof/>
                <w:webHidden/>
              </w:rPr>
            </w:r>
            <w:r>
              <w:rPr>
                <w:noProof/>
                <w:webHidden/>
              </w:rPr>
              <w:fldChar w:fldCharType="separate"/>
            </w:r>
            <w:r>
              <w:rPr>
                <w:noProof/>
                <w:webHidden/>
              </w:rPr>
              <w:t>8</w:t>
            </w:r>
            <w:r>
              <w:rPr>
                <w:noProof/>
                <w:webHidden/>
              </w:rPr>
              <w:fldChar w:fldCharType="end"/>
            </w:r>
          </w:hyperlink>
        </w:p>
        <w:p w14:paraId="5BA1673C" w14:textId="6846AD7D" w:rsidR="00AA4888" w:rsidRDefault="00AA4888">
          <w:pPr>
            <w:pStyle w:val="TOC1"/>
            <w:tabs>
              <w:tab w:val="right" w:leader="dot" w:pos="9016"/>
            </w:tabs>
            <w:rPr>
              <w:rFonts w:eastAsiaTheme="minorEastAsia"/>
              <w:noProof/>
              <w:lang w:eastAsia="en-GB"/>
            </w:rPr>
          </w:pPr>
          <w:hyperlink w:anchor="_Toc218521590" w:history="1">
            <w:r w:rsidRPr="00CE5E03">
              <w:rPr>
                <w:rStyle w:val="Hyperlink"/>
                <w:noProof/>
              </w:rPr>
              <w:t>Task 2</w:t>
            </w:r>
            <w:r>
              <w:rPr>
                <w:noProof/>
                <w:webHidden/>
              </w:rPr>
              <w:tab/>
            </w:r>
            <w:r>
              <w:rPr>
                <w:noProof/>
                <w:webHidden/>
              </w:rPr>
              <w:fldChar w:fldCharType="begin"/>
            </w:r>
            <w:r>
              <w:rPr>
                <w:noProof/>
                <w:webHidden/>
              </w:rPr>
              <w:instrText xml:space="preserve"> PAGEREF _Toc218521590 \h </w:instrText>
            </w:r>
            <w:r>
              <w:rPr>
                <w:noProof/>
                <w:webHidden/>
              </w:rPr>
            </w:r>
            <w:r>
              <w:rPr>
                <w:noProof/>
                <w:webHidden/>
              </w:rPr>
              <w:fldChar w:fldCharType="separate"/>
            </w:r>
            <w:r>
              <w:rPr>
                <w:noProof/>
                <w:webHidden/>
              </w:rPr>
              <w:t>10</w:t>
            </w:r>
            <w:r>
              <w:rPr>
                <w:noProof/>
                <w:webHidden/>
              </w:rPr>
              <w:fldChar w:fldCharType="end"/>
            </w:r>
          </w:hyperlink>
        </w:p>
        <w:p w14:paraId="5A02434F" w14:textId="4AAFC7B3" w:rsidR="00AA4888" w:rsidRDefault="00AA4888">
          <w:pPr>
            <w:pStyle w:val="TOC2"/>
            <w:tabs>
              <w:tab w:val="right" w:leader="dot" w:pos="9016"/>
            </w:tabs>
            <w:rPr>
              <w:rFonts w:eastAsiaTheme="minorEastAsia"/>
              <w:noProof/>
              <w:lang w:eastAsia="en-GB"/>
            </w:rPr>
          </w:pPr>
          <w:hyperlink w:anchor="_Toc218521591" w:history="1">
            <w:r w:rsidRPr="00CE5E03">
              <w:rPr>
                <w:rStyle w:val="Hyperlink"/>
                <w:noProof/>
              </w:rPr>
              <w:t>Organisational Context and Security Objectives</w:t>
            </w:r>
            <w:r>
              <w:rPr>
                <w:noProof/>
                <w:webHidden/>
              </w:rPr>
              <w:tab/>
            </w:r>
            <w:r>
              <w:rPr>
                <w:noProof/>
                <w:webHidden/>
              </w:rPr>
              <w:fldChar w:fldCharType="begin"/>
            </w:r>
            <w:r>
              <w:rPr>
                <w:noProof/>
                <w:webHidden/>
              </w:rPr>
              <w:instrText xml:space="preserve"> PAGEREF _Toc218521591 \h </w:instrText>
            </w:r>
            <w:r>
              <w:rPr>
                <w:noProof/>
                <w:webHidden/>
              </w:rPr>
            </w:r>
            <w:r>
              <w:rPr>
                <w:noProof/>
                <w:webHidden/>
              </w:rPr>
              <w:fldChar w:fldCharType="separate"/>
            </w:r>
            <w:r>
              <w:rPr>
                <w:noProof/>
                <w:webHidden/>
              </w:rPr>
              <w:t>10</w:t>
            </w:r>
            <w:r>
              <w:rPr>
                <w:noProof/>
                <w:webHidden/>
              </w:rPr>
              <w:fldChar w:fldCharType="end"/>
            </w:r>
          </w:hyperlink>
        </w:p>
        <w:p w14:paraId="23DD17BA" w14:textId="3FC0094D" w:rsidR="00AA4888" w:rsidRDefault="00AA4888">
          <w:pPr>
            <w:pStyle w:val="TOC2"/>
            <w:tabs>
              <w:tab w:val="right" w:leader="dot" w:pos="9016"/>
            </w:tabs>
            <w:rPr>
              <w:rFonts w:eastAsiaTheme="minorEastAsia"/>
              <w:noProof/>
              <w:lang w:eastAsia="en-GB"/>
            </w:rPr>
          </w:pPr>
          <w:hyperlink w:anchor="_Toc218521592" w:history="1">
            <w:r w:rsidRPr="00CE5E03">
              <w:rPr>
                <w:rStyle w:val="Hyperlink"/>
                <w:noProof/>
              </w:rPr>
              <w:t>Organisati</w:t>
            </w:r>
            <w:r w:rsidRPr="00CE5E03">
              <w:rPr>
                <w:rStyle w:val="Hyperlink"/>
                <w:noProof/>
              </w:rPr>
              <w:t>o</w:t>
            </w:r>
            <w:r w:rsidRPr="00CE5E03">
              <w:rPr>
                <w:rStyle w:val="Hyperlink"/>
                <w:noProof/>
              </w:rPr>
              <w:t>nal Structure and Security Roles</w:t>
            </w:r>
            <w:r>
              <w:rPr>
                <w:noProof/>
                <w:webHidden/>
              </w:rPr>
              <w:tab/>
            </w:r>
            <w:r>
              <w:rPr>
                <w:noProof/>
                <w:webHidden/>
              </w:rPr>
              <w:fldChar w:fldCharType="begin"/>
            </w:r>
            <w:r>
              <w:rPr>
                <w:noProof/>
                <w:webHidden/>
              </w:rPr>
              <w:instrText xml:space="preserve"> PAGEREF _Toc218521592 \h </w:instrText>
            </w:r>
            <w:r>
              <w:rPr>
                <w:noProof/>
                <w:webHidden/>
              </w:rPr>
            </w:r>
            <w:r>
              <w:rPr>
                <w:noProof/>
                <w:webHidden/>
              </w:rPr>
              <w:fldChar w:fldCharType="separate"/>
            </w:r>
            <w:r>
              <w:rPr>
                <w:noProof/>
                <w:webHidden/>
              </w:rPr>
              <w:t>10</w:t>
            </w:r>
            <w:r>
              <w:rPr>
                <w:noProof/>
                <w:webHidden/>
              </w:rPr>
              <w:fldChar w:fldCharType="end"/>
            </w:r>
          </w:hyperlink>
        </w:p>
        <w:p w14:paraId="73E3EEDE" w14:textId="1F08EF83" w:rsidR="00AA4888" w:rsidRDefault="00AA4888">
          <w:pPr>
            <w:pStyle w:val="TOC2"/>
            <w:tabs>
              <w:tab w:val="right" w:leader="dot" w:pos="9016"/>
            </w:tabs>
            <w:rPr>
              <w:rFonts w:eastAsiaTheme="minorEastAsia"/>
              <w:noProof/>
              <w:lang w:eastAsia="en-GB"/>
            </w:rPr>
          </w:pPr>
          <w:hyperlink w:anchor="_Toc218521593" w:history="1">
            <w:r w:rsidRPr="00CE5E03">
              <w:rPr>
                <w:rStyle w:val="Hyperlink"/>
                <w:noProof/>
              </w:rPr>
              <w:t>Policies and Procedures for a Zero-Trust Hybrid Enterprise</w:t>
            </w:r>
            <w:r>
              <w:rPr>
                <w:noProof/>
                <w:webHidden/>
              </w:rPr>
              <w:tab/>
            </w:r>
            <w:r>
              <w:rPr>
                <w:noProof/>
                <w:webHidden/>
              </w:rPr>
              <w:fldChar w:fldCharType="begin"/>
            </w:r>
            <w:r>
              <w:rPr>
                <w:noProof/>
                <w:webHidden/>
              </w:rPr>
              <w:instrText xml:space="preserve"> PAGEREF _Toc218521593 \h </w:instrText>
            </w:r>
            <w:r>
              <w:rPr>
                <w:noProof/>
                <w:webHidden/>
              </w:rPr>
            </w:r>
            <w:r>
              <w:rPr>
                <w:noProof/>
                <w:webHidden/>
              </w:rPr>
              <w:fldChar w:fldCharType="separate"/>
            </w:r>
            <w:r>
              <w:rPr>
                <w:noProof/>
                <w:webHidden/>
              </w:rPr>
              <w:t>12</w:t>
            </w:r>
            <w:r>
              <w:rPr>
                <w:noProof/>
                <w:webHidden/>
              </w:rPr>
              <w:fldChar w:fldCharType="end"/>
            </w:r>
          </w:hyperlink>
        </w:p>
        <w:p w14:paraId="0A4FB29D" w14:textId="098CA9BB" w:rsidR="00AA4888" w:rsidRDefault="00AA4888">
          <w:pPr>
            <w:pStyle w:val="TOC3"/>
            <w:tabs>
              <w:tab w:val="right" w:leader="dot" w:pos="9016"/>
            </w:tabs>
            <w:rPr>
              <w:rFonts w:eastAsiaTheme="minorEastAsia"/>
              <w:noProof/>
              <w:lang w:eastAsia="en-GB"/>
            </w:rPr>
          </w:pPr>
          <w:hyperlink w:anchor="_Toc218521594" w:history="1">
            <w:r w:rsidRPr="00CE5E03">
              <w:rPr>
                <w:rStyle w:val="Hyperlink"/>
                <w:noProof/>
              </w:rPr>
              <w:t>AI Usage Policy</w:t>
            </w:r>
            <w:r>
              <w:rPr>
                <w:noProof/>
                <w:webHidden/>
              </w:rPr>
              <w:tab/>
            </w:r>
            <w:r>
              <w:rPr>
                <w:noProof/>
                <w:webHidden/>
              </w:rPr>
              <w:fldChar w:fldCharType="begin"/>
            </w:r>
            <w:r>
              <w:rPr>
                <w:noProof/>
                <w:webHidden/>
              </w:rPr>
              <w:instrText xml:space="preserve"> PAGEREF _Toc218521594 \h </w:instrText>
            </w:r>
            <w:r>
              <w:rPr>
                <w:noProof/>
                <w:webHidden/>
              </w:rPr>
            </w:r>
            <w:r>
              <w:rPr>
                <w:noProof/>
                <w:webHidden/>
              </w:rPr>
              <w:fldChar w:fldCharType="separate"/>
            </w:r>
            <w:r>
              <w:rPr>
                <w:noProof/>
                <w:webHidden/>
              </w:rPr>
              <w:t>12</w:t>
            </w:r>
            <w:r>
              <w:rPr>
                <w:noProof/>
                <w:webHidden/>
              </w:rPr>
              <w:fldChar w:fldCharType="end"/>
            </w:r>
          </w:hyperlink>
        </w:p>
        <w:p w14:paraId="2E83DD2B" w14:textId="74C9E5D9" w:rsidR="00AA4888" w:rsidRDefault="00AA4888">
          <w:pPr>
            <w:pStyle w:val="TOC3"/>
            <w:tabs>
              <w:tab w:val="right" w:leader="dot" w:pos="9016"/>
            </w:tabs>
            <w:rPr>
              <w:rFonts w:eastAsiaTheme="minorEastAsia"/>
              <w:noProof/>
              <w:lang w:eastAsia="en-GB"/>
            </w:rPr>
          </w:pPr>
          <w:hyperlink w:anchor="_Toc218521595" w:history="1">
            <w:r w:rsidRPr="00CE5E03">
              <w:rPr>
                <w:rStyle w:val="Hyperlink"/>
                <w:noProof/>
              </w:rPr>
              <w:t>Secure SaaS Configuration Policy</w:t>
            </w:r>
            <w:r>
              <w:rPr>
                <w:noProof/>
                <w:webHidden/>
              </w:rPr>
              <w:tab/>
            </w:r>
            <w:r>
              <w:rPr>
                <w:noProof/>
                <w:webHidden/>
              </w:rPr>
              <w:fldChar w:fldCharType="begin"/>
            </w:r>
            <w:r>
              <w:rPr>
                <w:noProof/>
                <w:webHidden/>
              </w:rPr>
              <w:instrText xml:space="preserve"> PAGEREF _Toc218521595 \h </w:instrText>
            </w:r>
            <w:r>
              <w:rPr>
                <w:noProof/>
                <w:webHidden/>
              </w:rPr>
            </w:r>
            <w:r>
              <w:rPr>
                <w:noProof/>
                <w:webHidden/>
              </w:rPr>
              <w:fldChar w:fldCharType="separate"/>
            </w:r>
            <w:r>
              <w:rPr>
                <w:noProof/>
                <w:webHidden/>
              </w:rPr>
              <w:t>12</w:t>
            </w:r>
            <w:r>
              <w:rPr>
                <w:noProof/>
                <w:webHidden/>
              </w:rPr>
              <w:fldChar w:fldCharType="end"/>
            </w:r>
          </w:hyperlink>
        </w:p>
        <w:p w14:paraId="13C893F0" w14:textId="546A715D" w:rsidR="00AA4888" w:rsidRDefault="00AA4888">
          <w:pPr>
            <w:pStyle w:val="TOC3"/>
            <w:tabs>
              <w:tab w:val="right" w:leader="dot" w:pos="9016"/>
            </w:tabs>
            <w:rPr>
              <w:rFonts w:eastAsiaTheme="minorEastAsia"/>
              <w:noProof/>
              <w:lang w:eastAsia="en-GB"/>
            </w:rPr>
          </w:pPr>
          <w:hyperlink w:anchor="_Toc218521596" w:history="1">
            <w:r w:rsidRPr="00CE5E03">
              <w:rPr>
                <w:rStyle w:val="Hyperlink"/>
                <w:noProof/>
              </w:rPr>
              <w:t>Bring Your Own Device (BYOD) Policy</w:t>
            </w:r>
            <w:r>
              <w:rPr>
                <w:noProof/>
                <w:webHidden/>
              </w:rPr>
              <w:tab/>
            </w:r>
            <w:r>
              <w:rPr>
                <w:noProof/>
                <w:webHidden/>
              </w:rPr>
              <w:fldChar w:fldCharType="begin"/>
            </w:r>
            <w:r>
              <w:rPr>
                <w:noProof/>
                <w:webHidden/>
              </w:rPr>
              <w:instrText xml:space="preserve"> PAGEREF _Toc218521596 \h </w:instrText>
            </w:r>
            <w:r>
              <w:rPr>
                <w:noProof/>
                <w:webHidden/>
              </w:rPr>
            </w:r>
            <w:r>
              <w:rPr>
                <w:noProof/>
                <w:webHidden/>
              </w:rPr>
              <w:fldChar w:fldCharType="separate"/>
            </w:r>
            <w:r>
              <w:rPr>
                <w:noProof/>
                <w:webHidden/>
              </w:rPr>
              <w:t>13</w:t>
            </w:r>
            <w:r>
              <w:rPr>
                <w:noProof/>
                <w:webHidden/>
              </w:rPr>
              <w:fldChar w:fldCharType="end"/>
            </w:r>
          </w:hyperlink>
        </w:p>
        <w:p w14:paraId="72F38E71" w14:textId="10E02573" w:rsidR="00123B80" w:rsidRDefault="00123B80">
          <w:r>
            <w:rPr>
              <w:b/>
              <w:bCs/>
              <w:noProof/>
            </w:rPr>
            <w:fldChar w:fldCharType="end"/>
          </w:r>
        </w:p>
      </w:sdtContent>
    </w:sdt>
    <w:p w14:paraId="514C931A" w14:textId="17DB6465" w:rsidR="00123B80" w:rsidRDefault="00123B80">
      <w:r>
        <w:br w:type="page"/>
      </w:r>
    </w:p>
    <w:p w14:paraId="56A7261F" w14:textId="32590929" w:rsidR="00123B80" w:rsidRDefault="00123B80" w:rsidP="00123B80">
      <w:pPr>
        <w:pStyle w:val="Heading1"/>
      </w:pPr>
      <w:bookmarkStart w:id="0" w:name="_Toc218521582"/>
      <w:r>
        <w:lastRenderedPageBreak/>
        <w:t>Introduction</w:t>
      </w:r>
      <w:bookmarkEnd w:id="0"/>
    </w:p>
    <w:p w14:paraId="359407DF" w14:textId="77777777" w:rsidR="00123B80" w:rsidRPr="00123B80" w:rsidRDefault="00123B80" w:rsidP="00123B80">
      <w:r w:rsidRPr="00123B80">
        <w:t>The contemporary digital enterprise operates within an increasingly complex and hostile threat environment characterised by expanding regulatory oversight, accelerating technological innovation and a growing reliance on hybrid and cloud-based working models. Organisations are now required not only to protect information assets from sophisticated cyber threats but also to demonstrate measurable operational resilience and regulatory compliance across multiple jurisdictions. This dual challenge has been intensified by the European Union’s introduction of the Digital Operational Resilience Act (DORA) and the revised Network and Information Security Directive (NIS2), which significantly expand accountability requirements for cybersecurity governance, reporting, and resilience planning.</w:t>
      </w:r>
    </w:p>
    <w:p w14:paraId="0AFEC3DE" w14:textId="77777777" w:rsidR="00123B80" w:rsidRPr="00123B80" w:rsidRDefault="00123B80" w:rsidP="00123B80">
      <w:r w:rsidRPr="00123B80">
        <w:t>At the same time, the rapid adoption of artificial intelligence (AI) systems and cloud-native infrastructures has created new categories of risk that challenge traditional perimeter-based security models. Modern organisations increasingly operate beyond fixed corporate boundaries, relying on distributed workforces, third-party software components and continuous software delivery pipelines. These developments expose enterprises to emerging threats such as poisoned machine learning models, vulnerable open-source dependencies and large-scale cloud misconfigurations that can undermine data confidentiality, integrity and availability.</w:t>
      </w:r>
    </w:p>
    <w:p w14:paraId="6AACC48F" w14:textId="77777777" w:rsidR="00123B80" w:rsidRPr="00123B80" w:rsidRDefault="00123B80" w:rsidP="00123B80">
      <w:r w:rsidRPr="00123B80">
        <w:t>In response, Zero Trust Architecture (ZTA) has emerged as a strategic cybersecurity paradigm that replaces implicit trust assumptions with continuous verification, least-privilege access and automated security enforcement. When combined with regulatory frameworks such as GDPR, DORA and NIS2, Zero Trust provides a foundation for building resilient, compliant and adaptive digital enterprises capable of proactively anticipating, detecting and responding to cyber incidents.</w:t>
      </w:r>
    </w:p>
    <w:p w14:paraId="00FD8289" w14:textId="70D1C5FF" w:rsidR="00123B80" w:rsidRDefault="00123B80" w:rsidP="00123B80">
      <w:r w:rsidRPr="00123B80">
        <w:t xml:space="preserve">This report is structured into two major sections. Task 1 presents a critical research analysis of compliance challenges in a fragmented regulatory environment, focusing on the </w:t>
      </w:r>
      <w:r w:rsidR="00F554F8">
        <w:t>interactions among GDPR, DORA,</w:t>
      </w:r>
      <w:r w:rsidRPr="00123B80">
        <w:t xml:space="preserve"> and NIS2 within hybrid and cloud-centric organisations. Task 2 applies the findings of this research to design and justify a Zero-Trust-aligned security programme for </w:t>
      </w:r>
      <w:r w:rsidR="00F554F8" w:rsidRPr="00123B80">
        <w:t>Resilient Intellect</w:t>
      </w:r>
      <w:r w:rsidRPr="00123B80">
        <w:t xml:space="preserve"> Ltd, a rapidly growing AI-driven threat intelligence firm expanding into the European Union. The proposed design integrates governance, compliance, risk management, automated detection and recovery mechanisms to support regulatory obligations while strengthening organisational cyber resilience.</w:t>
      </w:r>
    </w:p>
    <w:p w14:paraId="609C2B12" w14:textId="77777777" w:rsidR="00F554F8" w:rsidRDefault="00F554F8" w:rsidP="00123B80"/>
    <w:p w14:paraId="7C38FF23" w14:textId="77777777" w:rsidR="00F554F8" w:rsidRDefault="00F554F8" w:rsidP="00123B80"/>
    <w:p w14:paraId="029AB679" w14:textId="77777777" w:rsidR="00F554F8" w:rsidRDefault="00F554F8" w:rsidP="00123B80"/>
    <w:p w14:paraId="14A67372" w14:textId="61595A28" w:rsidR="00F554F8" w:rsidRDefault="00F554F8" w:rsidP="00F554F8">
      <w:pPr>
        <w:pStyle w:val="Heading1"/>
      </w:pPr>
      <w:bookmarkStart w:id="1" w:name="_Toc218521583"/>
      <w:r>
        <w:lastRenderedPageBreak/>
        <w:t>Task 1</w:t>
      </w:r>
      <w:bookmarkEnd w:id="1"/>
    </w:p>
    <w:p w14:paraId="016F7D35" w14:textId="46E3FA3D" w:rsidR="00F554F8" w:rsidRDefault="00F554F8" w:rsidP="00F554F8">
      <w:pPr>
        <w:pStyle w:val="Heading2"/>
      </w:pPr>
      <w:bookmarkStart w:id="2" w:name="_Toc218521584"/>
      <w:r w:rsidRPr="00F554F8">
        <w:t>The Fragmented EU Regulatory Landscape</w:t>
      </w:r>
      <w:bookmarkEnd w:id="2"/>
    </w:p>
    <w:p w14:paraId="4BE7D5DA" w14:textId="77777777" w:rsidR="00F554F8" w:rsidRPr="00F554F8" w:rsidRDefault="00F554F8" w:rsidP="00F554F8">
      <w:r w:rsidRPr="00F554F8">
        <w:t>Over the past decade, the European Union has significantly expanded its cybersecurity and data protection regulatory framework in response to growing digital dependence and escalating cyber threats. While the General Data Protection Regulation (GDPR) established a unified baseline for personal data protection, newer legislative instruments such as the Digital Operational Resilience Act (DORA) and the revised Network and Information Security Directive (NIS2) introduce broader resilience, governance and reporting obligations that extend beyond personal data protection into operational continuity and systemic cyber risk management.</w:t>
      </w:r>
    </w:p>
    <w:p w14:paraId="1803EEF4" w14:textId="35A570FC" w:rsidR="00F554F8" w:rsidRPr="00F554F8" w:rsidRDefault="00F554F8" w:rsidP="00F554F8">
      <w:r w:rsidRPr="00F554F8">
        <w:t>This evolving regulatory landscape has created a fragmented compliance environment in which organisations must simultaneously satisfy overlapping</w:t>
      </w:r>
      <w:r w:rsidR="00AA4888">
        <w:t xml:space="preserve"> and, in some cases, divergent </w:t>
      </w:r>
      <w:r w:rsidRPr="00F554F8">
        <w:t>legal expectations. GDPR focuses primarily on the lawful processing, protection and breach notification of personal data</w:t>
      </w:r>
      <w:r w:rsidR="00AA4888">
        <w:t>. In contrast, DORA</w:t>
      </w:r>
      <w:r w:rsidRPr="00F554F8">
        <w:t xml:space="preserve"> introduces mandatory resilience testing, third-party risk governance and incident reporting for financial and ICT-dependent organisations. NIS2 further broadens the scope by imposing security and reporting obligations across </w:t>
      </w:r>
      <w:r w:rsidR="00AA4888">
        <w:t>critical</w:t>
      </w:r>
      <w:r w:rsidRPr="00F554F8">
        <w:t xml:space="preserve"> sectors, including digital infrastructure, managed service providers and software developers.</w:t>
      </w:r>
    </w:p>
    <w:p w14:paraId="69F2C98D" w14:textId="77777777" w:rsidR="00F554F8" w:rsidRPr="00F554F8" w:rsidRDefault="00F554F8" w:rsidP="00F554F8">
      <w:r w:rsidRPr="00F554F8">
        <w:t>For modern enterprises operating hybrid and cloud-native infrastructures, these regulatory overlaps can present substantial implementation challenges. Security controls must not only prevent unauthorised access and data breaches but also ensure continuous availability, resilience against systemic failures and demonstrable compliance through documentation, reporting and audit readiness. This complexity is exacerbated by the increasing use of distributed workforces and third-party digital supply chains, which introduce additional vectors of regulatory exposure.</w:t>
      </w:r>
    </w:p>
    <w:p w14:paraId="222B07EE" w14:textId="77777777" w:rsidR="00F554F8" w:rsidRPr="00F554F8" w:rsidRDefault="00F554F8" w:rsidP="00F554F8">
      <w:r w:rsidRPr="00F554F8">
        <w:t>The compliance burden is no longer limited to legal departments. Security architecture, IT operations, risk management and executive leadership must collaborate to embed regulatory obligations directly into system design and organisational governance. Consequently, cybersecurity compliance has evolved from a reactive legal obligation into a strategic operational capability that must be continuously monitored, measured and improved.</w:t>
      </w:r>
    </w:p>
    <w:p w14:paraId="67DC09E7" w14:textId="77777777" w:rsidR="00F554F8" w:rsidRPr="00F554F8" w:rsidRDefault="00F554F8" w:rsidP="00F554F8">
      <w:r w:rsidRPr="00F554F8">
        <w:t>This regulatory fragmentation has accelerated the adoption of architectural security models that emphasise continuous verification, resilience and automation. Zero Trust Architecture (ZTA) has emerged as a practical response to these demands, offering a security framework that aligns well with the principles underpinning GDPR, DORA and NIS2 by enforcing least-privilege access, persistent authentication and continuous security validation across distributed environments.</w:t>
      </w:r>
    </w:p>
    <w:p w14:paraId="0427D9A7" w14:textId="359CEA0B" w:rsidR="00F554F8" w:rsidRDefault="00BF31DD" w:rsidP="00F554F8">
      <w:pPr>
        <w:pStyle w:val="Heading2"/>
      </w:pPr>
      <w:bookmarkStart w:id="3" w:name="_Toc218521585"/>
      <w:r w:rsidRPr="00BF31DD">
        <w:lastRenderedPageBreak/>
        <w:t>Zero Trust as a Compliance-Enabling Security Model</w:t>
      </w:r>
      <w:bookmarkEnd w:id="3"/>
    </w:p>
    <w:p w14:paraId="70970DE0" w14:textId="020265D8" w:rsidR="00BF31DD" w:rsidRPr="00BF31DD" w:rsidRDefault="00BF31DD" w:rsidP="00BF31DD">
      <w:r w:rsidRPr="00BF31DD">
        <w:t>Zero Trust Architecture (ZTA) is increasingly recognised as more than a technical security framework; it represents a governance-enabling model that aligns closely with modern regulatory expectations. At its core, Zero Trust rejects the assumption of inherent trust based on network location or device ownership</w:t>
      </w:r>
      <w:r>
        <w:t>. Instead, he requires</w:t>
      </w:r>
      <w:r w:rsidRPr="00BF31DD">
        <w:t xml:space="preserve"> continuous verification of users, devices and workloads before granting access to organisational resources. This approach directly supports regulatory principles embedded within GDPR, DORA and NIS2 by strengthening accountability, resilience and traceability across digital environments.</w:t>
      </w:r>
    </w:p>
    <w:p w14:paraId="6DFC2B08" w14:textId="77777777" w:rsidR="00BF31DD" w:rsidRPr="00BF31DD" w:rsidRDefault="00BF31DD" w:rsidP="00BF31DD">
      <w:r w:rsidRPr="00BF31DD">
        <w:t>From a GDPR perspective, Zero Trust supports the principles of data protection by design and by default through enforced least-privilege access and persistent authentication. By limiting access strictly to what is necessary for a given role or task, organisations reduce the risk of unauthorised processing, data leakage and excessive data exposure. Continuous verification mechanisms, such as adaptive multi-factor authentication and device posture validation, further enhance compliance by ensuring that access remains conditional on ongoing trust evaluation rather than static credentials alone.</w:t>
      </w:r>
    </w:p>
    <w:p w14:paraId="7E0BB808" w14:textId="58999F41" w:rsidR="00BF31DD" w:rsidRPr="00BF31DD" w:rsidRDefault="00BF31DD" w:rsidP="00BF31DD">
      <w:r w:rsidRPr="00BF31DD">
        <w:t>DORA extends compliance requirements beyond data protection into operational resilience. It mandates that organisations implement robust ICT risk management frameworks, conduct regular resilience testing and maintain effective incident detection and response capabilities. Zero Trust architectures inherently support these requirements by incorporating real-time monitoring, automated policy enforcement and continuous access validation across hybrid infrastructures. These features improve system observability, enable early detection of anomalous behaviour and allow organisations to demonstrate active resilience rather than relying solely on reactive controls.</w:t>
      </w:r>
    </w:p>
    <w:p w14:paraId="229FFAED" w14:textId="38D4FB61" w:rsidR="00BF31DD" w:rsidRPr="00BF31DD" w:rsidRDefault="00BF31DD" w:rsidP="00BF31DD">
      <w:r w:rsidRPr="00BF31DD">
        <w:t xml:space="preserve">NIS2 further reinforces the need for proactive cyber governance by imposing stricter reporting obligations, </w:t>
      </w:r>
      <w:r>
        <w:t>executive-level accountability,</w:t>
      </w:r>
      <w:r w:rsidRPr="00BF31DD">
        <w:t xml:space="preserve"> and mandatory risk management practices across </w:t>
      </w:r>
      <w:r>
        <w:t>critical</w:t>
      </w:r>
      <w:r w:rsidRPr="00BF31DD">
        <w:t xml:space="preserve"> entities. Zero Trust strengthens compliance with NIS2 by providing auditable access controls, centralised policy enforcement and real-time security telemetry. This enables organisations to maintain accurate records of access activity, respond rapidly to security incidents and fulfil reporting requirements within mandated timeframes.</w:t>
      </w:r>
    </w:p>
    <w:p w14:paraId="6E6A1EDA" w14:textId="6D2DB9A5" w:rsidR="00BF31DD" w:rsidRPr="00BF31DD" w:rsidRDefault="00BF31DD" w:rsidP="00BF31DD">
      <w:r w:rsidRPr="00BF31DD">
        <w:t xml:space="preserve">Beyond regulatory alignment, Zero Trust also addresses the practical realities of hybrid working environments. Distributed users, cloud workloads and third-party service integrations create complex trust relationships that are difficult to manage using traditional perimeter-based models. By continuously verifying identities and enforcing </w:t>
      </w:r>
      <w:r w:rsidRPr="00BF31DD">
        <w:lastRenderedPageBreak/>
        <w:t>security policies regardless of network location, Zero Trust provides a scalable</w:t>
      </w:r>
      <w:r>
        <w:t>, adaptable framework for</w:t>
      </w:r>
      <w:r w:rsidRPr="00BF31DD">
        <w:t xml:space="preserve"> securing data flows across modern digital ecosystems.</w:t>
      </w:r>
    </w:p>
    <w:p w14:paraId="782E7958" w14:textId="034A3B74" w:rsidR="00BF31DD" w:rsidRDefault="00BF31DD" w:rsidP="00BF31DD">
      <w:r w:rsidRPr="00BF31DD">
        <w:t xml:space="preserve">While Zero Trust is not a regulatory </w:t>
      </w:r>
      <w:r w:rsidRPr="00BF31DD">
        <w:t>requirement, its</w:t>
      </w:r>
      <w:r w:rsidRPr="00BF31DD">
        <w:t xml:space="preserve"> principles and technical mechanisms offer a pragmatic foundation for meeting overlapping compliance obligations in a fragmented regulatory landscape. When implemented effectively, Zero Trust transforms regulatory compliance from a static checklist into an active, continuously validated security posture that supports both legal accountability and organisational resilience.</w:t>
      </w:r>
    </w:p>
    <w:p w14:paraId="37EEAE63" w14:textId="77777777" w:rsidR="00BF31DD" w:rsidRDefault="00BF31DD" w:rsidP="00BF31DD"/>
    <w:p w14:paraId="0480D0F5" w14:textId="24A8B0A5" w:rsidR="00BF31DD" w:rsidRPr="00BF31DD" w:rsidRDefault="00BF31DD" w:rsidP="00BF31DD">
      <w:pPr>
        <w:pStyle w:val="Heading2"/>
      </w:pPr>
      <w:bookmarkStart w:id="4" w:name="_Toc218521586"/>
      <w:r w:rsidRPr="00BF31DD">
        <w:t>Challenges of Compliance in Hybrid and Cloud Environments</w:t>
      </w:r>
      <w:bookmarkEnd w:id="4"/>
    </w:p>
    <w:p w14:paraId="5DC6F1CA" w14:textId="0EC1E0DC" w:rsidR="00BF31DD" w:rsidRPr="00BF31DD" w:rsidRDefault="00BF31DD" w:rsidP="00BF31DD">
      <w:r w:rsidRPr="00BF31DD">
        <w:t xml:space="preserve">The rapid transition towards hybrid working models and cloud-native </w:t>
      </w:r>
      <w:r>
        <w:t>infrastructure has fundamentally altered how</w:t>
      </w:r>
      <w:r w:rsidRPr="00BF31DD">
        <w:t xml:space="preserve"> organisations manage data, applications and security controls. While these technologies deliver scalability and operational efficiency, they also introduce compliance challenges that strain traditional governance and risk management approaches. Distributed access models, shared responsibility frameworks</w:t>
      </w:r>
      <w:r>
        <w:t>,</w:t>
      </w:r>
      <w:r w:rsidRPr="00BF31DD">
        <w:t xml:space="preserve"> and reliance on third-party service providers create complex accountability structures that complicate regulatory adherence under GDPR, DORA and NIS2.</w:t>
      </w:r>
    </w:p>
    <w:p w14:paraId="3436A88D" w14:textId="77777777" w:rsidR="00BF31DD" w:rsidRPr="00BF31DD" w:rsidRDefault="00BF31DD" w:rsidP="00BF31DD">
      <w:r w:rsidRPr="00BF31DD">
        <w:t>One of the most significant challenges lies in maintaining consistent security visibility and control across hybrid environments. Cloud platforms abstract infrastructure layers, making it difficult for organisations to retain direct oversight of data flows, system configurations and access privileges. Misconfigured storage services, overly permissive identity policies and insecure application programming interfaces (APIs) remain among the most common causes of regulatory breaches and large-scale data exposures. Such incidents can result not only in GDPR penalties for personal data leakage but also in regulatory scrutiny under NIS2 for inadequate risk management practices.</w:t>
      </w:r>
    </w:p>
    <w:p w14:paraId="2FECFEB8" w14:textId="77777777" w:rsidR="00BF31DD" w:rsidRPr="00BF31DD" w:rsidRDefault="00BF31DD" w:rsidP="00BF31DD">
      <w:r w:rsidRPr="00BF31DD">
        <w:t>The increasing adoption of AI and machine learning systems further complicates compliance. Training data often contains personal or sensitive information, which must be processed lawfully and protected from unauthorised access under GDPR. At the same time, AI development pipelines depend heavily on open-source libraries and third-party models, introducing supply chain vulnerabilities that fall within the scope of DORA’s ICT risk governance and NIS2’s reporting obligations. Compromised dependencies or poisoned training data can undermine the integrity of AI-driven services and create systemic risks across interconnected digital ecosystems.</w:t>
      </w:r>
    </w:p>
    <w:p w14:paraId="31F495FD" w14:textId="53EE2038" w:rsidR="00BF31DD" w:rsidRPr="00BF31DD" w:rsidRDefault="00BF31DD" w:rsidP="00BF31DD">
      <w:r w:rsidRPr="00BF31DD">
        <w:t xml:space="preserve">Hybrid workforces amplify these challenges by extending organisational data access beyond traditional corporate boundaries. Employees increasingly rely on personal devices, unmanaged networks and consumer-grade applications to perform their </w:t>
      </w:r>
      <w:r w:rsidRPr="00BF31DD">
        <w:lastRenderedPageBreak/>
        <w:t>duties. This environment increases the risk of credential compromise, data leakage</w:t>
      </w:r>
      <w:r>
        <w:t>, and non-compliant data-handling</w:t>
      </w:r>
      <w:r w:rsidRPr="00BF31DD">
        <w:t xml:space="preserve"> practices. Maintaining regulatory compliance</w:t>
      </w:r>
      <w:r>
        <w:t>, therefore,</w:t>
      </w:r>
      <w:r w:rsidRPr="00BF31DD">
        <w:t xml:space="preserve"> requires organisations to enforce strong identity governance, endpoint security and data protection policies that are adaptable to diverse working contexts.</w:t>
      </w:r>
    </w:p>
    <w:p w14:paraId="0F2AC6C8" w14:textId="77777777" w:rsidR="00BF31DD" w:rsidRPr="00BF31DD" w:rsidRDefault="00BF31DD" w:rsidP="00BF31DD">
      <w:r w:rsidRPr="00BF31DD">
        <w:t>Another persistent challenge is the requirement for timely and accurate incident reporting. DORA and NIS2 mandate strict reporting timelines for significant cyber incidents, placing pressure on organisations to detect, analyse and escalate security events rapidly. In environments with fragmented logging systems and limited automated response capabilities, meeting these reporting obligations can be operationally challenging and prone to human error.</w:t>
      </w:r>
    </w:p>
    <w:p w14:paraId="77189F26" w14:textId="77777777" w:rsidR="00BF31DD" w:rsidRDefault="00BF31DD" w:rsidP="00BF31DD">
      <w:r w:rsidRPr="00BF31DD">
        <w:t>Collectively, these factors illustrate that compliance in hybrid and cloud-centric organisations is not solely a legal or procedural issue but a deeply technical and architectural one. Addressing these challenges requires security frameworks that integrate identity governance, automated monitoring and continuous risk validation into everyday operations.</w:t>
      </w:r>
    </w:p>
    <w:p w14:paraId="387DB88A" w14:textId="77777777" w:rsidR="00BF31DD" w:rsidRDefault="00BF31DD" w:rsidP="00BF31DD"/>
    <w:p w14:paraId="605CEEA4" w14:textId="0B041A22" w:rsidR="00BF31DD" w:rsidRDefault="00BF31DD" w:rsidP="00BF31DD">
      <w:pPr>
        <w:pStyle w:val="Heading2"/>
      </w:pPr>
      <w:bookmarkStart w:id="5" w:name="_Toc218521587"/>
      <w:r w:rsidRPr="00BF31DD">
        <w:t>Automated Detection and Response as a Compliance Requirement</w:t>
      </w:r>
      <w:bookmarkEnd w:id="5"/>
    </w:p>
    <w:p w14:paraId="0A377996" w14:textId="1FE880E5" w:rsidR="00BF31DD" w:rsidRPr="00BF31DD" w:rsidRDefault="00BF31DD" w:rsidP="00BF31DD">
      <w:r w:rsidRPr="00BF31DD">
        <w:t xml:space="preserve">Modern regulatory frameworks increasingly expect organisations to demonstrate not only preventative security measures but also effective capabilities for detecting, responding to and recovering from cyber incidents. Both DORA and NIS2 explicitly emphasise operational resilience, </w:t>
      </w:r>
      <w:r>
        <w:t>incident-response readiness,</w:t>
      </w:r>
      <w:r w:rsidRPr="00BF31DD">
        <w:t xml:space="preserve"> and the ability to limit the impact of cyber events. As a result, automated detection and response capabilities are no longer optional enhancements but core compliance requirements for digitally dependent organisations.</w:t>
      </w:r>
    </w:p>
    <w:p w14:paraId="0D402C1D" w14:textId="77777777" w:rsidR="00BF31DD" w:rsidRPr="00BF31DD" w:rsidRDefault="00BF31DD" w:rsidP="00BF31DD">
      <w:r w:rsidRPr="00BF31DD">
        <w:t>Security Information and Event Management (SIEM) platforms provide centralised visibility across distributed systems by aggregating logs, telemetry and alerts from cloud services, endpoints and identity platforms. However, visibility alone is insufficient to meet regulatory expectations. Manual incident response processes are often too slow to contain modern threats such as ransomware propagation, credential-based attacks and automated exploitation of misconfigured cloud resources. Delays in detection and response can increase regulatory exposure by expanding the scale and severity of incidents that require formal reporting under NIS2 and potentially breach notification under GDPR.</w:t>
      </w:r>
    </w:p>
    <w:p w14:paraId="71E905FC" w14:textId="77777777" w:rsidR="00BF31DD" w:rsidRPr="00BF31DD" w:rsidRDefault="00BF31DD" w:rsidP="00BF31DD">
      <w:r w:rsidRPr="00BF31DD">
        <w:t xml:space="preserve">Endpoint Detection and Response (EDR) systems and cloud-native workload protection platforms enhance compliance by enabling real-time threat detection and automated containment actions. These technologies can isolate compromised devices, revoke suspicious access sessions and block malicious processes without waiting for human </w:t>
      </w:r>
      <w:r w:rsidRPr="00BF31DD">
        <w:lastRenderedPageBreak/>
        <w:t>intervention. By reducing mean time to detect (MTTD) and mean time to respond (MTTR), organisations can significantly limit the operational and regulatory impact of security incidents.</w:t>
      </w:r>
    </w:p>
    <w:p w14:paraId="13979042" w14:textId="77777777" w:rsidR="00BF31DD" w:rsidRPr="00BF31DD" w:rsidRDefault="00BF31DD" w:rsidP="00BF31DD">
      <w:r w:rsidRPr="00BF31DD">
        <w:t>Security Orchestration, Automation and Response (SOAR) platforms further strengthen resilience by coordinating incident workflows, evidence collection and regulatory reporting processes. Automated playbooks can enforce consistent response procedures, capture forensic artefacts and generate audit-ready documentation required to satisfy DORA resilience audits and NIS2 reporting obligations. This automation improves both technical effectiveness and regulatory accountability.</w:t>
      </w:r>
    </w:p>
    <w:p w14:paraId="3885E342" w14:textId="77777777" w:rsidR="00BF31DD" w:rsidRPr="00BF31DD" w:rsidRDefault="00BF31DD" w:rsidP="00BF31DD">
      <w:r w:rsidRPr="00BF31DD">
        <w:t>From a compliance perspective, automated response capabilities also support the principle of demonstrable due diligence. Regulators increasingly expect organisations to prove that appropriate technical and organisational measures are in place to prevent and mitigate cyber risks. Automated detection and response mechanisms provide measurable, auditable controls that can be continuously tested and improved, reinforcing an organisation’s compliance posture.</w:t>
      </w:r>
    </w:p>
    <w:p w14:paraId="036C260F" w14:textId="77777777" w:rsidR="00BF31DD" w:rsidRPr="00BF31DD" w:rsidRDefault="00BF31DD" w:rsidP="00BF31DD">
      <w:r w:rsidRPr="00BF31DD">
        <w:t>In hybrid and cloud-centric environments, where attack surfaces are expansive and dynamic, automated security operations are essential for maintaining continuous compliance. They enable organisations to move beyond reactive incident handling towards proactive resilience management, aligning operational practices with the regulatory expectations established by DORA, NIS2 and GDPR.</w:t>
      </w:r>
    </w:p>
    <w:p w14:paraId="1951694A" w14:textId="77777777" w:rsidR="00BF31DD" w:rsidRDefault="00BF31DD" w:rsidP="00BF31DD"/>
    <w:p w14:paraId="3B87CB84" w14:textId="6FDDD49A" w:rsidR="00BF31DD" w:rsidRDefault="00BF31DD" w:rsidP="00BF31DD">
      <w:pPr>
        <w:pStyle w:val="Heading2"/>
      </w:pPr>
      <w:bookmarkStart w:id="6" w:name="_Toc218521588"/>
      <w:r w:rsidRPr="00BF31DD">
        <w:t>Critical Evaluation of Regulatory Overlap and Practical Limitations</w:t>
      </w:r>
      <w:bookmarkEnd w:id="6"/>
    </w:p>
    <w:p w14:paraId="3221A471" w14:textId="77777777" w:rsidR="00BF31DD" w:rsidRPr="00BF31DD" w:rsidRDefault="00BF31DD" w:rsidP="00BF31DD">
      <w:r w:rsidRPr="00BF31DD">
        <w:t>While GDPR, DORA and NIS2 collectively strengthen the EU’s cybersecurity and resilience posture, their overlapping scopes and differing compliance priorities introduce practical challenges for organisations attempting to implement unified security strategies. Although these frameworks share common principles such as risk management, accountability and incident reporting, they differ in terminology, thresholds and sectoral applicability, creating ambiguity in compliance interpretation and enforcement.</w:t>
      </w:r>
    </w:p>
    <w:p w14:paraId="4FAE5180" w14:textId="0EEB6AE4" w:rsidR="00BF31DD" w:rsidRPr="00BF31DD" w:rsidRDefault="00BF31DD" w:rsidP="00BF31DD">
      <w:r w:rsidRPr="00BF31DD">
        <w:t xml:space="preserve">One limitation arises from the absence of a fully harmonised incident classification model across the three regulations. GDPR requires notification of personal data breaches </w:t>
      </w:r>
      <w:r w:rsidR="00AA4888">
        <w:t xml:space="preserve">likely to result in a </w:t>
      </w:r>
      <w:r w:rsidRPr="00BF31DD">
        <w:t xml:space="preserve">risk to individuals’ rights and freedoms, while NIS2 mandates reporting of significant incidents affecting </w:t>
      </w:r>
      <w:r w:rsidR="00AA4888">
        <w:t>essential</w:t>
      </w:r>
      <w:r w:rsidRPr="00BF31DD">
        <w:t xml:space="preserve"> services. DORA introduces additional resilience and third-party risk reporting requirements for ICT-dependent entities. These differing thresholds can complicate decision-making during active incidents, forcing organisations to interpret multiple regulatory definitions simultaneously while under time pressure.</w:t>
      </w:r>
    </w:p>
    <w:p w14:paraId="6D797C28" w14:textId="77777777" w:rsidR="00BF31DD" w:rsidRPr="00BF31DD" w:rsidRDefault="00BF31DD" w:rsidP="00BF31DD">
      <w:r w:rsidRPr="00BF31DD">
        <w:lastRenderedPageBreak/>
        <w:t>Another challenge lies in the resource demands associated with continuous compliance. Implementing Zero Trust, automated monitoring and resilience testing requires sustained financial investment, skilled personnel and ongoing process maturity. Smaller and fast-growing organisations may struggle to allocate sufficient resources to maintain compliance across all three frameworks, particularly where regulatory expectations exceed their current operational capabilities.</w:t>
      </w:r>
    </w:p>
    <w:p w14:paraId="689CF082" w14:textId="65916B44" w:rsidR="00BF31DD" w:rsidRPr="00BF31DD" w:rsidRDefault="00BF31DD" w:rsidP="00BF31DD">
      <w:r w:rsidRPr="00BF31DD">
        <w:t xml:space="preserve">There are also limitations associated with the evolving nature of AI and cloud technologies. Regulatory guidance often </w:t>
      </w:r>
      <w:r w:rsidR="00CB4A36" w:rsidRPr="00BF31DD">
        <w:t>lags</w:t>
      </w:r>
      <w:r w:rsidRPr="00BF31DD">
        <w:t xml:space="preserve"> technological innovation, leaving organisations to interpret how existing legal requirements apply to emerging risks such as generative AI misuse, model poisoning and algorithmic bias. This uncertainty can create compliance gaps and expose organisations to regulatory risk even when best-effort controls are in place.</w:t>
      </w:r>
    </w:p>
    <w:p w14:paraId="67C38D4E" w14:textId="77777777" w:rsidR="00BF31DD" w:rsidRPr="00BF31DD" w:rsidRDefault="00BF31DD" w:rsidP="00BF31DD">
      <w:r w:rsidRPr="00BF31DD">
        <w:t>Despite these challenges, regulatory overlap also presents an opportunity to rationalise security governance by consolidating compliance controls into unified frameworks. Zero Trust, when combined with automated detection and response and formalised risk governance processes, offers a pragmatic foundation for aligning regulatory expectations into a cohesive operational security strategy.</w:t>
      </w:r>
    </w:p>
    <w:p w14:paraId="5410E09F" w14:textId="77777777" w:rsidR="00BF31DD" w:rsidRDefault="00BF31DD" w:rsidP="00BF31DD">
      <w:r w:rsidRPr="00BF31DD">
        <w:t>However, organisations must remain aware that Zero Trust is not a regulatory silver bullet. Its effectiveness depends on thoughtful design, appropriate tooling, continuous governance oversight and regular resilience testing. Without these supporting mechanisms, Zero Trust implementations risk becoming fragmented or superficial, undermining both security effectiveness and regulatory compliance.</w:t>
      </w:r>
    </w:p>
    <w:p w14:paraId="50E2CBBE" w14:textId="77777777" w:rsidR="00CB4A36" w:rsidRDefault="00CB4A36" w:rsidP="00BF31DD"/>
    <w:p w14:paraId="3EEFEB14" w14:textId="171588A6" w:rsidR="00CB4A36" w:rsidRDefault="00CB4A36" w:rsidP="00CB4A36">
      <w:pPr>
        <w:pStyle w:val="Heading2"/>
      </w:pPr>
      <w:bookmarkStart w:id="7" w:name="_Toc218521589"/>
      <w:r w:rsidRPr="00CB4A36">
        <w:t>Summary and Implications for Modern Enterprises</w:t>
      </w:r>
      <w:bookmarkEnd w:id="7"/>
    </w:p>
    <w:p w14:paraId="5A02DC69" w14:textId="4BF9331A" w:rsidR="00CB4A36" w:rsidRPr="00CB4A36" w:rsidRDefault="00CB4A36" w:rsidP="00CB4A36">
      <w:r w:rsidRPr="00CB4A36">
        <w:t xml:space="preserve">The contemporary regulatory environment within the European Union reflects a strategic shift from reactive cybersecurity obligations towards proactive, resilience-driven governance models. GDPR, DORA and NIS2 collectively extend organisational accountability beyond personal data protection into the broader domains of operational continuity, third-party risk governance and systemic cyber resilience. For modern enterprises operating hybrid and cloud-centric infrastructures, these overlapping requirements demand </w:t>
      </w:r>
      <w:r>
        <w:t>adaptable security architectures that are</w:t>
      </w:r>
      <w:r w:rsidRPr="00CB4A36">
        <w:t xml:space="preserve"> continuously monitored and demonstrably effective.</w:t>
      </w:r>
    </w:p>
    <w:p w14:paraId="3ACE7D0A" w14:textId="77777777" w:rsidR="00CB4A36" w:rsidRPr="00CB4A36" w:rsidRDefault="00CB4A36" w:rsidP="00CB4A36">
      <w:r w:rsidRPr="00CB4A36">
        <w:t xml:space="preserve">This research has shown that traditional perimeter-based security models are increasingly misaligned with both the technical realities of distributed digital ecosystems and the regulatory expectations imposed by modern EU legislation. The rise of hybrid workforces, AI-driven services and cloud-native development pipelines has expanded organisational attack surfaces while simultaneously introducing new </w:t>
      </w:r>
      <w:r w:rsidRPr="00CB4A36">
        <w:lastRenderedPageBreak/>
        <w:t>categories of risk, particularly within digital supply chains and data processing workflows.</w:t>
      </w:r>
    </w:p>
    <w:p w14:paraId="1E9FBAC2" w14:textId="77777777" w:rsidR="00CB4A36" w:rsidRPr="00CB4A36" w:rsidRDefault="00CB4A36" w:rsidP="00CB4A36">
      <w:r w:rsidRPr="00CB4A36">
        <w:t>Zero Trust Architecture emerges as a practical compliance-enabling framework capable of addressing these challenges. By enforcing continuous verification, least-privilege access and automated monitoring across users, devices and workloads, Zero Trust provides a unified foundation for aligning technical controls with regulatory governance requirements. When combined with automated detection and response mechanisms, Zero Trust transforms compliance from a static legal obligation into an active operational capability that strengthens both organisational resilience and regulatory accountability.</w:t>
      </w:r>
    </w:p>
    <w:p w14:paraId="70CC5AF2" w14:textId="77777777" w:rsidR="00CB4A36" w:rsidRPr="00CB4A36" w:rsidRDefault="00CB4A36" w:rsidP="00CB4A36">
      <w:r w:rsidRPr="00CB4A36">
        <w:t>However, the effectiveness of Zero Trust is contingent upon thoughtful implementation, sustained investment and continuous governance oversight. Organisations must critically evaluate regulatory overlaps, technological limitations and operational constraints to ensure that security strategies remain aligned with evolving compliance expectations.</w:t>
      </w:r>
    </w:p>
    <w:p w14:paraId="6AC9F823" w14:textId="77777777" w:rsidR="00CB4A36" w:rsidRDefault="00CB4A36" w:rsidP="00CB4A36">
      <w:r w:rsidRPr="00CB4A36">
        <w:t xml:space="preserve">These findings directly inform the design considerations presented in Task 2, which applies Zero Trust principles and regulatory compliance requirements to the development of a strategic security programme for </w:t>
      </w:r>
      <w:proofErr w:type="spellStart"/>
      <w:r w:rsidRPr="00CB4A36">
        <w:t>ResilientIntellect</w:t>
      </w:r>
      <w:proofErr w:type="spellEnd"/>
      <w:r w:rsidRPr="00CB4A36">
        <w:t xml:space="preserve"> Ltd as it expands into the European Union.</w:t>
      </w:r>
    </w:p>
    <w:p w14:paraId="27C27E7D" w14:textId="77777777" w:rsidR="00CB4A36" w:rsidRDefault="00CB4A36" w:rsidP="00CB4A36"/>
    <w:p w14:paraId="7101D620" w14:textId="77777777" w:rsidR="00CB4A36" w:rsidRDefault="00CB4A36" w:rsidP="00CB4A36"/>
    <w:p w14:paraId="52403244" w14:textId="77777777" w:rsidR="00CB4A36" w:rsidRDefault="00CB4A36" w:rsidP="00CB4A36"/>
    <w:p w14:paraId="24845339" w14:textId="77777777" w:rsidR="00CB4A36" w:rsidRDefault="00CB4A36" w:rsidP="00CB4A36"/>
    <w:p w14:paraId="6616EC1F" w14:textId="77777777" w:rsidR="00CB4A36" w:rsidRDefault="00CB4A36" w:rsidP="00CB4A36"/>
    <w:p w14:paraId="31D7623D" w14:textId="77777777" w:rsidR="00CB4A36" w:rsidRDefault="00CB4A36" w:rsidP="00CB4A36"/>
    <w:p w14:paraId="77DB1930" w14:textId="77777777" w:rsidR="00CB4A36" w:rsidRDefault="00CB4A36" w:rsidP="00CB4A36"/>
    <w:p w14:paraId="738A9B57" w14:textId="77777777" w:rsidR="00CB4A36" w:rsidRDefault="00CB4A36" w:rsidP="00CB4A36"/>
    <w:p w14:paraId="013FBA20" w14:textId="77777777" w:rsidR="00CB4A36" w:rsidRDefault="00CB4A36" w:rsidP="00CB4A36"/>
    <w:p w14:paraId="588C6E01" w14:textId="77777777" w:rsidR="00CB4A36" w:rsidRDefault="00CB4A36" w:rsidP="00CB4A36"/>
    <w:p w14:paraId="21CE81F7" w14:textId="77777777" w:rsidR="00CB4A36" w:rsidRDefault="00CB4A36" w:rsidP="00CB4A36"/>
    <w:p w14:paraId="1CBCE648" w14:textId="77777777" w:rsidR="00CB4A36" w:rsidRDefault="00CB4A36" w:rsidP="00CB4A36"/>
    <w:p w14:paraId="11F219A7" w14:textId="77777777" w:rsidR="00CB4A36" w:rsidRDefault="00CB4A36" w:rsidP="00CB4A36"/>
    <w:p w14:paraId="2B24D842" w14:textId="77777777" w:rsidR="00CB4A36" w:rsidRDefault="00CB4A36" w:rsidP="00CB4A36"/>
    <w:p w14:paraId="0BF3FAD8" w14:textId="5ACAA797" w:rsidR="00CB4A36" w:rsidRDefault="00CB4A36" w:rsidP="00CB4A36">
      <w:pPr>
        <w:pStyle w:val="Heading1"/>
      </w:pPr>
      <w:bookmarkStart w:id="8" w:name="_Toc218521590"/>
      <w:r>
        <w:lastRenderedPageBreak/>
        <w:t>Task 2</w:t>
      </w:r>
      <w:bookmarkEnd w:id="8"/>
    </w:p>
    <w:p w14:paraId="3EFE5C41" w14:textId="5DC493D7" w:rsidR="00CB4A36" w:rsidRDefault="00CB4A36" w:rsidP="00CB4A36">
      <w:pPr>
        <w:pStyle w:val="Heading2"/>
      </w:pPr>
      <w:bookmarkStart w:id="9" w:name="_Toc218521591"/>
      <w:r w:rsidRPr="00CB4A36">
        <w:t>Organisational Context and Security Objectives</w:t>
      </w:r>
      <w:bookmarkEnd w:id="9"/>
    </w:p>
    <w:p w14:paraId="62F80EEF" w14:textId="77777777" w:rsidR="00CB4A36" w:rsidRPr="00CB4A36" w:rsidRDefault="00CB4A36" w:rsidP="00CB4A36">
      <w:proofErr w:type="spellStart"/>
      <w:r w:rsidRPr="00CB4A36">
        <w:t>ResilientIntellect</w:t>
      </w:r>
      <w:proofErr w:type="spellEnd"/>
      <w:r w:rsidRPr="00CB4A36">
        <w:t xml:space="preserve"> Ltd is a rapidly growing threat intelligence and consultancy organisation that develops proprietary AI-driven security analytics software and operates a fully hybrid workforce. Its expansion into the European Union introduces new regulatory, operational and reputational risks, particularly under DORA and NIS2, which require demonstrable ICT resilience, third-party risk governance and timely incident reporting.</w:t>
      </w:r>
    </w:p>
    <w:p w14:paraId="6161C1B6" w14:textId="77777777" w:rsidR="00CB4A36" w:rsidRPr="00CB4A36" w:rsidRDefault="00CB4A36" w:rsidP="00CB4A36">
      <w:r w:rsidRPr="00CB4A36">
        <w:t>The organisation’s reliance on cloud infrastructure, distributed development pipelines and sensitive AI training datasets exposes it to elevated risks related to data confidentiality, software supply chain integrity and service availability. These risks are compounded by the high value of the organisation’s intellectual property, including proprietary algorithms, customer intelligence feeds and source code repositories, which are attractive targets for cybercriminal and nation-state actors.</w:t>
      </w:r>
    </w:p>
    <w:p w14:paraId="7E51499E" w14:textId="77777777" w:rsidR="00CB4A36" w:rsidRPr="00CB4A36" w:rsidRDefault="00CB4A36" w:rsidP="00CB4A36">
      <w:r w:rsidRPr="00CB4A36">
        <w:t xml:space="preserve">The primary objective of the proposed security programme is therefore to establish a Zero-Trust-aligned governance and technical architecture that supports regulatory compliance, strengthens resilience and enables automated detection and response across hybrid operational environments. The programme is designed to embed security governance directly into </w:t>
      </w:r>
      <w:proofErr w:type="spellStart"/>
      <w:r w:rsidRPr="00CB4A36">
        <w:t>ResilientIntellect’s</w:t>
      </w:r>
      <w:proofErr w:type="spellEnd"/>
      <w:r w:rsidRPr="00CB4A36">
        <w:t xml:space="preserve"> organisational structure, development practices and cloud service management, ensuring that regulatory obligations are treated as continuous operational responsibilities rather than periodic audit exercises.</w:t>
      </w:r>
    </w:p>
    <w:p w14:paraId="68C8795A" w14:textId="77777777" w:rsidR="00CB4A36" w:rsidRDefault="00CB4A36" w:rsidP="00CB4A36"/>
    <w:p w14:paraId="276A3CEE" w14:textId="3EFE2564" w:rsidR="00CB4A36" w:rsidRDefault="00CB4A36" w:rsidP="00CB4A36">
      <w:pPr>
        <w:pStyle w:val="Heading2"/>
      </w:pPr>
      <w:bookmarkStart w:id="10" w:name="_Toc218521592"/>
      <w:r w:rsidRPr="00CB4A36">
        <w:t>Organisational Structure and Security Roles</w:t>
      </w:r>
      <w:bookmarkEnd w:id="10"/>
    </w:p>
    <w:p w14:paraId="547EC6CC" w14:textId="77777777" w:rsidR="00CB4A36" w:rsidRPr="00CB4A36" w:rsidRDefault="00CB4A36" w:rsidP="00CB4A36">
      <w:r w:rsidRPr="00CB4A36">
        <w:t xml:space="preserve">To support regulatory accountability and continuous security governance, </w:t>
      </w:r>
      <w:proofErr w:type="spellStart"/>
      <w:r w:rsidRPr="00CB4A36">
        <w:t>ResilientIntellect</w:t>
      </w:r>
      <w:proofErr w:type="spellEnd"/>
      <w:r w:rsidRPr="00CB4A36">
        <w:t xml:space="preserve"> should formalise a security-centric organisational structure that integrates both strategic oversight and operational control. Two critical roles are proposed as mandatory components of the EU unit’s governance model: the Cloud Security Architect and the </w:t>
      </w:r>
      <w:proofErr w:type="spellStart"/>
      <w:r w:rsidRPr="00CB4A36">
        <w:t>DevSecOps</w:t>
      </w:r>
      <w:proofErr w:type="spellEnd"/>
      <w:r w:rsidRPr="00CB4A36">
        <w:t xml:space="preserve"> Lead.</w:t>
      </w:r>
    </w:p>
    <w:p w14:paraId="1E9D6C62" w14:textId="42943D5D" w:rsidR="00CB4A36" w:rsidRPr="00CB4A36" w:rsidRDefault="00CB4A36" w:rsidP="00CB4A36">
      <w:r w:rsidRPr="00CB4A36">
        <w:t>The Cloud Security Architect is responsible for designing and maintaining secure cloud architectures that align with Zero Trust principles and regulatory compliance requirements. This role ensures that cloud workloads, storage services</w:t>
      </w:r>
      <w:r w:rsidR="00AA4888">
        <w:t>, and identity platforms are configured in accordance with least-privilege access, continuous monitoring, and encryption standards mandated by GDPR, DORA,</w:t>
      </w:r>
      <w:r w:rsidR="008A6787">
        <w:t xml:space="preserve"> b v,</w:t>
      </w:r>
      <w:r w:rsidRPr="00CB4A36">
        <w:t xml:space="preserve"> and NIS2. The architect also oversees cloud risk assessments, configuration baselines and resilience testing strategies.</w:t>
      </w:r>
    </w:p>
    <w:p w14:paraId="1853B123" w14:textId="77777777" w:rsidR="00CB4A36" w:rsidRPr="00CB4A36" w:rsidRDefault="00CB4A36" w:rsidP="00CB4A36">
      <w:r w:rsidRPr="00CB4A36">
        <w:lastRenderedPageBreak/>
        <w:t xml:space="preserve">The </w:t>
      </w:r>
      <w:proofErr w:type="spellStart"/>
      <w:r w:rsidRPr="00CB4A36">
        <w:t>DevSecOps</w:t>
      </w:r>
      <w:proofErr w:type="spellEnd"/>
      <w:r w:rsidRPr="00CB4A36">
        <w:t xml:space="preserve"> Lead integrates security controls directly into software development and deployment pipelines. Given </w:t>
      </w:r>
      <w:proofErr w:type="spellStart"/>
      <w:r w:rsidRPr="00CB4A36">
        <w:t>ResilientIntellect’s</w:t>
      </w:r>
      <w:proofErr w:type="spellEnd"/>
      <w:r w:rsidRPr="00CB4A36">
        <w:t xml:space="preserve"> reliance on proprietary AI models and continuous delivery workflows, this role is critical for enforcing secure coding practices, automated vulnerability scanning and dependency governance. The </w:t>
      </w:r>
      <w:proofErr w:type="spellStart"/>
      <w:r w:rsidRPr="00CB4A36">
        <w:t>DevSecOps</w:t>
      </w:r>
      <w:proofErr w:type="spellEnd"/>
      <w:r w:rsidRPr="00CB4A36">
        <w:t xml:space="preserve"> Lead also manages software supply chain risks, including third-party model validation and secure artifact signing, supporting both DORA’s ICT risk governance requirements and NIS2’s emphasis on supply chain security.</w:t>
      </w:r>
    </w:p>
    <w:p w14:paraId="5DBF54C5" w14:textId="3FD2DB2D" w:rsidR="00CB4A36" w:rsidRDefault="00CB4A36" w:rsidP="00CB4A36">
      <w:r w:rsidRPr="00CB4A36">
        <w:t xml:space="preserve">These roles operate within a centralised Security Governance Committee chaired by an executive sponsor to ensure accountability at </w:t>
      </w:r>
      <w:r>
        <w:t xml:space="preserve">the </w:t>
      </w:r>
      <w:r w:rsidRPr="00CB4A36">
        <w:t>board level, as required under NIS2. This committee oversees risk management, policy enforcement, resilience testing and regulatory reporting obligations, embedding cybersecurity governance into corporate decision-making.</w:t>
      </w:r>
    </w:p>
    <w:p w14:paraId="300A73D9" w14:textId="77777777" w:rsidR="00AA4888" w:rsidRDefault="00AA4888" w:rsidP="00CB4A36"/>
    <w:p w14:paraId="6E7DF986" w14:textId="77777777" w:rsidR="00AA4888" w:rsidRDefault="00AA4888" w:rsidP="00CB4A36"/>
    <w:p w14:paraId="631A2C33" w14:textId="77777777" w:rsidR="00AA4888" w:rsidRDefault="00AA4888" w:rsidP="00CB4A36"/>
    <w:p w14:paraId="7323AFFD" w14:textId="77777777" w:rsidR="00AA4888" w:rsidRDefault="00AA4888" w:rsidP="00CB4A36"/>
    <w:p w14:paraId="5A869EA9" w14:textId="77777777" w:rsidR="00AA4888" w:rsidRDefault="00AA4888" w:rsidP="00CB4A36"/>
    <w:p w14:paraId="7E8F2D36" w14:textId="77777777" w:rsidR="00AA4888" w:rsidRDefault="00AA4888" w:rsidP="00CB4A36"/>
    <w:p w14:paraId="374ACC67" w14:textId="77777777" w:rsidR="00AA4888" w:rsidRDefault="00AA4888" w:rsidP="00CB4A36"/>
    <w:p w14:paraId="7A396CCC" w14:textId="77777777" w:rsidR="00AA4888" w:rsidRDefault="00AA4888" w:rsidP="00CB4A36"/>
    <w:p w14:paraId="5F905A39" w14:textId="77777777" w:rsidR="00AA4888" w:rsidRDefault="00AA4888" w:rsidP="00CB4A36"/>
    <w:p w14:paraId="5FF7E57C" w14:textId="77777777" w:rsidR="00AA4888" w:rsidRDefault="00AA4888" w:rsidP="00CB4A36"/>
    <w:p w14:paraId="5D39443E" w14:textId="77777777" w:rsidR="00AA4888" w:rsidRDefault="00AA4888" w:rsidP="00CB4A36"/>
    <w:p w14:paraId="70F5D5F6" w14:textId="77777777" w:rsidR="00AA4888" w:rsidRDefault="00AA4888" w:rsidP="00CB4A36"/>
    <w:p w14:paraId="7DD772D5" w14:textId="77777777" w:rsidR="00AA4888" w:rsidRDefault="00AA4888" w:rsidP="00CB4A36"/>
    <w:p w14:paraId="11F957AC" w14:textId="77777777" w:rsidR="00AA4888" w:rsidRDefault="00AA4888" w:rsidP="00CB4A36"/>
    <w:p w14:paraId="4B8BF73C" w14:textId="77777777" w:rsidR="00AA4888" w:rsidRDefault="00AA4888" w:rsidP="00CB4A36"/>
    <w:p w14:paraId="1EA03001" w14:textId="77777777" w:rsidR="00AA4888" w:rsidRDefault="00AA4888" w:rsidP="00CB4A36"/>
    <w:p w14:paraId="75AB35A1" w14:textId="77777777" w:rsidR="00AA4888" w:rsidRDefault="00AA4888" w:rsidP="00CB4A36"/>
    <w:p w14:paraId="4D1D2121" w14:textId="77777777" w:rsidR="00AA4888" w:rsidRDefault="00AA4888" w:rsidP="00CB4A36"/>
    <w:p w14:paraId="48CD1867" w14:textId="77777777" w:rsidR="00AA4888" w:rsidRDefault="00AA4888" w:rsidP="00CB4A36"/>
    <w:p w14:paraId="31CFFD8F" w14:textId="3CF1F064" w:rsidR="00CB4A36" w:rsidRPr="00CB4A36" w:rsidRDefault="00AA4888" w:rsidP="00AA4888">
      <w:pPr>
        <w:pStyle w:val="Heading2"/>
      </w:pPr>
      <w:bookmarkStart w:id="11" w:name="_Toc218521593"/>
      <w:r w:rsidRPr="00AA4888">
        <w:lastRenderedPageBreak/>
        <w:t>Policies and Procedures for a Zero-Trust Hybrid Enterprise</w:t>
      </w:r>
      <w:bookmarkEnd w:id="11"/>
    </w:p>
    <w:p w14:paraId="3434CDBE" w14:textId="2AACA836" w:rsidR="00CB4A36" w:rsidRDefault="00AA4888" w:rsidP="00CB4A36">
      <w:r w:rsidRPr="00AA4888">
        <w:t xml:space="preserve">To support regulatory compliance and reduce operational risk, </w:t>
      </w:r>
      <w:proofErr w:type="spellStart"/>
      <w:r w:rsidRPr="00AA4888">
        <w:t>ResilientIntellect</w:t>
      </w:r>
      <w:proofErr w:type="spellEnd"/>
      <w:r w:rsidRPr="00AA4888">
        <w:t xml:space="preserve"> must formalise a set of security policies that reflect Zero Trust principles while addressing the realities of a fully hybrid workforce and AI-driven development environment. These policies establish behavioural expectations, technical enforcement requirements and governance accountability structures that align security operations with GDPR, DORA and NIS2 obligations.</w:t>
      </w:r>
    </w:p>
    <w:p w14:paraId="7E589834" w14:textId="77777777" w:rsidR="00AA4888" w:rsidRDefault="00AA4888" w:rsidP="00CB4A36"/>
    <w:p w14:paraId="0973B978" w14:textId="6F5AF9B0" w:rsidR="00AA4888" w:rsidRPr="00CB4A36" w:rsidRDefault="00AA4888" w:rsidP="00AA4888">
      <w:pPr>
        <w:pStyle w:val="Heading3"/>
      </w:pPr>
      <w:bookmarkStart w:id="12" w:name="_Toc218521594"/>
      <w:r w:rsidRPr="00AA4888">
        <w:t>AI Usage Policy</w:t>
      </w:r>
      <w:bookmarkEnd w:id="12"/>
    </w:p>
    <w:p w14:paraId="446FFA59" w14:textId="77777777" w:rsidR="00AA4888" w:rsidRPr="00AA4888" w:rsidRDefault="00AA4888" w:rsidP="00AA4888">
      <w:proofErr w:type="spellStart"/>
      <w:r w:rsidRPr="00AA4888">
        <w:t>ResilientIntellect’s</w:t>
      </w:r>
      <w:proofErr w:type="spellEnd"/>
      <w:r w:rsidRPr="00AA4888">
        <w:t xml:space="preserve"> AI platforms rely heavily on proprietary training datasets and third-party model components, making AI governance a critical regulatory and security concern. The AI Usage Policy should mandate strict controls over data sourcing, model training and deployment practices. All training datasets must be classified, documented and assessed for GDPR compliance to ensure lawful processing of personal data and adherence to data minimisation principles.</w:t>
      </w:r>
    </w:p>
    <w:p w14:paraId="16E40492" w14:textId="52C31314" w:rsidR="00AA4888" w:rsidRDefault="00AA4888" w:rsidP="00AA4888">
      <w:r w:rsidRPr="00AA4888">
        <w:t>The policy should require cryptographic signing and integrity verification of AI models before deployment to prevent model tampering and poisoning attacks. Model versioning and secure storage repositories must be enforced</w:t>
      </w:r>
      <w:r>
        <w:t xml:space="preserve"> to enable</w:t>
      </w:r>
      <w:r w:rsidRPr="00AA4888">
        <w:t xml:space="preserve"> traceability and rollback capabilities that support DORA’s resilience testing and NIS2’s incident response requirements. Additionally, access to training pipelines and model artefacts must be restricted through </w:t>
      </w:r>
      <w:proofErr w:type="gramStart"/>
      <w:r>
        <w:t>role-based</w:t>
      </w:r>
      <w:proofErr w:type="gramEnd"/>
      <w:r w:rsidRPr="00AA4888">
        <w:t xml:space="preserve"> Zero Trust access controls and monitored continuously for anomalous behaviour.</w:t>
      </w:r>
    </w:p>
    <w:p w14:paraId="58FE2F8F" w14:textId="77777777" w:rsidR="00AA4888" w:rsidRDefault="00AA4888" w:rsidP="00AA4888"/>
    <w:p w14:paraId="6BDBF268" w14:textId="012B4F45" w:rsidR="00AA4888" w:rsidRDefault="00AA4888" w:rsidP="00AA4888">
      <w:pPr>
        <w:pStyle w:val="Heading3"/>
      </w:pPr>
      <w:bookmarkStart w:id="13" w:name="_Toc218521595"/>
      <w:r w:rsidRPr="00AA4888">
        <w:t>Secure SaaS Configuration Policy</w:t>
      </w:r>
      <w:bookmarkEnd w:id="13"/>
    </w:p>
    <w:p w14:paraId="4EB9E90E" w14:textId="150FD5E0" w:rsidR="00AA4888" w:rsidRPr="00AA4888" w:rsidRDefault="00AA4888" w:rsidP="00AA4888">
      <w:r w:rsidRPr="00AA4888">
        <w:t>Given the organisation’s reliance on cloud-based development, collaboration</w:t>
      </w:r>
      <w:r>
        <w:t xml:space="preserve">, and analytics platforms, </w:t>
      </w:r>
      <w:proofErr w:type="spellStart"/>
      <w:r>
        <w:t>ResilientIntellect</w:t>
      </w:r>
      <w:proofErr w:type="spellEnd"/>
      <w:r>
        <w:t xml:space="preserve"> must adopt a Secure SaaS Configuration Policy to enforce</w:t>
      </w:r>
      <w:r w:rsidRPr="00AA4888">
        <w:t xml:space="preserve"> baseline security standards across all cloud services. This policy mandates secure identity federation, least-privilege role assignments and continuous configuration monitoring to prevent misconfigurations that could lead to regulatory breaches.</w:t>
      </w:r>
    </w:p>
    <w:p w14:paraId="4D2E95D4" w14:textId="7BFEDA66" w:rsidR="00AA4888" w:rsidRDefault="00AA4888" w:rsidP="00AA4888">
      <w:r w:rsidRPr="00AA4888">
        <w:t>Cloud storage services must enforce encryption at rest and in transit, logging must be centralised into a SIEM platform</w:t>
      </w:r>
      <w:r>
        <w:t>,</w:t>
      </w:r>
      <w:r w:rsidRPr="00AA4888">
        <w:t xml:space="preserve"> and administrative privileges must be limited to authorised roles only. Automated configuration compliance tools should be deployed to continuously validate cloud security posture and generate audit evidence required under DORA and NIS2.</w:t>
      </w:r>
    </w:p>
    <w:p w14:paraId="4CD7656C" w14:textId="289FF9F5" w:rsidR="00AA4888" w:rsidRDefault="00AA4888" w:rsidP="00AA4888">
      <w:pPr>
        <w:pStyle w:val="Heading3"/>
      </w:pPr>
      <w:bookmarkStart w:id="14" w:name="_Toc218521596"/>
      <w:r w:rsidRPr="00AA4888">
        <w:lastRenderedPageBreak/>
        <w:t>Bring Your Own Device (BYOD) Policy</w:t>
      </w:r>
      <w:bookmarkEnd w:id="14"/>
    </w:p>
    <w:p w14:paraId="3D8AAD58" w14:textId="77777777" w:rsidR="00AA4888" w:rsidRPr="00AA4888" w:rsidRDefault="00AA4888" w:rsidP="00AA4888">
      <w:r w:rsidRPr="00AA4888">
        <w:t xml:space="preserve">To support the hybrid workforce while maintaining regulatory compliance, </w:t>
      </w:r>
      <w:proofErr w:type="spellStart"/>
      <w:r w:rsidRPr="00AA4888">
        <w:t>ResilientIntellect</w:t>
      </w:r>
      <w:proofErr w:type="spellEnd"/>
      <w:r w:rsidRPr="00AA4888">
        <w:t xml:space="preserve"> must implement a structured BYOD policy aligned with Zero Trust principles. Personal devices accessing organisational resources must be enrolled into endpoint management platforms, enforce disk encryption, support phishing-resistant multi-factor authentication and comply with defined security baselines.</w:t>
      </w:r>
    </w:p>
    <w:p w14:paraId="0C28E56F" w14:textId="77777777" w:rsidR="00AA4888" w:rsidRDefault="00AA4888" w:rsidP="00AA4888">
      <w:r w:rsidRPr="00AA4888">
        <w:t>Access to sensitive data and development environments must be conditional on device posture validation, and remote wipe capabilities must be implemented to protect organisational data in the event of device loss or compromise. These controls reduce the risk of data leakage, support GDPR accountability requirements and strengthen the organisation’s resilience posture under DORA and NIS2.</w:t>
      </w:r>
    </w:p>
    <w:p w14:paraId="26B5F86A" w14:textId="77777777" w:rsidR="008A6787" w:rsidRDefault="008A6787" w:rsidP="00AA4888"/>
    <w:p w14:paraId="41DB8BDB" w14:textId="77777777" w:rsidR="008A6787" w:rsidRDefault="008A6787" w:rsidP="00AA4888"/>
    <w:p w14:paraId="43DA9F4C" w14:textId="77777777" w:rsidR="008A6787" w:rsidRDefault="008A6787" w:rsidP="00AA4888"/>
    <w:p w14:paraId="59BF3C10" w14:textId="77777777" w:rsidR="008A6787" w:rsidRDefault="008A6787" w:rsidP="00AA4888"/>
    <w:p w14:paraId="1E36AEF0" w14:textId="77777777" w:rsidR="008A6787" w:rsidRDefault="008A6787" w:rsidP="00AA4888"/>
    <w:p w14:paraId="1E7D4B0B" w14:textId="77777777" w:rsidR="008A6787" w:rsidRDefault="008A6787" w:rsidP="00AA4888"/>
    <w:p w14:paraId="7A1E5F87" w14:textId="77777777" w:rsidR="008A6787" w:rsidRDefault="008A6787" w:rsidP="00AA4888"/>
    <w:p w14:paraId="10349343" w14:textId="77777777" w:rsidR="008A6787" w:rsidRDefault="008A6787" w:rsidP="00AA4888"/>
    <w:p w14:paraId="078ACBC7" w14:textId="77777777" w:rsidR="008A6787" w:rsidRDefault="008A6787" w:rsidP="00AA4888"/>
    <w:p w14:paraId="20BD5C0E" w14:textId="77777777" w:rsidR="008A6787" w:rsidRDefault="008A6787" w:rsidP="00AA4888"/>
    <w:p w14:paraId="471EC117" w14:textId="77777777" w:rsidR="008A6787" w:rsidRDefault="008A6787" w:rsidP="00AA4888"/>
    <w:p w14:paraId="636C518B" w14:textId="77777777" w:rsidR="008A6787" w:rsidRDefault="008A6787" w:rsidP="00AA4888"/>
    <w:p w14:paraId="71D0E390" w14:textId="77777777" w:rsidR="008A6787" w:rsidRDefault="008A6787" w:rsidP="00AA4888"/>
    <w:p w14:paraId="08F70780" w14:textId="77777777" w:rsidR="008A6787" w:rsidRDefault="008A6787" w:rsidP="00AA4888"/>
    <w:p w14:paraId="56466DBB" w14:textId="77777777" w:rsidR="008A6787" w:rsidRDefault="008A6787" w:rsidP="00AA4888"/>
    <w:p w14:paraId="195AD02C" w14:textId="77777777" w:rsidR="008A6787" w:rsidRDefault="008A6787" w:rsidP="00AA4888"/>
    <w:p w14:paraId="74DD6FFB" w14:textId="77777777" w:rsidR="008A6787" w:rsidRDefault="008A6787" w:rsidP="00AA4888"/>
    <w:p w14:paraId="0C542675" w14:textId="77777777" w:rsidR="008A6787" w:rsidRDefault="008A6787" w:rsidP="00AA4888"/>
    <w:p w14:paraId="43A057EB" w14:textId="77777777" w:rsidR="008A6787" w:rsidRDefault="008A6787" w:rsidP="00AA4888"/>
    <w:p w14:paraId="01EB1161" w14:textId="029C37BC" w:rsidR="008A6787" w:rsidRDefault="008A6787" w:rsidP="008A6787">
      <w:pPr>
        <w:pStyle w:val="Heading2"/>
      </w:pPr>
      <w:r w:rsidRPr="008A6787">
        <w:lastRenderedPageBreak/>
        <w:t>Compliance Mapping to DORA and NIS2 Requirements</w:t>
      </w:r>
    </w:p>
    <w:p w14:paraId="58DFF127" w14:textId="77777777" w:rsidR="008A6787" w:rsidRPr="008A6787" w:rsidRDefault="008A6787" w:rsidP="008A6787">
      <w:proofErr w:type="spellStart"/>
      <w:r w:rsidRPr="008A6787">
        <w:t>ResilientIntellect’s</w:t>
      </w:r>
      <w:proofErr w:type="spellEnd"/>
      <w:r w:rsidRPr="008A6787">
        <w:t xml:space="preserve"> expansion into the European Union requires demonstrable compliance with both DORA’s operational resilience obligations and NIS2’s cybersecurity governance and incident reporting requirements. The proposed Zero Trust security programme directly supports these regulatory frameworks by embedding resilience, monitoring and accountability into daily operational practices.</w:t>
      </w:r>
    </w:p>
    <w:p w14:paraId="22334B86" w14:textId="77777777" w:rsidR="008A6787" w:rsidRPr="008A6787" w:rsidRDefault="008A6787" w:rsidP="008A6787">
      <w:r w:rsidRPr="008A6787">
        <w:t>DORA mandates that ICT-dependent organisations implement formal ICT risk management frameworks, conduct regular resilience testing and maintain comprehensive third-party risk governance. The organisation’s Zero Trust architecture enables continuous monitoring of access activity, system configurations and workload integrity across hybrid environments. Automated detection and response mechanisms reduce the likelihood of systemic failures and provide measurable resilience indicators, supporting DORA’s emphasis on proactive resilience management rather than reactive remediation.</w:t>
      </w:r>
    </w:p>
    <w:p w14:paraId="24E50BCE" w14:textId="77777777" w:rsidR="008A6787" w:rsidRPr="008A6787" w:rsidRDefault="008A6787" w:rsidP="008A6787">
      <w:r w:rsidRPr="008A6787">
        <w:t xml:space="preserve">The integration of </w:t>
      </w:r>
      <w:proofErr w:type="spellStart"/>
      <w:r w:rsidRPr="008A6787">
        <w:t>DevSecOps</w:t>
      </w:r>
      <w:proofErr w:type="spellEnd"/>
      <w:r w:rsidRPr="008A6787">
        <w:t xml:space="preserve"> pipelines and software supply chain governance directly addresses DORA’s requirements for managing third-party ICT risks. Dependency validation, secure artifact signing and continuous vulnerability scanning enable </w:t>
      </w:r>
      <w:proofErr w:type="spellStart"/>
      <w:r w:rsidRPr="008A6787">
        <w:t>ResilientIntellect</w:t>
      </w:r>
      <w:proofErr w:type="spellEnd"/>
      <w:r w:rsidRPr="008A6787">
        <w:t xml:space="preserve"> to demonstrate control over its development ecosystem, mitigating risks related to compromised libraries, poisoned AI models and unauthorised code modifications.</w:t>
      </w:r>
    </w:p>
    <w:p w14:paraId="02029330" w14:textId="44B169DC" w:rsidR="008A6787" w:rsidRPr="008A6787" w:rsidRDefault="008A6787" w:rsidP="008A6787">
      <w:r w:rsidRPr="008A6787">
        <w:t xml:space="preserve">NIS2 expands cybersecurity obligations across </w:t>
      </w:r>
      <w:r>
        <w:t>critical</w:t>
      </w:r>
      <w:r w:rsidRPr="008A6787">
        <w:t xml:space="preserve"> entities, requiring executive accountability, formal risk management frameworks</w:t>
      </w:r>
      <w:r>
        <w:t>, and strict incident-reporting</w:t>
      </w:r>
      <w:r w:rsidRPr="008A6787">
        <w:t xml:space="preserve"> timelines. The proposed governance structure, including a centralised Security Governance Committee chaired by an executive sponsor, ensures board-level accountability for cybersecurity strategy and compliance oversight.</w:t>
      </w:r>
    </w:p>
    <w:p w14:paraId="37D55881" w14:textId="77777777" w:rsidR="008A6787" w:rsidRPr="008A6787" w:rsidRDefault="008A6787" w:rsidP="008A6787">
      <w:r w:rsidRPr="008A6787">
        <w:t>Centralised SIEM, EDR and SOAR platforms provide the visibility and automation necessary to detect significant incidents and support timely escalation and reporting. Automated playbooks enable the rapid generation of forensic evidence and compliance documentation required to fulfil NIS2’s reporting obligations, reducing operational overhead and minimising the risk of non-compliance.</w:t>
      </w:r>
    </w:p>
    <w:p w14:paraId="0EB10BF5" w14:textId="77777777" w:rsidR="008A6787" w:rsidRPr="008A6787" w:rsidRDefault="008A6787" w:rsidP="008A6787">
      <w:r w:rsidRPr="008A6787">
        <w:t xml:space="preserve">Together, these controls ensure that </w:t>
      </w:r>
      <w:proofErr w:type="spellStart"/>
      <w:r w:rsidRPr="008A6787">
        <w:t>ResilientIntellect’s</w:t>
      </w:r>
      <w:proofErr w:type="spellEnd"/>
      <w:r w:rsidRPr="008A6787">
        <w:t xml:space="preserve"> security posture is continuously validated, auditable and resilient, aligning operational practices with evolving EU regulatory expectations.</w:t>
      </w:r>
    </w:p>
    <w:p w14:paraId="78066A14" w14:textId="77777777" w:rsidR="008A6787" w:rsidRPr="00AA4888" w:rsidRDefault="008A6787" w:rsidP="00AA4888"/>
    <w:p w14:paraId="7BB7A49D" w14:textId="77777777" w:rsidR="00AA4888" w:rsidRPr="00AA4888" w:rsidRDefault="00AA4888" w:rsidP="00AA4888"/>
    <w:p w14:paraId="0A0A70C5" w14:textId="77777777" w:rsidR="00AA4888" w:rsidRPr="00AA4888" w:rsidRDefault="00AA4888" w:rsidP="00AA4888"/>
    <w:p w14:paraId="77ACCD6B" w14:textId="3FF12E22" w:rsidR="00BF31DD" w:rsidRDefault="008A6787" w:rsidP="008A6787">
      <w:pPr>
        <w:pStyle w:val="Heading2"/>
      </w:pPr>
      <w:r w:rsidRPr="008A6787">
        <w:lastRenderedPageBreak/>
        <w:t>Risk Management: Software Supply Chain and Cloud Misconfiguration</w:t>
      </w:r>
    </w:p>
    <w:p w14:paraId="5B0C4A4D" w14:textId="1BFC89FF" w:rsidR="008A6787" w:rsidRPr="008A6787" w:rsidRDefault="008A6787" w:rsidP="008A6787">
      <w:proofErr w:type="spellStart"/>
      <w:r w:rsidRPr="008A6787">
        <w:t>ResilientIntellect’s</w:t>
      </w:r>
      <w:proofErr w:type="spellEnd"/>
      <w:r w:rsidRPr="008A6787">
        <w:t xml:space="preserve"> reliance on proprietary AI models, continuous development pipelines</w:t>
      </w:r>
      <w:r>
        <w:t>,</w:t>
      </w:r>
      <w:r w:rsidRPr="008A6787">
        <w:t xml:space="preserve"> and cloud-native infrastructure introduces elevated risks within its digital supply chain and configuration management processes. These risks have direct regulatory implications under DORA and NIS2, which both emphasise third-party risk governance and proactive risk management practices.</w:t>
      </w:r>
    </w:p>
    <w:p w14:paraId="018B5D32" w14:textId="7684A8A1" w:rsidR="008A6787" w:rsidRPr="008A6787" w:rsidRDefault="008A6787" w:rsidP="008A6787">
      <w:r w:rsidRPr="008A6787">
        <w:t xml:space="preserve">Software supply chain risks </w:t>
      </w:r>
      <w:r>
        <w:t xml:space="preserve">pose a critical threat vector, particularly in </w:t>
      </w:r>
      <w:r w:rsidRPr="008A6787">
        <w:t xml:space="preserve">AI development. Compromised open-source libraries, poisoned training datasets and malicious pre-trained models can undermine the integrity and reliability of </w:t>
      </w:r>
      <w:proofErr w:type="spellStart"/>
      <w:r w:rsidRPr="008A6787">
        <w:t>ResilientIntellect’s</w:t>
      </w:r>
      <w:proofErr w:type="spellEnd"/>
      <w:r w:rsidRPr="008A6787">
        <w:t xml:space="preserve"> threat intelligence platforms. Such attacks may lead to incorrect threat analysis outputs, data leakage or systemic service failures, exposing the organisation to regulatory scrutiny and reputational damage.</w:t>
      </w:r>
    </w:p>
    <w:p w14:paraId="5A82E5E2" w14:textId="74377AC9" w:rsidR="008A6787" w:rsidRPr="008A6787" w:rsidRDefault="008A6787" w:rsidP="008A6787">
      <w:r w:rsidRPr="008A6787">
        <w:t xml:space="preserve">To mitigate these risks, </w:t>
      </w:r>
      <w:proofErr w:type="spellStart"/>
      <w:r w:rsidRPr="008A6787">
        <w:t>ResilientIntellect</w:t>
      </w:r>
      <w:proofErr w:type="spellEnd"/>
      <w:r w:rsidRPr="008A6787">
        <w:t xml:space="preserve"> should implement dependency verification frameworks that enforce cryptographic signing of software artefacts, </w:t>
      </w:r>
      <w:r w:rsidR="00F32341">
        <w:t xml:space="preserve">as well as </w:t>
      </w:r>
      <w:r w:rsidRPr="008A6787">
        <w:t xml:space="preserve">continuous vulnerability scanning and version control integrity monitoring. Third-party AI models must undergo validation and sandbox testing </w:t>
      </w:r>
      <w:r>
        <w:t>before</w:t>
      </w:r>
      <w:r w:rsidRPr="008A6787">
        <w:t xml:space="preserve"> deployment, and training datasets should be </w:t>
      </w:r>
      <w:r>
        <w:t xml:space="preserve">assessed for data integrity and bias to ensure </w:t>
      </w:r>
      <w:r w:rsidRPr="008A6787">
        <w:t>security and ethical compliance.</w:t>
      </w:r>
    </w:p>
    <w:p w14:paraId="6AB9FB12" w14:textId="77777777" w:rsidR="008A6787" w:rsidRPr="008A6787" w:rsidRDefault="008A6787" w:rsidP="008A6787">
      <w:r w:rsidRPr="008A6787">
        <w:t>Cloud misconfiguration remains another persistent source of regulatory breaches across hybrid enterprises. Overly permissive access roles, publicly exposed storage buckets and misconfigured APIs can result in unauthorised data access, violating GDPR data protection obligations and triggering NIS2 reporting requirements. Continuous cloud posture management tools should be deployed to automatically detect and remediate configuration drift, enforce encryption policies and validate identity governance controls across all cloud services.</w:t>
      </w:r>
    </w:p>
    <w:p w14:paraId="7BE1E363" w14:textId="77777777" w:rsidR="008A6787" w:rsidRPr="008A6787" w:rsidRDefault="008A6787" w:rsidP="008A6787">
      <w:r w:rsidRPr="008A6787">
        <w:t>Risk assessments must be conducted regularly to evaluate the impact and likelihood of supply chain compromises and misconfiguration exposures. These assessments should feed into the organisation’s Security Governance Committee, ensuring that risk treatment strategies remain aligned with evolving operational and regulatory contexts.</w:t>
      </w:r>
    </w:p>
    <w:p w14:paraId="2CD49B7E" w14:textId="77777777" w:rsidR="008A6787" w:rsidRPr="008A6787" w:rsidRDefault="008A6787" w:rsidP="008A6787"/>
    <w:p w14:paraId="331B1863" w14:textId="6DE2079E" w:rsidR="00BC78C5" w:rsidRDefault="00BC78C5"/>
    <w:p w14:paraId="560C2354" w14:textId="77777777" w:rsidR="008A6787" w:rsidRDefault="008A6787"/>
    <w:p w14:paraId="5C2B81AB" w14:textId="77777777" w:rsidR="008A6787" w:rsidRDefault="008A6787"/>
    <w:p w14:paraId="6CF96555" w14:textId="77777777" w:rsidR="008A6787" w:rsidRDefault="008A6787"/>
    <w:p w14:paraId="4D715B06" w14:textId="77777777" w:rsidR="008A6787" w:rsidRDefault="008A6787"/>
    <w:p w14:paraId="74468930" w14:textId="13F4B633" w:rsidR="008A6787" w:rsidRDefault="008A6787" w:rsidP="008A6787">
      <w:pPr>
        <w:pStyle w:val="Heading2"/>
      </w:pPr>
      <w:r w:rsidRPr="008A6787">
        <w:lastRenderedPageBreak/>
        <w:t>Risk Management: Software Supply Chain and Cloud Misconfiguration</w:t>
      </w:r>
    </w:p>
    <w:p w14:paraId="2CB039A4" w14:textId="5B517C6D" w:rsidR="008A6787" w:rsidRPr="008A6787" w:rsidRDefault="008A6787" w:rsidP="008A6787">
      <w:proofErr w:type="spellStart"/>
      <w:r w:rsidRPr="008A6787">
        <w:t>ResilientIntellect’s</w:t>
      </w:r>
      <w:proofErr w:type="spellEnd"/>
      <w:r w:rsidRPr="008A6787">
        <w:t xml:space="preserve"> reliance on proprietary AI models, continuous development pipelines</w:t>
      </w:r>
      <w:r w:rsidR="0090634C">
        <w:t>,</w:t>
      </w:r>
      <w:r w:rsidRPr="008A6787">
        <w:t xml:space="preserve"> and cloud-native infrastructure introduces elevated risks within its digital supply chain and configuration management processes. These risks have direct regulatory implications under DORA and NIS2, which both emphasise third-party risk governance and proactive risk management practices.</w:t>
      </w:r>
    </w:p>
    <w:p w14:paraId="7FA00E68" w14:textId="2DF3812B" w:rsidR="008A6787" w:rsidRPr="008A6787" w:rsidRDefault="008A6787" w:rsidP="008A6787">
      <w:r w:rsidRPr="008A6787">
        <w:t xml:space="preserve">Software supply chain risks </w:t>
      </w:r>
      <w:r>
        <w:t xml:space="preserve">pose a critical threat vector, particularly in </w:t>
      </w:r>
      <w:r w:rsidRPr="008A6787">
        <w:t xml:space="preserve">AI development. Compromised open-source libraries, poisoned training datasets and malicious pre-trained models can undermine the integrity and reliability of </w:t>
      </w:r>
      <w:proofErr w:type="spellStart"/>
      <w:r w:rsidRPr="008A6787">
        <w:t>ResilientIntellect’s</w:t>
      </w:r>
      <w:proofErr w:type="spellEnd"/>
      <w:r w:rsidRPr="008A6787">
        <w:t xml:space="preserve"> threat intelligence platforms. Such attacks may lead to incorrect threat analysis outputs, data leakage or systemic service failures, exposing the organisation to regulatory scrutiny and reputational damage.</w:t>
      </w:r>
    </w:p>
    <w:p w14:paraId="3A55B713" w14:textId="39D5B7E5" w:rsidR="008A6787" w:rsidRPr="008A6787" w:rsidRDefault="008A6787" w:rsidP="008A6787">
      <w:r w:rsidRPr="008A6787">
        <w:t xml:space="preserve">To mitigate these risks, </w:t>
      </w:r>
      <w:proofErr w:type="spellStart"/>
      <w:r w:rsidRPr="008A6787">
        <w:t>ResilientIntellect</w:t>
      </w:r>
      <w:proofErr w:type="spellEnd"/>
      <w:r w:rsidRPr="008A6787">
        <w:t xml:space="preserve"> should implement dependency verification frameworks that enforce cryptographic signing of software artefacts, </w:t>
      </w:r>
      <w:r w:rsidR="00F32341">
        <w:t xml:space="preserve">as well as </w:t>
      </w:r>
      <w:r w:rsidRPr="008A6787">
        <w:t xml:space="preserve">continuous vulnerability scanning and version control integrity monitoring. Third-party AI models must undergo validation and sandbox testing </w:t>
      </w:r>
      <w:r>
        <w:t>before</w:t>
      </w:r>
      <w:r w:rsidRPr="008A6787">
        <w:t xml:space="preserve"> deployment, and training datasets should be </w:t>
      </w:r>
      <w:r>
        <w:t xml:space="preserve">assessed for data integrity and bias to ensure </w:t>
      </w:r>
      <w:r w:rsidRPr="008A6787">
        <w:t>security and ethical compliance.</w:t>
      </w:r>
    </w:p>
    <w:p w14:paraId="055D2128" w14:textId="77777777" w:rsidR="008A6787" w:rsidRPr="008A6787" w:rsidRDefault="008A6787" w:rsidP="008A6787">
      <w:r w:rsidRPr="008A6787">
        <w:t>Cloud misconfiguration remains another persistent source of regulatory breaches across hybrid enterprises. Overly permissive access roles, publicly exposed storage buckets and misconfigured APIs can result in unauthorised data access, violating GDPR data protection obligations and triggering NIS2 reporting requirements. Continuous cloud posture management tools should be deployed to automatically detect and remediate configuration drift, enforce encryption policies and validate identity governance controls across all cloud services.</w:t>
      </w:r>
    </w:p>
    <w:p w14:paraId="60CDB96C" w14:textId="77777777" w:rsidR="008A6787" w:rsidRPr="008A6787" w:rsidRDefault="008A6787" w:rsidP="008A6787">
      <w:r w:rsidRPr="008A6787">
        <w:t>Risk assessments must be conducted regularly to evaluate the impact and likelihood of supply chain compromises and misconfiguration exposures. These assessments should feed into the organisation’s Security Governance Committee, ensuring that risk treatment strategies remain aligned with evolving operational and regulatory contexts.</w:t>
      </w:r>
    </w:p>
    <w:p w14:paraId="02213565" w14:textId="77777777" w:rsidR="008A6787" w:rsidRDefault="008A6787" w:rsidP="008A6787"/>
    <w:p w14:paraId="37DA1CF6" w14:textId="77777777" w:rsidR="0090634C" w:rsidRDefault="0090634C" w:rsidP="008A6787"/>
    <w:p w14:paraId="21B04023" w14:textId="77777777" w:rsidR="0090634C" w:rsidRDefault="0090634C" w:rsidP="008A6787"/>
    <w:p w14:paraId="6DFC09E6" w14:textId="77777777" w:rsidR="0090634C" w:rsidRDefault="0090634C" w:rsidP="008A6787"/>
    <w:p w14:paraId="2BD3B92D" w14:textId="77777777" w:rsidR="0090634C" w:rsidRDefault="0090634C" w:rsidP="008A6787"/>
    <w:p w14:paraId="198DBC5F" w14:textId="77777777" w:rsidR="0090634C" w:rsidRDefault="0090634C" w:rsidP="008A6787"/>
    <w:p w14:paraId="6CB51D21" w14:textId="6974B680" w:rsidR="0090634C" w:rsidRDefault="0090634C" w:rsidP="0090634C">
      <w:pPr>
        <w:pStyle w:val="Heading2"/>
      </w:pPr>
      <w:r w:rsidRPr="0090634C">
        <w:lastRenderedPageBreak/>
        <w:t>Contingency Planning: Disaster Recovery for Ransomware Attacks</w:t>
      </w:r>
    </w:p>
    <w:p w14:paraId="0444526D" w14:textId="77777777" w:rsidR="0090634C" w:rsidRPr="0090634C" w:rsidRDefault="0090634C" w:rsidP="0090634C">
      <w:r w:rsidRPr="0090634C">
        <w:t xml:space="preserve">Ransomware poses a severe operational and regulatory threat to </w:t>
      </w:r>
      <w:proofErr w:type="spellStart"/>
      <w:r w:rsidRPr="0090634C">
        <w:t>ResilientIntellect</w:t>
      </w:r>
      <w:proofErr w:type="spellEnd"/>
      <w:r w:rsidRPr="0090634C">
        <w:t xml:space="preserve"> due to the critical value of its AI training data, proprietary source code repositories and customer intelligence platforms. A successful ransomware attack could significantly disrupt service delivery, compromise regulatory compliance and damage organisational reputation. DORA explicitly requires organisations to implement and regularly test disaster recovery and business continuity plans to ensure ICT resilience in the face of severe cyber incidents.</w:t>
      </w:r>
    </w:p>
    <w:p w14:paraId="4C1AD505" w14:textId="77777777" w:rsidR="0090634C" w:rsidRPr="0090634C" w:rsidRDefault="0090634C" w:rsidP="0090634C">
      <w:r w:rsidRPr="0090634C">
        <w:t>The proposed disaster recovery strategy adopts a Zero-Trust-aligned resilience model that prioritises data integrity, rapid service restoration and regulatory accountability. All critical data assets, including AI training datasets, model artefacts and source code repositories, must be backed up using immutable, offline-capable storage solutions. Backups should be encrypted, geographically distributed and protected by strict access controls to prevent tampering or unauthorised deletion.</w:t>
      </w:r>
    </w:p>
    <w:p w14:paraId="3C6B0E36" w14:textId="77777777" w:rsidR="0090634C" w:rsidRPr="0090634C" w:rsidRDefault="0090634C" w:rsidP="0090634C">
      <w:r w:rsidRPr="0090634C">
        <w:t>Automated backup validation processes should be implemented to ensure the integrity and recoverability of stored data. Regular resilience testing exercises must simulate ransomware scenarios to verify recovery time objectives (RTOs) and recovery point objectives (RPOs), as mandated under DORA.</w:t>
      </w:r>
    </w:p>
    <w:p w14:paraId="720D0EF2" w14:textId="77777777" w:rsidR="0090634C" w:rsidRPr="0090634C" w:rsidRDefault="0090634C" w:rsidP="0090634C">
      <w:r w:rsidRPr="0090634C">
        <w:t>In the event of a ransomware incident, automated response workflows must immediately isolate compromised endpoints, revoke suspicious access sessions and preserve forensic evidence for regulatory reporting. Clean environments should be provisioned automatically using infrastructure-as-code templates, allowing secure restoration of AI development pipelines and production services.</w:t>
      </w:r>
    </w:p>
    <w:p w14:paraId="7A03583D" w14:textId="429AC9A8" w:rsidR="0090634C" w:rsidRDefault="0090634C" w:rsidP="0090634C">
      <w:r w:rsidRPr="0090634C">
        <w:t xml:space="preserve">This disaster recovery framework ensures that </w:t>
      </w:r>
      <w:proofErr w:type="spellStart"/>
      <w:r w:rsidRPr="0090634C">
        <w:t>ResilientIntellect</w:t>
      </w:r>
      <w:proofErr w:type="spellEnd"/>
      <w:r w:rsidRPr="0090634C">
        <w:t xml:space="preserve"> can maintain service continuity, meet regulatory recovery expectations</w:t>
      </w:r>
      <w:r>
        <w:t>, and demonstrate operational resilience through measurable, auditable means.</w:t>
      </w:r>
    </w:p>
    <w:p w14:paraId="30A08FB9" w14:textId="77777777" w:rsidR="0090634C" w:rsidRDefault="0090634C" w:rsidP="0090634C"/>
    <w:p w14:paraId="646FCC7D" w14:textId="77777777" w:rsidR="0090634C" w:rsidRDefault="0090634C" w:rsidP="0090634C"/>
    <w:p w14:paraId="448896F1" w14:textId="77777777" w:rsidR="0090634C" w:rsidRDefault="0090634C" w:rsidP="0090634C"/>
    <w:p w14:paraId="4EAB4499" w14:textId="77777777" w:rsidR="0090634C" w:rsidRDefault="0090634C" w:rsidP="0090634C"/>
    <w:p w14:paraId="37E854B1" w14:textId="77777777" w:rsidR="0090634C" w:rsidRDefault="0090634C" w:rsidP="0090634C"/>
    <w:p w14:paraId="67D76D34" w14:textId="77777777" w:rsidR="0090634C" w:rsidRDefault="0090634C" w:rsidP="0090634C"/>
    <w:p w14:paraId="6E88DC73" w14:textId="77777777" w:rsidR="0090634C" w:rsidRDefault="0090634C" w:rsidP="0090634C"/>
    <w:p w14:paraId="663BA31C" w14:textId="77777777" w:rsidR="0090634C" w:rsidRDefault="0090634C" w:rsidP="0090634C"/>
    <w:p w14:paraId="3EAFED39" w14:textId="52C5344B" w:rsidR="0090634C" w:rsidRDefault="0090634C" w:rsidP="0090634C">
      <w:pPr>
        <w:pStyle w:val="Heading2"/>
      </w:pPr>
      <w:r w:rsidRPr="0090634C">
        <w:lastRenderedPageBreak/>
        <w:t>Protection Mechanisms and Automated Control Framework</w:t>
      </w:r>
    </w:p>
    <w:p w14:paraId="6C0DA5C1" w14:textId="77777777" w:rsidR="0090634C" w:rsidRPr="0090634C" w:rsidRDefault="0090634C" w:rsidP="0090634C">
      <w:r w:rsidRPr="0090634C">
        <w:t xml:space="preserve">To operationalise Zero Trust principles and meet regulatory resilience obligations, </w:t>
      </w:r>
      <w:proofErr w:type="spellStart"/>
      <w:r w:rsidRPr="0090634C">
        <w:t>ResilientIntellect</w:t>
      </w:r>
      <w:proofErr w:type="spellEnd"/>
      <w:r w:rsidRPr="0090634C">
        <w:t xml:space="preserve"> must deploy a modern security control stack that provides continuous monitoring, automated response and auditable governance across hybrid environments.</w:t>
      </w:r>
    </w:p>
    <w:p w14:paraId="629CE0D6" w14:textId="4D90E208" w:rsidR="0090634C" w:rsidRPr="0090634C" w:rsidRDefault="0090634C" w:rsidP="0090634C">
      <w:r w:rsidRPr="0090634C">
        <w:t xml:space="preserve">Cloud Security Posture Management (CSPM) platforms should be implemented </w:t>
      </w:r>
      <w:r>
        <w:t>to assess cloud configurations against defined security baselines continuously</w:t>
      </w:r>
      <w:r w:rsidRPr="0090634C">
        <w:t>. CSPM tools automatically detect misconfigured storage services, excessive access privileges and insecure network exposures, reducing the risk of regulatory breaches arising from configuration drift.</w:t>
      </w:r>
    </w:p>
    <w:p w14:paraId="376A582C" w14:textId="77777777" w:rsidR="0090634C" w:rsidRPr="0090634C" w:rsidRDefault="0090634C" w:rsidP="0090634C">
      <w:r w:rsidRPr="0090634C">
        <w:t>Security Information and Event Management (SIEM) systems must centralise telemetry from cloud services, endpoints, identity providers and development pipelines. These platforms provide the visibility required to detect significant incidents and support NIS2 and GDPR reporting obligations.</w:t>
      </w:r>
    </w:p>
    <w:p w14:paraId="05C54F14" w14:textId="77777777" w:rsidR="0090634C" w:rsidRPr="0090634C" w:rsidRDefault="0090634C" w:rsidP="0090634C">
      <w:r w:rsidRPr="0090634C">
        <w:t>Endpoint Detection and Response (EDR) solutions enable real-time monitoring of user devices and automated containment of compromised systems. When combined with Security Orchestration, Automation and Response (SOAR) workflows, EDR platforms can automatically isolate infected devices, revoke credentials and trigger forensic evidence collection.</w:t>
      </w:r>
    </w:p>
    <w:p w14:paraId="7D77637D" w14:textId="77777777" w:rsidR="0090634C" w:rsidRPr="0090634C" w:rsidRDefault="0090634C" w:rsidP="0090634C">
      <w:r w:rsidRPr="0090634C">
        <w:t>Phishing-resistant multi-factor authentication (MFA), such as hardware security keys or biometric authentication, should be enforced across all privileged and remote access pathways. This significantly reduces the risk of credential-based attacks, which remain a primary vector for ransomware and cloud account compromise.</w:t>
      </w:r>
    </w:p>
    <w:p w14:paraId="6830BF93" w14:textId="77777777" w:rsidR="0090634C" w:rsidRDefault="0090634C" w:rsidP="0090634C">
      <w:r w:rsidRPr="0090634C">
        <w:t>Together, these protection mechanisms form an automated, Zero-Trust-aligned defence architecture that enhances organisational resilience, reduces regulatory risk and supports continuous compliance monitoring.</w:t>
      </w:r>
    </w:p>
    <w:p w14:paraId="47544E2D" w14:textId="77777777" w:rsidR="0090634C" w:rsidRDefault="0090634C" w:rsidP="0090634C"/>
    <w:p w14:paraId="303D43D9" w14:textId="77777777" w:rsidR="0090634C" w:rsidRDefault="0090634C" w:rsidP="0090634C"/>
    <w:p w14:paraId="4BC7D472" w14:textId="77777777" w:rsidR="0090634C" w:rsidRDefault="0090634C" w:rsidP="0090634C"/>
    <w:p w14:paraId="17DD0D2E" w14:textId="77777777" w:rsidR="0090634C" w:rsidRDefault="0090634C" w:rsidP="0090634C"/>
    <w:p w14:paraId="7BED4FFA" w14:textId="77777777" w:rsidR="0090634C" w:rsidRDefault="0090634C" w:rsidP="0090634C"/>
    <w:p w14:paraId="6B03A1E3" w14:textId="77777777" w:rsidR="0090634C" w:rsidRDefault="0090634C" w:rsidP="0090634C"/>
    <w:p w14:paraId="4DB47388" w14:textId="77777777" w:rsidR="0090634C" w:rsidRDefault="0090634C" w:rsidP="0090634C"/>
    <w:p w14:paraId="6E1855B4" w14:textId="77777777" w:rsidR="0090634C" w:rsidRDefault="0090634C" w:rsidP="0090634C"/>
    <w:p w14:paraId="482534A8" w14:textId="13C54601" w:rsidR="0090634C" w:rsidRDefault="0090634C" w:rsidP="0090634C">
      <w:pPr>
        <w:pStyle w:val="Heading2"/>
      </w:pPr>
      <w:r w:rsidRPr="0090634C">
        <w:lastRenderedPageBreak/>
        <w:t>Zero Trust Architecture and Design Justification</w:t>
      </w:r>
    </w:p>
    <w:p w14:paraId="06ED4F5F" w14:textId="77777777" w:rsidR="00021244" w:rsidRDefault="00021244" w:rsidP="00021244"/>
    <w:p w14:paraId="091E49F2" w14:textId="24E71B45" w:rsidR="00021244" w:rsidRPr="00021244" w:rsidRDefault="00021244" w:rsidP="00021244">
      <w:r>
        <w:rPr>
          <w:noProof/>
        </w:rPr>
        <w:drawing>
          <wp:inline distT="0" distB="0" distL="0" distR="0" wp14:anchorId="27FB0500" wp14:editId="3A785DDC">
            <wp:extent cx="5731510" cy="3816985"/>
            <wp:effectExtent l="0" t="0" r="2540" b="0"/>
            <wp:docPr id="1518276497" name="Picture 1" descr="Understanding Zero Trust Security and Implementation Road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Zero Trust Security and Implementation Roadm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16985"/>
                    </a:xfrm>
                    <a:prstGeom prst="rect">
                      <a:avLst/>
                    </a:prstGeom>
                    <a:noFill/>
                    <a:ln>
                      <a:noFill/>
                    </a:ln>
                  </pic:spPr>
                </pic:pic>
              </a:graphicData>
            </a:graphic>
          </wp:inline>
        </w:drawing>
      </w:r>
    </w:p>
    <w:p w14:paraId="6753D35B" w14:textId="77777777" w:rsidR="00463158" w:rsidRPr="00463158" w:rsidRDefault="00463158" w:rsidP="00463158">
      <w:r w:rsidRPr="00463158">
        <w:t>The architecture begins with centralised identity governance. All users, whether remote employees, contractors or automated services, must authenticate through a central identity provider that enforces phishing-resistant MFA and device posture validation. This ensures that trust decisions are continuously evaluated rather than assumed based on network location.</w:t>
      </w:r>
    </w:p>
    <w:p w14:paraId="15E028B2" w14:textId="77777777" w:rsidR="00463158" w:rsidRPr="00463158" w:rsidRDefault="00463158" w:rsidP="00463158">
      <w:r w:rsidRPr="00463158">
        <w:t>Access requests are evaluated by a Zero Trust policy engine that enforces least-privilege access rules based on user role, device health and behavioural context. Approved requests are routed through secure access gateways that protect cloud workloads, AI pipelines and data repositories.</w:t>
      </w:r>
    </w:p>
    <w:p w14:paraId="5385F7F3" w14:textId="77777777" w:rsidR="00463158" w:rsidRPr="00463158" w:rsidRDefault="00463158" w:rsidP="00463158">
      <w:r w:rsidRPr="00463158">
        <w:t>Security telemetry from identity platforms, endpoints and cloud services is continuously streamed into SIEM and SOAR platforms, enabling automated threat detection, evidence collection and regulatory reporting. CSPM platforms monitor configuration compliance and trigger remediation workflows when policy deviations are detected.</w:t>
      </w:r>
    </w:p>
    <w:p w14:paraId="55860376" w14:textId="77777777" w:rsidR="00463158" w:rsidRPr="00463158" w:rsidRDefault="00463158" w:rsidP="00463158">
      <w:r w:rsidRPr="00463158">
        <w:t>This architecture ensures that security enforcement, monitoring and regulatory compliance are embedded directly into operational workflows rather than treated as peripheral control functions.</w:t>
      </w:r>
    </w:p>
    <w:p w14:paraId="590E303C" w14:textId="77777777" w:rsidR="0090634C" w:rsidRDefault="0090634C" w:rsidP="0090634C"/>
    <w:p w14:paraId="7B82FC45" w14:textId="7F2EBDC1" w:rsidR="00463158" w:rsidRDefault="002F7EB3" w:rsidP="002F7EB3">
      <w:pPr>
        <w:pStyle w:val="Heading1"/>
      </w:pPr>
      <w:r w:rsidRPr="002F7EB3">
        <w:lastRenderedPageBreak/>
        <w:t>Conclusion</w:t>
      </w:r>
    </w:p>
    <w:p w14:paraId="58A31FE4" w14:textId="77777777" w:rsidR="001000F6" w:rsidRPr="001000F6" w:rsidRDefault="001000F6" w:rsidP="001000F6">
      <w:r w:rsidRPr="001000F6">
        <w:t>The modern cybersecurity landscape is shaped by increasing regulatory oversight, rapid technological change and the expansion of organisational boundaries beyond traditional corporate perimeters. Within the European Union, frameworks such as GDPR, DORA and NIS2 have redefined cybersecurity as both a legal and operational priority, requiring organisations to demonstrate proactive resilience, governance accountability and continuous compliance.</w:t>
      </w:r>
    </w:p>
    <w:p w14:paraId="050B4DD1" w14:textId="149E26D7" w:rsidR="001000F6" w:rsidRPr="001000F6" w:rsidRDefault="001000F6" w:rsidP="001000F6">
      <w:r w:rsidRPr="001000F6">
        <w:t xml:space="preserve">This report </w:t>
      </w:r>
      <w:r w:rsidR="00F32341">
        <w:t>critically examines the challenges posed by fragmented regulatory environments and the limitations of traditional perimeter-based security models in</w:t>
      </w:r>
      <w:r w:rsidRPr="001000F6">
        <w:t xml:space="preserve"> hybrid and cloud-centric enterprises. The research findings demonstrate that Zero Trust Architecture provides a practical foundation for aligning technical security controls with modern regulatory expectations by enforcing continuous verification, least-privilege access and automated detection and response mechanisms.</w:t>
      </w:r>
    </w:p>
    <w:p w14:paraId="1DB4F231" w14:textId="41C2598C" w:rsidR="001000F6" w:rsidRPr="001000F6" w:rsidRDefault="001000F6" w:rsidP="001000F6">
      <w:r w:rsidRPr="001000F6">
        <w:t xml:space="preserve">The proposed Zero-Trust-aligned security programme for </w:t>
      </w:r>
      <w:proofErr w:type="spellStart"/>
      <w:r w:rsidRPr="001000F6">
        <w:t>ResilientIntellect</w:t>
      </w:r>
      <w:proofErr w:type="spellEnd"/>
      <w:r w:rsidRPr="001000F6">
        <w:t xml:space="preserve"> Ltd translates these principles into a strategic</w:t>
      </w:r>
      <w:r w:rsidR="00F32341">
        <w:t>, forward-looking design that integrates governance, compliance, risk management,</w:t>
      </w:r>
      <w:r w:rsidRPr="001000F6">
        <w:t xml:space="preserve"> and resilience planning. By embedding security responsibilities within organisational structures, formalising policies for AI usage and hybrid working, and deploying automated protection mechanisms, </w:t>
      </w:r>
      <w:proofErr w:type="spellStart"/>
      <w:r w:rsidRPr="001000F6">
        <w:t>ResilientIntellect</w:t>
      </w:r>
      <w:proofErr w:type="spellEnd"/>
      <w:r w:rsidRPr="001000F6">
        <w:t xml:space="preserve"> is positioned to meet DORA and NIS2 obligations while strengthening its operational resilience and protecting critical intellectual property assets.</w:t>
      </w:r>
    </w:p>
    <w:p w14:paraId="41BBFC2C" w14:textId="77777777" w:rsidR="001000F6" w:rsidRPr="001000F6" w:rsidRDefault="001000F6" w:rsidP="001000F6">
      <w:r w:rsidRPr="001000F6">
        <w:t xml:space="preserve">Ultimately, this approach transforms cybersecurity compliance from a reactive legal obligation into a proactive organisational capability. Through continuous monitoring, automated response and strategic governance alignment, </w:t>
      </w:r>
      <w:proofErr w:type="spellStart"/>
      <w:r w:rsidRPr="001000F6">
        <w:t>ResilientIntellect</w:t>
      </w:r>
      <w:proofErr w:type="spellEnd"/>
      <w:r w:rsidRPr="001000F6">
        <w:t xml:space="preserve"> can sustain regulatory compliance, protect customer trust and support secure growth within the European Union.</w:t>
      </w:r>
    </w:p>
    <w:p w14:paraId="75BB48A9" w14:textId="77777777" w:rsidR="002F7EB3" w:rsidRPr="002F7EB3" w:rsidRDefault="002F7EB3" w:rsidP="002F7EB3"/>
    <w:p w14:paraId="7642C895" w14:textId="77777777" w:rsidR="0090634C" w:rsidRPr="0090634C" w:rsidRDefault="0090634C" w:rsidP="0090634C"/>
    <w:p w14:paraId="4231F061" w14:textId="77777777" w:rsidR="0090634C" w:rsidRPr="0090634C" w:rsidRDefault="0090634C" w:rsidP="0090634C"/>
    <w:p w14:paraId="260BC609" w14:textId="77777777" w:rsidR="0090634C" w:rsidRPr="0090634C" w:rsidRDefault="0090634C" w:rsidP="0090634C"/>
    <w:p w14:paraId="5DBE78D9" w14:textId="77777777" w:rsidR="008A6787" w:rsidRDefault="008A6787"/>
    <w:sectPr w:rsidR="008A6787" w:rsidSect="00DB43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323"/>
    <w:rsid w:val="00021244"/>
    <w:rsid w:val="001000F6"/>
    <w:rsid w:val="00123B80"/>
    <w:rsid w:val="002F7EB3"/>
    <w:rsid w:val="00463158"/>
    <w:rsid w:val="006973B5"/>
    <w:rsid w:val="008A6787"/>
    <w:rsid w:val="0090634C"/>
    <w:rsid w:val="009C1073"/>
    <w:rsid w:val="00AA4888"/>
    <w:rsid w:val="00B44093"/>
    <w:rsid w:val="00BC78C5"/>
    <w:rsid w:val="00BF31DD"/>
    <w:rsid w:val="00CB4A36"/>
    <w:rsid w:val="00CC3984"/>
    <w:rsid w:val="00D1630D"/>
    <w:rsid w:val="00DB4323"/>
    <w:rsid w:val="00F32341"/>
    <w:rsid w:val="00F55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2E429"/>
  <w15:chartTrackingRefBased/>
  <w15:docId w15:val="{7A272E03-BB95-4082-8549-F8134C9E2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4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4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4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4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323"/>
    <w:rPr>
      <w:rFonts w:eastAsiaTheme="majorEastAsia" w:cstheme="majorBidi"/>
      <w:color w:val="272727" w:themeColor="text1" w:themeTint="D8"/>
    </w:rPr>
  </w:style>
  <w:style w:type="paragraph" w:styleId="Title">
    <w:name w:val="Title"/>
    <w:basedOn w:val="Normal"/>
    <w:next w:val="Normal"/>
    <w:link w:val="TitleChar"/>
    <w:uiPriority w:val="10"/>
    <w:qFormat/>
    <w:rsid w:val="00DB4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323"/>
    <w:pPr>
      <w:spacing w:before="160"/>
      <w:jc w:val="center"/>
    </w:pPr>
    <w:rPr>
      <w:i/>
      <w:iCs/>
      <w:color w:val="404040" w:themeColor="text1" w:themeTint="BF"/>
    </w:rPr>
  </w:style>
  <w:style w:type="character" w:customStyle="1" w:styleId="QuoteChar">
    <w:name w:val="Quote Char"/>
    <w:basedOn w:val="DefaultParagraphFont"/>
    <w:link w:val="Quote"/>
    <w:uiPriority w:val="29"/>
    <w:rsid w:val="00DB4323"/>
    <w:rPr>
      <w:i/>
      <w:iCs/>
      <w:color w:val="404040" w:themeColor="text1" w:themeTint="BF"/>
    </w:rPr>
  </w:style>
  <w:style w:type="paragraph" w:styleId="ListParagraph">
    <w:name w:val="List Paragraph"/>
    <w:basedOn w:val="Normal"/>
    <w:uiPriority w:val="34"/>
    <w:qFormat/>
    <w:rsid w:val="00DB4323"/>
    <w:pPr>
      <w:ind w:left="720"/>
      <w:contextualSpacing/>
    </w:pPr>
  </w:style>
  <w:style w:type="character" w:styleId="IntenseEmphasis">
    <w:name w:val="Intense Emphasis"/>
    <w:basedOn w:val="DefaultParagraphFont"/>
    <w:uiPriority w:val="21"/>
    <w:qFormat/>
    <w:rsid w:val="00DB4323"/>
    <w:rPr>
      <w:i/>
      <w:iCs/>
      <w:color w:val="0F4761" w:themeColor="accent1" w:themeShade="BF"/>
    </w:rPr>
  </w:style>
  <w:style w:type="paragraph" w:styleId="IntenseQuote">
    <w:name w:val="Intense Quote"/>
    <w:basedOn w:val="Normal"/>
    <w:next w:val="Normal"/>
    <w:link w:val="IntenseQuoteChar"/>
    <w:uiPriority w:val="30"/>
    <w:qFormat/>
    <w:rsid w:val="00DB4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323"/>
    <w:rPr>
      <w:i/>
      <w:iCs/>
      <w:color w:val="0F4761" w:themeColor="accent1" w:themeShade="BF"/>
    </w:rPr>
  </w:style>
  <w:style w:type="character" w:styleId="IntenseReference">
    <w:name w:val="Intense Reference"/>
    <w:basedOn w:val="DefaultParagraphFont"/>
    <w:uiPriority w:val="32"/>
    <w:qFormat/>
    <w:rsid w:val="00DB4323"/>
    <w:rPr>
      <w:b/>
      <w:bCs/>
      <w:smallCaps/>
      <w:color w:val="0F4761" w:themeColor="accent1" w:themeShade="BF"/>
      <w:spacing w:val="5"/>
    </w:rPr>
  </w:style>
  <w:style w:type="paragraph" w:styleId="NoSpacing">
    <w:name w:val="No Spacing"/>
    <w:link w:val="NoSpacingChar"/>
    <w:uiPriority w:val="1"/>
    <w:qFormat/>
    <w:rsid w:val="00DB432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B432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123B8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B4A36"/>
    <w:pPr>
      <w:spacing w:after="100"/>
    </w:pPr>
  </w:style>
  <w:style w:type="paragraph" w:styleId="TOC2">
    <w:name w:val="toc 2"/>
    <w:basedOn w:val="Normal"/>
    <w:next w:val="Normal"/>
    <w:autoRedefine/>
    <w:uiPriority w:val="39"/>
    <w:unhideWhenUsed/>
    <w:rsid w:val="00CB4A36"/>
    <w:pPr>
      <w:spacing w:after="100"/>
      <w:ind w:left="240"/>
    </w:pPr>
  </w:style>
  <w:style w:type="character" w:styleId="Hyperlink">
    <w:name w:val="Hyperlink"/>
    <w:basedOn w:val="DefaultParagraphFont"/>
    <w:uiPriority w:val="99"/>
    <w:unhideWhenUsed/>
    <w:rsid w:val="00CB4A36"/>
    <w:rPr>
      <w:color w:val="467886" w:themeColor="hyperlink"/>
      <w:u w:val="single"/>
    </w:rPr>
  </w:style>
  <w:style w:type="paragraph" w:styleId="TOC3">
    <w:name w:val="toc 3"/>
    <w:basedOn w:val="Normal"/>
    <w:next w:val="Normal"/>
    <w:autoRedefine/>
    <w:uiPriority w:val="39"/>
    <w:unhideWhenUsed/>
    <w:rsid w:val="00AA488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9F2414BDF6B468388C2C0D25D378644"/>
        <w:category>
          <w:name w:val="General"/>
          <w:gallery w:val="placeholder"/>
        </w:category>
        <w:types>
          <w:type w:val="bbPlcHdr"/>
        </w:types>
        <w:behaviors>
          <w:behavior w:val="content"/>
        </w:behaviors>
        <w:guid w:val="{0A244A94-95B0-4B9E-8816-E6A7207C2985}"/>
      </w:docPartPr>
      <w:docPartBody>
        <w:p w:rsidR="00C32007" w:rsidRDefault="00C17581" w:rsidP="00C17581">
          <w:pPr>
            <w:pStyle w:val="09F2414BDF6B468388C2C0D25D378644"/>
          </w:pPr>
          <w:r>
            <w:rPr>
              <w:rFonts w:asciiTheme="majorHAnsi" w:eastAsiaTheme="majorEastAsia" w:hAnsiTheme="majorHAnsi" w:cstheme="majorBidi"/>
              <w:caps/>
              <w:color w:val="156082" w:themeColor="accent1"/>
              <w:sz w:val="80"/>
              <w:szCs w:val="80"/>
            </w:rPr>
            <w:t>[Document title]</w:t>
          </w:r>
        </w:p>
      </w:docPartBody>
    </w:docPart>
    <w:docPart>
      <w:docPartPr>
        <w:name w:val="27686AF9DB8F488CB43F72D8B1885966"/>
        <w:category>
          <w:name w:val="General"/>
          <w:gallery w:val="placeholder"/>
        </w:category>
        <w:types>
          <w:type w:val="bbPlcHdr"/>
        </w:types>
        <w:behaviors>
          <w:behavior w:val="content"/>
        </w:behaviors>
        <w:guid w:val="{62C375DE-7248-4321-BD09-6F9FB8961005}"/>
      </w:docPartPr>
      <w:docPartBody>
        <w:p w:rsidR="00C32007" w:rsidRDefault="00C17581" w:rsidP="00C17581">
          <w:pPr>
            <w:pStyle w:val="27686AF9DB8F488CB43F72D8B188596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581"/>
    <w:rsid w:val="00C17581"/>
    <w:rsid w:val="00C32007"/>
    <w:rsid w:val="00CC3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F2414BDF6B468388C2C0D25D378644">
    <w:name w:val="09F2414BDF6B468388C2C0D25D378644"/>
    <w:rsid w:val="00C17581"/>
  </w:style>
  <w:style w:type="paragraph" w:customStyle="1" w:styleId="27686AF9DB8F488CB43F72D8B1885966">
    <w:name w:val="27686AF9DB8F488CB43F72D8B1885966"/>
    <w:rsid w:val="00C175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Data Security and Compliance</PublishDate>
  <Abstract/>
  <CompanyAddress>2418519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77D13B-61F0-4EE8-9D45-3ED43B93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21</Pages>
  <Words>6368</Words>
  <Characters>36300</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lEo richards</Company>
  <LinksUpToDate>false</LinksUpToDate>
  <CharactersWithSpaces>42583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ACCA5034</dc:subject>
  <dc:creator>L R</dc:creator>
  <cp:keywords/>
  <dc:description/>
  <cp:lastModifiedBy>L R</cp:lastModifiedBy>
  <cp:revision>7</cp:revision>
  <dcterms:created xsi:type="dcterms:W3CDTF">2026-01-05T15:11:00Z</dcterms:created>
  <dcterms:modified xsi:type="dcterms:W3CDTF">2026-01-05T17:05:00Z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12d656fc-256f-4419-a849-7c03df1b7fb9</vt:lpwstr>
  </property>
</Properties>
</file>