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55CFBE" w14:textId="3F52679F" w:rsidR="00E17B1F" w:rsidRPr="002B41B5" w:rsidRDefault="00E17B1F" w:rsidP="009C1931">
      <w:pPr>
        <w:spacing w:line="360" w:lineRule="auto"/>
        <w:jc w:val="center"/>
        <w:rPr>
          <w:rFonts w:ascii="Arial" w:hAnsi="Arial" w:cs="Arial"/>
          <w:b/>
          <w:bCs/>
        </w:rPr>
      </w:pPr>
    </w:p>
    <w:p w14:paraId="0D27C59E" w14:textId="6E0F8C4D" w:rsidR="00E17B1F" w:rsidRPr="002B41B5" w:rsidRDefault="00654E87" w:rsidP="009C1931">
      <w:pPr>
        <w:spacing w:line="360" w:lineRule="auto"/>
        <w:jc w:val="center"/>
        <w:rPr>
          <w:rFonts w:ascii="Arial" w:hAnsi="Arial" w:cs="Arial"/>
          <w:b/>
          <w:bCs/>
        </w:rPr>
      </w:pPr>
      <w:r w:rsidRPr="002B41B5">
        <w:rPr>
          <w:rFonts w:ascii="Arial" w:hAnsi="Arial" w:cs="Arial"/>
          <w:noProof/>
        </w:rPr>
        <w:drawing>
          <wp:inline distT="0" distB="0" distL="0" distR="0" wp14:anchorId="65865EE8" wp14:editId="6EF3CAB6">
            <wp:extent cx="5242508" cy="1776222"/>
            <wp:effectExtent l="0" t="0" r="0" b="0"/>
            <wp:docPr id="1" name="image1.jpeg"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A close up of black text&#10;&#10;Description automatically generated"/>
                    <pic:cNvPicPr/>
                  </pic:nvPicPr>
                  <pic:blipFill>
                    <a:blip r:embed="rId8" cstate="print"/>
                    <a:stretch>
                      <a:fillRect/>
                    </a:stretch>
                  </pic:blipFill>
                  <pic:spPr>
                    <a:xfrm>
                      <a:off x="0" y="0"/>
                      <a:ext cx="5242508" cy="1776222"/>
                    </a:xfrm>
                    <a:prstGeom prst="rect">
                      <a:avLst/>
                    </a:prstGeom>
                  </pic:spPr>
                </pic:pic>
              </a:graphicData>
            </a:graphic>
          </wp:inline>
        </w:drawing>
      </w:r>
    </w:p>
    <w:p w14:paraId="6A599B81" w14:textId="77777777" w:rsidR="00237171" w:rsidRPr="002B41B5" w:rsidRDefault="00237171" w:rsidP="009C1931">
      <w:pPr>
        <w:spacing w:line="360" w:lineRule="auto"/>
        <w:jc w:val="center"/>
        <w:rPr>
          <w:rFonts w:ascii="Arial" w:hAnsi="Arial" w:cs="Arial"/>
          <w:b/>
          <w:bCs/>
        </w:rPr>
      </w:pPr>
    </w:p>
    <w:p w14:paraId="0C647250" w14:textId="57214918" w:rsidR="00237171" w:rsidRPr="00D436D0" w:rsidRDefault="002B41B5" w:rsidP="0007412F">
      <w:pPr>
        <w:spacing w:line="360" w:lineRule="auto"/>
        <w:jc w:val="center"/>
        <w:rPr>
          <w:rFonts w:ascii="Arial" w:hAnsi="Arial" w:cs="Arial"/>
          <w:b/>
          <w:bCs/>
          <w:sz w:val="36"/>
          <w:szCs w:val="36"/>
        </w:rPr>
      </w:pPr>
      <w:r w:rsidRPr="00D436D0">
        <w:rPr>
          <w:rFonts w:ascii="Arial" w:hAnsi="Arial" w:cs="Arial"/>
          <w:b/>
          <w:bCs/>
          <w:sz w:val="36"/>
          <w:szCs w:val="36"/>
        </w:rPr>
        <w:t>UNIVERSITY OF WALES TRINITY SAINT DAVID</w:t>
      </w:r>
    </w:p>
    <w:p w14:paraId="4EAA915D" w14:textId="3FADF419" w:rsidR="00D4360B" w:rsidRPr="00D436D0" w:rsidRDefault="00654E87" w:rsidP="0007412F">
      <w:pPr>
        <w:spacing w:before="88" w:line="360" w:lineRule="auto"/>
        <w:ind w:right="290"/>
        <w:jc w:val="center"/>
        <w:rPr>
          <w:rFonts w:ascii="Arial" w:hAnsi="Arial" w:cs="Arial"/>
          <w:b/>
          <w:bCs/>
          <w:spacing w:val="-1"/>
          <w:sz w:val="36"/>
          <w:szCs w:val="36"/>
        </w:rPr>
      </w:pPr>
      <w:r w:rsidRPr="00D436D0">
        <w:rPr>
          <w:rFonts w:ascii="Arial" w:hAnsi="Arial" w:cs="Arial"/>
          <w:b/>
          <w:bCs/>
          <w:spacing w:val="-1"/>
          <w:sz w:val="36"/>
          <w:szCs w:val="36"/>
        </w:rPr>
        <w:t>MASTER OF</w:t>
      </w:r>
      <w:r w:rsidRPr="00D436D0">
        <w:rPr>
          <w:rFonts w:ascii="Arial" w:hAnsi="Arial" w:cs="Arial"/>
          <w:b/>
          <w:bCs/>
          <w:spacing w:val="2"/>
          <w:sz w:val="36"/>
          <w:szCs w:val="36"/>
        </w:rPr>
        <w:t xml:space="preserve"> </w:t>
      </w:r>
      <w:r w:rsidRPr="00D436D0">
        <w:rPr>
          <w:rFonts w:ascii="Arial" w:hAnsi="Arial" w:cs="Arial"/>
          <w:b/>
          <w:bCs/>
          <w:spacing w:val="-1"/>
          <w:sz w:val="36"/>
          <w:szCs w:val="36"/>
        </w:rPr>
        <w:t>BUSINESS</w:t>
      </w:r>
      <w:r w:rsidRPr="00D436D0">
        <w:rPr>
          <w:rFonts w:ascii="Arial" w:hAnsi="Arial" w:cs="Arial"/>
          <w:b/>
          <w:bCs/>
          <w:spacing w:val="-22"/>
          <w:sz w:val="36"/>
          <w:szCs w:val="36"/>
        </w:rPr>
        <w:t xml:space="preserve"> </w:t>
      </w:r>
      <w:r w:rsidRPr="00D436D0">
        <w:rPr>
          <w:rFonts w:ascii="Arial" w:hAnsi="Arial" w:cs="Arial"/>
          <w:b/>
          <w:bCs/>
          <w:spacing w:val="-1"/>
          <w:sz w:val="36"/>
          <w:szCs w:val="36"/>
        </w:rPr>
        <w:t>ADMINISTRATION</w:t>
      </w:r>
    </w:p>
    <w:p w14:paraId="5E8306C9" w14:textId="77777777" w:rsidR="00D4360B" w:rsidRPr="002B41B5" w:rsidRDefault="00D4360B" w:rsidP="0007412F">
      <w:pPr>
        <w:spacing w:before="88" w:line="360" w:lineRule="auto"/>
        <w:ind w:right="290"/>
        <w:jc w:val="center"/>
        <w:rPr>
          <w:rFonts w:ascii="Arial" w:hAnsi="Arial" w:cs="Arial"/>
          <w:b/>
          <w:bCs/>
          <w:spacing w:val="-1"/>
          <w:sz w:val="36"/>
          <w:szCs w:val="36"/>
        </w:rPr>
      </w:pPr>
    </w:p>
    <w:p w14:paraId="2293AB83" w14:textId="2DD29753" w:rsidR="00D4360B" w:rsidRPr="002B41B5" w:rsidRDefault="00654E87" w:rsidP="0007412F">
      <w:pPr>
        <w:spacing w:line="360" w:lineRule="auto"/>
        <w:jc w:val="center"/>
        <w:rPr>
          <w:rFonts w:ascii="Arial" w:hAnsi="Arial" w:cs="Arial"/>
          <w:b/>
          <w:bCs/>
          <w:sz w:val="36"/>
          <w:szCs w:val="36"/>
        </w:rPr>
      </w:pPr>
      <w:r w:rsidRPr="002B41B5">
        <w:rPr>
          <w:rFonts w:ascii="Arial" w:hAnsi="Arial" w:cs="Arial"/>
          <w:b/>
          <w:bCs/>
          <w:sz w:val="36"/>
          <w:szCs w:val="36"/>
        </w:rPr>
        <w:t>NA</w:t>
      </w:r>
      <w:r w:rsidR="00D4360B" w:rsidRPr="002B41B5">
        <w:rPr>
          <w:rFonts w:ascii="Arial" w:hAnsi="Arial" w:cs="Arial"/>
          <w:b/>
          <w:bCs/>
          <w:sz w:val="36"/>
          <w:szCs w:val="36"/>
        </w:rPr>
        <w:t>ME</w:t>
      </w:r>
      <w:r w:rsidRPr="002B41B5">
        <w:rPr>
          <w:rFonts w:ascii="Arial" w:hAnsi="Arial" w:cs="Arial"/>
          <w:b/>
          <w:bCs/>
          <w:sz w:val="36"/>
          <w:szCs w:val="36"/>
        </w:rPr>
        <w:t>: HAMZA UMAIR AMBALAPATTA</w:t>
      </w:r>
    </w:p>
    <w:p w14:paraId="357C8046" w14:textId="23EC8671" w:rsidR="00654E87" w:rsidRDefault="00654E87" w:rsidP="0007412F">
      <w:pPr>
        <w:spacing w:line="360" w:lineRule="auto"/>
        <w:jc w:val="center"/>
        <w:rPr>
          <w:rFonts w:ascii="Arial" w:hAnsi="Arial" w:cs="Arial"/>
          <w:b/>
          <w:bCs/>
          <w:sz w:val="36"/>
          <w:szCs w:val="36"/>
        </w:rPr>
      </w:pPr>
      <w:r w:rsidRPr="002B41B5">
        <w:rPr>
          <w:rFonts w:ascii="Arial" w:hAnsi="Arial" w:cs="Arial"/>
          <w:b/>
          <w:bCs/>
          <w:sz w:val="36"/>
          <w:szCs w:val="36"/>
        </w:rPr>
        <w:t>STUDENT ID: 2243417</w:t>
      </w:r>
    </w:p>
    <w:p w14:paraId="02EDE026" w14:textId="77777777" w:rsidR="00030684" w:rsidRPr="002B41B5" w:rsidRDefault="00030684" w:rsidP="0007412F">
      <w:pPr>
        <w:spacing w:line="360" w:lineRule="auto"/>
        <w:jc w:val="center"/>
        <w:rPr>
          <w:rFonts w:ascii="Arial" w:hAnsi="Arial" w:cs="Arial"/>
          <w:b/>
          <w:bCs/>
          <w:sz w:val="36"/>
          <w:szCs w:val="36"/>
        </w:rPr>
      </w:pPr>
    </w:p>
    <w:p w14:paraId="7582704B" w14:textId="55D8BEBE" w:rsidR="00D4360B" w:rsidRDefault="00D4360B" w:rsidP="0007412F">
      <w:pPr>
        <w:spacing w:line="360" w:lineRule="auto"/>
        <w:jc w:val="center"/>
        <w:rPr>
          <w:rFonts w:ascii="Arial" w:hAnsi="Arial" w:cs="Arial"/>
          <w:b/>
          <w:bCs/>
          <w:sz w:val="36"/>
          <w:szCs w:val="36"/>
        </w:rPr>
      </w:pPr>
      <w:r w:rsidRPr="002B41B5">
        <w:rPr>
          <w:rFonts w:ascii="Arial" w:hAnsi="Arial" w:cs="Arial"/>
          <w:b/>
          <w:bCs/>
          <w:sz w:val="36"/>
          <w:szCs w:val="36"/>
        </w:rPr>
        <w:t>RESEARCH TITLE: UNVEILING THE MIRAGE, ANALYSING THE IMPACT OF REAL ESTATE IN DUBAI’S ECONOMIC GROWTH</w:t>
      </w:r>
    </w:p>
    <w:p w14:paraId="34E5673E" w14:textId="77777777" w:rsidR="00937AD4" w:rsidRDefault="00937AD4" w:rsidP="0007412F">
      <w:pPr>
        <w:spacing w:line="360" w:lineRule="auto"/>
        <w:jc w:val="center"/>
        <w:rPr>
          <w:rFonts w:ascii="Arial" w:hAnsi="Arial" w:cs="Arial"/>
          <w:b/>
          <w:bCs/>
          <w:sz w:val="36"/>
          <w:szCs w:val="36"/>
        </w:rPr>
      </w:pPr>
    </w:p>
    <w:p w14:paraId="379E44AF" w14:textId="5C1BE322" w:rsidR="00030684" w:rsidRPr="002B41B5" w:rsidRDefault="001C3782" w:rsidP="0007412F">
      <w:pPr>
        <w:spacing w:line="360" w:lineRule="auto"/>
        <w:jc w:val="center"/>
        <w:rPr>
          <w:rFonts w:ascii="Arial" w:hAnsi="Arial" w:cs="Arial"/>
          <w:b/>
          <w:bCs/>
          <w:sz w:val="36"/>
          <w:szCs w:val="36"/>
        </w:rPr>
      </w:pPr>
      <w:r>
        <w:rPr>
          <w:rFonts w:ascii="Arial" w:hAnsi="Arial" w:cs="Arial"/>
          <w:b/>
          <w:bCs/>
          <w:sz w:val="36"/>
          <w:szCs w:val="36"/>
        </w:rPr>
        <w:t>MODULE CODE</w:t>
      </w:r>
      <w:r w:rsidR="007016B0">
        <w:rPr>
          <w:rFonts w:ascii="Arial" w:hAnsi="Arial" w:cs="Arial"/>
          <w:b/>
          <w:bCs/>
          <w:sz w:val="36"/>
          <w:szCs w:val="36"/>
        </w:rPr>
        <w:t>: LCMB7020</w:t>
      </w:r>
    </w:p>
    <w:p w14:paraId="47713A5E" w14:textId="59C69C15" w:rsidR="00D4360B" w:rsidRPr="002B41B5" w:rsidRDefault="00D4360B" w:rsidP="0007412F">
      <w:pPr>
        <w:spacing w:line="360" w:lineRule="auto"/>
        <w:jc w:val="center"/>
        <w:rPr>
          <w:rFonts w:ascii="Arial" w:hAnsi="Arial" w:cs="Arial"/>
          <w:b/>
          <w:bCs/>
          <w:sz w:val="36"/>
          <w:szCs w:val="36"/>
        </w:rPr>
      </w:pPr>
      <w:r w:rsidRPr="002B41B5">
        <w:rPr>
          <w:rFonts w:ascii="Arial" w:hAnsi="Arial" w:cs="Arial"/>
          <w:b/>
          <w:bCs/>
          <w:sz w:val="36"/>
          <w:szCs w:val="36"/>
        </w:rPr>
        <w:t>SUPERVISOR: IBRAHIM RUFAI</w:t>
      </w:r>
    </w:p>
    <w:p w14:paraId="402EF6F9" w14:textId="77777777" w:rsidR="00A84BC9" w:rsidRPr="002B41B5" w:rsidRDefault="00A84BC9" w:rsidP="009C1931">
      <w:pPr>
        <w:spacing w:line="360" w:lineRule="auto"/>
        <w:jc w:val="center"/>
        <w:rPr>
          <w:rFonts w:ascii="Arial" w:hAnsi="Arial" w:cs="Arial"/>
          <w:b/>
          <w:bCs/>
        </w:rPr>
      </w:pPr>
      <w:r w:rsidRPr="002B41B5">
        <w:rPr>
          <w:rFonts w:ascii="Arial" w:hAnsi="Arial" w:cs="Arial"/>
          <w:b/>
          <w:bCs/>
        </w:rPr>
        <w:br w:type="page"/>
      </w:r>
    </w:p>
    <w:p w14:paraId="7CB5FAA4" w14:textId="77777777" w:rsidR="001848FA" w:rsidRPr="002B41B5" w:rsidRDefault="001848FA" w:rsidP="009C1931">
      <w:pPr>
        <w:spacing w:line="360" w:lineRule="auto"/>
        <w:jc w:val="center"/>
        <w:rPr>
          <w:rFonts w:ascii="Arial" w:eastAsia="Times New Roman" w:hAnsi="Arial" w:cs="Arial"/>
          <w:b/>
          <w:bCs/>
          <w:color w:val="000000" w:themeColor="text1"/>
          <w:sz w:val="28"/>
          <w:szCs w:val="28"/>
          <w:lang w:val="en-GB"/>
        </w:rPr>
      </w:pPr>
      <w:r w:rsidRPr="002B41B5">
        <w:rPr>
          <w:rFonts w:ascii="Arial" w:eastAsia="Times New Roman" w:hAnsi="Arial" w:cs="Arial"/>
          <w:b/>
          <w:bCs/>
          <w:color w:val="000000" w:themeColor="text1"/>
          <w:sz w:val="28"/>
          <w:szCs w:val="28"/>
          <w:lang w:val="en-GB"/>
        </w:rPr>
        <w:lastRenderedPageBreak/>
        <w:t>Declarations</w:t>
      </w:r>
    </w:p>
    <w:p w14:paraId="6C5D6CBF" w14:textId="77777777" w:rsidR="001848FA" w:rsidRPr="002B41B5" w:rsidRDefault="001848FA" w:rsidP="009C1931">
      <w:pPr>
        <w:spacing w:line="360" w:lineRule="auto"/>
        <w:rPr>
          <w:rFonts w:ascii="Arial" w:eastAsia="Times New Roman" w:hAnsi="Arial" w:cs="Arial"/>
          <w:bCs/>
          <w:color w:val="000000" w:themeColor="text1"/>
          <w:lang w:val="en-GB"/>
        </w:rPr>
      </w:pPr>
    </w:p>
    <w:p w14:paraId="5721CF4D" w14:textId="5899DAD3" w:rsidR="001848FA" w:rsidRPr="002B41B5" w:rsidRDefault="001848FA" w:rsidP="009C1931">
      <w:pPr>
        <w:spacing w:line="360" w:lineRule="auto"/>
        <w:rPr>
          <w:rFonts w:ascii="Arial" w:eastAsia="Times New Roman" w:hAnsi="Arial" w:cs="Arial"/>
          <w:bCs/>
          <w:color w:val="000000" w:themeColor="text1"/>
          <w:lang w:val="en-GB"/>
        </w:rPr>
      </w:pPr>
      <w:r w:rsidRPr="002B41B5">
        <w:rPr>
          <w:rFonts w:ascii="Arial" w:eastAsia="Times New Roman" w:hAnsi="Arial" w:cs="Arial"/>
          <w:bCs/>
          <w:color w:val="000000" w:themeColor="text1"/>
          <w:lang w:val="en-GB"/>
        </w:rPr>
        <w:t>I</w:t>
      </w:r>
      <w:r w:rsidR="00731151" w:rsidRPr="002B41B5">
        <w:rPr>
          <w:rFonts w:ascii="Arial" w:eastAsia="Times New Roman" w:hAnsi="Arial" w:cs="Arial"/>
          <w:bCs/>
          <w:color w:val="000000" w:themeColor="text1"/>
          <w:lang w:val="en-GB"/>
        </w:rPr>
        <w:t xml:space="preserve"> Umair</w:t>
      </w:r>
      <w:r w:rsidRPr="002B41B5">
        <w:rPr>
          <w:rFonts w:ascii="Arial" w:eastAsia="Times New Roman" w:hAnsi="Arial" w:cs="Arial"/>
          <w:bCs/>
          <w:color w:val="000000" w:themeColor="text1"/>
          <w:lang w:val="en-GB"/>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471A96D0" w14:textId="77777777" w:rsidR="001848FA" w:rsidRPr="002B41B5" w:rsidRDefault="001848FA" w:rsidP="009C1931">
      <w:pPr>
        <w:spacing w:line="360" w:lineRule="auto"/>
        <w:rPr>
          <w:rFonts w:ascii="Arial" w:eastAsia="Times New Roman" w:hAnsi="Arial" w:cs="Arial"/>
          <w:bCs/>
          <w:color w:val="000000" w:themeColor="text1"/>
          <w:lang w:val="en-GB"/>
        </w:rPr>
      </w:pPr>
      <w:r w:rsidRPr="002B41B5">
        <w:rPr>
          <w:rFonts w:ascii="Arial" w:eastAsia="Times New Roman" w:hAnsi="Arial" w:cs="Arial"/>
          <w:bCs/>
          <w:color w:val="000000" w:themeColor="text1"/>
          <w:lang w:val="en-GB"/>
        </w:rPr>
        <w:t xml:space="preserve"> </w:t>
      </w:r>
    </w:p>
    <w:p w14:paraId="62187B3C" w14:textId="77777777" w:rsidR="001848FA" w:rsidRPr="002B41B5" w:rsidRDefault="001848FA" w:rsidP="009C1931">
      <w:pPr>
        <w:spacing w:line="360" w:lineRule="auto"/>
        <w:rPr>
          <w:rFonts w:ascii="Arial" w:eastAsia="Times New Roman" w:hAnsi="Arial" w:cs="Arial"/>
          <w:bCs/>
          <w:color w:val="000000" w:themeColor="text1"/>
          <w:lang w:val="en-GB"/>
        </w:rPr>
      </w:pPr>
    </w:p>
    <w:p w14:paraId="603C862F" w14:textId="77777777" w:rsidR="001848FA" w:rsidRPr="002B41B5" w:rsidRDefault="001848FA" w:rsidP="009C1931">
      <w:pPr>
        <w:spacing w:line="360" w:lineRule="auto"/>
        <w:rPr>
          <w:rFonts w:ascii="Arial" w:eastAsia="Times New Roman" w:hAnsi="Arial" w:cs="Arial"/>
          <w:bCs/>
          <w:color w:val="000000" w:themeColor="text1"/>
          <w:lang w:val="en-GB"/>
        </w:rPr>
      </w:pPr>
    </w:p>
    <w:p w14:paraId="0CF4ADAB" w14:textId="5F5064D8" w:rsidR="001848FA" w:rsidRPr="002B41B5" w:rsidRDefault="001848FA" w:rsidP="009C1931">
      <w:pPr>
        <w:spacing w:line="360" w:lineRule="auto"/>
        <w:rPr>
          <w:rFonts w:ascii="Arial" w:eastAsia="Times New Roman" w:hAnsi="Arial" w:cs="Arial"/>
          <w:bCs/>
          <w:color w:val="000000" w:themeColor="text1"/>
          <w:lang w:val="en-GB"/>
        </w:rPr>
      </w:pPr>
      <w:r w:rsidRPr="002B41B5">
        <w:rPr>
          <w:rFonts w:ascii="Arial" w:eastAsia="Times New Roman" w:hAnsi="Arial" w:cs="Arial"/>
          <w:bCs/>
          <w:color w:val="000000" w:themeColor="text1"/>
          <w:lang w:val="en-GB"/>
        </w:rPr>
        <w:t>Signature:</w:t>
      </w:r>
      <w:r w:rsidR="00731151" w:rsidRPr="002B41B5">
        <w:rPr>
          <w:rFonts w:ascii="Arial" w:eastAsia="Times New Roman" w:hAnsi="Arial" w:cs="Arial"/>
          <w:bCs/>
          <w:color w:val="000000" w:themeColor="text1"/>
          <w:lang w:val="en-GB"/>
        </w:rPr>
        <w:t xml:space="preserve"> </w:t>
      </w:r>
      <w:r w:rsidR="00D436D0">
        <w:rPr>
          <w:rFonts w:ascii="Arial" w:eastAsia="Times New Roman" w:hAnsi="Arial" w:cs="Arial"/>
          <w:bCs/>
          <w:color w:val="000000" w:themeColor="text1"/>
          <w:lang w:val="en-GB"/>
        </w:rPr>
        <w:t>HAMZA UMAIR AMBALAPATTA</w:t>
      </w:r>
    </w:p>
    <w:p w14:paraId="21B71E83" w14:textId="7E6391E0" w:rsidR="001848FA" w:rsidRPr="002B41B5" w:rsidRDefault="001848FA" w:rsidP="009C1931">
      <w:pPr>
        <w:spacing w:line="360" w:lineRule="auto"/>
        <w:rPr>
          <w:rFonts w:ascii="Arial" w:eastAsia="Times New Roman" w:hAnsi="Arial" w:cs="Arial"/>
          <w:bCs/>
          <w:color w:val="000000" w:themeColor="text1"/>
          <w:lang w:val="en-GB"/>
        </w:rPr>
      </w:pPr>
      <w:r w:rsidRPr="002B41B5">
        <w:rPr>
          <w:rFonts w:ascii="Arial" w:eastAsia="Times New Roman" w:hAnsi="Arial" w:cs="Arial"/>
          <w:bCs/>
          <w:color w:val="000000" w:themeColor="text1"/>
          <w:lang w:val="en-GB"/>
        </w:rPr>
        <w:t>Date:</w:t>
      </w:r>
      <w:r w:rsidR="00731151" w:rsidRPr="002B41B5">
        <w:rPr>
          <w:rFonts w:ascii="Arial" w:eastAsia="Times New Roman" w:hAnsi="Arial" w:cs="Arial"/>
          <w:bCs/>
          <w:color w:val="000000" w:themeColor="text1"/>
          <w:lang w:val="en-GB"/>
        </w:rPr>
        <w:t xml:space="preserve"> 1</w:t>
      </w:r>
      <w:r w:rsidR="00D436D0">
        <w:rPr>
          <w:rFonts w:ascii="Arial" w:eastAsia="Times New Roman" w:hAnsi="Arial" w:cs="Arial"/>
          <w:bCs/>
          <w:color w:val="000000" w:themeColor="text1"/>
          <w:lang w:val="en-GB"/>
        </w:rPr>
        <w:t>2</w:t>
      </w:r>
      <w:r w:rsidR="00731151" w:rsidRPr="002B41B5">
        <w:rPr>
          <w:rFonts w:ascii="Arial" w:eastAsia="Times New Roman" w:hAnsi="Arial" w:cs="Arial"/>
          <w:bCs/>
          <w:color w:val="000000" w:themeColor="text1"/>
          <w:vertAlign w:val="superscript"/>
          <w:lang w:val="en-GB"/>
        </w:rPr>
        <w:t>th</w:t>
      </w:r>
      <w:r w:rsidR="00731151" w:rsidRPr="002B41B5">
        <w:rPr>
          <w:rFonts w:ascii="Arial" w:eastAsia="Times New Roman" w:hAnsi="Arial" w:cs="Arial"/>
          <w:bCs/>
          <w:color w:val="000000" w:themeColor="text1"/>
          <w:lang w:val="en-GB"/>
        </w:rPr>
        <w:t xml:space="preserve"> May 2024</w:t>
      </w:r>
    </w:p>
    <w:p w14:paraId="02EB7D54" w14:textId="77777777" w:rsidR="001848FA" w:rsidRPr="002B41B5" w:rsidRDefault="001848FA" w:rsidP="009C1931">
      <w:pPr>
        <w:spacing w:line="360" w:lineRule="auto"/>
        <w:jc w:val="left"/>
        <w:rPr>
          <w:rFonts w:ascii="Arial" w:hAnsi="Arial" w:cs="Arial"/>
          <w:b/>
          <w:bCs/>
        </w:rPr>
      </w:pPr>
      <w:r w:rsidRPr="002B41B5">
        <w:rPr>
          <w:rFonts w:ascii="Arial" w:hAnsi="Arial" w:cs="Arial"/>
          <w:b/>
          <w:bCs/>
        </w:rPr>
        <w:br w:type="page"/>
      </w:r>
    </w:p>
    <w:p w14:paraId="4E624429" w14:textId="77777777" w:rsidR="001848FA" w:rsidRPr="002B41B5" w:rsidRDefault="001848FA" w:rsidP="009C1931">
      <w:pPr>
        <w:spacing w:line="360" w:lineRule="auto"/>
        <w:jc w:val="center"/>
        <w:rPr>
          <w:rFonts w:ascii="Arial" w:hAnsi="Arial" w:cs="Arial"/>
          <w:b/>
          <w:color w:val="000000" w:themeColor="text1"/>
          <w:sz w:val="28"/>
          <w:szCs w:val="28"/>
          <w:lang w:val="en-GB"/>
        </w:rPr>
      </w:pPr>
      <w:r w:rsidRPr="002B41B5">
        <w:rPr>
          <w:rFonts w:ascii="Arial" w:hAnsi="Arial" w:cs="Arial"/>
          <w:b/>
          <w:color w:val="000000" w:themeColor="text1"/>
          <w:sz w:val="28"/>
          <w:szCs w:val="28"/>
          <w:lang w:val="en-GB"/>
        </w:rPr>
        <w:lastRenderedPageBreak/>
        <w:t>Acknowledgement</w:t>
      </w:r>
    </w:p>
    <w:p w14:paraId="4CA4019B" w14:textId="77777777" w:rsidR="005368C9" w:rsidRPr="005368C9" w:rsidRDefault="005368C9" w:rsidP="0007412F">
      <w:pPr>
        <w:spacing w:line="360" w:lineRule="auto"/>
        <w:jc w:val="left"/>
        <w:rPr>
          <w:rFonts w:ascii="Arial" w:eastAsia="Times New Roman" w:hAnsi="Arial" w:cs="Arial"/>
          <w:kern w:val="0"/>
          <w:lang w:eastAsia="en-IN"/>
          <w14:ligatures w14:val="none"/>
        </w:rPr>
      </w:pPr>
      <w:r w:rsidRPr="005368C9">
        <w:rPr>
          <w:rFonts w:ascii="Arial" w:eastAsia="Times New Roman" w:hAnsi="Arial" w:cs="Arial"/>
          <w:kern w:val="0"/>
          <w:lang w:eastAsia="en-IN"/>
          <w14:ligatures w14:val="none"/>
        </w:rPr>
        <w:t xml:space="preserve">The following people and organizations, who so kindly donated their time and effort, made the completion of this paper possible. Warm regards to the supervisor who mentors me and spends a lot of time being understanding and supportive of my job at stressful periods. Not only is my mentor's excitement and support invaluable in helping me refine my research idea, but I also value his critical comments. </w:t>
      </w:r>
    </w:p>
    <w:p w14:paraId="575973DF" w14:textId="77777777" w:rsidR="005368C9" w:rsidRDefault="005368C9" w:rsidP="009C1931">
      <w:pPr>
        <w:spacing w:line="360" w:lineRule="auto"/>
        <w:jc w:val="center"/>
        <w:rPr>
          <w:rFonts w:ascii="Arial" w:hAnsi="Arial" w:cs="Arial"/>
          <w:b/>
          <w:bCs/>
          <w:sz w:val="28"/>
          <w:szCs w:val="28"/>
        </w:rPr>
      </w:pPr>
    </w:p>
    <w:p w14:paraId="47476412" w14:textId="77777777" w:rsidR="005368C9" w:rsidRDefault="005368C9" w:rsidP="009C1931">
      <w:pPr>
        <w:spacing w:line="360" w:lineRule="auto"/>
        <w:jc w:val="center"/>
        <w:rPr>
          <w:rFonts w:ascii="Arial" w:hAnsi="Arial" w:cs="Arial"/>
          <w:b/>
          <w:bCs/>
          <w:sz w:val="28"/>
          <w:szCs w:val="28"/>
        </w:rPr>
      </w:pPr>
    </w:p>
    <w:p w14:paraId="07B26C2C" w14:textId="77777777" w:rsidR="005368C9" w:rsidRDefault="005368C9" w:rsidP="009C1931">
      <w:pPr>
        <w:spacing w:line="360" w:lineRule="auto"/>
        <w:jc w:val="center"/>
        <w:rPr>
          <w:rFonts w:ascii="Arial" w:hAnsi="Arial" w:cs="Arial"/>
          <w:b/>
          <w:bCs/>
          <w:sz w:val="28"/>
          <w:szCs w:val="28"/>
        </w:rPr>
      </w:pPr>
    </w:p>
    <w:p w14:paraId="259A1C9D" w14:textId="77777777" w:rsidR="005368C9" w:rsidRDefault="005368C9" w:rsidP="009C1931">
      <w:pPr>
        <w:spacing w:line="360" w:lineRule="auto"/>
        <w:jc w:val="center"/>
        <w:rPr>
          <w:rFonts w:ascii="Arial" w:hAnsi="Arial" w:cs="Arial"/>
          <w:b/>
          <w:bCs/>
          <w:sz w:val="28"/>
          <w:szCs w:val="28"/>
        </w:rPr>
      </w:pPr>
    </w:p>
    <w:p w14:paraId="0988B625" w14:textId="77777777" w:rsidR="005368C9" w:rsidRDefault="005368C9" w:rsidP="009C1931">
      <w:pPr>
        <w:spacing w:line="360" w:lineRule="auto"/>
        <w:jc w:val="center"/>
        <w:rPr>
          <w:rFonts w:ascii="Arial" w:hAnsi="Arial" w:cs="Arial"/>
          <w:b/>
          <w:bCs/>
          <w:sz w:val="28"/>
          <w:szCs w:val="28"/>
        </w:rPr>
      </w:pPr>
    </w:p>
    <w:p w14:paraId="59498598" w14:textId="77777777" w:rsidR="005368C9" w:rsidRDefault="005368C9" w:rsidP="009C1931">
      <w:pPr>
        <w:spacing w:line="360" w:lineRule="auto"/>
        <w:jc w:val="center"/>
        <w:rPr>
          <w:rFonts w:ascii="Arial" w:hAnsi="Arial" w:cs="Arial"/>
          <w:b/>
          <w:bCs/>
          <w:sz w:val="28"/>
          <w:szCs w:val="28"/>
        </w:rPr>
      </w:pPr>
    </w:p>
    <w:p w14:paraId="620F8A3C" w14:textId="77777777" w:rsidR="005368C9" w:rsidRDefault="005368C9" w:rsidP="009C1931">
      <w:pPr>
        <w:spacing w:line="360" w:lineRule="auto"/>
        <w:jc w:val="center"/>
        <w:rPr>
          <w:rFonts w:ascii="Arial" w:hAnsi="Arial" w:cs="Arial"/>
          <w:b/>
          <w:bCs/>
          <w:sz w:val="28"/>
          <w:szCs w:val="28"/>
        </w:rPr>
      </w:pPr>
    </w:p>
    <w:p w14:paraId="1F471A8B" w14:textId="77777777" w:rsidR="005368C9" w:rsidRDefault="005368C9" w:rsidP="009C1931">
      <w:pPr>
        <w:spacing w:line="360" w:lineRule="auto"/>
        <w:jc w:val="center"/>
        <w:rPr>
          <w:rFonts w:ascii="Arial" w:hAnsi="Arial" w:cs="Arial"/>
          <w:b/>
          <w:bCs/>
          <w:sz w:val="28"/>
          <w:szCs w:val="28"/>
        </w:rPr>
      </w:pPr>
    </w:p>
    <w:p w14:paraId="630DDB86" w14:textId="77777777" w:rsidR="005368C9" w:rsidRDefault="005368C9" w:rsidP="009C1931">
      <w:pPr>
        <w:spacing w:line="360" w:lineRule="auto"/>
        <w:jc w:val="center"/>
        <w:rPr>
          <w:rFonts w:ascii="Arial" w:hAnsi="Arial" w:cs="Arial"/>
          <w:b/>
          <w:bCs/>
          <w:sz w:val="28"/>
          <w:szCs w:val="28"/>
        </w:rPr>
      </w:pPr>
    </w:p>
    <w:p w14:paraId="42A9FE92" w14:textId="77777777" w:rsidR="005368C9" w:rsidRDefault="005368C9" w:rsidP="009C1931">
      <w:pPr>
        <w:spacing w:line="360" w:lineRule="auto"/>
        <w:jc w:val="center"/>
        <w:rPr>
          <w:rFonts w:ascii="Arial" w:hAnsi="Arial" w:cs="Arial"/>
          <w:b/>
          <w:bCs/>
          <w:sz w:val="28"/>
          <w:szCs w:val="28"/>
        </w:rPr>
      </w:pPr>
    </w:p>
    <w:p w14:paraId="76FC59B4" w14:textId="77777777" w:rsidR="005368C9" w:rsidRDefault="005368C9" w:rsidP="009C1931">
      <w:pPr>
        <w:spacing w:line="360" w:lineRule="auto"/>
        <w:jc w:val="center"/>
        <w:rPr>
          <w:rFonts w:ascii="Arial" w:hAnsi="Arial" w:cs="Arial"/>
          <w:b/>
          <w:bCs/>
          <w:sz w:val="28"/>
          <w:szCs w:val="28"/>
        </w:rPr>
      </w:pPr>
    </w:p>
    <w:p w14:paraId="05B88E86" w14:textId="77777777" w:rsidR="005368C9" w:rsidRDefault="005368C9" w:rsidP="009C1931">
      <w:pPr>
        <w:spacing w:line="360" w:lineRule="auto"/>
        <w:jc w:val="center"/>
        <w:rPr>
          <w:rFonts w:ascii="Arial" w:hAnsi="Arial" w:cs="Arial"/>
          <w:b/>
          <w:bCs/>
          <w:sz w:val="28"/>
          <w:szCs w:val="28"/>
        </w:rPr>
      </w:pPr>
    </w:p>
    <w:p w14:paraId="06997CFD" w14:textId="77777777" w:rsidR="005368C9" w:rsidRDefault="005368C9" w:rsidP="009C1931">
      <w:pPr>
        <w:spacing w:line="360" w:lineRule="auto"/>
        <w:jc w:val="center"/>
        <w:rPr>
          <w:rFonts w:ascii="Arial" w:hAnsi="Arial" w:cs="Arial"/>
          <w:b/>
          <w:bCs/>
          <w:sz w:val="28"/>
          <w:szCs w:val="28"/>
        </w:rPr>
      </w:pPr>
    </w:p>
    <w:p w14:paraId="031769ED" w14:textId="77777777" w:rsidR="005368C9" w:rsidRDefault="005368C9" w:rsidP="009C1931">
      <w:pPr>
        <w:spacing w:line="360" w:lineRule="auto"/>
        <w:jc w:val="center"/>
        <w:rPr>
          <w:rFonts w:ascii="Arial" w:hAnsi="Arial" w:cs="Arial"/>
          <w:b/>
          <w:bCs/>
          <w:sz w:val="28"/>
          <w:szCs w:val="28"/>
        </w:rPr>
      </w:pPr>
    </w:p>
    <w:p w14:paraId="2F2D76CC" w14:textId="77777777" w:rsidR="005368C9" w:rsidRDefault="005368C9" w:rsidP="009C1931">
      <w:pPr>
        <w:spacing w:line="360" w:lineRule="auto"/>
        <w:jc w:val="center"/>
        <w:rPr>
          <w:rFonts w:ascii="Arial" w:hAnsi="Arial" w:cs="Arial"/>
          <w:b/>
          <w:bCs/>
          <w:sz w:val="28"/>
          <w:szCs w:val="28"/>
        </w:rPr>
      </w:pPr>
    </w:p>
    <w:p w14:paraId="0CA96EFE" w14:textId="77777777" w:rsidR="005368C9" w:rsidRDefault="005368C9" w:rsidP="009C1931">
      <w:pPr>
        <w:spacing w:line="360" w:lineRule="auto"/>
        <w:jc w:val="center"/>
        <w:rPr>
          <w:rFonts w:ascii="Arial" w:hAnsi="Arial" w:cs="Arial"/>
          <w:b/>
          <w:bCs/>
          <w:sz w:val="28"/>
          <w:szCs w:val="28"/>
        </w:rPr>
      </w:pPr>
    </w:p>
    <w:p w14:paraId="2022BCE8" w14:textId="77777777" w:rsidR="005368C9" w:rsidRDefault="005368C9" w:rsidP="009C1931">
      <w:pPr>
        <w:spacing w:line="360" w:lineRule="auto"/>
        <w:jc w:val="center"/>
        <w:rPr>
          <w:rFonts w:ascii="Arial" w:hAnsi="Arial" w:cs="Arial"/>
          <w:b/>
          <w:bCs/>
          <w:sz w:val="28"/>
          <w:szCs w:val="28"/>
        </w:rPr>
      </w:pPr>
    </w:p>
    <w:p w14:paraId="2BB374AF" w14:textId="77777777" w:rsidR="005368C9" w:rsidRDefault="005368C9" w:rsidP="009C1931">
      <w:pPr>
        <w:spacing w:line="360" w:lineRule="auto"/>
        <w:jc w:val="center"/>
        <w:rPr>
          <w:rFonts w:ascii="Arial" w:hAnsi="Arial" w:cs="Arial"/>
          <w:b/>
          <w:bCs/>
          <w:sz w:val="28"/>
          <w:szCs w:val="28"/>
        </w:rPr>
      </w:pPr>
    </w:p>
    <w:p w14:paraId="1B774888" w14:textId="77777777" w:rsidR="005368C9" w:rsidRDefault="005368C9" w:rsidP="009C1931">
      <w:pPr>
        <w:spacing w:line="360" w:lineRule="auto"/>
        <w:jc w:val="center"/>
        <w:rPr>
          <w:rFonts w:ascii="Arial" w:hAnsi="Arial" w:cs="Arial"/>
          <w:b/>
          <w:bCs/>
          <w:sz w:val="28"/>
          <w:szCs w:val="28"/>
        </w:rPr>
      </w:pPr>
    </w:p>
    <w:p w14:paraId="3839B8EE" w14:textId="77777777" w:rsidR="005368C9" w:rsidRDefault="005368C9" w:rsidP="009C1931">
      <w:pPr>
        <w:spacing w:line="360" w:lineRule="auto"/>
        <w:jc w:val="center"/>
        <w:rPr>
          <w:rFonts w:ascii="Arial" w:hAnsi="Arial" w:cs="Arial"/>
          <w:b/>
          <w:bCs/>
          <w:sz w:val="28"/>
          <w:szCs w:val="28"/>
        </w:rPr>
      </w:pPr>
    </w:p>
    <w:p w14:paraId="3751E07A" w14:textId="77777777" w:rsidR="005368C9" w:rsidRDefault="005368C9" w:rsidP="009C1931">
      <w:pPr>
        <w:spacing w:line="360" w:lineRule="auto"/>
        <w:jc w:val="center"/>
        <w:rPr>
          <w:rFonts w:ascii="Arial" w:hAnsi="Arial" w:cs="Arial"/>
          <w:b/>
          <w:bCs/>
          <w:sz w:val="28"/>
          <w:szCs w:val="28"/>
        </w:rPr>
      </w:pPr>
    </w:p>
    <w:p w14:paraId="13DE0A2D" w14:textId="77777777" w:rsidR="005368C9" w:rsidRDefault="005368C9" w:rsidP="009C1931">
      <w:pPr>
        <w:spacing w:line="360" w:lineRule="auto"/>
        <w:jc w:val="center"/>
        <w:rPr>
          <w:rFonts w:ascii="Arial" w:hAnsi="Arial" w:cs="Arial"/>
          <w:b/>
          <w:bCs/>
          <w:sz w:val="28"/>
          <w:szCs w:val="28"/>
        </w:rPr>
      </w:pPr>
    </w:p>
    <w:p w14:paraId="5235C641" w14:textId="77777777" w:rsidR="005368C9" w:rsidRDefault="005368C9" w:rsidP="009C1931">
      <w:pPr>
        <w:spacing w:line="360" w:lineRule="auto"/>
        <w:jc w:val="center"/>
        <w:rPr>
          <w:rFonts w:ascii="Arial" w:hAnsi="Arial" w:cs="Arial"/>
          <w:b/>
          <w:bCs/>
          <w:sz w:val="28"/>
          <w:szCs w:val="28"/>
        </w:rPr>
      </w:pPr>
    </w:p>
    <w:p w14:paraId="4509D17D" w14:textId="77777777" w:rsidR="005368C9" w:rsidRDefault="005368C9" w:rsidP="009C1931">
      <w:pPr>
        <w:spacing w:line="360" w:lineRule="auto"/>
        <w:jc w:val="center"/>
        <w:rPr>
          <w:rFonts w:ascii="Arial" w:hAnsi="Arial" w:cs="Arial"/>
          <w:b/>
          <w:bCs/>
          <w:sz w:val="28"/>
          <w:szCs w:val="28"/>
        </w:rPr>
      </w:pPr>
    </w:p>
    <w:p w14:paraId="05E6C300" w14:textId="77777777" w:rsidR="005368C9" w:rsidRDefault="005368C9" w:rsidP="009C1931">
      <w:pPr>
        <w:spacing w:line="360" w:lineRule="auto"/>
        <w:jc w:val="center"/>
        <w:rPr>
          <w:rFonts w:ascii="Arial" w:hAnsi="Arial" w:cs="Arial"/>
          <w:b/>
          <w:bCs/>
          <w:sz w:val="28"/>
          <w:szCs w:val="28"/>
        </w:rPr>
      </w:pPr>
    </w:p>
    <w:p w14:paraId="791508C1" w14:textId="24B66FAB" w:rsidR="00E17B1F" w:rsidRPr="002B41B5" w:rsidRDefault="00A84BC9" w:rsidP="009C1931">
      <w:pPr>
        <w:spacing w:line="360" w:lineRule="auto"/>
        <w:jc w:val="center"/>
        <w:rPr>
          <w:rFonts w:ascii="Arial" w:hAnsi="Arial" w:cs="Arial"/>
          <w:b/>
          <w:bCs/>
          <w:sz w:val="28"/>
          <w:szCs w:val="28"/>
        </w:rPr>
      </w:pPr>
      <w:r w:rsidRPr="002B41B5">
        <w:rPr>
          <w:rFonts w:ascii="Arial" w:hAnsi="Arial" w:cs="Arial"/>
          <w:b/>
          <w:bCs/>
          <w:sz w:val="28"/>
          <w:szCs w:val="28"/>
        </w:rPr>
        <w:t>Abstract</w:t>
      </w:r>
    </w:p>
    <w:p w14:paraId="48B137DB" w14:textId="77777777" w:rsidR="00A84BC9" w:rsidRPr="002B41B5" w:rsidRDefault="00A84BC9" w:rsidP="009C1931">
      <w:pPr>
        <w:spacing w:line="360" w:lineRule="auto"/>
        <w:rPr>
          <w:rFonts w:ascii="Arial" w:hAnsi="Arial" w:cs="Arial"/>
        </w:rPr>
      </w:pPr>
    </w:p>
    <w:p w14:paraId="0BDDC5F9" w14:textId="5D458F40" w:rsidR="00E17B1F" w:rsidRPr="002B41B5" w:rsidRDefault="00A84BC9" w:rsidP="009C1931">
      <w:pPr>
        <w:spacing w:line="360" w:lineRule="auto"/>
        <w:rPr>
          <w:rFonts w:ascii="Arial" w:hAnsi="Arial" w:cs="Arial"/>
          <w:b/>
          <w:bCs/>
        </w:rPr>
      </w:pPr>
      <w:r w:rsidRPr="002B41B5">
        <w:rPr>
          <w:rFonts w:ascii="Arial" w:hAnsi="Arial" w:cs="Arial"/>
        </w:rPr>
        <w:t>This study seeks to unpack the convoluted connection between Dubai’s real estate and its underlying economic direction. Built on a platform of qualitative research, the investigator seeks to delve into the interplay between the real estate and its drivers and deterrents in form of macroeconomic indicators, government policy while juxtaposing it with the notions of sustainable development. Using semi-structured interviews and thematic content analysis from key informants, such as land experts and policymakers, the researcher will elucidate social and economic factors that affect Dubai’s real estate, addressing the implication of the sectors on economic scope and sustainability. The research is critical as it impacts policy and influences investment decisions at the same time promoting sustainable development and also the academic environment. The identification of links within the Dubai real market offers a helpful groundwork for judging the policy into evidence based on planning and execution. Comparably, it is also necessary for the implementation of real estate investment policy.</w:t>
      </w:r>
      <w:r w:rsidR="00E17B1F" w:rsidRPr="002B41B5">
        <w:rPr>
          <w:rFonts w:ascii="Arial" w:hAnsi="Arial" w:cs="Arial"/>
          <w:b/>
          <w:bCs/>
        </w:rPr>
        <w:br w:type="page"/>
      </w:r>
    </w:p>
    <w:sdt>
      <w:sdtPr>
        <w:rPr>
          <w:rFonts w:asciiTheme="minorHAnsi" w:eastAsiaTheme="minorHAnsi" w:hAnsiTheme="minorHAnsi" w:cstheme="minorBidi"/>
          <w:b w:val="0"/>
          <w:bCs w:val="0"/>
          <w:color w:val="auto"/>
          <w:kern w:val="2"/>
          <w:sz w:val="24"/>
          <w:szCs w:val="24"/>
          <w:lang w:val="en-IN"/>
          <w14:ligatures w14:val="standardContextual"/>
        </w:rPr>
        <w:id w:val="1221485255"/>
        <w:docPartObj>
          <w:docPartGallery w:val="Table of Contents"/>
          <w:docPartUnique/>
        </w:docPartObj>
      </w:sdtPr>
      <w:sdtEndPr>
        <w:rPr>
          <w:noProof/>
        </w:rPr>
      </w:sdtEndPr>
      <w:sdtContent>
        <w:p w14:paraId="00A91951" w14:textId="6FA83E36" w:rsidR="001C2F9E" w:rsidRPr="002B41B5" w:rsidRDefault="001C2F9E" w:rsidP="009C1931">
          <w:pPr>
            <w:pStyle w:val="TOCHeading"/>
            <w:spacing w:line="360" w:lineRule="auto"/>
          </w:pPr>
          <w:r w:rsidRPr="002B41B5">
            <w:t>Table of Contents</w:t>
          </w:r>
        </w:p>
        <w:p w14:paraId="6CF4D60A" w14:textId="763306C6" w:rsidR="001848FA" w:rsidRPr="002B41B5" w:rsidRDefault="001C2F9E" w:rsidP="009C1931">
          <w:pPr>
            <w:pStyle w:val="TOC1"/>
            <w:tabs>
              <w:tab w:val="right" w:leader="dot" w:pos="9016"/>
            </w:tabs>
            <w:spacing w:line="360" w:lineRule="auto"/>
            <w:rPr>
              <w:rFonts w:ascii="Arial" w:eastAsiaTheme="minorEastAsia" w:hAnsi="Arial" w:cs="Arial"/>
              <w:b w:val="0"/>
              <w:bCs w:val="0"/>
              <w:caps w:val="0"/>
              <w:noProof/>
              <w:sz w:val="24"/>
              <w:szCs w:val="24"/>
              <w:lang w:eastAsia="en-IN"/>
            </w:rPr>
          </w:pPr>
          <w:r w:rsidRPr="002B41B5">
            <w:rPr>
              <w:rFonts w:ascii="Arial" w:hAnsi="Arial" w:cs="Arial"/>
              <w:b w:val="0"/>
              <w:bCs w:val="0"/>
              <w:sz w:val="24"/>
              <w:szCs w:val="24"/>
            </w:rPr>
            <w:fldChar w:fldCharType="begin"/>
          </w:r>
          <w:r w:rsidRPr="002B41B5">
            <w:rPr>
              <w:rFonts w:ascii="Arial" w:hAnsi="Arial" w:cs="Arial"/>
              <w:sz w:val="24"/>
              <w:szCs w:val="24"/>
            </w:rPr>
            <w:instrText xml:space="preserve"> TOC \o "1-3" \h \z \u </w:instrText>
          </w:r>
          <w:r w:rsidRPr="002B41B5">
            <w:rPr>
              <w:rFonts w:ascii="Arial" w:hAnsi="Arial" w:cs="Arial"/>
              <w:b w:val="0"/>
              <w:bCs w:val="0"/>
              <w:sz w:val="24"/>
              <w:szCs w:val="24"/>
            </w:rPr>
            <w:fldChar w:fldCharType="separate"/>
          </w:r>
          <w:hyperlink w:anchor="_Toc166263507" w:history="1">
            <w:r w:rsidR="001848FA" w:rsidRPr="002B41B5">
              <w:rPr>
                <w:rStyle w:val="Hyperlink"/>
                <w:rFonts w:ascii="Arial" w:hAnsi="Arial" w:cs="Arial"/>
                <w:noProof/>
                <w:sz w:val="24"/>
                <w:szCs w:val="24"/>
              </w:rPr>
              <w:t>Chapter 1: Introduction</w:t>
            </w:r>
            <w:r w:rsidR="001848FA" w:rsidRPr="002B41B5">
              <w:rPr>
                <w:rFonts w:ascii="Arial" w:hAnsi="Arial" w:cs="Arial"/>
                <w:noProof/>
                <w:webHidden/>
                <w:sz w:val="24"/>
                <w:szCs w:val="24"/>
              </w:rPr>
              <w:tab/>
            </w:r>
            <w:r w:rsidR="00D436D0">
              <w:rPr>
                <w:rFonts w:ascii="Arial" w:hAnsi="Arial" w:cs="Arial"/>
                <w:noProof/>
                <w:webHidden/>
                <w:sz w:val="24"/>
                <w:szCs w:val="24"/>
              </w:rPr>
              <w:t>8</w:t>
            </w:r>
          </w:hyperlink>
        </w:p>
        <w:p w14:paraId="07C42470" w14:textId="41A642DF" w:rsidR="001848FA" w:rsidRPr="002B41B5" w:rsidRDefault="00000000" w:rsidP="009C1931">
          <w:pPr>
            <w:pStyle w:val="TOC2"/>
            <w:tabs>
              <w:tab w:val="right" w:leader="dot" w:pos="9016"/>
            </w:tabs>
            <w:spacing w:line="360" w:lineRule="auto"/>
            <w:rPr>
              <w:rFonts w:ascii="Arial" w:eastAsiaTheme="minorEastAsia" w:hAnsi="Arial" w:cs="Arial"/>
              <w:smallCaps w:val="0"/>
              <w:noProof/>
              <w:sz w:val="24"/>
              <w:szCs w:val="24"/>
              <w:lang w:eastAsia="en-IN"/>
            </w:rPr>
          </w:pPr>
          <w:hyperlink w:anchor="_Toc166263508" w:history="1">
            <w:r w:rsidR="001848FA" w:rsidRPr="002B41B5">
              <w:rPr>
                <w:rStyle w:val="Hyperlink"/>
                <w:rFonts w:ascii="Arial" w:hAnsi="Arial" w:cs="Arial"/>
                <w:noProof/>
                <w:sz w:val="24"/>
                <w:szCs w:val="24"/>
              </w:rPr>
              <w:t>1.1 Background and Context</w:t>
            </w:r>
            <w:r w:rsidR="001848FA" w:rsidRPr="002B41B5">
              <w:rPr>
                <w:rFonts w:ascii="Arial" w:hAnsi="Arial" w:cs="Arial"/>
                <w:noProof/>
                <w:webHidden/>
                <w:sz w:val="24"/>
                <w:szCs w:val="24"/>
              </w:rPr>
              <w:tab/>
            </w:r>
            <w:r w:rsidR="00D436D0">
              <w:rPr>
                <w:rFonts w:ascii="Arial" w:hAnsi="Arial" w:cs="Arial"/>
                <w:noProof/>
                <w:webHidden/>
                <w:sz w:val="24"/>
                <w:szCs w:val="24"/>
              </w:rPr>
              <w:t>9</w:t>
            </w:r>
          </w:hyperlink>
        </w:p>
        <w:p w14:paraId="0AB69842" w14:textId="005AD35C" w:rsidR="001848FA" w:rsidRPr="002B41B5" w:rsidRDefault="00000000" w:rsidP="009C1931">
          <w:pPr>
            <w:pStyle w:val="TOC2"/>
            <w:tabs>
              <w:tab w:val="right" w:leader="dot" w:pos="9016"/>
            </w:tabs>
            <w:spacing w:line="360" w:lineRule="auto"/>
            <w:rPr>
              <w:rFonts w:ascii="Arial" w:eastAsiaTheme="minorEastAsia" w:hAnsi="Arial" w:cs="Arial"/>
              <w:smallCaps w:val="0"/>
              <w:noProof/>
              <w:sz w:val="24"/>
              <w:szCs w:val="24"/>
              <w:lang w:eastAsia="en-IN"/>
            </w:rPr>
          </w:pPr>
          <w:hyperlink w:anchor="_Toc166263509" w:history="1">
            <w:r w:rsidR="001848FA" w:rsidRPr="002B41B5">
              <w:rPr>
                <w:rStyle w:val="Hyperlink"/>
                <w:rFonts w:ascii="Arial" w:hAnsi="Arial" w:cs="Arial"/>
                <w:noProof/>
                <w:sz w:val="24"/>
                <w:szCs w:val="24"/>
              </w:rPr>
              <w:t>1.2 Research Aim</w:t>
            </w:r>
            <w:r w:rsidR="001848FA" w:rsidRPr="002B41B5">
              <w:rPr>
                <w:rFonts w:ascii="Arial" w:hAnsi="Arial" w:cs="Arial"/>
                <w:noProof/>
                <w:webHidden/>
                <w:sz w:val="24"/>
                <w:szCs w:val="24"/>
              </w:rPr>
              <w:tab/>
            </w:r>
            <w:r w:rsidR="00D436D0">
              <w:rPr>
                <w:rFonts w:ascii="Arial" w:hAnsi="Arial" w:cs="Arial"/>
                <w:noProof/>
                <w:webHidden/>
                <w:sz w:val="24"/>
                <w:szCs w:val="24"/>
              </w:rPr>
              <w:t>10</w:t>
            </w:r>
          </w:hyperlink>
        </w:p>
        <w:p w14:paraId="19FBDEF7" w14:textId="3F209C5C" w:rsidR="001848FA" w:rsidRPr="002B41B5" w:rsidRDefault="00000000" w:rsidP="009C1931">
          <w:pPr>
            <w:pStyle w:val="TOC2"/>
            <w:tabs>
              <w:tab w:val="right" w:leader="dot" w:pos="9016"/>
            </w:tabs>
            <w:spacing w:line="360" w:lineRule="auto"/>
            <w:rPr>
              <w:rFonts w:ascii="Arial" w:eastAsiaTheme="minorEastAsia" w:hAnsi="Arial" w:cs="Arial"/>
              <w:smallCaps w:val="0"/>
              <w:noProof/>
              <w:sz w:val="24"/>
              <w:szCs w:val="24"/>
              <w:lang w:eastAsia="en-IN"/>
            </w:rPr>
          </w:pPr>
          <w:hyperlink w:anchor="_Toc166263510" w:history="1">
            <w:r w:rsidR="001848FA" w:rsidRPr="002B41B5">
              <w:rPr>
                <w:rStyle w:val="Hyperlink"/>
                <w:rFonts w:ascii="Arial" w:hAnsi="Arial" w:cs="Arial"/>
                <w:noProof/>
                <w:sz w:val="24"/>
                <w:szCs w:val="24"/>
              </w:rPr>
              <w:t>1.3 Research Objectives</w:t>
            </w:r>
            <w:r w:rsidR="001848FA" w:rsidRPr="002B41B5">
              <w:rPr>
                <w:rFonts w:ascii="Arial" w:hAnsi="Arial" w:cs="Arial"/>
                <w:noProof/>
                <w:webHidden/>
                <w:sz w:val="24"/>
                <w:szCs w:val="24"/>
              </w:rPr>
              <w:tab/>
            </w:r>
            <w:r w:rsidR="00D436D0">
              <w:rPr>
                <w:rFonts w:ascii="Arial" w:hAnsi="Arial" w:cs="Arial"/>
                <w:noProof/>
                <w:webHidden/>
                <w:sz w:val="24"/>
                <w:szCs w:val="24"/>
              </w:rPr>
              <w:t>10</w:t>
            </w:r>
          </w:hyperlink>
        </w:p>
        <w:p w14:paraId="6EA56C0A" w14:textId="04B88302" w:rsidR="001848FA" w:rsidRPr="002B41B5" w:rsidRDefault="00000000" w:rsidP="009C1931">
          <w:pPr>
            <w:pStyle w:val="TOC2"/>
            <w:tabs>
              <w:tab w:val="right" w:leader="dot" w:pos="9016"/>
            </w:tabs>
            <w:spacing w:line="360" w:lineRule="auto"/>
            <w:rPr>
              <w:rFonts w:ascii="Arial" w:eastAsiaTheme="minorEastAsia" w:hAnsi="Arial" w:cs="Arial"/>
              <w:smallCaps w:val="0"/>
              <w:noProof/>
              <w:sz w:val="24"/>
              <w:szCs w:val="24"/>
              <w:lang w:eastAsia="en-IN"/>
            </w:rPr>
          </w:pPr>
          <w:hyperlink w:anchor="_Toc166263511" w:history="1">
            <w:r w:rsidR="001848FA" w:rsidRPr="002B41B5">
              <w:rPr>
                <w:rStyle w:val="Hyperlink"/>
                <w:rFonts w:ascii="Arial" w:hAnsi="Arial" w:cs="Arial"/>
                <w:noProof/>
                <w:sz w:val="24"/>
                <w:szCs w:val="24"/>
              </w:rPr>
              <w:t>1.4 Research Questions</w:t>
            </w:r>
            <w:r w:rsidR="001848FA" w:rsidRPr="002B41B5">
              <w:rPr>
                <w:rFonts w:ascii="Arial" w:hAnsi="Arial" w:cs="Arial"/>
                <w:noProof/>
                <w:webHidden/>
                <w:sz w:val="24"/>
                <w:szCs w:val="24"/>
              </w:rPr>
              <w:tab/>
            </w:r>
            <w:r w:rsidR="00D436D0">
              <w:rPr>
                <w:rFonts w:ascii="Arial" w:hAnsi="Arial" w:cs="Arial"/>
                <w:noProof/>
                <w:webHidden/>
                <w:sz w:val="24"/>
                <w:szCs w:val="24"/>
              </w:rPr>
              <w:t>10</w:t>
            </w:r>
          </w:hyperlink>
        </w:p>
        <w:p w14:paraId="5B2EB251" w14:textId="79F0D734" w:rsidR="001848FA" w:rsidRPr="002B41B5" w:rsidRDefault="00000000" w:rsidP="009C1931">
          <w:pPr>
            <w:pStyle w:val="TOC2"/>
            <w:tabs>
              <w:tab w:val="right" w:leader="dot" w:pos="9016"/>
            </w:tabs>
            <w:spacing w:line="360" w:lineRule="auto"/>
            <w:rPr>
              <w:rFonts w:ascii="Arial" w:eastAsiaTheme="minorEastAsia" w:hAnsi="Arial" w:cs="Arial"/>
              <w:smallCaps w:val="0"/>
              <w:noProof/>
              <w:sz w:val="24"/>
              <w:szCs w:val="24"/>
              <w:lang w:eastAsia="en-IN"/>
            </w:rPr>
          </w:pPr>
          <w:hyperlink w:anchor="_Toc166263512" w:history="1">
            <w:r w:rsidR="001848FA" w:rsidRPr="002B41B5">
              <w:rPr>
                <w:rStyle w:val="Hyperlink"/>
                <w:rFonts w:ascii="Arial" w:hAnsi="Arial" w:cs="Arial"/>
                <w:noProof/>
                <w:sz w:val="24"/>
                <w:szCs w:val="24"/>
              </w:rPr>
              <w:t>1.5 Significance / Relevance of Study</w:t>
            </w:r>
            <w:r w:rsidR="001848FA" w:rsidRPr="002B41B5">
              <w:rPr>
                <w:rFonts w:ascii="Arial" w:hAnsi="Arial" w:cs="Arial"/>
                <w:noProof/>
                <w:webHidden/>
                <w:sz w:val="24"/>
                <w:szCs w:val="24"/>
              </w:rPr>
              <w:tab/>
            </w:r>
            <w:r w:rsidR="00D436D0">
              <w:rPr>
                <w:rFonts w:ascii="Arial" w:hAnsi="Arial" w:cs="Arial"/>
                <w:noProof/>
                <w:webHidden/>
                <w:sz w:val="24"/>
                <w:szCs w:val="24"/>
              </w:rPr>
              <w:t>11</w:t>
            </w:r>
          </w:hyperlink>
        </w:p>
        <w:p w14:paraId="297BC2D7" w14:textId="7B41F12C" w:rsidR="001848FA" w:rsidRPr="002B41B5" w:rsidRDefault="00000000" w:rsidP="009C1931">
          <w:pPr>
            <w:pStyle w:val="TOC2"/>
            <w:tabs>
              <w:tab w:val="right" w:leader="dot" w:pos="9016"/>
            </w:tabs>
            <w:spacing w:line="360" w:lineRule="auto"/>
            <w:rPr>
              <w:rFonts w:ascii="Arial" w:eastAsiaTheme="minorEastAsia" w:hAnsi="Arial" w:cs="Arial"/>
              <w:smallCaps w:val="0"/>
              <w:noProof/>
              <w:sz w:val="24"/>
              <w:szCs w:val="24"/>
              <w:lang w:eastAsia="en-IN"/>
            </w:rPr>
          </w:pPr>
          <w:hyperlink w:anchor="_Toc166263513" w:history="1">
            <w:r w:rsidR="001848FA" w:rsidRPr="002B41B5">
              <w:rPr>
                <w:rStyle w:val="Hyperlink"/>
                <w:rFonts w:ascii="Arial" w:hAnsi="Arial" w:cs="Arial"/>
                <w:noProof/>
                <w:sz w:val="24"/>
                <w:szCs w:val="24"/>
              </w:rPr>
              <w:t>1.6 Brief Research Methodology</w:t>
            </w:r>
            <w:r w:rsidR="001848FA" w:rsidRPr="002B41B5">
              <w:rPr>
                <w:rFonts w:ascii="Arial" w:hAnsi="Arial" w:cs="Arial"/>
                <w:noProof/>
                <w:webHidden/>
                <w:sz w:val="24"/>
                <w:szCs w:val="24"/>
              </w:rPr>
              <w:tab/>
            </w:r>
            <w:r w:rsidR="00D436D0">
              <w:rPr>
                <w:rFonts w:ascii="Arial" w:hAnsi="Arial" w:cs="Arial"/>
                <w:noProof/>
                <w:webHidden/>
                <w:sz w:val="24"/>
                <w:szCs w:val="24"/>
              </w:rPr>
              <w:t>12</w:t>
            </w:r>
          </w:hyperlink>
        </w:p>
        <w:p w14:paraId="0BEE7DC9" w14:textId="3D47E2E9" w:rsidR="001848FA" w:rsidRPr="002B41B5" w:rsidRDefault="00000000" w:rsidP="009C1931">
          <w:pPr>
            <w:pStyle w:val="TOC1"/>
            <w:tabs>
              <w:tab w:val="right" w:leader="dot" w:pos="9016"/>
            </w:tabs>
            <w:spacing w:line="360" w:lineRule="auto"/>
            <w:rPr>
              <w:rFonts w:ascii="Arial" w:eastAsiaTheme="minorEastAsia" w:hAnsi="Arial" w:cs="Arial"/>
              <w:b w:val="0"/>
              <w:bCs w:val="0"/>
              <w:caps w:val="0"/>
              <w:noProof/>
              <w:sz w:val="24"/>
              <w:szCs w:val="24"/>
              <w:lang w:eastAsia="en-IN"/>
            </w:rPr>
          </w:pPr>
          <w:hyperlink w:anchor="_Toc166263514" w:history="1">
            <w:r w:rsidR="001848FA" w:rsidRPr="002B41B5">
              <w:rPr>
                <w:rStyle w:val="Hyperlink"/>
                <w:rFonts w:ascii="Arial" w:hAnsi="Arial" w:cs="Arial"/>
                <w:noProof/>
                <w:sz w:val="24"/>
                <w:szCs w:val="24"/>
              </w:rPr>
              <w:t>CHAPTER 2: LITERATURE REVIEW</w:t>
            </w:r>
            <w:r w:rsidR="001848FA" w:rsidRPr="002B41B5">
              <w:rPr>
                <w:rFonts w:ascii="Arial" w:hAnsi="Arial" w:cs="Arial"/>
                <w:noProof/>
                <w:webHidden/>
                <w:sz w:val="24"/>
                <w:szCs w:val="24"/>
              </w:rPr>
              <w:tab/>
            </w:r>
            <w:r w:rsidR="00C34B81">
              <w:rPr>
                <w:rFonts w:ascii="Arial" w:hAnsi="Arial" w:cs="Arial"/>
                <w:noProof/>
                <w:webHidden/>
                <w:sz w:val="24"/>
                <w:szCs w:val="24"/>
              </w:rPr>
              <w:t>14</w:t>
            </w:r>
          </w:hyperlink>
        </w:p>
        <w:p w14:paraId="575C4D07" w14:textId="3B15BA3D" w:rsidR="001848FA" w:rsidRPr="002B41B5" w:rsidRDefault="00000000" w:rsidP="009C1931">
          <w:pPr>
            <w:pStyle w:val="TOC2"/>
            <w:tabs>
              <w:tab w:val="right" w:leader="dot" w:pos="9016"/>
            </w:tabs>
            <w:spacing w:line="360" w:lineRule="auto"/>
            <w:rPr>
              <w:rFonts w:ascii="Arial" w:eastAsiaTheme="minorEastAsia" w:hAnsi="Arial" w:cs="Arial"/>
              <w:smallCaps w:val="0"/>
              <w:noProof/>
              <w:sz w:val="24"/>
              <w:szCs w:val="24"/>
              <w:lang w:eastAsia="en-IN"/>
            </w:rPr>
          </w:pPr>
          <w:hyperlink w:anchor="_Toc166263515" w:history="1">
            <w:r w:rsidR="001848FA" w:rsidRPr="002B41B5">
              <w:rPr>
                <w:rStyle w:val="Hyperlink"/>
                <w:rFonts w:ascii="Arial" w:hAnsi="Arial" w:cs="Arial"/>
                <w:noProof/>
                <w:sz w:val="24"/>
                <w:szCs w:val="24"/>
              </w:rPr>
              <w:t>2.1 Introduction</w:t>
            </w:r>
            <w:r w:rsidR="001848FA" w:rsidRPr="002B41B5">
              <w:rPr>
                <w:rFonts w:ascii="Arial" w:hAnsi="Arial" w:cs="Arial"/>
                <w:noProof/>
                <w:webHidden/>
                <w:sz w:val="24"/>
                <w:szCs w:val="24"/>
              </w:rPr>
              <w:tab/>
            </w:r>
            <w:r w:rsidR="00C34B81">
              <w:rPr>
                <w:rFonts w:ascii="Arial" w:hAnsi="Arial" w:cs="Arial"/>
                <w:noProof/>
                <w:webHidden/>
                <w:sz w:val="24"/>
                <w:szCs w:val="24"/>
              </w:rPr>
              <w:t>14</w:t>
            </w:r>
          </w:hyperlink>
        </w:p>
        <w:p w14:paraId="0B03EA8D" w14:textId="25EE71D4" w:rsidR="001848FA" w:rsidRPr="002B41B5" w:rsidRDefault="00000000" w:rsidP="009C1931">
          <w:pPr>
            <w:pStyle w:val="TOC2"/>
            <w:tabs>
              <w:tab w:val="right" w:leader="dot" w:pos="9016"/>
            </w:tabs>
            <w:spacing w:line="360" w:lineRule="auto"/>
            <w:rPr>
              <w:rFonts w:ascii="Arial" w:eastAsiaTheme="minorEastAsia" w:hAnsi="Arial" w:cs="Arial"/>
              <w:smallCaps w:val="0"/>
              <w:noProof/>
              <w:sz w:val="24"/>
              <w:szCs w:val="24"/>
              <w:lang w:eastAsia="en-IN"/>
            </w:rPr>
          </w:pPr>
          <w:hyperlink w:anchor="_Toc166263516" w:history="1">
            <w:r w:rsidR="001848FA" w:rsidRPr="002B41B5">
              <w:rPr>
                <w:rStyle w:val="Hyperlink"/>
                <w:rFonts w:ascii="Arial" w:hAnsi="Arial" w:cs="Arial"/>
                <w:noProof/>
                <w:sz w:val="24"/>
                <w:szCs w:val="24"/>
              </w:rPr>
              <w:t>2.2 Conceptual Framework</w:t>
            </w:r>
            <w:r w:rsidR="001848FA" w:rsidRPr="002B41B5">
              <w:rPr>
                <w:rFonts w:ascii="Arial" w:hAnsi="Arial" w:cs="Arial"/>
                <w:noProof/>
                <w:webHidden/>
                <w:sz w:val="24"/>
                <w:szCs w:val="24"/>
              </w:rPr>
              <w:tab/>
            </w:r>
            <w:r w:rsidR="00C34B81">
              <w:rPr>
                <w:rFonts w:ascii="Arial" w:hAnsi="Arial" w:cs="Arial"/>
                <w:noProof/>
                <w:webHidden/>
                <w:sz w:val="24"/>
                <w:szCs w:val="24"/>
              </w:rPr>
              <w:t>15</w:t>
            </w:r>
          </w:hyperlink>
        </w:p>
        <w:p w14:paraId="1AE3EC88" w14:textId="26B63688" w:rsidR="001848FA" w:rsidRPr="002B41B5" w:rsidRDefault="00000000" w:rsidP="009C1931">
          <w:pPr>
            <w:pStyle w:val="TOC2"/>
            <w:tabs>
              <w:tab w:val="right" w:leader="dot" w:pos="9016"/>
            </w:tabs>
            <w:spacing w:line="360" w:lineRule="auto"/>
            <w:rPr>
              <w:rFonts w:ascii="Arial" w:eastAsiaTheme="minorEastAsia" w:hAnsi="Arial" w:cs="Arial"/>
              <w:smallCaps w:val="0"/>
              <w:noProof/>
              <w:sz w:val="24"/>
              <w:szCs w:val="24"/>
              <w:lang w:eastAsia="en-IN"/>
            </w:rPr>
          </w:pPr>
          <w:hyperlink w:anchor="_Toc166263518" w:history="1">
            <w:r w:rsidR="001848FA" w:rsidRPr="002B41B5">
              <w:rPr>
                <w:rStyle w:val="Hyperlink"/>
                <w:rFonts w:ascii="Arial" w:hAnsi="Arial" w:cs="Arial"/>
                <w:noProof/>
                <w:sz w:val="24"/>
                <w:szCs w:val="24"/>
              </w:rPr>
              <w:t>2.3 Critical Review of Research Areas/Topics</w:t>
            </w:r>
            <w:r w:rsidR="001848FA" w:rsidRPr="002B41B5">
              <w:rPr>
                <w:rFonts w:ascii="Arial" w:hAnsi="Arial" w:cs="Arial"/>
                <w:noProof/>
                <w:webHidden/>
                <w:sz w:val="24"/>
                <w:szCs w:val="24"/>
              </w:rPr>
              <w:tab/>
            </w:r>
            <w:r w:rsidR="00C34B81">
              <w:rPr>
                <w:rFonts w:ascii="Arial" w:hAnsi="Arial" w:cs="Arial"/>
                <w:noProof/>
                <w:webHidden/>
                <w:sz w:val="24"/>
                <w:szCs w:val="24"/>
              </w:rPr>
              <w:t>17</w:t>
            </w:r>
          </w:hyperlink>
        </w:p>
        <w:p w14:paraId="34F5D6BA" w14:textId="7F6F17E1" w:rsidR="001848FA" w:rsidRPr="002B41B5" w:rsidRDefault="00000000" w:rsidP="009C1931">
          <w:pPr>
            <w:pStyle w:val="TOC2"/>
            <w:tabs>
              <w:tab w:val="right" w:leader="dot" w:pos="9016"/>
            </w:tabs>
            <w:spacing w:line="360" w:lineRule="auto"/>
            <w:rPr>
              <w:rFonts w:ascii="Arial" w:eastAsiaTheme="minorEastAsia" w:hAnsi="Arial" w:cs="Arial"/>
              <w:smallCaps w:val="0"/>
              <w:noProof/>
              <w:sz w:val="24"/>
              <w:szCs w:val="24"/>
              <w:lang w:eastAsia="en-IN"/>
            </w:rPr>
          </w:pPr>
          <w:hyperlink w:anchor="_Toc166263519" w:history="1">
            <w:r w:rsidR="001848FA" w:rsidRPr="002B41B5">
              <w:rPr>
                <w:rStyle w:val="Hyperlink"/>
                <w:rFonts w:ascii="Arial" w:hAnsi="Arial" w:cs="Arial"/>
                <w:noProof/>
                <w:sz w:val="24"/>
                <w:szCs w:val="24"/>
              </w:rPr>
              <w:t>2.4 Theoretical Framework</w:t>
            </w:r>
            <w:r w:rsidR="001848FA" w:rsidRPr="002B41B5">
              <w:rPr>
                <w:rFonts w:ascii="Arial" w:hAnsi="Arial" w:cs="Arial"/>
                <w:noProof/>
                <w:webHidden/>
                <w:sz w:val="24"/>
                <w:szCs w:val="24"/>
              </w:rPr>
              <w:tab/>
            </w:r>
            <w:r w:rsidR="00C34B81">
              <w:rPr>
                <w:rFonts w:ascii="Arial" w:hAnsi="Arial" w:cs="Arial"/>
                <w:noProof/>
                <w:webHidden/>
                <w:sz w:val="24"/>
                <w:szCs w:val="24"/>
              </w:rPr>
              <w:t>19</w:t>
            </w:r>
          </w:hyperlink>
        </w:p>
        <w:p w14:paraId="563B75AF" w14:textId="04922FA9" w:rsidR="001848FA" w:rsidRPr="002B41B5" w:rsidRDefault="00000000" w:rsidP="009C1931">
          <w:pPr>
            <w:pStyle w:val="TOC2"/>
            <w:tabs>
              <w:tab w:val="right" w:leader="dot" w:pos="9016"/>
            </w:tabs>
            <w:spacing w:line="360" w:lineRule="auto"/>
            <w:rPr>
              <w:rFonts w:ascii="Arial" w:eastAsiaTheme="minorEastAsia" w:hAnsi="Arial" w:cs="Arial"/>
              <w:smallCaps w:val="0"/>
              <w:noProof/>
              <w:sz w:val="24"/>
              <w:szCs w:val="24"/>
              <w:lang w:eastAsia="en-IN"/>
            </w:rPr>
          </w:pPr>
          <w:hyperlink w:anchor="_Toc166263520" w:history="1">
            <w:r w:rsidR="001848FA" w:rsidRPr="002B41B5">
              <w:rPr>
                <w:rStyle w:val="Hyperlink"/>
                <w:rFonts w:ascii="Arial" w:eastAsia="Times New Roman" w:hAnsi="Arial" w:cs="Arial"/>
                <w:noProof/>
                <w:sz w:val="24"/>
                <w:szCs w:val="24"/>
                <w:lang w:eastAsia="en-IN"/>
              </w:rPr>
              <w:t>2.5 Literature Gap</w:t>
            </w:r>
            <w:r w:rsidR="001848FA" w:rsidRPr="002B41B5">
              <w:rPr>
                <w:rFonts w:ascii="Arial" w:hAnsi="Arial" w:cs="Arial"/>
                <w:noProof/>
                <w:webHidden/>
                <w:sz w:val="24"/>
                <w:szCs w:val="24"/>
              </w:rPr>
              <w:tab/>
            </w:r>
            <w:r w:rsidR="00C34B81">
              <w:rPr>
                <w:rFonts w:ascii="Arial" w:hAnsi="Arial" w:cs="Arial"/>
                <w:noProof/>
                <w:webHidden/>
                <w:sz w:val="24"/>
                <w:szCs w:val="24"/>
              </w:rPr>
              <w:t>20</w:t>
            </w:r>
          </w:hyperlink>
        </w:p>
        <w:p w14:paraId="421EABCB" w14:textId="2074745E" w:rsidR="001848FA" w:rsidRPr="002B41B5" w:rsidRDefault="00000000" w:rsidP="009C1931">
          <w:pPr>
            <w:pStyle w:val="TOC2"/>
            <w:tabs>
              <w:tab w:val="right" w:leader="dot" w:pos="9016"/>
            </w:tabs>
            <w:spacing w:line="360" w:lineRule="auto"/>
            <w:rPr>
              <w:rFonts w:ascii="Arial" w:eastAsiaTheme="minorEastAsia" w:hAnsi="Arial" w:cs="Arial"/>
              <w:smallCaps w:val="0"/>
              <w:noProof/>
              <w:sz w:val="24"/>
              <w:szCs w:val="24"/>
              <w:lang w:eastAsia="en-IN"/>
            </w:rPr>
          </w:pPr>
          <w:hyperlink w:anchor="_Toc166263521" w:history="1">
            <w:r w:rsidR="001848FA" w:rsidRPr="002B41B5">
              <w:rPr>
                <w:rStyle w:val="Hyperlink"/>
                <w:rFonts w:ascii="Arial" w:hAnsi="Arial" w:cs="Arial"/>
                <w:noProof/>
                <w:sz w:val="24"/>
                <w:szCs w:val="24"/>
              </w:rPr>
              <w:t>2.6 Conclusion</w:t>
            </w:r>
            <w:r w:rsidR="001848FA" w:rsidRPr="002B41B5">
              <w:rPr>
                <w:rFonts w:ascii="Arial" w:hAnsi="Arial" w:cs="Arial"/>
                <w:noProof/>
                <w:webHidden/>
                <w:sz w:val="24"/>
                <w:szCs w:val="24"/>
              </w:rPr>
              <w:tab/>
            </w:r>
            <w:r w:rsidR="00C34B81">
              <w:rPr>
                <w:rFonts w:ascii="Arial" w:hAnsi="Arial" w:cs="Arial"/>
                <w:noProof/>
                <w:webHidden/>
                <w:sz w:val="24"/>
                <w:szCs w:val="24"/>
              </w:rPr>
              <w:t>20</w:t>
            </w:r>
          </w:hyperlink>
        </w:p>
        <w:p w14:paraId="2DB14FD5" w14:textId="0A15CB50" w:rsidR="001848FA" w:rsidRPr="002B41B5" w:rsidRDefault="00000000" w:rsidP="009C1931">
          <w:pPr>
            <w:pStyle w:val="TOC1"/>
            <w:tabs>
              <w:tab w:val="right" w:leader="dot" w:pos="9016"/>
            </w:tabs>
            <w:spacing w:line="360" w:lineRule="auto"/>
            <w:rPr>
              <w:rFonts w:ascii="Arial" w:eastAsiaTheme="minorEastAsia" w:hAnsi="Arial" w:cs="Arial"/>
              <w:b w:val="0"/>
              <w:bCs w:val="0"/>
              <w:caps w:val="0"/>
              <w:noProof/>
              <w:sz w:val="24"/>
              <w:szCs w:val="24"/>
              <w:lang w:eastAsia="en-IN"/>
            </w:rPr>
          </w:pPr>
          <w:hyperlink w:anchor="_Toc166263522" w:history="1">
            <w:r w:rsidR="001848FA" w:rsidRPr="002B41B5">
              <w:rPr>
                <w:rStyle w:val="Hyperlink"/>
                <w:rFonts w:ascii="Arial" w:hAnsi="Arial" w:cs="Arial"/>
                <w:noProof/>
                <w:sz w:val="24"/>
                <w:szCs w:val="24"/>
              </w:rPr>
              <w:t>CHAPTER 3: Methodology</w:t>
            </w:r>
            <w:r w:rsidR="001848FA" w:rsidRPr="002B41B5">
              <w:rPr>
                <w:rFonts w:ascii="Arial" w:hAnsi="Arial" w:cs="Arial"/>
                <w:noProof/>
                <w:webHidden/>
                <w:sz w:val="24"/>
                <w:szCs w:val="24"/>
              </w:rPr>
              <w:tab/>
            </w:r>
            <w:r w:rsidR="00C34B81">
              <w:rPr>
                <w:rFonts w:ascii="Arial" w:hAnsi="Arial" w:cs="Arial"/>
                <w:noProof/>
                <w:webHidden/>
                <w:sz w:val="24"/>
                <w:szCs w:val="24"/>
              </w:rPr>
              <w:t>22</w:t>
            </w:r>
          </w:hyperlink>
        </w:p>
        <w:p w14:paraId="065063FE" w14:textId="2E0DBD96" w:rsidR="001848FA" w:rsidRPr="002B41B5" w:rsidRDefault="00000000" w:rsidP="009C1931">
          <w:pPr>
            <w:pStyle w:val="TOC2"/>
            <w:tabs>
              <w:tab w:val="right" w:leader="dot" w:pos="9016"/>
            </w:tabs>
            <w:spacing w:line="360" w:lineRule="auto"/>
            <w:rPr>
              <w:rFonts w:ascii="Arial" w:eastAsiaTheme="minorEastAsia" w:hAnsi="Arial" w:cs="Arial"/>
              <w:smallCaps w:val="0"/>
              <w:noProof/>
              <w:sz w:val="24"/>
              <w:szCs w:val="24"/>
              <w:lang w:eastAsia="en-IN"/>
            </w:rPr>
          </w:pPr>
          <w:hyperlink w:anchor="_Toc166263523" w:history="1">
            <w:r w:rsidR="001848FA" w:rsidRPr="002B41B5">
              <w:rPr>
                <w:rStyle w:val="Hyperlink"/>
                <w:rFonts w:ascii="Arial" w:hAnsi="Arial" w:cs="Arial"/>
                <w:noProof/>
                <w:sz w:val="24"/>
                <w:szCs w:val="24"/>
              </w:rPr>
              <w:t>3.1 Introduction</w:t>
            </w:r>
            <w:r w:rsidR="001848FA" w:rsidRPr="002B41B5">
              <w:rPr>
                <w:rFonts w:ascii="Arial" w:hAnsi="Arial" w:cs="Arial"/>
                <w:noProof/>
                <w:webHidden/>
                <w:sz w:val="24"/>
                <w:szCs w:val="24"/>
              </w:rPr>
              <w:tab/>
            </w:r>
            <w:r w:rsidR="00C34B81">
              <w:rPr>
                <w:rFonts w:ascii="Arial" w:hAnsi="Arial" w:cs="Arial"/>
                <w:noProof/>
                <w:webHidden/>
                <w:sz w:val="24"/>
                <w:szCs w:val="24"/>
              </w:rPr>
              <w:t>22</w:t>
            </w:r>
          </w:hyperlink>
        </w:p>
        <w:p w14:paraId="5518B0EF" w14:textId="085F3F88" w:rsidR="001848FA" w:rsidRPr="002B41B5" w:rsidRDefault="00000000" w:rsidP="009C1931">
          <w:pPr>
            <w:pStyle w:val="TOC2"/>
            <w:tabs>
              <w:tab w:val="right" w:leader="dot" w:pos="9016"/>
            </w:tabs>
            <w:spacing w:line="360" w:lineRule="auto"/>
            <w:rPr>
              <w:rFonts w:ascii="Arial" w:eastAsiaTheme="minorEastAsia" w:hAnsi="Arial" w:cs="Arial"/>
              <w:smallCaps w:val="0"/>
              <w:noProof/>
              <w:sz w:val="24"/>
              <w:szCs w:val="24"/>
              <w:lang w:eastAsia="en-IN"/>
            </w:rPr>
          </w:pPr>
          <w:hyperlink w:anchor="_Toc166263524" w:history="1">
            <w:r w:rsidR="001848FA" w:rsidRPr="002B41B5">
              <w:rPr>
                <w:rStyle w:val="Hyperlink"/>
                <w:rFonts w:ascii="Arial" w:hAnsi="Arial" w:cs="Arial"/>
                <w:noProof/>
                <w:sz w:val="24"/>
                <w:szCs w:val="24"/>
              </w:rPr>
              <w:t>3.2 Overview of Research Methodologies</w:t>
            </w:r>
            <w:r w:rsidR="001848FA" w:rsidRPr="002B41B5">
              <w:rPr>
                <w:rFonts w:ascii="Arial" w:hAnsi="Arial" w:cs="Arial"/>
                <w:noProof/>
                <w:webHidden/>
                <w:sz w:val="24"/>
                <w:szCs w:val="24"/>
              </w:rPr>
              <w:tab/>
            </w:r>
            <w:r w:rsidR="00C34B81">
              <w:rPr>
                <w:rFonts w:ascii="Arial" w:hAnsi="Arial" w:cs="Arial"/>
                <w:noProof/>
                <w:webHidden/>
                <w:sz w:val="24"/>
                <w:szCs w:val="24"/>
              </w:rPr>
              <w:t>23</w:t>
            </w:r>
          </w:hyperlink>
        </w:p>
        <w:p w14:paraId="2F489A5D" w14:textId="3B017071" w:rsidR="001848FA" w:rsidRPr="002B41B5" w:rsidRDefault="00000000" w:rsidP="009C1931">
          <w:pPr>
            <w:pStyle w:val="TOC2"/>
            <w:tabs>
              <w:tab w:val="right" w:leader="dot" w:pos="9016"/>
            </w:tabs>
            <w:spacing w:line="360" w:lineRule="auto"/>
            <w:rPr>
              <w:rFonts w:ascii="Arial" w:eastAsiaTheme="minorEastAsia" w:hAnsi="Arial" w:cs="Arial"/>
              <w:smallCaps w:val="0"/>
              <w:noProof/>
              <w:sz w:val="24"/>
              <w:szCs w:val="24"/>
              <w:lang w:eastAsia="en-IN"/>
            </w:rPr>
          </w:pPr>
          <w:hyperlink w:anchor="_Toc166263525" w:history="1">
            <w:r w:rsidR="001848FA" w:rsidRPr="002B41B5">
              <w:rPr>
                <w:rStyle w:val="Hyperlink"/>
                <w:rFonts w:ascii="Arial" w:hAnsi="Arial" w:cs="Arial"/>
                <w:noProof/>
                <w:sz w:val="24"/>
                <w:szCs w:val="24"/>
              </w:rPr>
              <w:t>3.3 Justification for Qualitative Methodology</w:t>
            </w:r>
            <w:r w:rsidR="001848FA" w:rsidRPr="002B41B5">
              <w:rPr>
                <w:rFonts w:ascii="Arial" w:hAnsi="Arial" w:cs="Arial"/>
                <w:noProof/>
                <w:webHidden/>
                <w:sz w:val="24"/>
                <w:szCs w:val="24"/>
              </w:rPr>
              <w:tab/>
            </w:r>
            <w:r w:rsidR="00C34B81">
              <w:rPr>
                <w:rFonts w:ascii="Arial" w:hAnsi="Arial" w:cs="Arial"/>
                <w:noProof/>
                <w:webHidden/>
                <w:sz w:val="24"/>
                <w:szCs w:val="24"/>
              </w:rPr>
              <w:t>24</w:t>
            </w:r>
          </w:hyperlink>
        </w:p>
        <w:p w14:paraId="0F56BDF3" w14:textId="390B3AFD" w:rsidR="001848FA" w:rsidRPr="002B41B5" w:rsidRDefault="00000000" w:rsidP="009C1931">
          <w:pPr>
            <w:pStyle w:val="TOC2"/>
            <w:tabs>
              <w:tab w:val="right" w:leader="dot" w:pos="9016"/>
            </w:tabs>
            <w:spacing w:line="360" w:lineRule="auto"/>
            <w:rPr>
              <w:rFonts w:ascii="Arial" w:eastAsiaTheme="minorEastAsia" w:hAnsi="Arial" w:cs="Arial"/>
              <w:smallCaps w:val="0"/>
              <w:noProof/>
              <w:sz w:val="24"/>
              <w:szCs w:val="24"/>
              <w:lang w:eastAsia="en-IN"/>
            </w:rPr>
          </w:pPr>
          <w:hyperlink w:anchor="_Toc166263526" w:history="1">
            <w:r w:rsidR="001848FA" w:rsidRPr="002B41B5">
              <w:rPr>
                <w:rStyle w:val="Hyperlink"/>
                <w:rFonts w:ascii="Arial" w:hAnsi="Arial" w:cs="Arial"/>
                <w:noProof/>
                <w:sz w:val="24"/>
                <w:szCs w:val="24"/>
              </w:rPr>
              <w:t>Secondary Research in Qualitative Methodology</w:t>
            </w:r>
            <w:r w:rsidR="001848FA" w:rsidRPr="002B41B5">
              <w:rPr>
                <w:rFonts w:ascii="Arial" w:hAnsi="Arial" w:cs="Arial"/>
                <w:noProof/>
                <w:webHidden/>
                <w:sz w:val="24"/>
                <w:szCs w:val="24"/>
              </w:rPr>
              <w:tab/>
            </w:r>
            <w:r w:rsidR="00BC07CC">
              <w:rPr>
                <w:rFonts w:ascii="Arial" w:hAnsi="Arial" w:cs="Arial"/>
                <w:noProof/>
                <w:webHidden/>
                <w:sz w:val="24"/>
                <w:szCs w:val="24"/>
              </w:rPr>
              <w:t>25</w:t>
            </w:r>
          </w:hyperlink>
        </w:p>
        <w:p w14:paraId="0DC1D6CB" w14:textId="06AF12D6" w:rsidR="001848FA" w:rsidRPr="002B41B5" w:rsidRDefault="00000000" w:rsidP="009C1931">
          <w:pPr>
            <w:pStyle w:val="TOC2"/>
            <w:tabs>
              <w:tab w:val="right" w:leader="dot" w:pos="9016"/>
            </w:tabs>
            <w:spacing w:line="360" w:lineRule="auto"/>
            <w:rPr>
              <w:rFonts w:ascii="Arial" w:eastAsiaTheme="minorEastAsia" w:hAnsi="Arial" w:cs="Arial"/>
              <w:smallCaps w:val="0"/>
              <w:noProof/>
              <w:sz w:val="24"/>
              <w:szCs w:val="24"/>
              <w:lang w:eastAsia="en-IN"/>
            </w:rPr>
          </w:pPr>
          <w:hyperlink w:anchor="_Toc166263527" w:history="1">
            <w:r w:rsidR="001848FA" w:rsidRPr="002B41B5">
              <w:rPr>
                <w:rStyle w:val="Hyperlink"/>
                <w:rFonts w:ascii="Arial" w:hAnsi="Arial" w:cs="Arial"/>
                <w:noProof/>
                <w:sz w:val="24"/>
                <w:szCs w:val="24"/>
              </w:rPr>
              <w:t>3.4 Relevant Theories and Similar Studies</w:t>
            </w:r>
            <w:r w:rsidR="001848FA" w:rsidRPr="002B41B5">
              <w:rPr>
                <w:rFonts w:ascii="Arial" w:hAnsi="Arial" w:cs="Arial"/>
                <w:noProof/>
                <w:webHidden/>
                <w:sz w:val="24"/>
                <w:szCs w:val="24"/>
              </w:rPr>
              <w:tab/>
            </w:r>
            <w:r w:rsidR="00BC07CC">
              <w:rPr>
                <w:rFonts w:ascii="Arial" w:hAnsi="Arial" w:cs="Arial"/>
                <w:noProof/>
                <w:webHidden/>
                <w:sz w:val="24"/>
                <w:szCs w:val="24"/>
              </w:rPr>
              <w:t>27</w:t>
            </w:r>
          </w:hyperlink>
        </w:p>
        <w:p w14:paraId="6059D01C" w14:textId="74AD6CC4" w:rsidR="001848FA" w:rsidRPr="002B41B5" w:rsidRDefault="00000000" w:rsidP="009C1931">
          <w:pPr>
            <w:pStyle w:val="TOC2"/>
            <w:tabs>
              <w:tab w:val="right" w:leader="dot" w:pos="9016"/>
            </w:tabs>
            <w:spacing w:line="360" w:lineRule="auto"/>
            <w:rPr>
              <w:rFonts w:ascii="Arial" w:eastAsiaTheme="minorEastAsia" w:hAnsi="Arial" w:cs="Arial"/>
              <w:smallCaps w:val="0"/>
              <w:noProof/>
              <w:sz w:val="24"/>
              <w:szCs w:val="24"/>
              <w:lang w:eastAsia="en-IN"/>
            </w:rPr>
          </w:pPr>
          <w:hyperlink w:anchor="_Toc166263528" w:history="1">
            <w:r w:rsidR="001848FA" w:rsidRPr="002B41B5">
              <w:rPr>
                <w:rStyle w:val="Hyperlink"/>
                <w:rFonts w:ascii="Arial" w:hAnsi="Arial" w:cs="Arial"/>
                <w:noProof/>
                <w:sz w:val="24"/>
                <w:szCs w:val="24"/>
              </w:rPr>
              <w:t>3.5 Thematic Analysis Technique</w:t>
            </w:r>
            <w:r w:rsidR="001848FA" w:rsidRPr="002B41B5">
              <w:rPr>
                <w:rFonts w:ascii="Arial" w:hAnsi="Arial" w:cs="Arial"/>
                <w:noProof/>
                <w:webHidden/>
                <w:sz w:val="24"/>
                <w:szCs w:val="24"/>
              </w:rPr>
              <w:tab/>
            </w:r>
            <w:r w:rsidR="00BC07CC">
              <w:rPr>
                <w:rFonts w:ascii="Arial" w:hAnsi="Arial" w:cs="Arial"/>
                <w:noProof/>
                <w:webHidden/>
                <w:sz w:val="24"/>
                <w:szCs w:val="24"/>
              </w:rPr>
              <w:t>28</w:t>
            </w:r>
          </w:hyperlink>
        </w:p>
        <w:p w14:paraId="1D1AF0C4" w14:textId="6396FCF4" w:rsidR="001848FA" w:rsidRPr="002B41B5" w:rsidRDefault="00000000" w:rsidP="009C1931">
          <w:pPr>
            <w:pStyle w:val="TOC2"/>
            <w:tabs>
              <w:tab w:val="right" w:leader="dot" w:pos="9016"/>
            </w:tabs>
            <w:spacing w:line="360" w:lineRule="auto"/>
            <w:rPr>
              <w:rFonts w:ascii="Arial" w:eastAsiaTheme="minorEastAsia" w:hAnsi="Arial" w:cs="Arial"/>
              <w:smallCaps w:val="0"/>
              <w:noProof/>
              <w:sz w:val="24"/>
              <w:szCs w:val="24"/>
              <w:lang w:eastAsia="en-IN"/>
            </w:rPr>
          </w:pPr>
          <w:hyperlink w:anchor="_Toc166263530" w:history="1">
            <w:r w:rsidR="001848FA" w:rsidRPr="002B41B5">
              <w:rPr>
                <w:rStyle w:val="Hyperlink"/>
                <w:rFonts w:ascii="Arial" w:hAnsi="Arial" w:cs="Arial"/>
                <w:noProof/>
                <w:sz w:val="24"/>
                <w:szCs w:val="24"/>
              </w:rPr>
              <w:t>3.6 Conclusion</w:t>
            </w:r>
            <w:r w:rsidR="001848FA" w:rsidRPr="002B41B5">
              <w:rPr>
                <w:rFonts w:ascii="Arial" w:hAnsi="Arial" w:cs="Arial"/>
                <w:noProof/>
                <w:webHidden/>
                <w:sz w:val="24"/>
                <w:szCs w:val="24"/>
              </w:rPr>
              <w:tab/>
            </w:r>
            <w:r w:rsidR="00BC07CC">
              <w:rPr>
                <w:rFonts w:ascii="Arial" w:hAnsi="Arial" w:cs="Arial"/>
                <w:noProof/>
                <w:webHidden/>
                <w:sz w:val="24"/>
                <w:szCs w:val="24"/>
              </w:rPr>
              <w:t>31</w:t>
            </w:r>
          </w:hyperlink>
        </w:p>
        <w:p w14:paraId="2D934261" w14:textId="698A0303" w:rsidR="001848FA" w:rsidRPr="002B41B5" w:rsidRDefault="00000000" w:rsidP="009C1931">
          <w:pPr>
            <w:pStyle w:val="TOC1"/>
            <w:tabs>
              <w:tab w:val="right" w:leader="dot" w:pos="9016"/>
            </w:tabs>
            <w:spacing w:line="360" w:lineRule="auto"/>
            <w:rPr>
              <w:rFonts w:ascii="Arial" w:eastAsiaTheme="minorEastAsia" w:hAnsi="Arial" w:cs="Arial"/>
              <w:b w:val="0"/>
              <w:bCs w:val="0"/>
              <w:caps w:val="0"/>
              <w:noProof/>
              <w:sz w:val="24"/>
              <w:szCs w:val="24"/>
              <w:lang w:eastAsia="en-IN"/>
            </w:rPr>
          </w:pPr>
          <w:hyperlink w:anchor="_Toc166263531" w:history="1">
            <w:r w:rsidR="001848FA" w:rsidRPr="002B41B5">
              <w:rPr>
                <w:rStyle w:val="Hyperlink"/>
                <w:rFonts w:ascii="Arial" w:hAnsi="Arial" w:cs="Arial"/>
                <w:noProof/>
                <w:sz w:val="24"/>
                <w:szCs w:val="24"/>
              </w:rPr>
              <w:t>Chapter 4: Results</w:t>
            </w:r>
            <w:r w:rsidR="001848FA" w:rsidRPr="002B41B5">
              <w:rPr>
                <w:rFonts w:ascii="Arial" w:hAnsi="Arial" w:cs="Arial"/>
                <w:noProof/>
                <w:webHidden/>
                <w:sz w:val="24"/>
                <w:szCs w:val="24"/>
              </w:rPr>
              <w:tab/>
            </w:r>
            <w:r w:rsidR="00BC07CC">
              <w:rPr>
                <w:rFonts w:ascii="Arial" w:hAnsi="Arial" w:cs="Arial"/>
                <w:noProof/>
                <w:webHidden/>
                <w:sz w:val="24"/>
                <w:szCs w:val="24"/>
              </w:rPr>
              <w:t>33</w:t>
            </w:r>
          </w:hyperlink>
        </w:p>
        <w:p w14:paraId="05665F67" w14:textId="7EB825C1" w:rsidR="001848FA" w:rsidRPr="002B41B5" w:rsidRDefault="00000000" w:rsidP="009C1931">
          <w:pPr>
            <w:pStyle w:val="TOC2"/>
            <w:tabs>
              <w:tab w:val="right" w:leader="dot" w:pos="9016"/>
            </w:tabs>
            <w:spacing w:line="360" w:lineRule="auto"/>
            <w:rPr>
              <w:rFonts w:ascii="Arial" w:eastAsiaTheme="minorEastAsia" w:hAnsi="Arial" w:cs="Arial"/>
              <w:smallCaps w:val="0"/>
              <w:noProof/>
              <w:sz w:val="24"/>
              <w:szCs w:val="24"/>
              <w:lang w:eastAsia="en-IN"/>
            </w:rPr>
          </w:pPr>
          <w:hyperlink w:anchor="_Toc166263532" w:history="1">
            <w:r w:rsidR="001848FA" w:rsidRPr="002B41B5">
              <w:rPr>
                <w:rStyle w:val="Hyperlink"/>
                <w:rFonts w:ascii="Arial" w:hAnsi="Arial" w:cs="Arial"/>
                <w:noProof/>
                <w:sz w:val="24"/>
                <w:szCs w:val="24"/>
                <w:lang w:val="en-US"/>
              </w:rPr>
              <w:t>4.1 Summary of Key Findings</w:t>
            </w:r>
            <w:r w:rsidR="001848FA" w:rsidRPr="002B41B5">
              <w:rPr>
                <w:rFonts w:ascii="Arial" w:hAnsi="Arial" w:cs="Arial"/>
                <w:noProof/>
                <w:webHidden/>
                <w:sz w:val="24"/>
                <w:szCs w:val="24"/>
              </w:rPr>
              <w:tab/>
            </w:r>
            <w:r w:rsidR="00BC07CC">
              <w:rPr>
                <w:rFonts w:ascii="Arial" w:hAnsi="Arial" w:cs="Arial"/>
                <w:noProof/>
                <w:webHidden/>
                <w:sz w:val="24"/>
                <w:szCs w:val="24"/>
              </w:rPr>
              <w:t>33</w:t>
            </w:r>
          </w:hyperlink>
        </w:p>
        <w:p w14:paraId="4366B5EE" w14:textId="32B330E6" w:rsidR="001848FA" w:rsidRPr="002B41B5" w:rsidRDefault="00000000" w:rsidP="009C1931">
          <w:pPr>
            <w:pStyle w:val="TOC2"/>
            <w:tabs>
              <w:tab w:val="right" w:leader="dot" w:pos="9016"/>
            </w:tabs>
            <w:spacing w:line="360" w:lineRule="auto"/>
            <w:rPr>
              <w:rFonts w:ascii="Arial" w:eastAsiaTheme="minorEastAsia" w:hAnsi="Arial" w:cs="Arial"/>
              <w:smallCaps w:val="0"/>
              <w:noProof/>
              <w:sz w:val="24"/>
              <w:szCs w:val="24"/>
              <w:lang w:eastAsia="en-IN"/>
            </w:rPr>
          </w:pPr>
          <w:hyperlink w:anchor="_Toc166263533" w:history="1">
            <w:r w:rsidR="001848FA" w:rsidRPr="002B41B5">
              <w:rPr>
                <w:rStyle w:val="Hyperlink"/>
                <w:rFonts w:ascii="Arial" w:hAnsi="Arial" w:cs="Arial"/>
                <w:noProof/>
                <w:sz w:val="24"/>
                <w:szCs w:val="24"/>
              </w:rPr>
              <w:t>4.2 Discussion of Findings: Thematic Analysis</w:t>
            </w:r>
            <w:r w:rsidR="001848FA" w:rsidRPr="002B41B5">
              <w:rPr>
                <w:rFonts w:ascii="Arial" w:hAnsi="Arial" w:cs="Arial"/>
                <w:noProof/>
                <w:webHidden/>
                <w:sz w:val="24"/>
                <w:szCs w:val="24"/>
              </w:rPr>
              <w:tab/>
            </w:r>
            <w:r w:rsidR="00BC07CC">
              <w:rPr>
                <w:rFonts w:ascii="Arial" w:hAnsi="Arial" w:cs="Arial"/>
                <w:noProof/>
                <w:webHidden/>
                <w:sz w:val="24"/>
                <w:szCs w:val="24"/>
              </w:rPr>
              <w:t>51</w:t>
            </w:r>
          </w:hyperlink>
        </w:p>
        <w:p w14:paraId="565E3830" w14:textId="08C0EE09" w:rsidR="001848FA" w:rsidRPr="002B41B5" w:rsidRDefault="00000000" w:rsidP="009C1931">
          <w:pPr>
            <w:pStyle w:val="TOC3"/>
            <w:tabs>
              <w:tab w:val="right" w:leader="dot" w:pos="9016"/>
            </w:tabs>
            <w:spacing w:line="360" w:lineRule="auto"/>
            <w:rPr>
              <w:rFonts w:ascii="Arial" w:eastAsiaTheme="minorEastAsia" w:hAnsi="Arial" w:cs="Arial"/>
              <w:i w:val="0"/>
              <w:iCs w:val="0"/>
              <w:noProof/>
              <w:sz w:val="24"/>
              <w:szCs w:val="24"/>
              <w:lang w:eastAsia="en-IN"/>
            </w:rPr>
          </w:pPr>
          <w:hyperlink w:anchor="_Toc166263534" w:history="1">
            <w:r w:rsidR="001848FA" w:rsidRPr="002B41B5">
              <w:rPr>
                <w:rStyle w:val="Hyperlink"/>
                <w:rFonts w:ascii="Arial" w:hAnsi="Arial" w:cs="Arial"/>
                <w:noProof/>
                <w:sz w:val="24"/>
                <w:szCs w:val="24"/>
              </w:rPr>
              <w:t>4.2.1 Dubai's Real Estate Market and Macroeconomic Growth Indicators</w:t>
            </w:r>
            <w:r w:rsidR="001848FA" w:rsidRPr="002B41B5">
              <w:rPr>
                <w:rFonts w:ascii="Arial" w:hAnsi="Arial" w:cs="Arial"/>
                <w:noProof/>
                <w:webHidden/>
                <w:sz w:val="24"/>
                <w:szCs w:val="24"/>
              </w:rPr>
              <w:tab/>
            </w:r>
            <w:r w:rsidR="00BC07CC">
              <w:rPr>
                <w:rFonts w:ascii="Arial" w:hAnsi="Arial" w:cs="Arial"/>
                <w:noProof/>
                <w:webHidden/>
                <w:sz w:val="24"/>
                <w:szCs w:val="24"/>
              </w:rPr>
              <w:t>51</w:t>
            </w:r>
          </w:hyperlink>
        </w:p>
        <w:p w14:paraId="779E6346" w14:textId="6B4BBA3F" w:rsidR="001848FA" w:rsidRPr="002B41B5" w:rsidRDefault="00000000" w:rsidP="009C1931">
          <w:pPr>
            <w:pStyle w:val="TOC3"/>
            <w:tabs>
              <w:tab w:val="right" w:leader="dot" w:pos="9016"/>
            </w:tabs>
            <w:spacing w:line="360" w:lineRule="auto"/>
            <w:rPr>
              <w:rFonts w:ascii="Arial" w:eastAsiaTheme="minorEastAsia" w:hAnsi="Arial" w:cs="Arial"/>
              <w:i w:val="0"/>
              <w:iCs w:val="0"/>
              <w:noProof/>
              <w:sz w:val="24"/>
              <w:szCs w:val="24"/>
              <w:lang w:eastAsia="en-IN"/>
            </w:rPr>
          </w:pPr>
          <w:hyperlink w:anchor="_Toc166263535" w:history="1">
            <w:r w:rsidR="001848FA" w:rsidRPr="002B41B5">
              <w:rPr>
                <w:rStyle w:val="Hyperlink"/>
                <w:rFonts w:ascii="Arial" w:hAnsi="Arial" w:cs="Arial"/>
                <w:noProof/>
                <w:sz w:val="24"/>
                <w:szCs w:val="24"/>
              </w:rPr>
              <w:t>4.2.2 Effects of Governmental Policies on the Growth and Regulation</w:t>
            </w:r>
            <w:r w:rsidR="001848FA" w:rsidRPr="002B41B5">
              <w:rPr>
                <w:rFonts w:ascii="Arial" w:hAnsi="Arial" w:cs="Arial"/>
                <w:noProof/>
                <w:webHidden/>
                <w:sz w:val="24"/>
                <w:szCs w:val="24"/>
              </w:rPr>
              <w:tab/>
            </w:r>
            <w:r w:rsidR="00BC07CC">
              <w:rPr>
                <w:rFonts w:ascii="Arial" w:hAnsi="Arial" w:cs="Arial"/>
                <w:noProof/>
                <w:webHidden/>
                <w:sz w:val="24"/>
                <w:szCs w:val="24"/>
              </w:rPr>
              <w:t>52</w:t>
            </w:r>
          </w:hyperlink>
        </w:p>
        <w:p w14:paraId="12536C78" w14:textId="1908BA88" w:rsidR="001848FA" w:rsidRPr="002B41B5" w:rsidRDefault="00000000" w:rsidP="009C1931">
          <w:pPr>
            <w:pStyle w:val="TOC3"/>
            <w:tabs>
              <w:tab w:val="right" w:leader="dot" w:pos="9016"/>
            </w:tabs>
            <w:spacing w:line="360" w:lineRule="auto"/>
            <w:rPr>
              <w:rFonts w:ascii="Arial" w:eastAsiaTheme="minorEastAsia" w:hAnsi="Arial" w:cs="Arial"/>
              <w:i w:val="0"/>
              <w:iCs w:val="0"/>
              <w:noProof/>
              <w:sz w:val="24"/>
              <w:szCs w:val="24"/>
              <w:lang w:eastAsia="en-IN"/>
            </w:rPr>
          </w:pPr>
          <w:hyperlink w:anchor="_Toc166263536" w:history="1">
            <w:r w:rsidR="001848FA" w:rsidRPr="002B41B5">
              <w:rPr>
                <w:rStyle w:val="Hyperlink"/>
                <w:rFonts w:ascii="Arial" w:hAnsi="Arial" w:cs="Arial"/>
                <w:noProof/>
                <w:sz w:val="24"/>
                <w:szCs w:val="24"/>
              </w:rPr>
              <w:t xml:space="preserve">4.2.3 </w:t>
            </w:r>
            <w:r w:rsidR="001848FA" w:rsidRPr="002B41B5">
              <w:rPr>
                <w:rStyle w:val="Hyperlink"/>
                <w:rFonts w:ascii="Arial" w:eastAsia="Times New Roman" w:hAnsi="Arial" w:cs="Arial"/>
                <w:noProof/>
                <w:sz w:val="24"/>
                <w:szCs w:val="24"/>
              </w:rPr>
              <w:t>Real Estate Sector to Dubai's Economic Diversification and Sustainability Goals</w:t>
            </w:r>
            <w:r w:rsidR="001848FA" w:rsidRPr="002B41B5">
              <w:rPr>
                <w:rFonts w:ascii="Arial" w:hAnsi="Arial" w:cs="Arial"/>
                <w:noProof/>
                <w:webHidden/>
                <w:sz w:val="24"/>
                <w:szCs w:val="24"/>
              </w:rPr>
              <w:tab/>
            </w:r>
            <w:r w:rsidR="00BC07CC">
              <w:rPr>
                <w:rFonts w:ascii="Arial" w:hAnsi="Arial" w:cs="Arial"/>
                <w:noProof/>
                <w:webHidden/>
                <w:sz w:val="24"/>
                <w:szCs w:val="24"/>
              </w:rPr>
              <w:t>54</w:t>
            </w:r>
          </w:hyperlink>
        </w:p>
        <w:p w14:paraId="2574EAC6" w14:textId="4FAC7E9A" w:rsidR="001848FA" w:rsidRPr="002B41B5" w:rsidRDefault="00000000" w:rsidP="009C1931">
          <w:pPr>
            <w:pStyle w:val="TOC3"/>
            <w:tabs>
              <w:tab w:val="right" w:leader="dot" w:pos="9016"/>
            </w:tabs>
            <w:spacing w:line="360" w:lineRule="auto"/>
            <w:rPr>
              <w:rFonts w:ascii="Arial" w:eastAsiaTheme="minorEastAsia" w:hAnsi="Arial" w:cs="Arial"/>
              <w:i w:val="0"/>
              <w:iCs w:val="0"/>
              <w:noProof/>
              <w:sz w:val="24"/>
              <w:szCs w:val="24"/>
              <w:lang w:eastAsia="en-IN"/>
            </w:rPr>
          </w:pPr>
          <w:hyperlink w:anchor="_Toc166263537" w:history="1">
            <w:r w:rsidR="001848FA" w:rsidRPr="002B41B5">
              <w:rPr>
                <w:rStyle w:val="Hyperlink"/>
                <w:rFonts w:ascii="Arial" w:hAnsi="Arial" w:cs="Arial"/>
                <w:noProof/>
                <w:sz w:val="24"/>
                <w:szCs w:val="24"/>
              </w:rPr>
              <w:t xml:space="preserve">4.2.4 </w:t>
            </w:r>
            <w:r w:rsidR="001848FA" w:rsidRPr="002B41B5">
              <w:rPr>
                <w:rStyle w:val="Hyperlink"/>
                <w:rFonts w:ascii="Arial" w:eastAsia="Times New Roman" w:hAnsi="Arial" w:cs="Arial"/>
                <w:noProof/>
                <w:sz w:val="24"/>
                <w:szCs w:val="24"/>
              </w:rPr>
              <w:t>Future Outlook of the Real Estate Market in Dubai</w:t>
            </w:r>
            <w:r w:rsidR="001848FA" w:rsidRPr="002B41B5">
              <w:rPr>
                <w:rFonts w:ascii="Arial" w:hAnsi="Arial" w:cs="Arial"/>
                <w:noProof/>
                <w:webHidden/>
                <w:sz w:val="24"/>
                <w:szCs w:val="24"/>
              </w:rPr>
              <w:tab/>
            </w:r>
            <w:r w:rsidR="00BC07CC">
              <w:rPr>
                <w:rFonts w:ascii="Arial" w:hAnsi="Arial" w:cs="Arial"/>
                <w:noProof/>
                <w:webHidden/>
                <w:sz w:val="24"/>
                <w:szCs w:val="24"/>
              </w:rPr>
              <w:t>56</w:t>
            </w:r>
          </w:hyperlink>
        </w:p>
        <w:p w14:paraId="115F63BB" w14:textId="227D4F0D" w:rsidR="001848FA" w:rsidRPr="002B41B5" w:rsidRDefault="00000000" w:rsidP="009C1931">
          <w:pPr>
            <w:pStyle w:val="TOC3"/>
            <w:tabs>
              <w:tab w:val="right" w:leader="dot" w:pos="9016"/>
            </w:tabs>
            <w:spacing w:line="360" w:lineRule="auto"/>
            <w:rPr>
              <w:rFonts w:ascii="Arial" w:eastAsiaTheme="minorEastAsia" w:hAnsi="Arial" w:cs="Arial"/>
              <w:i w:val="0"/>
              <w:iCs w:val="0"/>
              <w:noProof/>
              <w:sz w:val="24"/>
              <w:szCs w:val="24"/>
              <w:lang w:eastAsia="en-IN"/>
            </w:rPr>
          </w:pPr>
          <w:hyperlink w:anchor="_Toc166263538" w:history="1">
            <w:r w:rsidR="001848FA" w:rsidRPr="002B41B5">
              <w:rPr>
                <w:rStyle w:val="Hyperlink"/>
                <w:rFonts w:ascii="Arial" w:eastAsia="Times New Roman" w:hAnsi="Arial" w:cs="Arial"/>
                <w:noProof/>
                <w:sz w:val="24"/>
                <w:szCs w:val="24"/>
              </w:rPr>
              <w:t>4.2.5 How the Findings Meet the Research Objectives and Questions</w:t>
            </w:r>
            <w:r w:rsidR="001848FA" w:rsidRPr="002B41B5">
              <w:rPr>
                <w:rFonts w:ascii="Arial" w:hAnsi="Arial" w:cs="Arial"/>
                <w:noProof/>
                <w:webHidden/>
                <w:sz w:val="24"/>
                <w:szCs w:val="24"/>
              </w:rPr>
              <w:tab/>
            </w:r>
            <w:r w:rsidR="00BC07CC">
              <w:rPr>
                <w:rFonts w:ascii="Arial" w:hAnsi="Arial" w:cs="Arial"/>
                <w:noProof/>
                <w:webHidden/>
                <w:sz w:val="24"/>
                <w:szCs w:val="24"/>
              </w:rPr>
              <w:t>57</w:t>
            </w:r>
          </w:hyperlink>
        </w:p>
        <w:p w14:paraId="1381C072" w14:textId="532CB79C" w:rsidR="001848FA" w:rsidRPr="002B41B5" w:rsidRDefault="00000000" w:rsidP="009C1931">
          <w:pPr>
            <w:pStyle w:val="TOC1"/>
            <w:tabs>
              <w:tab w:val="right" w:leader="dot" w:pos="9016"/>
            </w:tabs>
            <w:spacing w:line="360" w:lineRule="auto"/>
            <w:rPr>
              <w:rFonts w:ascii="Arial" w:eastAsiaTheme="minorEastAsia" w:hAnsi="Arial" w:cs="Arial"/>
              <w:b w:val="0"/>
              <w:bCs w:val="0"/>
              <w:caps w:val="0"/>
              <w:noProof/>
              <w:sz w:val="24"/>
              <w:szCs w:val="24"/>
              <w:lang w:eastAsia="en-IN"/>
            </w:rPr>
          </w:pPr>
          <w:hyperlink w:anchor="_Toc166263539" w:history="1">
            <w:r w:rsidR="001848FA" w:rsidRPr="002B41B5">
              <w:rPr>
                <w:rStyle w:val="Hyperlink"/>
                <w:rFonts w:ascii="Arial" w:eastAsia="Times New Roman" w:hAnsi="Arial" w:cs="Arial"/>
                <w:noProof/>
                <w:sz w:val="24"/>
                <w:szCs w:val="24"/>
              </w:rPr>
              <w:t>Chapter 5: Conclusion</w:t>
            </w:r>
            <w:r w:rsidR="001848FA" w:rsidRPr="002B41B5">
              <w:rPr>
                <w:rFonts w:ascii="Arial" w:hAnsi="Arial" w:cs="Arial"/>
                <w:noProof/>
                <w:webHidden/>
                <w:sz w:val="24"/>
                <w:szCs w:val="24"/>
              </w:rPr>
              <w:tab/>
            </w:r>
            <w:r w:rsidR="00BC07CC">
              <w:rPr>
                <w:rFonts w:ascii="Arial" w:hAnsi="Arial" w:cs="Arial"/>
                <w:noProof/>
                <w:webHidden/>
                <w:sz w:val="24"/>
                <w:szCs w:val="24"/>
              </w:rPr>
              <w:t>59</w:t>
            </w:r>
          </w:hyperlink>
        </w:p>
        <w:p w14:paraId="73C0A223" w14:textId="62F7F1B3" w:rsidR="001848FA" w:rsidRPr="002B41B5" w:rsidRDefault="00000000" w:rsidP="009C1931">
          <w:pPr>
            <w:pStyle w:val="TOC2"/>
            <w:tabs>
              <w:tab w:val="right" w:leader="dot" w:pos="9016"/>
            </w:tabs>
            <w:spacing w:line="360" w:lineRule="auto"/>
            <w:rPr>
              <w:rFonts w:ascii="Arial" w:eastAsiaTheme="minorEastAsia" w:hAnsi="Arial" w:cs="Arial"/>
              <w:smallCaps w:val="0"/>
              <w:noProof/>
              <w:sz w:val="24"/>
              <w:szCs w:val="24"/>
              <w:lang w:eastAsia="en-IN"/>
            </w:rPr>
          </w:pPr>
          <w:hyperlink w:anchor="_Toc166263540" w:history="1">
            <w:r w:rsidR="001848FA" w:rsidRPr="002B41B5">
              <w:rPr>
                <w:rStyle w:val="Hyperlink"/>
                <w:rFonts w:ascii="Arial" w:eastAsia="Times New Roman" w:hAnsi="Arial" w:cs="Arial"/>
                <w:noProof/>
                <w:sz w:val="24"/>
                <w:szCs w:val="24"/>
              </w:rPr>
              <w:t>5.1 Summary of Main Findings</w:t>
            </w:r>
            <w:r w:rsidR="001848FA" w:rsidRPr="002B41B5">
              <w:rPr>
                <w:rFonts w:ascii="Arial" w:hAnsi="Arial" w:cs="Arial"/>
                <w:noProof/>
                <w:webHidden/>
                <w:sz w:val="24"/>
                <w:szCs w:val="24"/>
              </w:rPr>
              <w:tab/>
            </w:r>
            <w:r w:rsidR="00BC07CC">
              <w:rPr>
                <w:rFonts w:ascii="Arial" w:hAnsi="Arial" w:cs="Arial"/>
                <w:noProof/>
                <w:webHidden/>
                <w:sz w:val="24"/>
                <w:szCs w:val="24"/>
              </w:rPr>
              <w:t>59</w:t>
            </w:r>
          </w:hyperlink>
        </w:p>
        <w:p w14:paraId="401918EB" w14:textId="3CCEF5DE" w:rsidR="001848FA" w:rsidRPr="002B41B5" w:rsidRDefault="00000000" w:rsidP="009C1931">
          <w:pPr>
            <w:pStyle w:val="TOC2"/>
            <w:tabs>
              <w:tab w:val="right" w:leader="dot" w:pos="9016"/>
            </w:tabs>
            <w:spacing w:line="360" w:lineRule="auto"/>
            <w:rPr>
              <w:rFonts w:ascii="Arial" w:eastAsiaTheme="minorEastAsia" w:hAnsi="Arial" w:cs="Arial"/>
              <w:smallCaps w:val="0"/>
              <w:noProof/>
              <w:sz w:val="24"/>
              <w:szCs w:val="24"/>
              <w:lang w:eastAsia="en-IN"/>
            </w:rPr>
          </w:pPr>
          <w:hyperlink w:anchor="_Toc166263541" w:history="1">
            <w:r w:rsidR="001848FA" w:rsidRPr="002B41B5">
              <w:rPr>
                <w:rStyle w:val="Hyperlink"/>
                <w:rFonts w:ascii="Arial" w:eastAsia="Times New Roman" w:hAnsi="Arial" w:cs="Arial"/>
                <w:noProof/>
                <w:sz w:val="24"/>
                <w:szCs w:val="24"/>
              </w:rPr>
              <w:t>5.2 Conclusion Based on the Research Questions</w:t>
            </w:r>
            <w:r w:rsidR="001848FA" w:rsidRPr="002B41B5">
              <w:rPr>
                <w:rFonts w:ascii="Arial" w:hAnsi="Arial" w:cs="Arial"/>
                <w:noProof/>
                <w:webHidden/>
                <w:sz w:val="24"/>
                <w:szCs w:val="24"/>
              </w:rPr>
              <w:tab/>
            </w:r>
            <w:r w:rsidR="00BC07CC">
              <w:rPr>
                <w:rFonts w:ascii="Arial" w:hAnsi="Arial" w:cs="Arial"/>
                <w:noProof/>
                <w:webHidden/>
                <w:sz w:val="24"/>
                <w:szCs w:val="24"/>
              </w:rPr>
              <w:t>60</w:t>
            </w:r>
          </w:hyperlink>
        </w:p>
        <w:p w14:paraId="1DDDC11F" w14:textId="468BB452" w:rsidR="001848FA" w:rsidRPr="002B41B5" w:rsidRDefault="00000000" w:rsidP="009C1931">
          <w:pPr>
            <w:pStyle w:val="TOC2"/>
            <w:tabs>
              <w:tab w:val="right" w:leader="dot" w:pos="9016"/>
            </w:tabs>
            <w:spacing w:line="360" w:lineRule="auto"/>
            <w:rPr>
              <w:rFonts w:ascii="Arial" w:eastAsiaTheme="minorEastAsia" w:hAnsi="Arial" w:cs="Arial"/>
              <w:smallCaps w:val="0"/>
              <w:noProof/>
              <w:sz w:val="24"/>
              <w:szCs w:val="24"/>
              <w:lang w:eastAsia="en-IN"/>
            </w:rPr>
          </w:pPr>
          <w:hyperlink w:anchor="_Toc166263542" w:history="1">
            <w:r w:rsidR="001848FA" w:rsidRPr="002B41B5">
              <w:rPr>
                <w:rStyle w:val="Hyperlink"/>
                <w:rFonts w:ascii="Arial" w:eastAsia="Times New Roman" w:hAnsi="Arial" w:cs="Arial"/>
                <w:noProof/>
                <w:sz w:val="24"/>
                <w:szCs w:val="24"/>
              </w:rPr>
              <w:t>5.3 Recommendations</w:t>
            </w:r>
            <w:r w:rsidR="001848FA" w:rsidRPr="002B41B5">
              <w:rPr>
                <w:rFonts w:ascii="Arial" w:hAnsi="Arial" w:cs="Arial"/>
                <w:noProof/>
                <w:webHidden/>
                <w:sz w:val="24"/>
                <w:szCs w:val="24"/>
              </w:rPr>
              <w:tab/>
            </w:r>
            <w:r w:rsidR="00BC07CC">
              <w:rPr>
                <w:rFonts w:ascii="Arial" w:hAnsi="Arial" w:cs="Arial"/>
                <w:noProof/>
                <w:webHidden/>
                <w:sz w:val="24"/>
                <w:szCs w:val="24"/>
              </w:rPr>
              <w:t>60</w:t>
            </w:r>
          </w:hyperlink>
        </w:p>
        <w:p w14:paraId="5F467C41" w14:textId="709FDCE0" w:rsidR="001848FA" w:rsidRPr="002B41B5" w:rsidRDefault="00000000" w:rsidP="009C1931">
          <w:pPr>
            <w:pStyle w:val="TOC3"/>
            <w:tabs>
              <w:tab w:val="right" w:leader="dot" w:pos="9016"/>
            </w:tabs>
            <w:spacing w:line="360" w:lineRule="auto"/>
            <w:rPr>
              <w:rFonts w:ascii="Arial" w:eastAsiaTheme="minorEastAsia" w:hAnsi="Arial" w:cs="Arial"/>
              <w:i w:val="0"/>
              <w:iCs w:val="0"/>
              <w:noProof/>
              <w:sz w:val="24"/>
              <w:szCs w:val="24"/>
              <w:lang w:eastAsia="en-IN"/>
            </w:rPr>
          </w:pPr>
          <w:hyperlink w:anchor="_Toc166263543" w:history="1">
            <w:r w:rsidR="001848FA" w:rsidRPr="002B41B5">
              <w:rPr>
                <w:rStyle w:val="Hyperlink"/>
                <w:rFonts w:ascii="Arial" w:eastAsia="Times New Roman" w:hAnsi="Arial" w:cs="Arial"/>
                <w:noProof/>
                <w:sz w:val="24"/>
                <w:szCs w:val="24"/>
              </w:rPr>
              <w:t>Practical Recommendations</w:t>
            </w:r>
            <w:r w:rsidR="001848FA" w:rsidRPr="002B41B5">
              <w:rPr>
                <w:rFonts w:ascii="Arial" w:hAnsi="Arial" w:cs="Arial"/>
                <w:noProof/>
                <w:webHidden/>
                <w:sz w:val="24"/>
                <w:szCs w:val="24"/>
              </w:rPr>
              <w:tab/>
            </w:r>
            <w:r w:rsidR="00BC07CC">
              <w:rPr>
                <w:rFonts w:ascii="Arial" w:hAnsi="Arial" w:cs="Arial"/>
                <w:noProof/>
                <w:webHidden/>
                <w:sz w:val="24"/>
                <w:szCs w:val="24"/>
              </w:rPr>
              <w:t>60</w:t>
            </w:r>
          </w:hyperlink>
        </w:p>
        <w:p w14:paraId="2E19BA15" w14:textId="0B412098" w:rsidR="001848FA" w:rsidRPr="002B41B5" w:rsidRDefault="00000000" w:rsidP="009C1931">
          <w:pPr>
            <w:pStyle w:val="TOC3"/>
            <w:tabs>
              <w:tab w:val="right" w:leader="dot" w:pos="9016"/>
            </w:tabs>
            <w:spacing w:line="360" w:lineRule="auto"/>
            <w:rPr>
              <w:rFonts w:ascii="Arial" w:eastAsiaTheme="minorEastAsia" w:hAnsi="Arial" w:cs="Arial"/>
              <w:i w:val="0"/>
              <w:iCs w:val="0"/>
              <w:noProof/>
              <w:sz w:val="24"/>
              <w:szCs w:val="24"/>
              <w:lang w:eastAsia="en-IN"/>
            </w:rPr>
          </w:pPr>
          <w:hyperlink w:anchor="_Toc166263544" w:history="1">
            <w:r w:rsidR="001848FA" w:rsidRPr="002B41B5">
              <w:rPr>
                <w:rStyle w:val="Hyperlink"/>
                <w:rFonts w:ascii="Arial" w:eastAsia="Times New Roman" w:hAnsi="Arial" w:cs="Arial"/>
                <w:noProof/>
                <w:sz w:val="24"/>
                <w:szCs w:val="24"/>
              </w:rPr>
              <w:t>Theoretical Recommendations</w:t>
            </w:r>
            <w:r w:rsidR="001848FA" w:rsidRPr="002B41B5">
              <w:rPr>
                <w:rFonts w:ascii="Arial" w:hAnsi="Arial" w:cs="Arial"/>
                <w:noProof/>
                <w:webHidden/>
                <w:sz w:val="24"/>
                <w:szCs w:val="24"/>
              </w:rPr>
              <w:tab/>
            </w:r>
            <w:r w:rsidR="00BC07CC">
              <w:rPr>
                <w:rFonts w:ascii="Arial" w:hAnsi="Arial" w:cs="Arial"/>
                <w:noProof/>
                <w:webHidden/>
                <w:sz w:val="24"/>
                <w:szCs w:val="24"/>
              </w:rPr>
              <w:t>61</w:t>
            </w:r>
          </w:hyperlink>
        </w:p>
        <w:p w14:paraId="2C0483C2" w14:textId="0D729433" w:rsidR="001848FA" w:rsidRPr="002B41B5" w:rsidRDefault="00000000" w:rsidP="009C1931">
          <w:pPr>
            <w:pStyle w:val="TOC2"/>
            <w:tabs>
              <w:tab w:val="right" w:leader="dot" w:pos="9016"/>
            </w:tabs>
            <w:spacing w:line="360" w:lineRule="auto"/>
            <w:rPr>
              <w:rFonts w:ascii="Arial" w:eastAsiaTheme="minorEastAsia" w:hAnsi="Arial" w:cs="Arial"/>
              <w:smallCaps w:val="0"/>
              <w:noProof/>
              <w:sz w:val="24"/>
              <w:szCs w:val="24"/>
              <w:lang w:eastAsia="en-IN"/>
            </w:rPr>
          </w:pPr>
          <w:hyperlink w:anchor="_Toc166263545" w:history="1">
            <w:r w:rsidR="001848FA" w:rsidRPr="002B41B5">
              <w:rPr>
                <w:rStyle w:val="Hyperlink"/>
                <w:rFonts w:ascii="Arial" w:eastAsia="Times New Roman" w:hAnsi="Arial" w:cs="Arial"/>
                <w:noProof/>
                <w:sz w:val="24"/>
                <w:szCs w:val="24"/>
              </w:rPr>
              <w:t>5.4 Limitations of Research</w:t>
            </w:r>
            <w:r w:rsidR="001848FA" w:rsidRPr="002B41B5">
              <w:rPr>
                <w:rFonts w:ascii="Arial" w:hAnsi="Arial" w:cs="Arial"/>
                <w:noProof/>
                <w:webHidden/>
                <w:sz w:val="24"/>
                <w:szCs w:val="24"/>
              </w:rPr>
              <w:tab/>
            </w:r>
            <w:r w:rsidR="00BC07CC">
              <w:rPr>
                <w:rFonts w:ascii="Arial" w:hAnsi="Arial" w:cs="Arial"/>
                <w:noProof/>
                <w:webHidden/>
                <w:sz w:val="24"/>
                <w:szCs w:val="24"/>
              </w:rPr>
              <w:t>62</w:t>
            </w:r>
          </w:hyperlink>
        </w:p>
        <w:p w14:paraId="443F71EF" w14:textId="67406F7E" w:rsidR="001848FA" w:rsidRPr="002B41B5" w:rsidRDefault="00000000" w:rsidP="009C1931">
          <w:pPr>
            <w:pStyle w:val="TOC2"/>
            <w:tabs>
              <w:tab w:val="right" w:leader="dot" w:pos="9016"/>
            </w:tabs>
            <w:spacing w:line="360" w:lineRule="auto"/>
            <w:rPr>
              <w:rFonts w:ascii="Arial" w:eastAsiaTheme="minorEastAsia" w:hAnsi="Arial" w:cs="Arial"/>
              <w:smallCaps w:val="0"/>
              <w:noProof/>
              <w:sz w:val="24"/>
              <w:szCs w:val="24"/>
              <w:lang w:eastAsia="en-IN"/>
            </w:rPr>
          </w:pPr>
          <w:hyperlink w:anchor="_Toc166263546" w:history="1">
            <w:r w:rsidR="001848FA" w:rsidRPr="002B41B5">
              <w:rPr>
                <w:rStyle w:val="Hyperlink"/>
                <w:rFonts w:ascii="Arial" w:eastAsia="Times New Roman" w:hAnsi="Arial" w:cs="Arial"/>
                <w:noProof/>
                <w:sz w:val="24"/>
                <w:szCs w:val="24"/>
              </w:rPr>
              <w:t>5.5 Recommendations for Future Work</w:t>
            </w:r>
            <w:r w:rsidR="001848FA" w:rsidRPr="002B41B5">
              <w:rPr>
                <w:rFonts w:ascii="Arial" w:hAnsi="Arial" w:cs="Arial"/>
                <w:noProof/>
                <w:webHidden/>
                <w:sz w:val="24"/>
                <w:szCs w:val="24"/>
              </w:rPr>
              <w:tab/>
            </w:r>
            <w:r w:rsidR="00BC07CC">
              <w:rPr>
                <w:rFonts w:ascii="Arial" w:hAnsi="Arial" w:cs="Arial"/>
                <w:noProof/>
                <w:webHidden/>
                <w:sz w:val="24"/>
                <w:szCs w:val="24"/>
              </w:rPr>
              <w:t>63</w:t>
            </w:r>
          </w:hyperlink>
        </w:p>
        <w:p w14:paraId="5102AA1A" w14:textId="134FA5C4" w:rsidR="001848FA" w:rsidRPr="002B41B5" w:rsidRDefault="00000000" w:rsidP="009C1931">
          <w:pPr>
            <w:pStyle w:val="TOC1"/>
            <w:tabs>
              <w:tab w:val="right" w:leader="dot" w:pos="9016"/>
            </w:tabs>
            <w:spacing w:line="360" w:lineRule="auto"/>
            <w:rPr>
              <w:rFonts w:ascii="Arial" w:eastAsiaTheme="minorEastAsia" w:hAnsi="Arial" w:cs="Arial"/>
              <w:b w:val="0"/>
              <w:bCs w:val="0"/>
              <w:caps w:val="0"/>
              <w:noProof/>
              <w:sz w:val="24"/>
              <w:szCs w:val="24"/>
              <w:lang w:eastAsia="en-IN"/>
            </w:rPr>
          </w:pPr>
          <w:hyperlink w:anchor="_Toc166263547" w:history="1">
            <w:r w:rsidR="001848FA" w:rsidRPr="002B41B5">
              <w:rPr>
                <w:rStyle w:val="Hyperlink"/>
                <w:rFonts w:ascii="Arial" w:hAnsi="Arial" w:cs="Arial"/>
                <w:noProof/>
                <w:sz w:val="24"/>
                <w:szCs w:val="24"/>
              </w:rPr>
              <w:t>Reference</w:t>
            </w:r>
            <w:r w:rsidR="001848FA" w:rsidRPr="002B41B5">
              <w:rPr>
                <w:rFonts w:ascii="Arial" w:hAnsi="Arial" w:cs="Arial"/>
                <w:noProof/>
                <w:webHidden/>
                <w:sz w:val="24"/>
                <w:szCs w:val="24"/>
              </w:rPr>
              <w:tab/>
            </w:r>
            <w:r w:rsidR="00BC07CC">
              <w:rPr>
                <w:rFonts w:ascii="Arial" w:hAnsi="Arial" w:cs="Arial"/>
                <w:noProof/>
                <w:webHidden/>
                <w:sz w:val="24"/>
                <w:szCs w:val="24"/>
              </w:rPr>
              <w:t>65</w:t>
            </w:r>
          </w:hyperlink>
        </w:p>
        <w:p w14:paraId="723CD62B" w14:textId="6E447DD6" w:rsidR="001C2F9E" w:rsidRPr="002B41B5" w:rsidRDefault="001C2F9E" w:rsidP="009C1931">
          <w:pPr>
            <w:spacing w:line="360" w:lineRule="auto"/>
            <w:rPr>
              <w:rFonts w:ascii="Arial" w:hAnsi="Arial" w:cs="Arial"/>
            </w:rPr>
          </w:pPr>
          <w:r w:rsidRPr="002B41B5">
            <w:rPr>
              <w:rFonts w:ascii="Arial" w:hAnsi="Arial" w:cs="Arial"/>
              <w:b/>
              <w:bCs/>
              <w:noProof/>
            </w:rPr>
            <w:fldChar w:fldCharType="end"/>
          </w:r>
        </w:p>
      </w:sdtContent>
    </w:sdt>
    <w:p w14:paraId="515A9C49" w14:textId="77777777" w:rsidR="001C2F9E" w:rsidRPr="002B41B5" w:rsidRDefault="001C2F9E" w:rsidP="009C1931">
      <w:pPr>
        <w:spacing w:line="360" w:lineRule="auto"/>
        <w:jc w:val="left"/>
        <w:rPr>
          <w:rFonts w:ascii="Arial" w:eastAsiaTheme="majorEastAsia" w:hAnsi="Arial" w:cs="Arial"/>
          <w:b/>
          <w:color w:val="000000" w:themeColor="text1"/>
        </w:rPr>
      </w:pPr>
      <w:r w:rsidRPr="002B41B5">
        <w:rPr>
          <w:rFonts w:ascii="Arial" w:hAnsi="Arial" w:cs="Arial"/>
        </w:rPr>
        <w:br w:type="page"/>
      </w:r>
    </w:p>
    <w:p w14:paraId="05F7A435" w14:textId="77777777" w:rsidR="001848FA" w:rsidRPr="009C1931" w:rsidRDefault="001848FA" w:rsidP="009C1931">
      <w:pPr>
        <w:spacing w:line="360" w:lineRule="auto"/>
        <w:jc w:val="center"/>
        <w:rPr>
          <w:rFonts w:ascii="Arial" w:hAnsi="Arial" w:cs="Arial"/>
          <w:b/>
          <w:bCs/>
          <w:sz w:val="28"/>
          <w:szCs w:val="28"/>
        </w:rPr>
      </w:pPr>
      <w:bookmarkStart w:id="0" w:name="_Toc166263507"/>
      <w:r w:rsidRPr="009C1931">
        <w:rPr>
          <w:rFonts w:ascii="Arial" w:hAnsi="Arial" w:cs="Arial"/>
          <w:b/>
          <w:bCs/>
          <w:sz w:val="28"/>
          <w:szCs w:val="28"/>
        </w:rPr>
        <w:lastRenderedPageBreak/>
        <w:t>List of Figures</w:t>
      </w:r>
    </w:p>
    <w:p w14:paraId="200DD5B3" w14:textId="77777777" w:rsidR="001848FA" w:rsidRPr="002B41B5" w:rsidRDefault="001848FA" w:rsidP="009C1931">
      <w:pPr>
        <w:spacing w:line="360" w:lineRule="auto"/>
        <w:jc w:val="center"/>
        <w:rPr>
          <w:rFonts w:ascii="Arial" w:hAnsi="Arial" w:cs="Arial"/>
          <w:b/>
          <w:bCs/>
        </w:rPr>
      </w:pPr>
    </w:p>
    <w:p w14:paraId="0863264D" w14:textId="34D75329" w:rsidR="001848FA" w:rsidRPr="002B41B5" w:rsidRDefault="00000000" w:rsidP="009C1931">
      <w:pPr>
        <w:pStyle w:val="TOC1"/>
        <w:tabs>
          <w:tab w:val="right" w:leader="dot" w:pos="9016"/>
        </w:tabs>
        <w:spacing w:line="360" w:lineRule="auto"/>
        <w:jc w:val="both"/>
        <w:rPr>
          <w:rFonts w:ascii="Arial" w:eastAsiaTheme="minorEastAsia" w:hAnsi="Arial" w:cs="Arial"/>
          <w:b w:val="0"/>
          <w:bCs w:val="0"/>
          <w:caps w:val="0"/>
          <w:noProof/>
          <w:sz w:val="24"/>
          <w:szCs w:val="24"/>
          <w:lang w:eastAsia="en-IN"/>
        </w:rPr>
      </w:pPr>
      <w:hyperlink w:anchor="_Toc166263517" w:history="1">
        <w:r w:rsidR="001848FA" w:rsidRPr="002B41B5">
          <w:rPr>
            <w:rStyle w:val="Hyperlink"/>
            <w:rFonts w:ascii="Arial" w:hAnsi="Arial" w:cs="Arial"/>
            <w:noProof/>
            <w:color w:val="auto"/>
            <w:sz w:val="24"/>
            <w:szCs w:val="24"/>
            <w:u w:val="none"/>
          </w:rPr>
          <w:t>Figure 1: Conceptual Framework</w:t>
        </w:r>
        <w:r w:rsidR="001848FA" w:rsidRPr="002B41B5">
          <w:rPr>
            <w:rFonts w:ascii="Arial" w:hAnsi="Arial" w:cs="Arial"/>
            <w:noProof/>
            <w:webHidden/>
            <w:sz w:val="24"/>
            <w:szCs w:val="24"/>
          </w:rPr>
          <w:tab/>
        </w:r>
        <w:r w:rsidR="00030684">
          <w:rPr>
            <w:rFonts w:ascii="Arial" w:hAnsi="Arial" w:cs="Arial"/>
            <w:noProof/>
            <w:webHidden/>
            <w:sz w:val="24"/>
            <w:szCs w:val="24"/>
          </w:rPr>
          <w:t>15</w:t>
        </w:r>
      </w:hyperlink>
    </w:p>
    <w:p w14:paraId="5EC10F6B" w14:textId="23CB5EBF" w:rsidR="001848FA" w:rsidRPr="002B41B5" w:rsidRDefault="00000000" w:rsidP="009C1931">
      <w:pPr>
        <w:pStyle w:val="TOC1"/>
        <w:tabs>
          <w:tab w:val="right" w:leader="dot" w:pos="9016"/>
        </w:tabs>
        <w:spacing w:line="360" w:lineRule="auto"/>
        <w:jc w:val="both"/>
        <w:rPr>
          <w:rFonts w:ascii="Arial" w:eastAsiaTheme="minorEastAsia" w:hAnsi="Arial" w:cs="Arial"/>
          <w:b w:val="0"/>
          <w:bCs w:val="0"/>
          <w:caps w:val="0"/>
          <w:noProof/>
          <w:sz w:val="24"/>
          <w:szCs w:val="24"/>
          <w:lang w:eastAsia="en-IN"/>
        </w:rPr>
      </w:pPr>
      <w:hyperlink w:anchor="_Toc166263529" w:history="1">
        <w:r w:rsidR="001848FA" w:rsidRPr="002B41B5">
          <w:rPr>
            <w:rStyle w:val="Hyperlink"/>
            <w:rFonts w:ascii="Arial" w:hAnsi="Arial" w:cs="Arial"/>
            <w:noProof/>
            <w:color w:val="auto"/>
            <w:sz w:val="24"/>
            <w:szCs w:val="24"/>
            <w:u w:val="none"/>
          </w:rPr>
          <w:t>Figure 2: Thematic Analysis</w:t>
        </w:r>
        <w:r w:rsidR="001848FA" w:rsidRPr="002B41B5">
          <w:rPr>
            <w:rFonts w:ascii="Arial" w:hAnsi="Arial" w:cs="Arial"/>
            <w:noProof/>
            <w:webHidden/>
            <w:sz w:val="24"/>
            <w:szCs w:val="24"/>
          </w:rPr>
          <w:tab/>
        </w:r>
        <w:r w:rsidR="00030684">
          <w:rPr>
            <w:rFonts w:ascii="Arial" w:hAnsi="Arial" w:cs="Arial"/>
            <w:noProof/>
            <w:webHidden/>
            <w:sz w:val="24"/>
            <w:szCs w:val="24"/>
          </w:rPr>
          <w:t>29</w:t>
        </w:r>
      </w:hyperlink>
    </w:p>
    <w:p w14:paraId="564B7BDA" w14:textId="34B1041D" w:rsidR="001848FA" w:rsidRPr="002B41B5" w:rsidRDefault="001848FA" w:rsidP="009C1931">
      <w:pPr>
        <w:spacing w:line="360" w:lineRule="auto"/>
        <w:jc w:val="left"/>
        <w:rPr>
          <w:rFonts w:ascii="Arial" w:eastAsiaTheme="majorEastAsia" w:hAnsi="Arial" w:cs="Arial"/>
          <w:b/>
          <w:color w:val="000000" w:themeColor="text1"/>
        </w:rPr>
      </w:pPr>
      <w:r w:rsidRPr="002B41B5">
        <w:rPr>
          <w:rFonts w:ascii="Arial" w:hAnsi="Arial" w:cs="Arial"/>
        </w:rPr>
        <w:br w:type="page"/>
      </w:r>
    </w:p>
    <w:p w14:paraId="0C1FF6EC" w14:textId="77777777" w:rsidR="00D436D0" w:rsidRPr="00D436D0" w:rsidRDefault="00D436D0" w:rsidP="00D436D0">
      <w:pPr>
        <w:spacing w:line="360" w:lineRule="auto"/>
        <w:jc w:val="center"/>
        <w:rPr>
          <w:rFonts w:ascii="Arial" w:hAnsi="Arial" w:cs="Arial"/>
          <w:b/>
          <w:bCs/>
          <w:sz w:val="28"/>
          <w:szCs w:val="28"/>
        </w:rPr>
      </w:pPr>
      <w:r w:rsidRPr="00D436D0">
        <w:rPr>
          <w:rFonts w:ascii="Arial" w:hAnsi="Arial" w:cs="Arial"/>
          <w:b/>
          <w:bCs/>
          <w:sz w:val="28"/>
          <w:szCs w:val="28"/>
        </w:rPr>
        <w:lastRenderedPageBreak/>
        <w:t>UNVEILING THE MIRAGE, ANALYSING THE IMPACT OF REAL ESTATE IN DUBAI’S ECONOMIC GROWTH</w:t>
      </w:r>
    </w:p>
    <w:p w14:paraId="087B399F" w14:textId="2526A317" w:rsidR="003A5C90" w:rsidRPr="005D26C2" w:rsidRDefault="00C42367" w:rsidP="009C1931">
      <w:pPr>
        <w:pStyle w:val="Heading1"/>
      </w:pPr>
      <w:r w:rsidRPr="005D26C2">
        <w:t xml:space="preserve">Chapter 1: </w:t>
      </w:r>
      <w:r w:rsidR="0014204C" w:rsidRPr="005D26C2">
        <w:t>Introduction</w:t>
      </w:r>
      <w:bookmarkEnd w:id="0"/>
    </w:p>
    <w:p w14:paraId="7788C6EF" w14:textId="77777777" w:rsidR="00DA5BFB" w:rsidRPr="002B41B5" w:rsidRDefault="00DA5BFB" w:rsidP="009C1931">
      <w:pPr>
        <w:spacing w:line="360" w:lineRule="auto"/>
        <w:ind w:firstLine="720"/>
        <w:rPr>
          <w:rFonts w:ascii="Arial" w:hAnsi="Arial" w:cs="Arial"/>
        </w:rPr>
      </w:pPr>
      <w:r w:rsidRPr="002B41B5">
        <w:rPr>
          <w:rFonts w:ascii="Arial" w:hAnsi="Arial" w:cs="Arial"/>
        </w:rPr>
        <w:t>The dynamism of Dubai's real estate market and its pivotal role in shaping the economic landscape of the Emirate is an area ripe for scholarly investigation. This dissertation, titled "Unveiling the Mirage: Analysing the Impact of Real Estate in Dubai's Economic Growth," sets out to explore the intricate interplay between the burgeoning real estate sector and the broader economic growth and diversification of Dubai. As a region synonymous with architectural audacity and economic ambition, Dubai presents a unique case study for examining the multifaceted impacts of real estate development on macroeconomic variables and long-term economic sustainability.</w:t>
      </w:r>
    </w:p>
    <w:p w14:paraId="5544A52D" w14:textId="77777777" w:rsidR="00DA5BFB" w:rsidRPr="002B41B5" w:rsidRDefault="00DA5BFB" w:rsidP="009C1931">
      <w:pPr>
        <w:spacing w:line="360" w:lineRule="auto"/>
        <w:rPr>
          <w:rFonts w:ascii="Arial" w:hAnsi="Arial" w:cs="Arial"/>
        </w:rPr>
      </w:pPr>
    </w:p>
    <w:p w14:paraId="45818DD5" w14:textId="77777777" w:rsidR="00DA5BFB" w:rsidRPr="002B41B5" w:rsidRDefault="00DA5BFB" w:rsidP="009C1931">
      <w:pPr>
        <w:spacing w:line="360" w:lineRule="auto"/>
        <w:rPr>
          <w:rFonts w:ascii="Arial" w:hAnsi="Arial" w:cs="Arial"/>
        </w:rPr>
      </w:pPr>
      <w:r w:rsidRPr="002B41B5">
        <w:rPr>
          <w:rFonts w:ascii="Arial" w:hAnsi="Arial" w:cs="Arial"/>
        </w:rPr>
        <w:t>The rationale behind this study stems from the observed phenomenon of real estate serving both as a driver and a reflection of economic health in emerging economies (Jones Lang LaSalle, 2020). In Dubai, the real estate sector has not only contributed to the GDP but has also played a crucial role in the Emirate's efforts towards economic diversification away from oil dependence (KPMG, 2019). This dissertation aims to dissect the complex dynamics underpinning the relationship between Dubai's real estate market and its economic growth. By doing so, it seeks to provide evidence-based insights that can inform policy and strategy, ensuring the sustainable leveraging of the real estate sector's potential to foster economic development.</w:t>
      </w:r>
    </w:p>
    <w:p w14:paraId="162B0018" w14:textId="77777777" w:rsidR="00DA5BFB" w:rsidRPr="002B41B5" w:rsidRDefault="00DA5BFB" w:rsidP="009C1931">
      <w:pPr>
        <w:spacing w:line="360" w:lineRule="auto"/>
        <w:rPr>
          <w:rFonts w:ascii="Arial" w:hAnsi="Arial" w:cs="Arial"/>
        </w:rPr>
      </w:pPr>
    </w:p>
    <w:p w14:paraId="0AAF58C9" w14:textId="77777777" w:rsidR="00DA5BFB" w:rsidRPr="002B41B5" w:rsidRDefault="00DA5BFB" w:rsidP="009C1931">
      <w:pPr>
        <w:spacing w:line="360" w:lineRule="auto"/>
        <w:rPr>
          <w:rFonts w:ascii="Arial" w:hAnsi="Arial" w:cs="Arial"/>
        </w:rPr>
      </w:pPr>
      <w:r w:rsidRPr="002B41B5">
        <w:rPr>
          <w:rFonts w:ascii="Arial" w:hAnsi="Arial" w:cs="Arial"/>
        </w:rPr>
        <w:t>The objectives of this research are multifaceted, aiming to clarify the main forces behind, challenges encountered, and the impact of real estate development on Dubai's economic well-being. Through a qualitative exploration, this study will delve into the socio-economic factors shaping the Dubai real estate market and its future outlook. This introductory exploration sets the stage for a comprehensive analysis that will not only contribute to academic discourse but also offer practical insights for stakeholders involved in the real estate and economic planning sectors of Dubai and similar economies globally.</w:t>
      </w:r>
    </w:p>
    <w:p w14:paraId="161A15C3" w14:textId="77777777" w:rsidR="0014204C" w:rsidRPr="005D26C2" w:rsidRDefault="0014204C" w:rsidP="009C1931">
      <w:pPr>
        <w:spacing w:line="360" w:lineRule="auto"/>
        <w:rPr>
          <w:rFonts w:ascii="Arial" w:hAnsi="Arial" w:cs="Arial"/>
          <w:sz w:val="28"/>
          <w:szCs w:val="28"/>
        </w:rPr>
      </w:pPr>
    </w:p>
    <w:p w14:paraId="6AB0C76B" w14:textId="78C3BC04" w:rsidR="008B7780" w:rsidRPr="005D26C2" w:rsidRDefault="00C42367" w:rsidP="009C1931">
      <w:pPr>
        <w:pStyle w:val="Heading2"/>
      </w:pPr>
      <w:bookmarkStart w:id="1" w:name="_Toc166263508"/>
      <w:r w:rsidRPr="005D26C2">
        <w:lastRenderedPageBreak/>
        <w:t xml:space="preserve">1.1 </w:t>
      </w:r>
      <w:r w:rsidR="00142EB7" w:rsidRPr="005D26C2">
        <w:t>Background and Context</w:t>
      </w:r>
      <w:bookmarkEnd w:id="1"/>
    </w:p>
    <w:p w14:paraId="15C6BF84" w14:textId="46092A40" w:rsidR="00D0506D" w:rsidRPr="002B41B5" w:rsidRDefault="00D0506D" w:rsidP="009C1931">
      <w:pPr>
        <w:spacing w:line="360" w:lineRule="auto"/>
        <w:ind w:firstLine="720"/>
        <w:rPr>
          <w:rFonts w:ascii="Arial" w:hAnsi="Arial" w:cs="Arial"/>
        </w:rPr>
      </w:pPr>
      <w:r w:rsidRPr="002B41B5">
        <w:rPr>
          <w:rFonts w:ascii="Arial" w:hAnsi="Arial" w:cs="Arial"/>
        </w:rPr>
        <w:t>The transformation of Dubai from a modest trading port to a global real estate powerhouse represents one of the most remarkable economic success stories of the 21st century. This metamorphosis has been underpinned by strategic diversification policies aimed at reducing the Emirate's dependence on oil revenues, with the real estate sector playing a central role in this economic reorientation. The significance of real estate in Dubai's economic landscape is not merely in its contribution to the Gross Domestic Product (GDP) but also in its role as a catalyst for attracting international investment, fostering tourism, and facilitating the development of ancillary sectors (World Bank, 2018).</w:t>
      </w:r>
      <w:r w:rsidR="006926DC" w:rsidRPr="002B41B5">
        <w:rPr>
          <w:rFonts w:ascii="Arial" w:hAnsi="Arial" w:cs="Arial"/>
        </w:rPr>
        <w:t xml:space="preserve"> </w:t>
      </w:r>
      <w:r w:rsidRPr="002B41B5">
        <w:rPr>
          <w:rFonts w:ascii="Arial" w:hAnsi="Arial" w:cs="Arial"/>
        </w:rPr>
        <w:t>The backdrop of Dubai's real estate sector is characterized by its ambitious projects, including the world's tallest building, the Burj Khalifa, and the Palm Jumeirah, one of the largest artificial islands in the world. These developments are not only architectural feats but also symbols of Dubai's economic ambition and vision (Ritchie &amp; Crotts, 2014). However, the sector's rapid growth has not been without challenges. The global financial crisis of 2008-2009 underscored the vulnerabilities inherent in Dubai's real estate market, revealing the complexities of managing such rapid expansion while ensuring long-term economic sustainability (Davidson, 2008).</w:t>
      </w:r>
    </w:p>
    <w:p w14:paraId="04ADD631" w14:textId="77777777" w:rsidR="00D0506D" w:rsidRPr="002B41B5" w:rsidRDefault="00D0506D" w:rsidP="009C1931">
      <w:pPr>
        <w:spacing w:line="360" w:lineRule="auto"/>
        <w:rPr>
          <w:rFonts w:ascii="Arial" w:hAnsi="Arial" w:cs="Arial"/>
        </w:rPr>
      </w:pPr>
    </w:p>
    <w:p w14:paraId="55380D71" w14:textId="5E1A4C0F" w:rsidR="00D0506D" w:rsidRPr="002B41B5" w:rsidRDefault="00D0506D" w:rsidP="009C1931">
      <w:pPr>
        <w:spacing w:line="360" w:lineRule="auto"/>
        <w:rPr>
          <w:rFonts w:ascii="Arial" w:hAnsi="Arial" w:cs="Arial"/>
        </w:rPr>
      </w:pPr>
      <w:r w:rsidRPr="002B41B5">
        <w:rPr>
          <w:rFonts w:ascii="Arial" w:hAnsi="Arial" w:cs="Arial"/>
        </w:rPr>
        <w:t>In response to these challenges, the government of Dubai has implemented various policies aimed at regulating the real estate market, encouraging sustainable development, and ensuring that the sector contributes to the broader economic objectives of the Emirate. These policies have focused on improving transparency, enhancing regulatory frameworks, and promoting environmentally sustainable projects (UAE Government, 2020).</w:t>
      </w:r>
      <w:r w:rsidR="006926DC" w:rsidRPr="002B41B5">
        <w:rPr>
          <w:rFonts w:ascii="Arial" w:hAnsi="Arial" w:cs="Arial"/>
        </w:rPr>
        <w:t xml:space="preserve"> </w:t>
      </w:r>
      <w:r w:rsidRPr="002B41B5">
        <w:rPr>
          <w:rFonts w:ascii="Arial" w:hAnsi="Arial" w:cs="Arial"/>
        </w:rPr>
        <w:t>The context of Dubai's economic growth and diversification strategy provides a compelling backdrop for investigating the impact of the real estate sector. This research will explore the nuanced relationship between real estate development and economic growth in Dubai, analysing how the sector has influenced and been influenced by macroeconomic policies and trends. It will also examine the sustainability of real estate projects in light of Dubai's environmental goals, contributing to a deeper understanding of the balance between economic development and sustainability.</w:t>
      </w:r>
    </w:p>
    <w:p w14:paraId="62689DE9" w14:textId="77777777" w:rsidR="00D0506D" w:rsidRPr="002B41B5" w:rsidRDefault="00D0506D" w:rsidP="009C1931">
      <w:pPr>
        <w:spacing w:line="360" w:lineRule="auto"/>
        <w:rPr>
          <w:rFonts w:ascii="Arial" w:hAnsi="Arial" w:cs="Arial"/>
        </w:rPr>
      </w:pPr>
    </w:p>
    <w:p w14:paraId="7D66FCE5" w14:textId="627EE921" w:rsidR="00D0506D" w:rsidRPr="002B41B5" w:rsidRDefault="00D0506D" w:rsidP="009C1931">
      <w:pPr>
        <w:spacing w:line="360" w:lineRule="auto"/>
        <w:rPr>
          <w:rFonts w:ascii="Arial" w:hAnsi="Arial" w:cs="Arial"/>
        </w:rPr>
      </w:pPr>
      <w:r w:rsidRPr="002B41B5">
        <w:rPr>
          <w:rFonts w:ascii="Arial" w:hAnsi="Arial" w:cs="Arial"/>
        </w:rPr>
        <w:lastRenderedPageBreak/>
        <w:t>This background sets the stage for a detailed exploration of the complex dynamics that underpin the relationship between Dubai's real estate market and its economic development. By examining these intricacies, the research aims to offer insights into the challenges and opportunities facing the sector, providing a comprehensive analysis that can inform future policy and strategy decisions in Dubai and similar economies.</w:t>
      </w:r>
    </w:p>
    <w:p w14:paraId="2F177F61" w14:textId="77777777" w:rsidR="00A35BE9" w:rsidRPr="002B41B5" w:rsidRDefault="00A35BE9" w:rsidP="009C1931">
      <w:pPr>
        <w:spacing w:line="360" w:lineRule="auto"/>
        <w:rPr>
          <w:rFonts w:ascii="Arial" w:hAnsi="Arial" w:cs="Arial"/>
        </w:rPr>
      </w:pPr>
    </w:p>
    <w:p w14:paraId="155B1C6D" w14:textId="0920C633" w:rsidR="00A35BE9" w:rsidRPr="005D26C2" w:rsidRDefault="00C42367" w:rsidP="009C1931">
      <w:pPr>
        <w:pStyle w:val="Heading2"/>
      </w:pPr>
      <w:bookmarkStart w:id="2" w:name="_Toc166263509"/>
      <w:r w:rsidRPr="005D26C2">
        <w:t xml:space="preserve">1.2 </w:t>
      </w:r>
      <w:r w:rsidR="00787A06" w:rsidRPr="005D26C2">
        <w:t>Research Aim</w:t>
      </w:r>
      <w:bookmarkEnd w:id="2"/>
    </w:p>
    <w:p w14:paraId="764BA739" w14:textId="420DD53D" w:rsidR="00787A06" w:rsidRPr="002B41B5" w:rsidRDefault="000B6FCF" w:rsidP="009C1931">
      <w:pPr>
        <w:spacing w:line="360" w:lineRule="auto"/>
        <w:rPr>
          <w:rFonts w:ascii="Arial" w:hAnsi="Arial" w:cs="Arial"/>
        </w:rPr>
      </w:pPr>
      <w:r w:rsidRPr="002B41B5">
        <w:rPr>
          <w:rFonts w:ascii="Arial" w:hAnsi="Arial" w:cs="Arial"/>
          <w:b/>
          <w:bCs/>
        </w:rPr>
        <w:t>Aim</w:t>
      </w:r>
      <w:r w:rsidRPr="002B41B5">
        <w:rPr>
          <w:rFonts w:ascii="Arial" w:hAnsi="Arial" w:cs="Arial"/>
        </w:rPr>
        <w:t>: To analyse Dubai's real estate impact on economic growth and diversification, informing sustainable development policies.</w:t>
      </w:r>
    </w:p>
    <w:p w14:paraId="39998A6B" w14:textId="77777777" w:rsidR="000B6FCF" w:rsidRPr="002B41B5" w:rsidRDefault="000B6FCF" w:rsidP="009C1931">
      <w:pPr>
        <w:spacing w:line="360" w:lineRule="auto"/>
        <w:rPr>
          <w:rFonts w:ascii="Arial" w:hAnsi="Arial" w:cs="Arial"/>
        </w:rPr>
      </w:pPr>
    </w:p>
    <w:p w14:paraId="45239402" w14:textId="10F2BECD" w:rsidR="000B6FCF" w:rsidRPr="002B41B5" w:rsidRDefault="00C42367" w:rsidP="009C1931">
      <w:pPr>
        <w:pStyle w:val="Heading2"/>
      </w:pPr>
      <w:bookmarkStart w:id="3" w:name="_Toc166263510"/>
      <w:r w:rsidRPr="002B41B5">
        <w:t xml:space="preserve">1.3 </w:t>
      </w:r>
      <w:r w:rsidR="002E3117" w:rsidRPr="002B41B5">
        <w:t>Research Objectives</w:t>
      </w:r>
      <w:bookmarkEnd w:id="3"/>
    </w:p>
    <w:p w14:paraId="0637D634" w14:textId="77777777" w:rsidR="002E3117" w:rsidRPr="002B41B5" w:rsidRDefault="002E3117" w:rsidP="009C1931">
      <w:pPr>
        <w:pStyle w:val="ListParagraph"/>
        <w:numPr>
          <w:ilvl w:val="0"/>
          <w:numId w:val="6"/>
        </w:numPr>
        <w:spacing w:line="360" w:lineRule="auto"/>
        <w:rPr>
          <w:rFonts w:ascii="Arial" w:hAnsi="Arial" w:cs="Arial"/>
        </w:rPr>
      </w:pPr>
      <w:r w:rsidRPr="002B41B5">
        <w:rPr>
          <w:rFonts w:ascii="Arial" w:hAnsi="Arial" w:cs="Arial"/>
        </w:rPr>
        <w:t>To investigate the dynamics between Dubai's real estate market and its macroeconomic growth indicators.</w:t>
      </w:r>
    </w:p>
    <w:p w14:paraId="27214CB4" w14:textId="77777777" w:rsidR="002E3117" w:rsidRPr="002B41B5" w:rsidRDefault="002E3117" w:rsidP="009C1931">
      <w:pPr>
        <w:pStyle w:val="ListParagraph"/>
        <w:numPr>
          <w:ilvl w:val="0"/>
          <w:numId w:val="6"/>
        </w:numPr>
        <w:spacing w:line="360" w:lineRule="auto"/>
        <w:rPr>
          <w:rFonts w:ascii="Arial" w:hAnsi="Arial" w:cs="Arial"/>
        </w:rPr>
      </w:pPr>
      <w:r w:rsidRPr="002B41B5">
        <w:rPr>
          <w:rFonts w:ascii="Arial" w:hAnsi="Arial" w:cs="Arial"/>
        </w:rPr>
        <w:t>To evaluate the effects of governmental policies on the growth and regulation of Dubai's real estate sector.</w:t>
      </w:r>
    </w:p>
    <w:p w14:paraId="438857A1" w14:textId="77777777" w:rsidR="002E3117" w:rsidRPr="002B41B5" w:rsidRDefault="002E3117" w:rsidP="009C1931">
      <w:pPr>
        <w:pStyle w:val="ListParagraph"/>
        <w:numPr>
          <w:ilvl w:val="0"/>
          <w:numId w:val="6"/>
        </w:numPr>
        <w:spacing w:line="360" w:lineRule="auto"/>
        <w:rPr>
          <w:rFonts w:ascii="Arial" w:hAnsi="Arial" w:cs="Arial"/>
        </w:rPr>
      </w:pPr>
      <w:r w:rsidRPr="002B41B5">
        <w:rPr>
          <w:rFonts w:ascii="Arial" w:hAnsi="Arial" w:cs="Arial"/>
        </w:rPr>
        <w:t>To assess the contribution of the real estate sector to Dubai's economic diversification and sustainability goals.</w:t>
      </w:r>
    </w:p>
    <w:p w14:paraId="4963B527" w14:textId="77777777" w:rsidR="002E3117" w:rsidRPr="002B41B5" w:rsidRDefault="002E3117" w:rsidP="009C1931">
      <w:pPr>
        <w:spacing w:line="360" w:lineRule="auto"/>
        <w:rPr>
          <w:rStyle w:val="Heading2Char"/>
          <w:sz w:val="24"/>
          <w:szCs w:val="24"/>
        </w:rPr>
      </w:pPr>
      <w:bookmarkStart w:id="4" w:name="_Toc159591762"/>
    </w:p>
    <w:p w14:paraId="4D5ECCAC" w14:textId="4CEB227D" w:rsidR="002E3117" w:rsidRPr="005D26C2" w:rsidRDefault="00C42367" w:rsidP="009C1931">
      <w:pPr>
        <w:pStyle w:val="Heading2"/>
        <w:rPr>
          <w:rStyle w:val="Heading2Char"/>
          <w:b/>
          <w:i/>
        </w:rPr>
      </w:pPr>
      <w:bookmarkStart w:id="5" w:name="_Toc166263511"/>
      <w:r w:rsidRPr="005D26C2">
        <w:rPr>
          <w:rStyle w:val="Heading2Char"/>
          <w:b/>
          <w:i/>
        </w:rPr>
        <w:t xml:space="preserve">1.4 </w:t>
      </w:r>
      <w:r w:rsidR="002E3117" w:rsidRPr="005D26C2">
        <w:rPr>
          <w:rStyle w:val="Heading2Char"/>
          <w:b/>
          <w:i/>
        </w:rPr>
        <w:t>Research Questions</w:t>
      </w:r>
      <w:bookmarkEnd w:id="4"/>
      <w:bookmarkEnd w:id="5"/>
    </w:p>
    <w:p w14:paraId="5113C638" w14:textId="77777777" w:rsidR="00A84BC9" w:rsidRPr="002B41B5" w:rsidRDefault="00A84BC9" w:rsidP="009C1931">
      <w:pPr>
        <w:pStyle w:val="ListParagraph"/>
        <w:numPr>
          <w:ilvl w:val="0"/>
          <w:numId w:val="5"/>
        </w:numPr>
        <w:spacing w:line="360" w:lineRule="auto"/>
        <w:rPr>
          <w:rFonts w:ascii="Arial" w:hAnsi="Arial" w:cs="Arial"/>
        </w:rPr>
      </w:pPr>
      <w:r w:rsidRPr="002B41B5">
        <w:rPr>
          <w:rFonts w:ascii="Arial" w:hAnsi="Arial" w:cs="Arial"/>
        </w:rPr>
        <w:t>What is the relation of Dubai's real estate market to key macroeconomic indicators like GDP, inflation, and employment rates?</w:t>
      </w:r>
    </w:p>
    <w:p w14:paraId="7EA845BB" w14:textId="77777777" w:rsidR="00A84BC9" w:rsidRPr="002B41B5" w:rsidRDefault="00A84BC9" w:rsidP="009C1931">
      <w:pPr>
        <w:pStyle w:val="ListParagraph"/>
        <w:numPr>
          <w:ilvl w:val="0"/>
          <w:numId w:val="5"/>
        </w:numPr>
        <w:spacing w:line="360" w:lineRule="auto"/>
        <w:rPr>
          <w:rFonts w:ascii="Arial" w:hAnsi="Arial" w:cs="Arial"/>
        </w:rPr>
      </w:pPr>
      <w:r w:rsidRPr="002B41B5">
        <w:rPr>
          <w:rFonts w:ascii="Arial" w:hAnsi="Arial" w:cs="Arial"/>
        </w:rPr>
        <w:t>How do regulatory and fiscal policies in the nature of government policies influence growth and regulation in Dubai's real estate sector?</w:t>
      </w:r>
    </w:p>
    <w:p w14:paraId="002E85C0" w14:textId="3EBF1376" w:rsidR="004E4B62" w:rsidRDefault="00A84BC9" w:rsidP="009C1931">
      <w:pPr>
        <w:pStyle w:val="ListParagraph"/>
        <w:numPr>
          <w:ilvl w:val="0"/>
          <w:numId w:val="5"/>
        </w:numPr>
        <w:spacing w:line="360" w:lineRule="auto"/>
        <w:rPr>
          <w:rFonts w:ascii="Arial" w:hAnsi="Arial" w:cs="Arial"/>
        </w:rPr>
      </w:pPr>
      <w:r w:rsidRPr="002B41B5">
        <w:rPr>
          <w:rFonts w:ascii="Arial" w:hAnsi="Arial" w:cs="Arial"/>
        </w:rPr>
        <w:t>How does real estate sector contribute to economic diversification and the achievement of sustainability goals for Dubai?</w:t>
      </w:r>
    </w:p>
    <w:p w14:paraId="3F76201B" w14:textId="77777777" w:rsidR="00D436D0" w:rsidRDefault="00D436D0" w:rsidP="00D436D0">
      <w:pPr>
        <w:spacing w:line="360" w:lineRule="auto"/>
        <w:rPr>
          <w:rFonts w:ascii="Arial" w:hAnsi="Arial" w:cs="Arial"/>
        </w:rPr>
      </w:pPr>
    </w:p>
    <w:p w14:paraId="417E7EEA" w14:textId="77777777" w:rsidR="00D436D0" w:rsidRDefault="00D436D0" w:rsidP="00D436D0">
      <w:pPr>
        <w:spacing w:line="360" w:lineRule="auto"/>
        <w:rPr>
          <w:rFonts w:ascii="Arial" w:hAnsi="Arial" w:cs="Arial"/>
        </w:rPr>
      </w:pPr>
    </w:p>
    <w:p w14:paraId="637B1CD0" w14:textId="77777777" w:rsidR="00D436D0" w:rsidRPr="00D436D0" w:rsidRDefault="00D436D0" w:rsidP="00D436D0">
      <w:pPr>
        <w:spacing w:line="360" w:lineRule="auto"/>
        <w:rPr>
          <w:rFonts w:ascii="Arial" w:hAnsi="Arial" w:cs="Arial"/>
        </w:rPr>
      </w:pPr>
    </w:p>
    <w:p w14:paraId="1A194FFA" w14:textId="502ED9B1" w:rsidR="005D26C2" w:rsidRPr="005D26C2" w:rsidRDefault="00C42367" w:rsidP="00D436D0">
      <w:pPr>
        <w:pStyle w:val="Heading2"/>
      </w:pPr>
      <w:bookmarkStart w:id="6" w:name="_Toc166263512"/>
      <w:r w:rsidRPr="002B41B5">
        <w:lastRenderedPageBreak/>
        <w:t xml:space="preserve">1.5 </w:t>
      </w:r>
      <w:r w:rsidR="00015E0F" w:rsidRPr="002B41B5">
        <w:t>Significance / Relevance of Study</w:t>
      </w:r>
      <w:bookmarkEnd w:id="6"/>
    </w:p>
    <w:p w14:paraId="721BADE7" w14:textId="77777777" w:rsidR="00973566" w:rsidRPr="002B41B5" w:rsidRDefault="00973566" w:rsidP="009C1931">
      <w:pPr>
        <w:spacing w:line="360" w:lineRule="auto"/>
        <w:ind w:firstLine="720"/>
        <w:rPr>
          <w:rFonts w:ascii="Arial" w:hAnsi="Arial" w:cs="Arial"/>
        </w:rPr>
      </w:pPr>
      <w:r w:rsidRPr="002B41B5">
        <w:rPr>
          <w:rFonts w:ascii="Arial" w:hAnsi="Arial" w:cs="Arial"/>
        </w:rPr>
        <w:t>The exploration of the real estate sector's impact on Dubai's economic growth and diversification holds paramount significance in the realms of urban development, economic policy, and sustainable growth. This dissertation, by delving into the intricate dynamics between Dubai's real estate market and its broader economic trajectory, aims to shed light on a subject that is crucial for policymakers, investors, urban planners, and the academic community. The relevance of this study can be articulated through several dimensions, as follows:</w:t>
      </w:r>
    </w:p>
    <w:p w14:paraId="2AEB7CBE" w14:textId="77777777" w:rsidR="00973566" w:rsidRPr="009C1931" w:rsidRDefault="00973566" w:rsidP="009C1931">
      <w:pPr>
        <w:spacing w:line="360" w:lineRule="auto"/>
        <w:rPr>
          <w:rFonts w:ascii="Arial" w:hAnsi="Arial" w:cs="Arial"/>
          <w:sz w:val="28"/>
          <w:szCs w:val="28"/>
        </w:rPr>
      </w:pPr>
    </w:p>
    <w:p w14:paraId="271D483C" w14:textId="245CB17E" w:rsidR="00973566" w:rsidRPr="002B41B5" w:rsidRDefault="00973566" w:rsidP="009C1931">
      <w:pPr>
        <w:spacing w:line="360" w:lineRule="auto"/>
        <w:rPr>
          <w:rFonts w:ascii="Arial" w:hAnsi="Arial" w:cs="Arial"/>
        </w:rPr>
      </w:pPr>
      <w:r w:rsidRPr="009C1931">
        <w:rPr>
          <w:rFonts w:ascii="Arial" w:hAnsi="Arial" w:cs="Arial"/>
          <w:b/>
          <w:bCs/>
          <w:sz w:val="28"/>
          <w:szCs w:val="28"/>
        </w:rPr>
        <w:t>Economic Policy and Planning</w:t>
      </w:r>
      <w:r w:rsidRPr="009C1931">
        <w:rPr>
          <w:rFonts w:ascii="Arial" w:hAnsi="Arial" w:cs="Arial"/>
          <w:sz w:val="28"/>
          <w:szCs w:val="28"/>
        </w:rPr>
        <w:t>:</w:t>
      </w:r>
      <w:r w:rsidRPr="002B41B5">
        <w:rPr>
          <w:rFonts w:ascii="Arial" w:hAnsi="Arial" w:cs="Arial"/>
        </w:rPr>
        <w:t xml:space="preserve"> Understanding the relationship between real estate development and economic growth in Dubai is essential for the formulation of effective economic policies and strategic planning. The Emirate's ambitious vision to diversify its economy away from oil dependency has positioned the real estate sector as a cornerstone of this transformation. By analysing the sector's contributions to economic growth and identifying the challenges and opportunities it presents, this research can inform evidence-based policy making. The findings could serve as a guide for other oil-dependent economies striving for diversification, offering insights into the potential and pitfalls of relying on real estate as a driver of economic change (</w:t>
      </w:r>
      <w:proofErr w:type="spellStart"/>
      <w:r w:rsidRPr="002B41B5">
        <w:rPr>
          <w:rFonts w:ascii="Arial" w:hAnsi="Arial" w:cs="Arial"/>
        </w:rPr>
        <w:t>Farooki</w:t>
      </w:r>
      <w:proofErr w:type="spellEnd"/>
      <w:r w:rsidRPr="002B41B5">
        <w:rPr>
          <w:rFonts w:ascii="Arial" w:hAnsi="Arial" w:cs="Arial"/>
        </w:rPr>
        <w:t xml:space="preserve"> &amp; </w:t>
      </w:r>
      <w:proofErr w:type="spellStart"/>
      <w:r w:rsidRPr="002B41B5">
        <w:rPr>
          <w:rFonts w:ascii="Arial" w:hAnsi="Arial" w:cs="Arial"/>
        </w:rPr>
        <w:t>Mohieldin</w:t>
      </w:r>
      <w:proofErr w:type="spellEnd"/>
      <w:r w:rsidRPr="002B41B5">
        <w:rPr>
          <w:rFonts w:ascii="Arial" w:hAnsi="Arial" w:cs="Arial"/>
        </w:rPr>
        <w:t>, 2019).</w:t>
      </w:r>
    </w:p>
    <w:p w14:paraId="2968FD04" w14:textId="77777777" w:rsidR="00973566" w:rsidRPr="002B41B5" w:rsidRDefault="00973566" w:rsidP="009C1931">
      <w:pPr>
        <w:spacing w:line="360" w:lineRule="auto"/>
        <w:rPr>
          <w:rFonts w:ascii="Arial" w:hAnsi="Arial" w:cs="Arial"/>
        </w:rPr>
      </w:pPr>
    </w:p>
    <w:p w14:paraId="3BBF466A" w14:textId="77777777" w:rsidR="00973566" w:rsidRPr="002B41B5" w:rsidRDefault="00973566" w:rsidP="009C1931">
      <w:pPr>
        <w:spacing w:line="360" w:lineRule="auto"/>
        <w:rPr>
          <w:rFonts w:ascii="Arial" w:hAnsi="Arial" w:cs="Arial"/>
        </w:rPr>
      </w:pPr>
      <w:r w:rsidRPr="009C1931">
        <w:rPr>
          <w:rFonts w:ascii="Arial" w:hAnsi="Arial" w:cs="Arial"/>
          <w:b/>
          <w:bCs/>
          <w:sz w:val="28"/>
          <w:szCs w:val="28"/>
        </w:rPr>
        <w:t>Investment Decisions</w:t>
      </w:r>
      <w:r w:rsidRPr="009C1931">
        <w:rPr>
          <w:rFonts w:ascii="Arial" w:hAnsi="Arial" w:cs="Arial"/>
          <w:sz w:val="28"/>
          <w:szCs w:val="28"/>
        </w:rPr>
        <w:t>:</w:t>
      </w:r>
      <w:r w:rsidRPr="002B41B5">
        <w:rPr>
          <w:rFonts w:ascii="Arial" w:hAnsi="Arial" w:cs="Arial"/>
        </w:rPr>
        <w:t xml:space="preserve"> For investors, both local and international, the Dubai real estate market presents a landscape of opportunities tempered by risks. The volatility experienced during the global financial crisis highlighted the need for a deeper understanding of the market's dynamics. This study aims to provide a nuanced analysis of the factors influencing the sector's performance, thereby aiding investors in making informed decisions. The insights gained could contribute to a more stable and resilient real estate market in Dubai, attracting sustainable investment and fostering economic growth (</w:t>
      </w:r>
      <w:proofErr w:type="spellStart"/>
      <w:r w:rsidRPr="002B41B5">
        <w:rPr>
          <w:rFonts w:ascii="Arial" w:hAnsi="Arial" w:cs="Arial"/>
        </w:rPr>
        <w:t>Albuloushi</w:t>
      </w:r>
      <w:proofErr w:type="spellEnd"/>
      <w:r w:rsidRPr="002B41B5">
        <w:rPr>
          <w:rFonts w:ascii="Arial" w:hAnsi="Arial" w:cs="Arial"/>
        </w:rPr>
        <w:t xml:space="preserve"> &amp; Al-Saleh, 2018).</w:t>
      </w:r>
    </w:p>
    <w:p w14:paraId="33FD20AF" w14:textId="77777777" w:rsidR="00973566" w:rsidRPr="002B41B5" w:rsidRDefault="00973566" w:rsidP="009C1931">
      <w:pPr>
        <w:spacing w:line="360" w:lineRule="auto"/>
        <w:rPr>
          <w:rFonts w:ascii="Arial" w:hAnsi="Arial" w:cs="Arial"/>
        </w:rPr>
      </w:pPr>
    </w:p>
    <w:p w14:paraId="10DB9AB1" w14:textId="77777777" w:rsidR="00973566" w:rsidRPr="002B41B5" w:rsidRDefault="00973566" w:rsidP="009C1931">
      <w:pPr>
        <w:spacing w:line="360" w:lineRule="auto"/>
        <w:rPr>
          <w:rFonts w:ascii="Arial" w:hAnsi="Arial" w:cs="Arial"/>
        </w:rPr>
      </w:pPr>
      <w:r w:rsidRPr="009C1931">
        <w:rPr>
          <w:rFonts w:ascii="Arial" w:hAnsi="Arial" w:cs="Arial"/>
          <w:b/>
          <w:bCs/>
          <w:sz w:val="28"/>
          <w:szCs w:val="28"/>
        </w:rPr>
        <w:t>Sustainable Development</w:t>
      </w:r>
      <w:r w:rsidRPr="009C1931">
        <w:rPr>
          <w:rFonts w:ascii="Arial" w:hAnsi="Arial" w:cs="Arial"/>
          <w:sz w:val="28"/>
          <w:szCs w:val="28"/>
        </w:rPr>
        <w:t>:</w:t>
      </w:r>
      <w:r w:rsidRPr="002B41B5">
        <w:rPr>
          <w:rFonts w:ascii="Arial" w:hAnsi="Arial" w:cs="Arial"/>
        </w:rPr>
        <w:t xml:space="preserve"> The sustainability of real estate projects is increasingly recognized as critical to long-term economic and environmental health. Dubai's commitment to becoming a green economy leader necessitates a balance </w:t>
      </w:r>
      <w:r w:rsidRPr="002B41B5">
        <w:rPr>
          <w:rFonts w:ascii="Arial" w:hAnsi="Arial" w:cs="Arial"/>
        </w:rPr>
        <w:lastRenderedPageBreak/>
        <w:t>between ambitious real estate development and sustainability goals. This research seeks to explore this balance, examining how sustainable practices within the real estate sector can contribute to economic growth while aligning with environmental sustainability objectives. The outcomes of this study could inform the development of guidelines and standards for sustainable real estate projects, not only in Dubai but also in similar urban contexts (World Economic Forum, 2016).</w:t>
      </w:r>
    </w:p>
    <w:p w14:paraId="53CA25DB" w14:textId="77777777" w:rsidR="00973566" w:rsidRPr="002B41B5" w:rsidRDefault="00973566" w:rsidP="009C1931">
      <w:pPr>
        <w:spacing w:line="360" w:lineRule="auto"/>
        <w:rPr>
          <w:rFonts w:ascii="Arial" w:hAnsi="Arial" w:cs="Arial"/>
        </w:rPr>
      </w:pPr>
    </w:p>
    <w:p w14:paraId="0D1B2D2F" w14:textId="77777777" w:rsidR="00973566" w:rsidRPr="002B41B5" w:rsidRDefault="00973566" w:rsidP="009C1931">
      <w:pPr>
        <w:spacing w:line="360" w:lineRule="auto"/>
        <w:rPr>
          <w:rFonts w:ascii="Arial" w:hAnsi="Arial" w:cs="Arial"/>
        </w:rPr>
      </w:pPr>
      <w:r w:rsidRPr="009C1931">
        <w:rPr>
          <w:rFonts w:ascii="Arial" w:hAnsi="Arial" w:cs="Arial"/>
          <w:b/>
          <w:bCs/>
          <w:sz w:val="28"/>
          <w:szCs w:val="28"/>
        </w:rPr>
        <w:t>Academic Contribution</w:t>
      </w:r>
      <w:r w:rsidRPr="009C1931">
        <w:rPr>
          <w:rFonts w:ascii="Arial" w:hAnsi="Arial" w:cs="Arial"/>
          <w:sz w:val="28"/>
          <w:szCs w:val="28"/>
        </w:rPr>
        <w:t>:</w:t>
      </w:r>
      <w:r w:rsidRPr="002B41B5">
        <w:rPr>
          <w:rFonts w:ascii="Arial" w:hAnsi="Arial" w:cs="Arial"/>
        </w:rPr>
        <w:t xml:space="preserve"> From an academic perspective, this dissertation contributes to the body of knowledge on the interplay between real estate development and economic growth in rapidly developing urban economies. By offering a case study of Dubai, it enriches the literature on economic diversification strategies, the role of government in regulating and stimulating the real estate market, and the challenges of ensuring sustainability in fast-paced urban development. This research could serve as a foundation for further studies exploring the complexities of real estate markets and their impact on economic growth in other contexts.</w:t>
      </w:r>
    </w:p>
    <w:p w14:paraId="66A129C1" w14:textId="77777777" w:rsidR="00973566" w:rsidRPr="002B41B5" w:rsidRDefault="00973566" w:rsidP="009C1931">
      <w:pPr>
        <w:spacing w:line="360" w:lineRule="auto"/>
        <w:rPr>
          <w:rFonts w:ascii="Arial" w:hAnsi="Arial" w:cs="Arial"/>
        </w:rPr>
      </w:pPr>
    </w:p>
    <w:p w14:paraId="631724B8" w14:textId="4FCBCE78" w:rsidR="00015E0F" w:rsidRPr="002B41B5" w:rsidRDefault="00973566" w:rsidP="009C1931">
      <w:pPr>
        <w:spacing w:line="360" w:lineRule="auto"/>
        <w:rPr>
          <w:rFonts w:ascii="Arial" w:hAnsi="Arial" w:cs="Arial"/>
        </w:rPr>
      </w:pPr>
      <w:r w:rsidRPr="002B41B5">
        <w:rPr>
          <w:rFonts w:ascii="Arial" w:hAnsi="Arial" w:cs="Arial"/>
        </w:rPr>
        <w:t>In conclusion, the significance of this study lies in its potential to inform policy, guide investment, promote sustainable development, and contribute to academic discourse. By providing a comprehensive analysis of the Dubai real estate market's impact on economic growth and diversification, this research addresses a critical gap in understanding that is relevant to a wide range of stakeholders.</w:t>
      </w:r>
    </w:p>
    <w:p w14:paraId="7AE8F1DE" w14:textId="77777777" w:rsidR="00BC1724" w:rsidRPr="002B41B5" w:rsidRDefault="00BC1724" w:rsidP="009C1931">
      <w:pPr>
        <w:spacing w:line="360" w:lineRule="auto"/>
        <w:rPr>
          <w:rFonts w:ascii="Arial" w:hAnsi="Arial" w:cs="Arial"/>
        </w:rPr>
      </w:pPr>
    </w:p>
    <w:p w14:paraId="20400877" w14:textId="311C4EB2" w:rsidR="00BC1724" w:rsidRPr="002B41B5" w:rsidRDefault="00C42367" w:rsidP="009C1931">
      <w:pPr>
        <w:pStyle w:val="Heading2"/>
      </w:pPr>
      <w:bookmarkStart w:id="7" w:name="_Toc166263513"/>
      <w:r w:rsidRPr="002B41B5">
        <w:t xml:space="preserve">1.6 </w:t>
      </w:r>
      <w:r w:rsidR="00385D60" w:rsidRPr="002B41B5">
        <w:t>Brief Research Methodology</w:t>
      </w:r>
      <w:bookmarkEnd w:id="7"/>
    </w:p>
    <w:p w14:paraId="70D10C9D" w14:textId="75959507" w:rsidR="009164B4" w:rsidRPr="002B41B5" w:rsidRDefault="009164B4" w:rsidP="009C1931">
      <w:pPr>
        <w:spacing w:line="360" w:lineRule="auto"/>
        <w:ind w:firstLine="720"/>
        <w:rPr>
          <w:rFonts w:ascii="Arial" w:hAnsi="Arial" w:cs="Arial"/>
        </w:rPr>
      </w:pPr>
      <w:r w:rsidRPr="002B41B5">
        <w:rPr>
          <w:rFonts w:ascii="Arial" w:hAnsi="Arial" w:cs="Arial"/>
        </w:rPr>
        <w:t>This dissertation adopts a qualitative research methodology to explore the complex dynamics between Dubai's real estate market and its economic growth. This approach is chosen for its ability to provide in-depth insights into the socio-economic factors, government policies, and market trends that influence the real estate sector and, by extension, the economic development of Dubai. Qualitative methods facilitate a nuanced understanding of the underlying mechanisms and stakeholder perspectives that quantitative data alone might not reveal (Creswell, 2014).</w:t>
      </w:r>
      <w:r w:rsidR="000A0E5F" w:rsidRPr="002B41B5">
        <w:rPr>
          <w:rFonts w:ascii="Arial" w:hAnsi="Arial" w:cs="Arial"/>
        </w:rPr>
        <w:t xml:space="preserve"> </w:t>
      </w:r>
      <w:r w:rsidRPr="002B41B5">
        <w:rPr>
          <w:rFonts w:ascii="Arial" w:hAnsi="Arial" w:cs="Arial"/>
        </w:rPr>
        <w:t xml:space="preserve">Data collection will primarily involve semi-structured interviews with key stakeholders in Dubai's real estate market, including policymakers, industry experts, developers, and academics. </w:t>
      </w:r>
      <w:r w:rsidRPr="002B41B5">
        <w:rPr>
          <w:rFonts w:ascii="Arial" w:hAnsi="Arial" w:cs="Arial"/>
        </w:rPr>
        <w:lastRenderedPageBreak/>
        <w:t>This method enables the gathering of diverse viewpoints and insights into the sector's impact on economic growth and sustainability. Additionally, document analysis will be employed to review relevant government policies, industry reports, and academic literature, providing a comprehensive background and context for the study (Bowen, 2009).</w:t>
      </w:r>
    </w:p>
    <w:p w14:paraId="1EDDDB4C" w14:textId="77777777" w:rsidR="009164B4" w:rsidRPr="002B41B5" w:rsidRDefault="009164B4" w:rsidP="009C1931">
      <w:pPr>
        <w:spacing w:line="360" w:lineRule="auto"/>
        <w:rPr>
          <w:rFonts w:ascii="Arial" w:hAnsi="Arial" w:cs="Arial"/>
        </w:rPr>
      </w:pPr>
    </w:p>
    <w:p w14:paraId="5548DFD9" w14:textId="4032BA9E" w:rsidR="00385D60" w:rsidRPr="002B41B5" w:rsidRDefault="009164B4" w:rsidP="009C1931">
      <w:pPr>
        <w:spacing w:line="360" w:lineRule="auto"/>
        <w:rPr>
          <w:rFonts w:ascii="Arial" w:hAnsi="Arial" w:cs="Arial"/>
        </w:rPr>
      </w:pPr>
      <w:r w:rsidRPr="002B41B5">
        <w:rPr>
          <w:rFonts w:ascii="Arial" w:hAnsi="Arial" w:cs="Arial"/>
        </w:rPr>
        <w:t>The data analysis will follow thematic analysis techniques, where data from interviews and documents will be coded and categorized into themes relevant to the research questions. This process will identify patterns and relationships within the data, facilitating a detailed examination of the impact of real estate development on Dubai's economic growth (Braun &amp; Clarke, 2006).</w:t>
      </w:r>
    </w:p>
    <w:p w14:paraId="0353C075" w14:textId="77777777" w:rsidR="00453FF9" w:rsidRPr="002B41B5" w:rsidRDefault="00453FF9" w:rsidP="009C1931">
      <w:pPr>
        <w:spacing w:line="360" w:lineRule="auto"/>
        <w:rPr>
          <w:rFonts w:ascii="Arial" w:hAnsi="Arial" w:cs="Arial"/>
        </w:rPr>
      </w:pPr>
    </w:p>
    <w:p w14:paraId="7B51E800" w14:textId="77777777" w:rsidR="00C42367" w:rsidRPr="002B41B5" w:rsidRDefault="00C42367" w:rsidP="009C1931">
      <w:pPr>
        <w:spacing w:line="360" w:lineRule="auto"/>
        <w:jc w:val="left"/>
        <w:rPr>
          <w:rFonts w:ascii="Arial" w:eastAsiaTheme="majorEastAsia" w:hAnsi="Arial" w:cs="Arial"/>
          <w:b/>
          <w:color w:val="000000" w:themeColor="text1"/>
        </w:rPr>
      </w:pPr>
      <w:r w:rsidRPr="002B41B5">
        <w:rPr>
          <w:rFonts w:ascii="Arial" w:hAnsi="Arial" w:cs="Arial"/>
        </w:rPr>
        <w:br w:type="page"/>
      </w:r>
    </w:p>
    <w:p w14:paraId="23D93033" w14:textId="2603D011" w:rsidR="00453FF9" w:rsidRPr="002B41B5" w:rsidRDefault="008016FE" w:rsidP="009C1931">
      <w:pPr>
        <w:pStyle w:val="Heading1"/>
      </w:pPr>
      <w:bookmarkStart w:id="8" w:name="_Toc166263514"/>
      <w:r w:rsidRPr="002B41B5">
        <w:lastRenderedPageBreak/>
        <w:t>CHAPTER 2: LITERATURE REVIEW</w:t>
      </w:r>
      <w:bookmarkEnd w:id="8"/>
    </w:p>
    <w:p w14:paraId="0ED12816" w14:textId="13672C33" w:rsidR="009C1BF7" w:rsidRPr="002B41B5" w:rsidRDefault="00C42367" w:rsidP="009C1931">
      <w:pPr>
        <w:pStyle w:val="Heading2"/>
      </w:pPr>
      <w:bookmarkStart w:id="9" w:name="_Toc166263515"/>
      <w:r w:rsidRPr="002B41B5">
        <w:t xml:space="preserve">2.1 </w:t>
      </w:r>
      <w:r w:rsidR="009C1BF7" w:rsidRPr="002B41B5">
        <w:t>Introduction</w:t>
      </w:r>
      <w:bookmarkEnd w:id="9"/>
    </w:p>
    <w:p w14:paraId="1C18937D" w14:textId="178A85B5" w:rsidR="00741BA9" w:rsidRPr="002B41B5" w:rsidRDefault="00127D07" w:rsidP="009C1931">
      <w:pPr>
        <w:spacing w:line="360" w:lineRule="auto"/>
        <w:ind w:firstLine="720"/>
        <w:rPr>
          <w:rFonts w:ascii="Arial" w:hAnsi="Arial" w:cs="Arial"/>
        </w:rPr>
      </w:pPr>
      <w:r w:rsidRPr="002B41B5">
        <w:rPr>
          <w:rFonts w:ascii="Arial" w:hAnsi="Arial" w:cs="Arial"/>
        </w:rPr>
        <w:t>The literature review chapter critically examines existing research and theoretical frameworks relevant to the impact of real estate development on economic growth, with a particular focus on Dubai. This investigation is paramount for understanding the nuanced interplay between the real estate sector and broader economic dynamics, which is essential for framing the research within the context of Dubai's unique developmental narrative. The significance of real estate in Dubai's economy cannot be overstated; it serves as a critical engine for growth, diversification, and global integration. This section navigates through various domains, including the economic implications of real estate development, the role of government policies in shaping the market, the contribution of the sector to economic diversification, and the integration of sustainability within real estate projects. The literature review aims to identify gaps in current knowledge and establish a conceptual foundation for the study. It draws upon a diverse range of sources, including empirical studies, policy analyses, and theoretical discussions, to provide a comprehensive overview of the subject matter. This approach ensures a balanced and critical examination of the literature, highlighting the complexity and multifaceted nature of the relationship between real estate development and economic growth in Dubai (Jones &amp; Li, 2015; Al-</w:t>
      </w:r>
      <w:proofErr w:type="spellStart"/>
      <w:r w:rsidRPr="002B41B5">
        <w:rPr>
          <w:rFonts w:ascii="Arial" w:hAnsi="Arial" w:cs="Arial"/>
        </w:rPr>
        <w:t>Muharrami</w:t>
      </w:r>
      <w:proofErr w:type="spellEnd"/>
      <w:r w:rsidRPr="002B41B5">
        <w:rPr>
          <w:rFonts w:ascii="Arial" w:hAnsi="Arial" w:cs="Arial"/>
        </w:rPr>
        <w:t xml:space="preserve"> &amp; Hardy, 2013).</w:t>
      </w:r>
    </w:p>
    <w:p w14:paraId="1F3D1C1D" w14:textId="77777777" w:rsidR="00741BA9" w:rsidRPr="002B41B5" w:rsidRDefault="00741BA9" w:rsidP="009C1931">
      <w:pPr>
        <w:spacing w:line="360" w:lineRule="auto"/>
        <w:jc w:val="left"/>
        <w:rPr>
          <w:rFonts w:ascii="Arial" w:hAnsi="Arial" w:cs="Arial"/>
        </w:rPr>
      </w:pPr>
    </w:p>
    <w:p w14:paraId="1EB418F6" w14:textId="77777777" w:rsidR="001848FA" w:rsidRPr="002B41B5" w:rsidRDefault="001848FA" w:rsidP="009C1931">
      <w:pPr>
        <w:spacing w:line="360" w:lineRule="auto"/>
        <w:jc w:val="left"/>
        <w:rPr>
          <w:rFonts w:ascii="Arial" w:eastAsiaTheme="majorEastAsia" w:hAnsi="Arial" w:cs="Arial"/>
          <w:b/>
          <w:i/>
        </w:rPr>
      </w:pPr>
      <w:r w:rsidRPr="002B41B5">
        <w:rPr>
          <w:rFonts w:ascii="Arial" w:hAnsi="Arial" w:cs="Arial"/>
        </w:rPr>
        <w:br w:type="page"/>
      </w:r>
    </w:p>
    <w:p w14:paraId="0DE32E5C" w14:textId="09C9D319" w:rsidR="00741BA9" w:rsidRPr="002B41B5" w:rsidRDefault="00C42367" w:rsidP="009C1931">
      <w:pPr>
        <w:pStyle w:val="Heading2"/>
      </w:pPr>
      <w:bookmarkStart w:id="10" w:name="_Toc166263516"/>
      <w:r w:rsidRPr="002B41B5">
        <w:lastRenderedPageBreak/>
        <w:t xml:space="preserve">2.2 </w:t>
      </w:r>
      <w:r w:rsidR="00741BA9" w:rsidRPr="002B41B5">
        <w:t>Conceptual Framework</w:t>
      </w:r>
      <w:bookmarkEnd w:id="10"/>
    </w:p>
    <w:p w14:paraId="5F76300C" w14:textId="6A09B8E4" w:rsidR="00741BA9" w:rsidRPr="002B41B5" w:rsidRDefault="001848FA" w:rsidP="009C1931">
      <w:pPr>
        <w:spacing w:line="360" w:lineRule="auto"/>
        <w:rPr>
          <w:rFonts w:ascii="Arial" w:hAnsi="Arial" w:cs="Arial"/>
        </w:rPr>
      </w:pPr>
      <w:r w:rsidRPr="002B41B5">
        <w:rPr>
          <w:rFonts w:ascii="Arial" w:hAnsi="Arial" w:cs="Arial"/>
          <w:noProof/>
        </w:rPr>
        <w:drawing>
          <wp:inline distT="0" distB="0" distL="0" distR="0" wp14:anchorId="1206E164" wp14:editId="2F2C438D">
            <wp:extent cx="5731510" cy="5649595"/>
            <wp:effectExtent l="0" t="0" r="2540" b="8255"/>
            <wp:docPr id="1006273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273178" name=""/>
                    <pic:cNvPicPr/>
                  </pic:nvPicPr>
                  <pic:blipFill>
                    <a:blip r:embed="rId9"/>
                    <a:stretch>
                      <a:fillRect/>
                    </a:stretch>
                  </pic:blipFill>
                  <pic:spPr>
                    <a:xfrm>
                      <a:off x="0" y="0"/>
                      <a:ext cx="5731510" cy="5649595"/>
                    </a:xfrm>
                    <a:prstGeom prst="rect">
                      <a:avLst/>
                    </a:prstGeom>
                  </pic:spPr>
                </pic:pic>
              </a:graphicData>
            </a:graphic>
          </wp:inline>
        </w:drawing>
      </w:r>
    </w:p>
    <w:p w14:paraId="541E3824" w14:textId="5298E206" w:rsidR="00741BA9" w:rsidRPr="002B41B5" w:rsidRDefault="00741BA9" w:rsidP="009C1931">
      <w:pPr>
        <w:spacing w:line="360" w:lineRule="auto"/>
        <w:rPr>
          <w:rFonts w:ascii="Arial" w:hAnsi="Arial" w:cs="Arial"/>
        </w:rPr>
      </w:pPr>
    </w:p>
    <w:p w14:paraId="265C999E" w14:textId="513E8FDE" w:rsidR="00741BA9" w:rsidRPr="002B41B5" w:rsidRDefault="00741BA9" w:rsidP="009C1931">
      <w:pPr>
        <w:spacing w:line="360" w:lineRule="auto"/>
        <w:rPr>
          <w:rFonts w:ascii="Arial" w:hAnsi="Arial" w:cs="Arial"/>
        </w:rPr>
      </w:pPr>
    </w:p>
    <w:p w14:paraId="029F2955" w14:textId="259195A5" w:rsidR="004809B2" w:rsidRPr="002B41B5" w:rsidRDefault="001848FA" w:rsidP="009C1931">
      <w:pPr>
        <w:pStyle w:val="Heading1"/>
      </w:pPr>
      <w:bookmarkStart w:id="11" w:name="_Toc166263517"/>
      <w:r w:rsidRPr="002B41B5">
        <w:t xml:space="preserve">Figure 1: </w:t>
      </w:r>
      <w:r w:rsidR="004809B2" w:rsidRPr="002B41B5">
        <w:t>Conceptual Framework</w:t>
      </w:r>
      <w:bookmarkEnd w:id="11"/>
    </w:p>
    <w:p w14:paraId="73E6F137" w14:textId="0BEA1FBF" w:rsidR="004809B2" w:rsidRPr="002B41B5" w:rsidRDefault="004809B2" w:rsidP="009C1931">
      <w:pPr>
        <w:spacing w:line="360" w:lineRule="auto"/>
        <w:jc w:val="center"/>
        <w:rPr>
          <w:rFonts w:ascii="Arial" w:hAnsi="Arial" w:cs="Arial"/>
        </w:rPr>
      </w:pPr>
      <w:r w:rsidRPr="002B41B5">
        <w:rPr>
          <w:rFonts w:ascii="Arial" w:hAnsi="Arial" w:cs="Arial"/>
        </w:rPr>
        <w:t>(</w:t>
      </w:r>
      <w:r w:rsidRPr="002B41B5">
        <w:rPr>
          <w:rFonts w:ascii="Arial" w:hAnsi="Arial" w:cs="Arial"/>
          <w:b/>
          <w:bCs/>
        </w:rPr>
        <w:t>Source</w:t>
      </w:r>
      <w:r w:rsidRPr="002B41B5">
        <w:rPr>
          <w:rFonts w:ascii="Arial" w:hAnsi="Arial" w:cs="Arial"/>
        </w:rPr>
        <w:t>: Self-Created)</w:t>
      </w:r>
    </w:p>
    <w:p w14:paraId="67178911" w14:textId="77777777" w:rsidR="004809B2" w:rsidRPr="002B41B5" w:rsidRDefault="004809B2" w:rsidP="009C1931">
      <w:pPr>
        <w:spacing w:line="360" w:lineRule="auto"/>
        <w:rPr>
          <w:rFonts w:ascii="Arial" w:hAnsi="Arial" w:cs="Arial"/>
        </w:rPr>
      </w:pPr>
    </w:p>
    <w:p w14:paraId="6EDD8146" w14:textId="7DC0C376" w:rsidR="00043D0C" w:rsidRPr="002B41B5" w:rsidRDefault="00043D0C" w:rsidP="009C1931">
      <w:pPr>
        <w:spacing w:line="360" w:lineRule="auto"/>
        <w:rPr>
          <w:rFonts w:ascii="Arial" w:hAnsi="Arial" w:cs="Arial"/>
        </w:rPr>
      </w:pPr>
      <w:r w:rsidRPr="002B41B5">
        <w:rPr>
          <w:rFonts w:ascii="Arial" w:hAnsi="Arial" w:cs="Arial"/>
        </w:rPr>
        <w:t xml:space="preserve">The conceptual framework for this dissertation on the impact of real estate development on Dubai's economic growth is built around a comprehensive analysis of the interdependencies between the real estate sector and various economic and policy dynamics. This framework is pivotal in understanding how real estate development </w:t>
      </w:r>
      <w:r w:rsidRPr="002B41B5">
        <w:rPr>
          <w:rFonts w:ascii="Arial" w:hAnsi="Arial" w:cs="Arial"/>
        </w:rPr>
        <w:lastRenderedPageBreak/>
        <w:t>acts as both a driver and an outcome of economic growth, influenced by and influencing government policies, economic diversification efforts, and sustainability goals. It is designed to guide the investigation into these complex relationships, offering a structured approach to explore the nuanced ways in which the real estate sector contributes to and is shaped by Dubai's economic landscape.</w:t>
      </w:r>
    </w:p>
    <w:p w14:paraId="70FCA7A3" w14:textId="77777777" w:rsidR="00043D0C" w:rsidRPr="009C1931" w:rsidRDefault="00043D0C" w:rsidP="009C1931">
      <w:pPr>
        <w:spacing w:line="360" w:lineRule="auto"/>
        <w:rPr>
          <w:rFonts w:ascii="Arial" w:hAnsi="Arial" w:cs="Arial"/>
          <w:sz w:val="28"/>
          <w:szCs w:val="28"/>
        </w:rPr>
      </w:pPr>
    </w:p>
    <w:p w14:paraId="44120E0D" w14:textId="4B45B300" w:rsidR="00584E92" w:rsidRPr="002B41B5" w:rsidRDefault="005D1DF2" w:rsidP="009C1931">
      <w:pPr>
        <w:spacing w:line="360" w:lineRule="auto"/>
        <w:rPr>
          <w:rFonts w:ascii="Arial" w:hAnsi="Arial" w:cs="Arial"/>
        </w:rPr>
      </w:pPr>
      <w:r w:rsidRPr="009C1931">
        <w:rPr>
          <w:rFonts w:ascii="Arial" w:hAnsi="Arial" w:cs="Arial"/>
          <w:b/>
          <w:bCs/>
          <w:sz w:val="28"/>
          <w:szCs w:val="28"/>
        </w:rPr>
        <w:t>Real estate development and economic growth</w:t>
      </w:r>
      <w:r w:rsidRPr="009C1931">
        <w:rPr>
          <w:rFonts w:ascii="Arial" w:hAnsi="Arial" w:cs="Arial"/>
          <w:sz w:val="28"/>
          <w:szCs w:val="28"/>
        </w:rPr>
        <w:t>:</w:t>
      </w:r>
      <w:r w:rsidRPr="002B41B5">
        <w:rPr>
          <w:rFonts w:ascii="Arial" w:hAnsi="Arial" w:cs="Arial"/>
        </w:rPr>
        <w:t xml:space="preserve"> </w:t>
      </w:r>
      <w:r w:rsidR="00584E92" w:rsidRPr="002B41B5">
        <w:rPr>
          <w:rFonts w:ascii="Arial" w:hAnsi="Arial" w:cs="Arial"/>
        </w:rPr>
        <w:t>At the heart of this framework is the relationship between real estate development and economic growth. The literature suggests a bidirectional relationship, where economic prosperity fuels real estate development, which in turn contributes to further economic growth (Leung, 2004). This dynamic is critical in Dubai's context, where the real estate sector has been a cornerstone of the economy, driving and being driven by rapid economic expansion (Jones &amp; Li, 2015).</w:t>
      </w:r>
    </w:p>
    <w:p w14:paraId="03B1F213" w14:textId="77777777" w:rsidR="00584E92" w:rsidRPr="009C1931" w:rsidRDefault="00584E92" w:rsidP="009C1931">
      <w:pPr>
        <w:spacing w:line="360" w:lineRule="auto"/>
        <w:rPr>
          <w:rFonts w:ascii="Arial" w:hAnsi="Arial" w:cs="Arial"/>
          <w:sz w:val="28"/>
          <w:szCs w:val="28"/>
        </w:rPr>
      </w:pPr>
    </w:p>
    <w:p w14:paraId="5CA08536" w14:textId="54941CF3" w:rsidR="00584E92" w:rsidRPr="002B41B5" w:rsidRDefault="005D1DF2" w:rsidP="009C1931">
      <w:pPr>
        <w:spacing w:line="360" w:lineRule="auto"/>
        <w:rPr>
          <w:rFonts w:ascii="Arial" w:hAnsi="Arial" w:cs="Arial"/>
        </w:rPr>
      </w:pPr>
      <w:r w:rsidRPr="009C1931">
        <w:rPr>
          <w:rFonts w:ascii="Arial" w:hAnsi="Arial" w:cs="Arial"/>
          <w:b/>
          <w:bCs/>
          <w:sz w:val="28"/>
          <w:szCs w:val="28"/>
        </w:rPr>
        <w:t>Government policy and regulation</w:t>
      </w:r>
      <w:r w:rsidRPr="009C1931">
        <w:rPr>
          <w:rFonts w:ascii="Arial" w:hAnsi="Arial" w:cs="Arial"/>
          <w:sz w:val="28"/>
          <w:szCs w:val="28"/>
        </w:rPr>
        <w:t>:</w:t>
      </w:r>
      <w:r w:rsidRPr="002B41B5">
        <w:rPr>
          <w:rFonts w:ascii="Arial" w:hAnsi="Arial" w:cs="Arial"/>
        </w:rPr>
        <w:t xml:space="preserve"> </w:t>
      </w:r>
      <w:r w:rsidR="00584E92" w:rsidRPr="002B41B5">
        <w:rPr>
          <w:rFonts w:ascii="Arial" w:hAnsi="Arial" w:cs="Arial"/>
        </w:rPr>
        <w:t xml:space="preserve">Government policy and regulation form another crucial component of the framework. The role of government interventions, through regulatory frameworks and policies, is instrumental in shaping the real estate market. These policies not only aim to stimulate growth but also to ensure market stability and equitable development (Adams &amp; </w:t>
      </w:r>
      <w:proofErr w:type="spellStart"/>
      <w:r w:rsidR="00584E92" w:rsidRPr="002B41B5">
        <w:rPr>
          <w:rFonts w:ascii="Arial" w:hAnsi="Arial" w:cs="Arial"/>
        </w:rPr>
        <w:t>Füss</w:t>
      </w:r>
      <w:proofErr w:type="spellEnd"/>
      <w:r w:rsidR="00584E92" w:rsidRPr="002B41B5">
        <w:rPr>
          <w:rFonts w:ascii="Arial" w:hAnsi="Arial" w:cs="Arial"/>
        </w:rPr>
        <w:t>, 2010). In Dubai, government strategies have been pivotal in navigating the real estate market through global economic downturns and in steering the sector towards sustainable growth paths.</w:t>
      </w:r>
    </w:p>
    <w:p w14:paraId="15235F4E" w14:textId="77777777" w:rsidR="00584E92" w:rsidRPr="002B41B5" w:rsidRDefault="00584E92" w:rsidP="009C1931">
      <w:pPr>
        <w:spacing w:line="360" w:lineRule="auto"/>
        <w:rPr>
          <w:rFonts w:ascii="Arial" w:hAnsi="Arial" w:cs="Arial"/>
        </w:rPr>
      </w:pPr>
    </w:p>
    <w:p w14:paraId="090C0264" w14:textId="61E373E9" w:rsidR="00584E92" w:rsidRPr="002B41B5" w:rsidRDefault="00443885" w:rsidP="009C1931">
      <w:pPr>
        <w:spacing w:line="360" w:lineRule="auto"/>
        <w:rPr>
          <w:rFonts w:ascii="Arial" w:hAnsi="Arial" w:cs="Arial"/>
        </w:rPr>
      </w:pPr>
      <w:r w:rsidRPr="009C1931">
        <w:rPr>
          <w:rFonts w:ascii="Arial" w:hAnsi="Arial" w:cs="Arial"/>
          <w:b/>
          <w:bCs/>
          <w:sz w:val="28"/>
          <w:szCs w:val="28"/>
        </w:rPr>
        <w:t>Economic diversification</w:t>
      </w:r>
      <w:r w:rsidRPr="009C1931">
        <w:rPr>
          <w:rFonts w:ascii="Arial" w:hAnsi="Arial" w:cs="Arial"/>
          <w:sz w:val="28"/>
          <w:szCs w:val="28"/>
        </w:rPr>
        <w:t>:</w:t>
      </w:r>
      <w:r w:rsidRPr="002B41B5">
        <w:rPr>
          <w:rFonts w:ascii="Arial" w:hAnsi="Arial" w:cs="Arial"/>
        </w:rPr>
        <w:t xml:space="preserve"> </w:t>
      </w:r>
      <w:r w:rsidR="00584E92" w:rsidRPr="002B41B5">
        <w:rPr>
          <w:rFonts w:ascii="Arial" w:hAnsi="Arial" w:cs="Arial"/>
        </w:rPr>
        <w:t>The economic diversification efforts of Dubai, aimed at reducing reliance on oil revenues, underscore the strategic importance of the real estate sector. The diversification into tourism, trade, and finance has been significantly supported by real estate development, making it a key pillar of Dubai's economic strategy (</w:t>
      </w:r>
      <w:proofErr w:type="spellStart"/>
      <w:r w:rsidR="00584E92" w:rsidRPr="002B41B5">
        <w:rPr>
          <w:rFonts w:ascii="Arial" w:hAnsi="Arial" w:cs="Arial"/>
        </w:rPr>
        <w:t>Farooki</w:t>
      </w:r>
      <w:proofErr w:type="spellEnd"/>
      <w:r w:rsidR="00584E92" w:rsidRPr="002B41B5">
        <w:rPr>
          <w:rFonts w:ascii="Arial" w:hAnsi="Arial" w:cs="Arial"/>
        </w:rPr>
        <w:t xml:space="preserve"> &amp; </w:t>
      </w:r>
      <w:proofErr w:type="spellStart"/>
      <w:r w:rsidR="00584E92" w:rsidRPr="002B41B5">
        <w:rPr>
          <w:rFonts w:ascii="Arial" w:hAnsi="Arial" w:cs="Arial"/>
        </w:rPr>
        <w:t>Mohieldin</w:t>
      </w:r>
      <w:proofErr w:type="spellEnd"/>
      <w:r w:rsidR="00584E92" w:rsidRPr="002B41B5">
        <w:rPr>
          <w:rFonts w:ascii="Arial" w:hAnsi="Arial" w:cs="Arial"/>
        </w:rPr>
        <w:t>, 2019). This element of the framework examines how the real estate sector supports and is impacted by diversification initiatives, reflecting on the sustainability of such economic strategies.</w:t>
      </w:r>
    </w:p>
    <w:p w14:paraId="2CC45BA5" w14:textId="77777777" w:rsidR="00584E92" w:rsidRPr="002B41B5" w:rsidRDefault="00584E92" w:rsidP="009C1931">
      <w:pPr>
        <w:spacing w:line="360" w:lineRule="auto"/>
        <w:rPr>
          <w:rFonts w:ascii="Arial" w:hAnsi="Arial" w:cs="Arial"/>
        </w:rPr>
      </w:pPr>
    </w:p>
    <w:p w14:paraId="03FC8DF4" w14:textId="7B6FB36E" w:rsidR="00584E92" w:rsidRPr="002B41B5" w:rsidRDefault="00A33CC6" w:rsidP="009C1931">
      <w:pPr>
        <w:spacing w:line="360" w:lineRule="auto"/>
        <w:rPr>
          <w:rFonts w:ascii="Arial" w:hAnsi="Arial" w:cs="Arial"/>
        </w:rPr>
      </w:pPr>
      <w:r w:rsidRPr="009C1931">
        <w:rPr>
          <w:rFonts w:ascii="Arial" w:hAnsi="Arial" w:cs="Arial"/>
          <w:b/>
          <w:bCs/>
          <w:sz w:val="28"/>
          <w:szCs w:val="28"/>
        </w:rPr>
        <w:t>Sustainability and environmental goals</w:t>
      </w:r>
      <w:r w:rsidRPr="009C1931">
        <w:rPr>
          <w:rFonts w:ascii="Arial" w:hAnsi="Arial" w:cs="Arial"/>
          <w:sz w:val="28"/>
          <w:szCs w:val="28"/>
        </w:rPr>
        <w:t>:</w:t>
      </w:r>
      <w:r w:rsidRPr="002B41B5">
        <w:rPr>
          <w:rFonts w:ascii="Arial" w:hAnsi="Arial" w:cs="Arial"/>
        </w:rPr>
        <w:t xml:space="preserve"> </w:t>
      </w:r>
      <w:r w:rsidR="00584E92" w:rsidRPr="002B41B5">
        <w:rPr>
          <w:rFonts w:ascii="Arial" w:hAnsi="Arial" w:cs="Arial"/>
        </w:rPr>
        <w:t xml:space="preserve">Sustainability and environmental goals are increasingly becoming integral to real estate development, with a growing </w:t>
      </w:r>
      <w:r w:rsidR="00584E92" w:rsidRPr="002B41B5">
        <w:rPr>
          <w:rFonts w:ascii="Arial" w:hAnsi="Arial" w:cs="Arial"/>
        </w:rPr>
        <w:lastRenderedPageBreak/>
        <w:t>emphasis on green building practices and sustainable urban planning. The sustainability of real estate projects is crucial for long-term economic and environmental health. This component of the framework assesses the alignment of real estate projects with Dubai's sustainability objectives, exploring the challenges and opportunities presented by sustainable development within the sector (World Economic Forum, 2016).</w:t>
      </w:r>
    </w:p>
    <w:p w14:paraId="0ADE8849" w14:textId="77777777" w:rsidR="00584E92" w:rsidRPr="002B41B5" w:rsidRDefault="00584E92" w:rsidP="009C1931">
      <w:pPr>
        <w:spacing w:line="360" w:lineRule="auto"/>
        <w:rPr>
          <w:rFonts w:ascii="Arial" w:hAnsi="Arial" w:cs="Arial"/>
        </w:rPr>
      </w:pPr>
    </w:p>
    <w:p w14:paraId="5CEC6E46" w14:textId="17BB8CC6" w:rsidR="00043D0C" w:rsidRPr="002B41B5" w:rsidRDefault="00662080" w:rsidP="009C1931">
      <w:pPr>
        <w:spacing w:line="360" w:lineRule="auto"/>
        <w:rPr>
          <w:rFonts w:ascii="Arial" w:hAnsi="Arial" w:cs="Arial"/>
        </w:rPr>
      </w:pPr>
      <w:r w:rsidRPr="009C1931">
        <w:rPr>
          <w:rFonts w:ascii="Arial" w:hAnsi="Arial" w:cs="Arial"/>
          <w:b/>
          <w:bCs/>
          <w:sz w:val="28"/>
          <w:szCs w:val="28"/>
        </w:rPr>
        <w:t>Socio-economic factors</w:t>
      </w:r>
      <w:r w:rsidRPr="009C1931">
        <w:rPr>
          <w:rFonts w:ascii="Arial" w:hAnsi="Arial" w:cs="Arial"/>
          <w:sz w:val="28"/>
          <w:szCs w:val="28"/>
        </w:rPr>
        <w:t>:</w:t>
      </w:r>
      <w:r w:rsidRPr="002B41B5">
        <w:rPr>
          <w:rFonts w:ascii="Arial" w:hAnsi="Arial" w:cs="Arial"/>
        </w:rPr>
        <w:t xml:space="preserve"> </w:t>
      </w:r>
      <w:r w:rsidR="00584E92" w:rsidRPr="002B41B5">
        <w:rPr>
          <w:rFonts w:ascii="Arial" w:hAnsi="Arial" w:cs="Arial"/>
        </w:rPr>
        <w:t>Lastly, the framework considers the socio-economic factors influencing and influenced by real estate development, including demographic changes, urbanization trends, and the socio-economic impacts of real estate booms and busts. These factors are critical in understanding the broader implications of real estate development on society and the economy (Cohen, 2010).</w:t>
      </w:r>
    </w:p>
    <w:p w14:paraId="46A438C6" w14:textId="1EF16287" w:rsidR="00A26B2A" w:rsidRPr="002B41B5" w:rsidRDefault="00C42367" w:rsidP="009C1931">
      <w:pPr>
        <w:pStyle w:val="Heading2"/>
      </w:pPr>
      <w:bookmarkStart w:id="12" w:name="_Toc166263518"/>
      <w:r w:rsidRPr="002B41B5">
        <w:t xml:space="preserve">2.3 </w:t>
      </w:r>
      <w:r w:rsidR="00A26B2A" w:rsidRPr="002B41B5">
        <w:t>Critical Review of Research Areas/Topic</w:t>
      </w:r>
      <w:r w:rsidR="00362D55" w:rsidRPr="002B41B5">
        <w:t>s</w:t>
      </w:r>
      <w:bookmarkEnd w:id="12"/>
    </w:p>
    <w:p w14:paraId="2522D41B" w14:textId="77777777" w:rsidR="00A26B2A" w:rsidRPr="002B41B5" w:rsidRDefault="00A26B2A" w:rsidP="009C1931">
      <w:pPr>
        <w:spacing w:line="360" w:lineRule="auto"/>
        <w:ind w:firstLine="720"/>
        <w:rPr>
          <w:rFonts w:ascii="Arial" w:hAnsi="Arial" w:cs="Arial"/>
        </w:rPr>
      </w:pPr>
      <w:r w:rsidRPr="002B41B5">
        <w:rPr>
          <w:rFonts w:ascii="Arial" w:hAnsi="Arial" w:cs="Arial"/>
        </w:rPr>
        <w:t>The dissertation aims to dissect the multifaceted relationship between Dubai's real estate market and its broader economic framework. This critical review evaluates the existing literature across four key research areas, identifying gaps and opportunities for further research.</w:t>
      </w:r>
    </w:p>
    <w:p w14:paraId="442FD0EC" w14:textId="77777777" w:rsidR="00A26B2A" w:rsidRPr="002B41B5" w:rsidRDefault="00A26B2A" w:rsidP="009C1931">
      <w:pPr>
        <w:spacing w:line="360" w:lineRule="auto"/>
        <w:rPr>
          <w:rFonts w:ascii="Arial" w:hAnsi="Arial" w:cs="Arial"/>
        </w:rPr>
      </w:pPr>
    </w:p>
    <w:p w14:paraId="796EC1A7" w14:textId="77777777" w:rsidR="00A26B2A" w:rsidRPr="009C1931" w:rsidRDefault="00A26B2A" w:rsidP="009C1931">
      <w:pPr>
        <w:spacing w:line="360" w:lineRule="auto"/>
        <w:rPr>
          <w:rFonts w:ascii="Arial" w:hAnsi="Arial" w:cs="Arial"/>
          <w:b/>
          <w:bCs/>
          <w:sz w:val="28"/>
          <w:szCs w:val="28"/>
        </w:rPr>
      </w:pPr>
      <w:r w:rsidRPr="009C1931">
        <w:rPr>
          <w:rFonts w:ascii="Arial" w:hAnsi="Arial" w:cs="Arial"/>
          <w:b/>
          <w:bCs/>
          <w:sz w:val="28"/>
          <w:szCs w:val="28"/>
        </w:rPr>
        <w:t>Investigating the Dynamics between Dubai's Real Estate Market and Macroeconomic Growth Indicators</w:t>
      </w:r>
    </w:p>
    <w:p w14:paraId="29080E4B" w14:textId="77777777" w:rsidR="00A26B2A" w:rsidRPr="002B41B5" w:rsidRDefault="00A26B2A" w:rsidP="009C1931">
      <w:pPr>
        <w:spacing w:line="360" w:lineRule="auto"/>
        <w:ind w:firstLine="720"/>
        <w:rPr>
          <w:rFonts w:ascii="Arial" w:hAnsi="Arial" w:cs="Arial"/>
        </w:rPr>
      </w:pPr>
      <w:r w:rsidRPr="002B41B5">
        <w:rPr>
          <w:rFonts w:ascii="Arial" w:hAnsi="Arial" w:cs="Arial"/>
        </w:rPr>
        <w:t xml:space="preserve">The intricate relationship between real estate activities and macroeconomic indicators, such as GDP, inflation, and employment rates, has been a subject of extensive research. Studies by Leung (2004) and Adams &amp; </w:t>
      </w:r>
      <w:proofErr w:type="spellStart"/>
      <w:r w:rsidRPr="002B41B5">
        <w:rPr>
          <w:rFonts w:ascii="Arial" w:hAnsi="Arial" w:cs="Arial"/>
        </w:rPr>
        <w:t>Füss</w:t>
      </w:r>
      <w:proofErr w:type="spellEnd"/>
      <w:r w:rsidRPr="002B41B5">
        <w:rPr>
          <w:rFonts w:ascii="Arial" w:hAnsi="Arial" w:cs="Arial"/>
        </w:rPr>
        <w:t xml:space="preserve"> (2010) underscore the significant impact of real estate development on economic growth, highlighting the sector's role as a major economic driver. However, the volatility and cyclicality of the real estate market, particularly in emerging economies like Dubai, necessitate a deeper investigation into how these dynamics affect long-term economic stability (Case &amp; Shiller, 2003). A critical gap exists in understanding the resilience of Dubai's economy to real estate market fluctuations, especially in the context of global economic downturns.</w:t>
      </w:r>
    </w:p>
    <w:p w14:paraId="35191901" w14:textId="77777777" w:rsidR="00A26B2A" w:rsidRPr="002B41B5" w:rsidRDefault="00A26B2A" w:rsidP="009C1931">
      <w:pPr>
        <w:spacing w:line="360" w:lineRule="auto"/>
        <w:rPr>
          <w:rFonts w:ascii="Arial" w:hAnsi="Arial" w:cs="Arial"/>
        </w:rPr>
      </w:pPr>
    </w:p>
    <w:p w14:paraId="1EE11953" w14:textId="77777777" w:rsidR="00A26B2A" w:rsidRPr="009C1931" w:rsidRDefault="00A26B2A" w:rsidP="009C1931">
      <w:pPr>
        <w:spacing w:line="360" w:lineRule="auto"/>
        <w:rPr>
          <w:rFonts w:ascii="Arial" w:hAnsi="Arial" w:cs="Arial"/>
          <w:b/>
          <w:bCs/>
          <w:sz w:val="28"/>
          <w:szCs w:val="28"/>
        </w:rPr>
      </w:pPr>
      <w:r w:rsidRPr="009C1931">
        <w:rPr>
          <w:rFonts w:ascii="Arial" w:hAnsi="Arial" w:cs="Arial"/>
          <w:b/>
          <w:bCs/>
          <w:sz w:val="28"/>
          <w:szCs w:val="28"/>
        </w:rPr>
        <w:lastRenderedPageBreak/>
        <w:t>Evaluating the Effects of Governmental Policies on the Growth and Regulation of Dubai's Real Estate Sector</w:t>
      </w:r>
    </w:p>
    <w:p w14:paraId="3C955673" w14:textId="77777777" w:rsidR="00A26B2A" w:rsidRPr="002B41B5" w:rsidRDefault="00A26B2A" w:rsidP="009C1931">
      <w:pPr>
        <w:spacing w:line="360" w:lineRule="auto"/>
        <w:ind w:firstLine="720"/>
        <w:rPr>
          <w:rFonts w:ascii="Arial" w:hAnsi="Arial" w:cs="Arial"/>
        </w:rPr>
      </w:pPr>
      <w:r w:rsidRPr="002B41B5">
        <w:rPr>
          <w:rFonts w:ascii="Arial" w:hAnsi="Arial" w:cs="Arial"/>
        </w:rPr>
        <w:t>Government policies are pivotal in shaping the real estate landscape, influencing market stability, investor confidence, and sectoral growth. The literature reveals a consensus on the importance of regulatory frameworks and fiscal policies in managing real estate market dynamics (Jensen, 2010). In Dubai, the government's proactive stance on market regulation and investment incentives has been crucial in navigating past economic challenges (World Economic Forum, 2016). However, there is a need for critical analysis of these policies' long-term effectiveness and their adaptability to changing economic conditions.</w:t>
      </w:r>
    </w:p>
    <w:p w14:paraId="482256B0" w14:textId="77777777" w:rsidR="00A26B2A" w:rsidRPr="002B41B5" w:rsidRDefault="00A26B2A" w:rsidP="009C1931">
      <w:pPr>
        <w:spacing w:line="360" w:lineRule="auto"/>
        <w:rPr>
          <w:rFonts w:ascii="Arial" w:hAnsi="Arial" w:cs="Arial"/>
        </w:rPr>
      </w:pPr>
    </w:p>
    <w:p w14:paraId="686480C4" w14:textId="77777777" w:rsidR="00A26B2A" w:rsidRPr="009C1931" w:rsidRDefault="00A26B2A" w:rsidP="009C1931">
      <w:pPr>
        <w:spacing w:line="360" w:lineRule="auto"/>
        <w:rPr>
          <w:rFonts w:ascii="Arial" w:hAnsi="Arial" w:cs="Arial"/>
          <w:b/>
          <w:bCs/>
          <w:sz w:val="28"/>
          <w:szCs w:val="28"/>
        </w:rPr>
      </w:pPr>
      <w:r w:rsidRPr="009C1931">
        <w:rPr>
          <w:rFonts w:ascii="Arial" w:hAnsi="Arial" w:cs="Arial"/>
          <w:b/>
          <w:bCs/>
          <w:sz w:val="28"/>
          <w:szCs w:val="28"/>
        </w:rPr>
        <w:t>Assessing the Contribution of the Real Estate Sector to Dubai's Economic Diversification and Sustainability Goals</w:t>
      </w:r>
    </w:p>
    <w:p w14:paraId="72ACCF71" w14:textId="77777777" w:rsidR="00A26B2A" w:rsidRPr="002B41B5" w:rsidRDefault="00A26B2A" w:rsidP="009C1931">
      <w:pPr>
        <w:spacing w:line="360" w:lineRule="auto"/>
        <w:ind w:firstLine="720"/>
        <w:rPr>
          <w:rFonts w:ascii="Arial" w:hAnsi="Arial" w:cs="Arial"/>
        </w:rPr>
      </w:pPr>
      <w:r w:rsidRPr="002B41B5">
        <w:rPr>
          <w:rFonts w:ascii="Arial" w:hAnsi="Arial" w:cs="Arial"/>
        </w:rPr>
        <w:t xml:space="preserve">Dubai's economic diversification strategy positions the real estate sector as a cornerstone for reducing oil dependency. Research by </w:t>
      </w:r>
      <w:proofErr w:type="spellStart"/>
      <w:r w:rsidRPr="002B41B5">
        <w:rPr>
          <w:rFonts w:ascii="Arial" w:hAnsi="Arial" w:cs="Arial"/>
        </w:rPr>
        <w:t>Farooki</w:t>
      </w:r>
      <w:proofErr w:type="spellEnd"/>
      <w:r w:rsidRPr="002B41B5">
        <w:rPr>
          <w:rFonts w:ascii="Arial" w:hAnsi="Arial" w:cs="Arial"/>
        </w:rPr>
        <w:t xml:space="preserve"> &amp; </w:t>
      </w:r>
      <w:proofErr w:type="spellStart"/>
      <w:r w:rsidRPr="002B41B5">
        <w:rPr>
          <w:rFonts w:ascii="Arial" w:hAnsi="Arial" w:cs="Arial"/>
        </w:rPr>
        <w:t>Mohieldin</w:t>
      </w:r>
      <w:proofErr w:type="spellEnd"/>
      <w:r w:rsidRPr="002B41B5">
        <w:rPr>
          <w:rFonts w:ascii="Arial" w:hAnsi="Arial" w:cs="Arial"/>
        </w:rPr>
        <w:t xml:space="preserve"> (2019) highlights the sector's contribution to diversifying the economic base, yet critiques argue that over-reliance on real estate development may pose risks to sustainable economic growth (Cohen, 2010). The sustainability of real estate projects and their alignment with environmental goals remain underexplored, presenting a gap in the literature on how real estate contributes to Dubai's long-term sustainability objectives.</w:t>
      </w:r>
    </w:p>
    <w:p w14:paraId="6A9F25FF" w14:textId="77777777" w:rsidR="00A26B2A" w:rsidRPr="002B41B5" w:rsidRDefault="00A26B2A" w:rsidP="009C1931">
      <w:pPr>
        <w:spacing w:line="360" w:lineRule="auto"/>
        <w:rPr>
          <w:rFonts w:ascii="Arial" w:hAnsi="Arial" w:cs="Arial"/>
        </w:rPr>
      </w:pPr>
    </w:p>
    <w:p w14:paraId="7681A2E4" w14:textId="77777777" w:rsidR="00A26B2A" w:rsidRPr="009C1931" w:rsidRDefault="00A26B2A" w:rsidP="009C1931">
      <w:pPr>
        <w:spacing w:line="360" w:lineRule="auto"/>
        <w:rPr>
          <w:rFonts w:ascii="Arial" w:hAnsi="Arial" w:cs="Arial"/>
          <w:b/>
          <w:bCs/>
          <w:sz w:val="28"/>
          <w:szCs w:val="28"/>
        </w:rPr>
      </w:pPr>
      <w:r w:rsidRPr="009C1931">
        <w:rPr>
          <w:rFonts w:ascii="Arial" w:hAnsi="Arial" w:cs="Arial"/>
          <w:b/>
          <w:bCs/>
          <w:sz w:val="28"/>
          <w:szCs w:val="28"/>
        </w:rPr>
        <w:t>Providing Insights into the Future Outlook of the Real Estate Market in Dubai</w:t>
      </w:r>
    </w:p>
    <w:p w14:paraId="11DE781E" w14:textId="6652FD50" w:rsidR="00662080" w:rsidRPr="002B41B5" w:rsidRDefault="00A26B2A" w:rsidP="009C1931">
      <w:pPr>
        <w:spacing w:line="360" w:lineRule="auto"/>
        <w:ind w:firstLine="720"/>
        <w:rPr>
          <w:rFonts w:ascii="Arial" w:hAnsi="Arial" w:cs="Arial"/>
        </w:rPr>
      </w:pPr>
      <w:r w:rsidRPr="002B41B5">
        <w:rPr>
          <w:rFonts w:ascii="Arial" w:hAnsi="Arial" w:cs="Arial"/>
        </w:rPr>
        <w:t xml:space="preserve">Predicting the future trajectory of Dubai's real estate market involves </w:t>
      </w:r>
      <w:proofErr w:type="spellStart"/>
      <w:r w:rsidRPr="002B41B5">
        <w:rPr>
          <w:rFonts w:ascii="Arial" w:hAnsi="Arial" w:cs="Arial"/>
        </w:rPr>
        <w:t>analyzing</w:t>
      </w:r>
      <w:proofErr w:type="spellEnd"/>
      <w:r w:rsidRPr="002B41B5">
        <w:rPr>
          <w:rFonts w:ascii="Arial" w:hAnsi="Arial" w:cs="Arial"/>
        </w:rPr>
        <w:t xml:space="preserve"> current trends, market sentiment, and global economic indicators. While studies have explored the immediate effects of policy changes and economic shifts on the market (Jensen, 2010), there is a scarcity of forward-looking research that considers emerging challenges such as climate change, geopolitical tensions, and technological advancements. Understanding these factors is crucial for assessing the market's resilience and identifying sustainable growth opportunities.</w:t>
      </w:r>
    </w:p>
    <w:p w14:paraId="334508C9" w14:textId="77777777" w:rsidR="001F729E" w:rsidRPr="002B41B5" w:rsidRDefault="001F729E" w:rsidP="009C1931">
      <w:pPr>
        <w:spacing w:line="360" w:lineRule="auto"/>
        <w:rPr>
          <w:rFonts w:ascii="Arial" w:hAnsi="Arial" w:cs="Arial"/>
        </w:rPr>
      </w:pPr>
    </w:p>
    <w:p w14:paraId="027BA0FC" w14:textId="77777777" w:rsidR="00C65AE3" w:rsidRPr="002B41B5" w:rsidRDefault="00C65AE3" w:rsidP="009C1931">
      <w:pPr>
        <w:spacing w:line="360" w:lineRule="auto"/>
        <w:jc w:val="left"/>
        <w:rPr>
          <w:rFonts w:ascii="Arial" w:eastAsiaTheme="majorEastAsia" w:hAnsi="Arial" w:cs="Arial"/>
          <w:b/>
          <w:i/>
        </w:rPr>
      </w:pPr>
      <w:bookmarkStart w:id="13" w:name="_Toc166263519"/>
      <w:r w:rsidRPr="002B41B5">
        <w:rPr>
          <w:rFonts w:ascii="Arial" w:hAnsi="Arial" w:cs="Arial"/>
        </w:rPr>
        <w:br w:type="page"/>
      </w:r>
    </w:p>
    <w:p w14:paraId="08062882" w14:textId="517B4E67" w:rsidR="001F729E" w:rsidRPr="002B41B5" w:rsidRDefault="00C42367" w:rsidP="009C1931">
      <w:pPr>
        <w:pStyle w:val="Heading2"/>
      </w:pPr>
      <w:r w:rsidRPr="002B41B5">
        <w:lastRenderedPageBreak/>
        <w:t xml:space="preserve">2.4 </w:t>
      </w:r>
      <w:r w:rsidR="001F729E" w:rsidRPr="002B41B5">
        <w:t>Theoretical Framework</w:t>
      </w:r>
      <w:bookmarkEnd w:id="13"/>
    </w:p>
    <w:p w14:paraId="1A8B4838" w14:textId="77777777" w:rsidR="001F729E" w:rsidRPr="009C1931" w:rsidRDefault="001F729E" w:rsidP="009C1931">
      <w:pPr>
        <w:spacing w:line="360" w:lineRule="auto"/>
        <w:rPr>
          <w:rFonts w:ascii="Arial" w:hAnsi="Arial" w:cs="Arial"/>
          <w:b/>
          <w:bCs/>
          <w:sz w:val="28"/>
          <w:szCs w:val="28"/>
          <w:u w:val="single"/>
        </w:rPr>
      </w:pPr>
      <w:r w:rsidRPr="009C1931">
        <w:rPr>
          <w:rFonts w:ascii="Arial" w:hAnsi="Arial" w:cs="Arial"/>
          <w:b/>
          <w:bCs/>
          <w:sz w:val="28"/>
          <w:szCs w:val="28"/>
          <w:u w:val="single"/>
        </w:rPr>
        <w:t>Urban Economic Theory</w:t>
      </w:r>
    </w:p>
    <w:p w14:paraId="1209D52F" w14:textId="77777777" w:rsidR="00C65AE3" w:rsidRPr="002B41B5" w:rsidRDefault="00C65AE3" w:rsidP="009C1931">
      <w:pPr>
        <w:spacing w:line="360" w:lineRule="auto"/>
        <w:rPr>
          <w:rFonts w:ascii="Arial" w:hAnsi="Arial" w:cs="Arial"/>
        </w:rPr>
      </w:pPr>
    </w:p>
    <w:p w14:paraId="469040C4" w14:textId="5BDB95AC" w:rsidR="00A84BC9" w:rsidRPr="002B41B5" w:rsidRDefault="001F729E" w:rsidP="009C1931">
      <w:pPr>
        <w:spacing w:line="360" w:lineRule="auto"/>
        <w:rPr>
          <w:rFonts w:ascii="Arial" w:eastAsia="Times New Roman" w:hAnsi="Arial" w:cs="Arial"/>
          <w:kern w:val="0"/>
          <w:lang w:eastAsia="en-IN"/>
          <w14:ligatures w14:val="none"/>
        </w:rPr>
      </w:pPr>
      <w:r w:rsidRPr="002B41B5">
        <w:rPr>
          <w:rFonts w:ascii="Arial" w:hAnsi="Arial" w:cs="Arial"/>
        </w:rPr>
        <w:t xml:space="preserve">Urban economic theory provides insights into how cities grow and develop economically. It examines the relationship between urban land use, real estate development, and economic activity. This theory suggests that real estate development can significantly influence a city's economic dynamics, including </w:t>
      </w:r>
      <w:r w:rsidR="00A84BC9" w:rsidRPr="002B41B5">
        <w:rPr>
          <w:rFonts w:ascii="Arial" w:hAnsi="Arial" w:cs="Arial"/>
        </w:rPr>
        <w:t>labour</w:t>
      </w:r>
      <w:r w:rsidRPr="002B41B5">
        <w:rPr>
          <w:rFonts w:ascii="Arial" w:hAnsi="Arial" w:cs="Arial"/>
        </w:rPr>
        <w:t xml:space="preserve"> markets, residential patterns, and business locations (McDonald &amp; McMillen, 2011). Applying urban economic theory, this research will explore how Dubai's unique urban development and real estate expansion have contributed to its economic growth, focusing on the allocation and utilization of urban space, infrastructure development, and the global positioning of Dubai as a business and tourism hub.</w:t>
      </w:r>
      <w:r w:rsidR="00A84BC9" w:rsidRPr="002B41B5">
        <w:rPr>
          <w:rFonts w:ascii="Arial" w:hAnsi="Arial" w:cs="Arial"/>
        </w:rPr>
        <w:t xml:space="preserve"> </w:t>
      </w:r>
      <w:r w:rsidR="00A84BC9" w:rsidRPr="002B41B5">
        <w:rPr>
          <w:rFonts w:ascii="Arial" w:eastAsia="Times New Roman" w:hAnsi="Arial" w:cs="Arial"/>
          <w:kern w:val="0"/>
          <w:lang w:eastAsia="en-IN"/>
          <w14:ligatures w14:val="none"/>
        </w:rPr>
        <w:t xml:space="preserve">Fundamentally, at its core, the model defines real estate development as the outcome and operator of economic growth, driven by and driving the government policies, the economic diversification efforts, the sustainability goals, as well as socio-economic components. First and foremost, this model defines the relationship between real estate development and economic growth as a relationship. The causal link operates as economic prosperity drives the demand for construction of property, constructions of roads and bridges, as well as investment which creates job opportunities. Furthermore, real estate spurs economic growth when its development drives property prices higher, the construction of infrastructure and high rates of consumer spending. </w:t>
      </w:r>
    </w:p>
    <w:p w14:paraId="7010416C" w14:textId="77777777" w:rsidR="00A84BC9" w:rsidRPr="002B41B5" w:rsidRDefault="00A84BC9" w:rsidP="009C1931">
      <w:pPr>
        <w:spacing w:line="360" w:lineRule="auto"/>
        <w:rPr>
          <w:rFonts w:ascii="Arial" w:eastAsia="Times New Roman" w:hAnsi="Arial" w:cs="Arial"/>
          <w:kern w:val="0"/>
          <w:lang w:eastAsia="en-IN"/>
          <w14:ligatures w14:val="none"/>
        </w:rPr>
      </w:pPr>
    </w:p>
    <w:p w14:paraId="773347EA" w14:textId="54FFDF91" w:rsidR="001F729E" w:rsidRPr="002B41B5" w:rsidRDefault="00A84BC9" w:rsidP="009C1931">
      <w:pPr>
        <w:spacing w:line="360" w:lineRule="auto"/>
        <w:rPr>
          <w:rFonts w:ascii="Arial" w:eastAsia="Times New Roman" w:hAnsi="Arial" w:cs="Arial"/>
          <w:kern w:val="0"/>
          <w:lang w:eastAsia="en-IN"/>
          <w14:ligatures w14:val="none"/>
        </w:rPr>
      </w:pPr>
      <w:r w:rsidRPr="002B41B5">
        <w:rPr>
          <w:rFonts w:ascii="Arial" w:hAnsi="Arial" w:cs="Arial"/>
        </w:rPr>
        <w:t xml:space="preserve">McDonald &amp; McMillen (2011) </w:t>
      </w:r>
      <w:r w:rsidRPr="002B41B5">
        <w:rPr>
          <w:rFonts w:ascii="Arial" w:eastAsia="Times New Roman" w:hAnsi="Arial" w:cs="Arial"/>
          <w:kern w:val="0"/>
          <w:lang w:eastAsia="en-IN"/>
          <w14:ligatures w14:val="none"/>
        </w:rPr>
        <w:t xml:space="preserve">defined this relationship as the basis of the conceptual framework. The government interventions and policies are at the heart of it. Development and real estate markets can only be analysed when government activities and policies are in the picture. Dubai’s government, for example, has ownership of most of the land that belongs to the development authority in the region. Thus, it dictates policies that control how that land is to be utilized. Additionally, through policy and intervention, the government decrees and controls the interest rate, the tax rates and the market dynamics. The most effective policies increase real estate and economic development, while at the same time protect the market and growth themes. Dubai emphasizes these dynamics in its policies. Economic diversification is a theme that runs through the model too. Especially because the city has emphasis on the </w:t>
      </w:r>
      <w:r w:rsidRPr="002B41B5">
        <w:rPr>
          <w:rFonts w:ascii="Arial" w:eastAsia="Times New Roman" w:hAnsi="Arial" w:cs="Arial"/>
          <w:kern w:val="0"/>
          <w:lang w:eastAsia="en-IN"/>
          <w14:ligatures w14:val="none"/>
        </w:rPr>
        <w:lastRenderedPageBreak/>
        <w:t xml:space="preserve">industry. The project dwells majorly on the subject of real estate and how much it influences the economic theme of the city through the industries that depend on the property. Points of energy efficiency and power-saver electronic components. Industrialization reduces the number of acres of pasture per day Livestock production may be increased, but Pasture output remains constant to produce alternative foods or import them from elsewhere. This influences Dubai greatly. Sustainability is a major implied point that </w:t>
      </w:r>
      <w:r w:rsidRPr="002B41B5">
        <w:rPr>
          <w:rFonts w:ascii="Arial" w:hAnsi="Arial" w:cs="Arial"/>
        </w:rPr>
        <w:t xml:space="preserve">McDonald &amp; McMillen (2011) </w:t>
      </w:r>
      <w:r w:rsidRPr="002B41B5">
        <w:rPr>
          <w:rFonts w:ascii="Arial" w:eastAsia="Times New Roman" w:hAnsi="Arial" w:cs="Arial"/>
          <w:kern w:val="0"/>
          <w:lang w:eastAsia="en-IN"/>
          <w14:ligatures w14:val="none"/>
        </w:rPr>
        <w:t xml:space="preserve">defined. The first point </w:t>
      </w:r>
      <w:proofErr w:type="spellStart"/>
      <w:r w:rsidRPr="002B41B5">
        <w:rPr>
          <w:rFonts w:ascii="Arial" w:eastAsia="Times New Roman" w:hAnsi="Arial" w:cs="Arial"/>
          <w:kern w:val="0"/>
          <w:lang w:eastAsia="en-IN"/>
          <w14:ligatures w14:val="none"/>
        </w:rPr>
        <w:t>s</w:t>
      </w:r>
      <w:proofErr w:type="spellEnd"/>
      <w:r w:rsidRPr="002B41B5">
        <w:rPr>
          <w:rFonts w:ascii="Arial" w:eastAsia="Times New Roman" w:hAnsi="Arial" w:cs="Arial"/>
          <w:kern w:val="0"/>
          <w:lang w:eastAsia="en-IN"/>
          <w14:ligatures w14:val="none"/>
        </w:rPr>
        <w:t xml:space="preserve"> that this is seen as the basis that will influence the future of Dubai by people who see the plan. They imply that it is also a measure of green real estate growth. Socio-economic factors also play a part in the overall growth of the city.</w:t>
      </w:r>
    </w:p>
    <w:p w14:paraId="27E729D0" w14:textId="6C11CC52" w:rsidR="00DB1F67" w:rsidRPr="002B41B5" w:rsidRDefault="00DB1F67" w:rsidP="009C1931">
      <w:pPr>
        <w:pStyle w:val="Heading2"/>
        <w:rPr>
          <w:rFonts w:eastAsia="Times New Roman"/>
          <w:lang w:eastAsia="en-IN"/>
        </w:rPr>
      </w:pPr>
      <w:bookmarkStart w:id="14" w:name="_Toc166263520"/>
      <w:r w:rsidRPr="002B41B5">
        <w:rPr>
          <w:rFonts w:eastAsia="Times New Roman"/>
          <w:lang w:eastAsia="en-IN"/>
        </w:rPr>
        <w:t>2.5 Literature Gap</w:t>
      </w:r>
      <w:bookmarkEnd w:id="14"/>
    </w:p>
    <w:p w14:paraId="77C7B283" w14:textId="77777777" w:rsidR="00DB1F67" w:rsidRPr="002B41B5" w:rsidRDefault="00DB1F67" w:rsidP="009C1931">
      <w:pPr>
        <w:pStyle w:val="NormalWeb"/>
        <w:spacing w:line="360" w:lineRule="auto"/>
        <w:jc w:val="both"/>
        <w:rPr>
          <w:rFonts w:ascii="Arial" w:hAnsi="Arial" w:cs="Arial"/>
        </w:rPr>
      </w:pPr>
      <w:r w:rsidRPr="002B41B5">
        <w:rPr>
          <w:rFonts w:ascii="Arial" w:hAnsi="Arial" w:cs="Arial"/>
        </w:rPr>
        <w:t>One of the notable gaps in the existing literature is an insufficient focus on the long-term sustainability of the effect of real estate development on Dubai’s economic growth. While several studies mention and identify goals of sustainability for real estate projects, there is hardly any research on how developmental sustainability specifically influences the vector of Dubai’s economic growth. Secondly, little information is available regarding the socio-economic aspects that underlie real estate development and are affected by it, especially in the framework of an economy developing as rapidly as Dubai’s. This gap may show the degree of the imbalance between economic development and environmental consideration in Dubai’s real estate sector.</w:t>
      </w:r>
    </w:p>
    <w:p w14:paraId="635AEF36" w14:textId="77777777" w:rsidR="00DB1F67" w:rsidRPr="002B41B5" w:rsidRDefault="00DB1F67" w:rsidP="009C1931">
      <w:pPr>
        <w:spacing w:line="360" w:lineRule="auto"/>
        <w:rPr>
          <w:rFonts w:ascii="Arial" w:hAnsi="Arial" w:cs="Arial"/>
        </w:rPr>
      </w:pPr>
    </w:p>
    <w:p w14:paraId="13F1A726" w14:textId="35E70D15" w:rsidR="00544F0B" w:rsidRPr="002B41B5" w:rsidRDefault="00DB1F67" w:rsidP="009C1931">
      <w:pPr>
        <w:pStyle w:val="Heading2"/>
      </w:pPr>
      <w:bookmarkStart w:id="15" w:name="_Toc166263521"/>
      <w:r w:rsidRPr="002B41B5">
        <w:t xml:space="preserve">2.6 </w:t>
      </w:r>
      <w:r w:rsidR="00052B97" w:rsidRPr="002B41B5">
        <w:t>Conclusion</w:t>
      </w:r>
      <w:bookmarkEnd w:id="15"/>
    </w:p>
    <w:p w14:paraId="34D16BFD" w14:textId="69C5133A" w:rsidR="001B20D9" w:rsidRPr="002B41B5" w:rsidRDefault="001B20D9" w:rsidP="009C1931">
      <w:pPr>
        <w:spacing w:line="360" w:lineRule="auto"/>
        <w:rPr>
          <w:rFonts w:ascii="Arial" w:hAnsi="Arial" w:cs="Arial"/>
        </w:rPr>
      </w:pPr>
      <w:r w:rsidRPr="002B41B5">
        <w:rPr>
          <w:rFonts w:ascii="Arial" w:hAnsi="Arial" w:cs="Arial"/>
        </w:rPr>
        <w:t>The literature review has meticulously examined the multifaceted dynamics between Dubai's real estate market and its broader economic landscape, focusing on the sector's impact on macroeconomic growth indicators, the influence of governmental policies, the contribution to economic diversification and sustainability goals, and the future outlook of the market. This exploration has revealed the critical role of the real estate sector as both a driver and a reflection of Dubai's economic prowess, highlighting the intricate interplay between market forces, policy decisions, and broader economic objectives.</w:t>
      </w:r>
      <w:r w:rsidR="0038610F" w:rsidRPr="002B41B5">
        <w:rPr>
          <w:rFonts w:ascii="Arial" w:hAnsi="Arial" w:cs="Arial"/>
        </w:rPr>
        <w:t xml:space="preserve"> </w:t>
      </w:r>
      <w:r w:rsidRPr="002B41B5">
        <w:rPr>
          <w:rFonts w:ascii="Arial" w:hAnsi="Arial" w:cs="Arial"/>
        </w:rPr>
        <w:t xml:space="preserve">The examination of the relationship between real estate development and macroeconomic growth indicators in Dubai underscores the sector's </w:t>
      </w:r>
      <w:r w:rsidRPr="002B41B5">
        <w:rPr>
          <w:rFonts w:ascii="Arial" w:hAnsi="Arial" w:cs="Arial"/>
        </w:rPr>
        <w:lastRenderedPageBreak/>
        <w:t>significant contribution to GDP, employment, and FDI inflows (Leung, 2004; Jensen, 2010). However, it also points to the sector's susceptibility to global economic fluctuations, emphasizing the need for a resilient and diversified economic structure (Case &amp; Shiller, 2003).</w:t>
      </w:r>
      <w:r w:rsidR="0038610F" w:rsidRPr="002B41B5">
        <w:rPr>
          <w:rFonts w:ascii="Arial" w:hAnsi="Arial" w:cs="Arial"/>
        </w:rPr>
        <w:t xml:space="preserve"> </w:t>
      </w:r>
      <w:r w:rsidRPr="002B41B5">
        <w:rPr>
          <w:rFonts w:ascii="Arial" w:hAnsi="Arial" w:cs="Arial"/>
        </w:rPr>
        <w:t xml:space="preserve">Governmental policies have emerged as pivotal in shaping the trajectory of the real estate sector. The literature illustrates how strategic policy frameworks and regulatory measures can stimulate growth, ensure market stability, and promote sustainable development within the sector (Adams &amp; </w:t>
      </w:r>
      <w:proofErr w:type="spellStart"/>
      <w:r w:rsidRPr="002B41B5">
        <w:rPr>
          <w:rFonts w:ascii="Arial" w:hAnsi="Arial" w:cs="Arial"/>
        </w:rPr>
        <w:t>Füss</w:t>
      </w:r>
      <w:proofErr w:type="spellEnd"/>
      <w:r w:rsidRPr="002B41B5">
        <w:rPr>
          <w:rFonts w:ascii="Arial" w:hAnsi="Arial" w:cs="Arial"/>
        </w:rPr>
        <w:t>, 2010). This review calls for a balanced approach that accommodates growth while mitigating risks associated with market volatility and speculative investments.</w:t>
      </w:r>
    </w:p>
    <w:p w14:paraId="6128A7EB" w14:textId="77777777" w:rsidR="001B20D9" w:rsidRPr="002B41B5" w:rsidRDefault="001B20D9" w:rsidP="009C1931">
      <w:pPr>
        <w:spacing w:line="360" w:lineRule="auto"/>
        <w:rPr>
          <w:rFonts w:ascii="Arial" w:hAnsi="Arial" w:cs="Arial"/>
        </w:rPr>
      </w:pPr>
    </w:p>
    <w:p w14:paraId="02F00758" w14:textId="611011F7" w:rsidR="001B20D9" w:rsidRPr="002B41B5" w:rsidRDefault="001B20D9" w:rsidP="009C1931">
      <w:pPr>
        <w:spacing w:line="360" w:lineRule="auto"/>
        <w:rPr>
          <w:rFonts w:ascii="Arial" w:hAnsi="Arial" w:cs="Arial"/>
        </w:rPr>
      </w:pPr>
      <w:r w:rsidRPr="002B41B5">
        <w:rPr>
          <w:rFonts w:ascii="Arial" w:hAnsi="Arial" w:cs="Arial"/>
        </w:rPr>
        <w:t>The contribution of the real estate sector to Dubai's economic diversification and sustainability goals is notably significant. While the sector has been instrumental in reducing the economy's oil dependency, concerns around the sustainability of such growth models persist, particularly in the context of environmental sustainability and resource management (</w:t>
      </w:r>
      <w:proofErr w:type="spellStart"/>
      <w:r w:rsidRPr="002B41B5">
        <w:rPr>
          <w:rFonts w:ascii="Arial" w:hAnsi="Arial" w:cs="Arial"/>
        </w:rPr>
        <w:t>Farooki</w:t>
      </w:r>
      <w:proofErr w:type="spellEnd"/>
      <w:r w:rsidRPr="002B41B5">
        <w:rPr>
          <w:rFonts w:ascii="Arial" w:hAnsi="Arial" w:cs="Arial"/>
        </w:rPr>
        <w:t xml:space="preserve"> &amp; </w:t>
      </w:r>
      <w:proofErr w:type="spellStart"/>
      <w:r w:rsidRPr="002B41B5">
        <w:rPr>
          <w:rFonts w:ascii="Arial" w:hAnsi="Arial" w:cs="Arial"/>
        </w:rPr>
        <w:t>Mohieldin</w:t>
      </w:r>
      <w:proofErr w:type="spellEnd"/>
      <w:r w:rsidRPr="002B41B5">
        <w:rPr>
          <w:rFonts w:ascii="Arial" w:hAnsi="Arial" w:cs="Arial"/>
        </w:rPr>
        <w:t>, 2019; World Economic Forum, 2016). This highlights an ongoing challenge for Dubai to align its real estate development with broader sustainability goals without compromising economic growth.</w:t>
      </w:r>
      <w:r w:rsidR="0038610F" w:rsidRPr="002B41B5">
        <w:rPr>
          <w:rFonts w:ascii="Arial" w:hAnsi="Arial" w:cs="Arial"/>
        </w:rPr>
        <w:t xml:space="preserve"> </w:t>
      </w:r>
      <w:r w:rsidRPr="002B41B5">
        <w:rPr>
          <w:rFonts w:ascii="Arial" w:hAnsi="Arial" w:cs="Arial"/>
        </w:rPr>
        <w:t>Looking into the future, the literature suggests that Dubai's real estate market faces a complex array of challenges and opportunities. The sector must navigate evolving global economic conditions, technological advancements, and changing investor and consumer preferences. This calls for adaptive strategies that leverage innovation, enhance market transparency, and foster sustainable development practices to ensure long-term viability and growth (Cohen, 2010).</w:t>
      </w:r>
    </w:p>
    <w:p w14:paraId="4D5679E8" w14:textId="77777777" w:rsidR="001B20D9" w:rsidRPr="002B41B5" w:rsidRDefault="001B20D9" w:rsidP="009C1931">
      <w:pPr>
        <w:spacing w:line="360" w:lineRule="auto"/>
        <w:rPr>
          <w:rFonts w:ascii="Arial" w:hAnsi="Arial" w:cs="Arial"/>
        </w:rPr>
      </w:pPr>
    </w:p>
    <w:p w14:paraId="59592E5E" w14:textId="63418550" w:rsidR="001C67F5" w:rsidRPr="002B41B5" w:rsidRDefault="001B20D9" w:rsidP="009C1931">
      <w:pPr>
        <w:spacing w:line="360" w:lineRule="auto"/>
        <w:rPr>
          <w:rFonts w:ascii="Arial" w:hAnsi="Arial" w:cs="Arial"/>
        </w:rPr>
      </w:pPr>
      <w:r w:rsidRPr="002B41B5">
        <w:rPr>
          <w:rFonts w:ascii="Arial" w:hAnsi="Arial" w:cs="Arial"/>
        </w:rPr>
        <w:t>In conclusion, the literature review has provided valuable insights into the dynamics between Dubai's real estate market and its economic indicators, the regulatory landscape, and sustainability efforts. It has identified key areas where further research is needed, particularly in understanding the long-term impacts of current trends and policies on the sector's sustainability and its role in the broader economy. As Dubai continues to evolve, the real estate sector remains a critical component of its economic fabric, presenting both challenges and opportunities for sustainable growth and development.</w:t>
      </w:r>
    </w:p>
    <w:p w14:paraId="2047A2AE" w14:textId="77777777" w:rsidR="001C67F5" w:rsidRPr="002B41B5" w:rsidRDefault="001C67F5" w:rsidP="009C1931">
      <w:pPr>
        <w:spacing w:line="360" w:lineRule="auto"/>
        <w:rPr>
          <w:rFonts w:ascii="Arial" w:hAnsi="Arial" w:cs="Arial"/>
        </w:rPr>
      </w:pPr>
    </w:p>
    <w:p w14:paraId="410B701C" w14:textId="4E13F8D5" w:rsidR="001C67F5" w:rsidRPr="002B41B5" w:rsidRDefault="001C67F5" w:rsidP="009C1931">
      <w:pPr>
        <w:pStyle w:val="Heading1"/>
      </w:pPr>
      <w:bookmarkStart w:id="16" w:name="_Toc166263522"/>
      <w:r w:rsidRPr="002B41B5">
        <w:lastRenderedPageBreak/>
        <w:t>CHAPTER 3: Methodology</w:t>
      </w:r>
      <w:bookmarkEnd w:id="16"/>
    </w:p>
    <w:p w14:paraId="4FCFAE50" w14:textId="76E8B050" w:rsidR="00187B76" w:rsidRPr="002B41B5" w:rsidRDefault="00C42367" w:rsidP="009C1931">
      <w:pPr>
        <w:pStyle w:val="Heading2"/>
      </w:pPr>
      <w:bookmarkStart w:id="17" w:name="_Toc166263523"/>
      <w:r w:rsidRPr="002B41B5">
        <w:t xml:space="preserve">3.1 </w:t>
      </w:r>
      <w:r w:rsidR="00187B76" w:rsidRPr="002B41B5">
        <w:t>Introduction</w:t>
      </w:r>
      <w:bookmarkEnd w:id="17"/>
    </w:p>
    <w:p w14:paraId="309C1D66" w14:textId="77777777" w:rsidR="00187B76" w:rsidRPr="002B41B5" w:rsidRDefault="00187B76" w:rsidP="009C1931">
      <w:pPr>
        <w:spacing w:line="360" w:lineRule="auto"/>
        <w:rPr>
          <w:rFonts w:ascii="Arial" w:hAnsi="Arial" w:cs="Arial"/>
        </w:rPr>
      </w:pPr>
      <w:r w:rsidRPr="002B41B5">
        <w:rPr>
          <w:rFonts w:ascii="Arial" w:hAnsi="Arial" w:cs="Arial"/>
        </w:rPr>
        <w:t>The methodology chapter of this dissertation is pivotal in delineating the approach and techniques employed to investigate the intricate relationship between Dubai's real estate market and its economic growth. The chosen research methodology is not merely a blueprint for data collection and analysis but is intrinsically linked to the underlying philosophical assumptions of the study. It shapes the research questions, influences the interpretation of data, and ultimately determines the validity and reliability of the study's findings (Creswell &amp; Creswell, 2018). Given the complexity of the real estate market and its multifaceted impact on macroeconomic indicators, a robust methodological framework is essential to capture the nuances of this relationship.</w:t>
      </w:r>
    </w:p>
    <w:p w14:paraId="7020963D" w14:textId="77777777" w:rsidR="00187B76" w:rsidRPr="002B41B5" w:rsidRDefault="00187B76" w:rsidP="009C1931">
      <w:pPr>
        <w:spacing w:line="360" w:lineRule="auto"/>
        <w:rPr>
          <w:rFonts w:ascii="Arial" w:hAnsi="Arial" w:cs="Arial"/>
        </w:rPr>
      </w:pPr>
    </w:p>
    <w:p w14:paraId="2D30873D" w14:textId="77777777" w:rsidR="00187B76" w:rsidRPr="002B41B5" w:rsidRDefault="00187B76" w:rsidP="009C1931">
      <w:pPr>
        <w:spacing w:line="360" w:lineRule="auto"/>
        <w:rPr>
          <w:rFonts w:ascii="Arial" w:hAnsi="Arial" w:cs="Arial"/>
        </w:rPr>
      </w:pPr>
      <w:r w:rsidRPr="002B41B5">
        <w:rPr>
          <w:rFonts w:ascii="Arial" w:hAnsi="Arial" w:cs="Arial"/>
        </w:rPr>
        <w:t>The selection of a research methodology is guided by the study’s objectives, the nature of the research questions, the theoretical framework, and the practical constraints encountered by the researcher (Silverman, 2016). This dissertation aims to unravel the dynamics between real estate development and economic growth in Dubai, a goal that necessitates a deep dive into qualitative insights, policy analyses, and historical contexts. The chosen methodology is thus predicated on its ability to provide a rich, contextual understanding of these dynamics, enabling a nuanced exploration of the factors driving Dubai's real estate market and its implications for broader economic strategies.</w:t>
      </w:r>
    </w:p>
    <w:p w14:paraId="39C10A59" w14:textId="77777777" w:rsidR="00187B76" w:rsidRPr="002B41B5" w:rsidRDefault="00187B76" w:rsidP="009C1931">
      <w:pPr>
        <w:spacing w:line="360" w:lineRule="auto"/>
        <w:rPr>
          <w:rFonts w:ascii="Arial" w:hAnsi="Arial" w:cs="Arial"/>
        </w:rPr>
      </w:pPr>
    </w:p>
    <w:p w14:paraId="3DB6D458" w14:textId="77777777" w:rsidR="00187B76" w:rsidRPr="002B41B5" w:rsidRDefault="00187B76" w:rsidP="009C1931">
      <w:pPr>
        <w:spacing w:line="360" w:lineRule="auto"/>
        <w:rPr>
          <w:rFonts w:ascii="Arial" w:hAnsi="Arial" w:cs="Arial"/>
        </w:rPr>
      </w:pPr>
      <w:r w:rsidRPr="002B41B5">
        <w:rPr>
          <w:rFonts w:ascii="Arial" w:hAnsi="Arial" w:cs="Arial"/>
        </w:rPr>
        <w:t>This introduction sets the stage for a comprehensive discussion on the selected research methodology, including the rationale behind its adoption, the research design, data collection methods, and the analytical techniques employed. It emphasizes the importance of methodological rigor and the need for an approach that aligns with the research aims, ensuring that the study contributes meaningfully to the existing body of knowledge on Dubai's economic development and real estate market.</w:t>
      </w:r>
    </w:p>
    <w:p w14:paraId="6E600807" w14:textId="77777777" w:rsidR="000F5A30" w:rsidRPr="002B41B5" w:rsidRDefault="000F5A30" w:rsidP="009C1931">
      <w:pPr>
        <w:spacing w:line="360" w:lineRule="auto"/>
        <w:rPr>
          <w:rFonts w:ascii="Arial" w:hAnsi="Arial" w:cs="Arial"/>
        </w:rPr>
      </w:pPr>
    </w:p>
    <w:p w14:paraId="0852237E" w14:textId="04EA6968" w:rsidR="000F5A30" w:rsidRPr="002B41B5" w:rsidRDefault="00C42367" w:rsidP="009C1931">
      <w:pPr>
        <w:pStyle w:val="Heading2"/>
      </w:pPr>
      <w:bookmarkStart w:id="18" w:name="_Toc166263524"/>
      <w:r w:rsidRPr="002B41B5">
        <w:lastRenderedPageBreak/>
        <w:t xml:space="preserve">3.2 </w:t>
      </w:r>
      <w:r w:rsidR="009801DC" w:rsidRPr="002B41B5">
        <w:t>Overview of Research Methodologies</w:t>
      </w:r>
      <w:bookmarkEnd w:id="18"/>
    </w:p>
    <w:p w14:paraId="5B4D9386" w14:textId="77777777" w:rsidR="00BE6745" w:rsidRPr="002B41B5" w:rsidRDefault="00BE6745" w:rsidP="009C1931">
      <w:pPr>
        <w:spacing w:line="360" w:lineRule="auto"/>
        <w:rPr>
          <w:rFonts w:ascii="Arial" w:hAnsi="Arial" w:cs="Arial"/>
        </w:rPr>
      </w:pPr>
      <w:r w:rsidRPr="002B41B5">
        <w:rPr>
          <w:rFonts w:ascii="Arial" w:hAnsi="Arial" w:cs="Arial"/>
        </w:rPr>
        <w:t>Research methodologies in the social sciences are broadly categorized into three main types: qualitative, quantitative, and mixed methods. Each of these methodologies serves different research purposes and is underpinned by distinct philosophical assumptions about the nature of reality (ontology), how we know what we know (epistemology), and the methods of inquiry (methodology) (Creswell &amp; Creswell, 2018).</w:t>
      </w:r>
    </w:p>
    <w:p w14:paraId="4A216661" w14:textId="77777777" w:rsidR="00BE6745" w:rsidRPr="002B41B5" w:rsidRDefault="00BE6745" w:rsidP="009C1931">
      <w:pPr>
        <w:spacing w:line="360" w:lineRule="auto"/>
        <w:rPr>
          <w:rFonts w:ascii="Arial" w:hAnsi="Arial" w:cs="Arial"/>
        </w:rPr>
      </w:pPr>
    </w:p>
    <w:p w14:paraId="7E6163E3" w14:textId="77777777" w:rsidR="00BE6745" w:rsidRPr="002B41B5" w:rsidRDefault="00BE6745" w:rsidP="009C1931">
      <w:pPr>
        <w:spacing w:line="360" w:lineRule="auto"/>
        <w:rPr>
          <w:rFonts w:ascii="Arial" w:hAnsi="Arial" w:cs="Arial"/>
        </w:rPr>
      </w:pPr>
      <w:r w:rsidRPr="002B41B5">
        <w:rPr>
          <w:rFonts w:ascii="Arial" w:hAnsi="Arial" w:cs="Arial"/>
          <w:b/>
          <w:bCs/>
        </w:rPr>
        <w:t>Qualitative Research Methodology</w:t>
      </w:r>
      <w:r w:rsidRPr="002B41B5">
        <w:rPr>
          <w:rFonts w:ascii="Arial" w:hAnsi="Arial" w:cs="Arial"/>
        </w:rPr>
        <w:t xml:space="preserve"> focuses on understanding phenomena from a holistic perspective, emphasizing the depth of understanding. It is typically used to explore complex issues, understand experiences, or interpret phenomena from the perspectives of the study participants. Qualitative methods include interviews, focus groups, and observations, which are instrumental in generating rich, detailed data that are often textual and interpretive in nature. The advantage of qualitative research lies in its ability to provide context and depth, revealing the meanings and interpretations that individuals or communities ascribe to their experiences. However, its limitations include the potential for subjectivity in data interpretation and challenges in generalizing findings due to typically smaller sample sizes (Bryman, 2016).</w:t>
      </w:r>
    </w:p>
    <w:p w14:paraId="7941F4B2" w14:textId="77777777" w:rsidR="00BE6745" w:rsidRPr="002B41B5" w:rsidRDefault="00BE6745" w:rsidP="009C1931">
      <w:pPr>
        <w:spacing w:line="360" w:lineRule="auto"/>
        <w:rPr>
          <w:rFonts w:ascii="Arial" w:hAnsi="Arial" w:cs="Arial"/>
        </w:rPr>
      </w:pPr>
    </w:p>
    <w:p w14:paraId="72554CD1" w14:textId="77777777" w:rsidR="00BE6745" w:rsidRPr="002B41B5" w:rsidRDefault="00BE6745" w:rsidP="009C1931">
      <w:pPr>
        <w:spacing w:line="360" w:lineRule="auto"/>
        <w:rPr>
          <w:rFonts w:ascii="Arial" w:hAnsi="Arial" w:cs="Arial"/>
        </w:rPr>
      </w:pPr>
      <w:r w:rsidRPr="002B41B5">
        <w:rPr>
          <w:rFonts w:ascii="Arial" w:hAnsi="Arial" w:cs="Arial"/>
          <w:b/>
          <w:bCs/>
        </w:rPr>
        <w:t>Quantitative Research Methodology</w:t>
      </w:r>
      <w:r w:rsidRPr="002B41B5">
        <w:rPr>
          <w:rFonts w:ascii="Arial" w:hAnsi="Arial" w:cs="Arial"/>
        </w:rPr>
        <w:t xml:space="preserve"> is characterized by the collection and analysis of numerical data. It is employed to test hypotheses, measure variables, and determine relationships between them. Common methods include surveys, experiments, and statistical analysis, aiming for objectivity and replicability. The strengths of quantitative research include its capacity for wide-scale data collection and the application of statistical tests to infer patterns and relationships, providing a basis for generalization. However, it may oversimplify complex issues by reducing them to numerical representations and often lacks the contextual depth provided by qualitative analysis (Creswell, 2014).</w:t>
      </w:r>
    </w:p>
    <w:p w14:paraId="4D70ED61" w14:textId="77777777" w:rsidR="00BE6745" w:rsidRPr="002B41B5" w:rsidRDefault="00BE6745" w:rsidP="009C1931">
      <w:pPr>
        <w:spacing w:line="360" w:lineRule="auto"/>
        <w:rPr>
          <w:rFonts w:ascii="Arial" w:hAnsi="Arial" w:cs="Arial"/>
        </w:rPr>
      </w:pPr>
    </w:p>
    <w:p w14:paraId="004F7B08" w14:textId="77777777" w:rsidR="00BE6745" w:rsidRPr="002B41B5" w:rsidRDefault="00BE6745" w:rsidP="009C1931">
      <w:pPr>
        <w:spacing w:line="360" w:lineRule="auto"/>
        <w:rPr>
          <w:rFonts w:ascii="Arial" w:hAnsi="Arial" w:cs="Arial"/>
        </w:rPr>
      </w:pPr>
      <w:r w:rsidRPr="002B41B5">
        <w:rPr>
          <w:rFonts w:ascii="Arial" w:hAnsi="Arial" w:cs="Arial"/>
          <w:b/>
          <w:bCs/>
        </w:rPr>
        <w:t>Mixed Methods Research</w:t>
      </w:r>
      <w:r w:rsidRPr="002B41B5">
        <w:rPr>
          <w:rFonts w:ascii="Arial" w:hAnsi="Arial" w:cs="Arial"/>
        </w:rPr>
        <w:t xml:space="preserve"> combines qualitative and quantitative approaches within a single study to leverage the strengths of both. This methodology seeks to provide a more comprehensive understanding by correlating numerical data with the depth and context of qualitative findings. Mixed methods research is particularly useful when </w:t>
      </w:r>
      <w:r w:rsidRPr="002B41B5">
        <w:rPr>
          <w:rFonts w:ascii="Arial" w:hAnsi="Arial" w:cs="Arial"/>
        </w:rPr>
        <w:lastRenderedPageBreak/>
        <w:t>exploring new or complex phenomena where both the measurement of variables and the exploration of contextual factors are essential. The primary advantage of this approach is its ability to provide richer insights than either method alone. However, it requires significant resources and expertise to design and conduct effectively, posing challenges in terms of research complexity and data integration (Johnson &amp; Onwuegbuzie, 2004).</w:t>
      </w:r>
    </w:p>
    <w:p w14:paraId="042F9EC1" w14:textId="77777777" w:rsidR="00BE6745" w:rsidRPr="002B41B5" w:rsidRDefault="00BE6745" w:rsidP="009C1931">
      <w:pPr>
        <w:spacing w:line="360" w:lineRule="auto"/>
        <w:rPr>
          <w:rFonts w:ascii="Arial" w:hAnsi="Arial" w:cs="Arial"/>
        </w:rPr>
      </w:pPr>
    </w:p>
    <w:p w14:paraId="1571B88F" w14:textId="753DBEC3" w:rsidR="009801DC" w:rsidRPr="002B41B5" w:rsidRDefault="00BE6745" w:rsidP="009C1931">
      <w:pPr>
        <w:spacing w:line="360" w:lineRule="auto"/>
        <w:rPr>
          <w:rFonts w:ascii="Arial" w:hAnsi="Arial" w:cs="Arial"/>
        </w:rPr>
      </w:pPr>
      <w:r w:rsidRPr="002B41B5">
        <w:rPr>
          <w:rFonts w:ascii="Arial" w:hAnsi="Arial" w:cs="Arial"/>
        </w:rPr>
        <w:t xml:space="preserve">The selection of a research methodology is crucial, as it directly influences the research design, data collection, and analysis processes. </w:t>
      </w:r>
    </w:p>
    <w:p w14:paraId="1FB5BC1C" w14:textId="77777777" w:rsidR="00BE6745" w:rsidRPr="002B41B5" w:rsidRDefault="00BE6745" w:rsidP="009C1931">
      <w:pPr>
        <w:spacing w:line="360" w:lineRule="auto"/>
        <w:rPr>
          <w:rFonts w:ascii="Arial" w:hAnsi="Arial" w:cs="Arial"/>
        </w:rPr>
      </w:pPr>
    </w:p>
    <w:p w14:paraId="495AD781" w14:textId="1BE10DAD" w:rsidR="00127DF4" w:rsidRPr="002B41B5" w:rsidRDefault="00C42367" w:rsidP="009C1931">
      <w:pPr>
        <w:pStyle w:val="Heading2"/>
      </w:pPr>
      <w:bookmarkStart w:id="19" w:name="_Toc166263525"/>
      <w:r w:rsidRPr="002B41B5">
        <w:t xml:space="preserve">3.3 </w:t>
      </w:r>
      <w:r w:rsidR="00A06924" w:rsidRPr="002B41B5">
        <w:t>Justification for Qualitative Methodology</w:t>
      </w:r>
      <w:bookmarkEnd w:id="19"/>
    </w:p>
    <w:p w14:paraId="410CDFF1" w14:textId="41591284" w:rsidR="003E2EEE" w:rsidRPr="002B41B5" w:rsidRDefault="003E2EEE" w:rsidP="009C1931">
      <w:pPr>
        <w:spacing w:line="360" w:lineRule="auto"/>
        <w:rPr>
          <w:rFonts w:ascii="Arial" w:hAnsi="Arial" w:cs="Arial"/>
        </w:rPr>
      </w:pPr>
      <w:r w:rsidRPr="002B41B5">
        <w:rPr>
          <w:rFonts w:ascii="Arial" w:hAnsi="Arial" w:cs="Arial"/>
        </w:rPr>
        <w:t>The adoption of a qualitative methodology for this research into the dynamics between real estate development and economic growth in Dubai is grounded in the methodology's inherent strengths in exploring complex social phenomena. This approach is well-suited for a study that seeks to delve into the nuanced relationships and underlying mechanisms that drive the real estate market's impact on macroeconomic indicators within a unique socio-political and economic context such as Dubai's.</w:t>
      </w:r>
    </w:p>
    <w:p w14:paraId="25F7F838" w14:textId="77777777" w:rsidR="003E2EEE" w:rsidRPr="002B41B5" w:rsidRDefault="003E2EEE" w:rsidP="009C1931">
      <w:pPr>
        <w:spacing w:line="360" w:lineRule="auto"/>
        <w:rPr>
          <w:rFonts w:ascii="Arial" w:hAnsi="Arial" w:cs="Arial"/>
        </w:rPr>
      </w:pPr>
    </w:p>
    <w:p w14:paraId="34FA43C0" w14:textId="77777777" w:rsidR="003E2EEE" w:rsidRPr="002B41B5" w:rsidRDefault="003E2EEE" w:rsidP="009C1931">
      <w:pPr>
        <w:spacing w:line="360" w:lineRule="auto"/>
        <w:rPr>
          <w:rFonts w:ascii="Arial" w:hAnsi="Arial" w:cs="Arial"/>
        </w:rPr>
      </w:pPr>
      <w:r w:rsidRPr="002B41B5">
        <w:rPr>
          <w:rFonts w:ascii="Arial" w:hAnsi="Arial" w:cs="Arial"/>
        </w:rPr>
        <w:t>Qualitative research excels in its capacity to uncover the depth and complexity of social interactions and phenomena, making it an ideal choice for this study. It allows for an in-depth exploration of the subjective experiences, perceptions, and motivations of individuals and institutions involved in the real estate sector, including policymakers, investors, developers, and consumers (Braun &amp; Clarke, 2013). Through methods such as interviews, focus groups, and document analysis, qualitative research can capture the rich, contextualized insights necessary to understand the multifaceted influences on and consequences of real estate development in Dubai.</w:t>
      </w:r>
    </w:p>
    <w:p w14:paraId="0005FA90" w14:textId="77777777" w:rsidR="003E2EEE" w:rsidRPr="002B41B5" w:rsidRDefault="003E2EEE" w:rsidP="009C1931">
      <w:pPr>
        <w:spacing w:line="360" w:lineRule="auto"/>
        <w:rPr>
          <w:rFonts w:ascii="Arial" w:hAnsi="Arial" w:cs="Arial"/>
        </w:rPr>
      </w:pPr>
    </w:p>
    <w:p w14:paraId="006A29AD" w14:textId="77777777" w:rsidR="003E2EEE" w:rsidRPr="002B41B5" w:rsidRDefault="003E2EEE" w:rsidP="009C1931">
      <w:pPr>
        <w:spacing w:line="360" w:lineRule="auto"/>
        <w:rPr>
          <w:rFonts w:ascii="Arial" w:hAnsi="Arial" w:cs="Arial"/>
        </w:rPr>
      </w:pPr>
      <w:r w:rsidRPr="002B41B5">
        <w:rPr>
          <w:rFonts w:ascii="Arial" w:hAnsi="Arial" w:cs="Arial"/>
        </w:rPr>
        <w:t xml:space="preserve">One of the primary reasons for selecting a qualitative approach is its emphasis on context. Dubai's real estate market is influenced by a myriad of factors including international investment flows, government policies, and global economic trends, all of which are deeply embedded in the local context. A qualitative methodology </w:t>
      </w:r>
      <w:r w:rsidRPr="002B41B5">
        <w:rPr>
          <w:rFonts w:ascii="Arial" w:hAnsi="Arial" w:cs="Arial"/>
        </w:rPr>
        <w:lastRenderedPageBreak/>
        <w:t>facilitates an exploration of these contextual influences in detail, providing a nuanced understanding that goes beyond mere statistical correlations (Yin, 2018).</w:t>
      </w:r>
    </w:p>
    <w:p w14:paraId="03CD90A5" w14:textId="77777777" w:rsidR="003E2EEE" w:rsidRPr="002B41B5" w:rsidRDefault="003E2EEE" w:rsidP="009C1931">
      <w:pPr>
        <w:spacing w:line="360" w:lineRule="auto"/>
        <w:rPr>
          <w:rFonts w:ascii="Arial" w:hAnsi="Arial" w:cs="Arial"/>
        </w:rPr>
      </w:pPr>
    </w:p>
    <w:p w14:paraId="0032ACF5" w14:textId="0CD891D1" w:rsidR="003E2EEE" w:rsidRPr="002B41B5" w:rsidRDefault="003E2EEE" w:rsidP="009C1931">
      <w:pPr>
        <w:spacing w:line="360" w:lineRule="auto"/>
        <w:rPr>
          <w:rFonts w:ascii="Arial" w:hAnsi="Arial" w:cs="Arial"/>
        </w:rPr>
      </w:pPr>
      <w:r w:rsidRPr="002B41B5">
        <w:rPr>
          <w:rFonts w:ascii="Arial" w:hAnsi="Arial" w:cs="Arial"/>
        </w:rPr>
        <w:t>Furthermore, the qualitative approach is adept at exploring the intentions and strategies behind policy decisions and market behaviours, which are crucial for understanding the regulatory and developmental dynamics of Dubai's real estate market. It allows the researcher to interpret complex phenomena such as the impact of specific government policies on real estate growth or the sustainability initiatives within the sector, in a manner that quantitative methods might not fully capture (Maxwell, 2013).</w:t>
      </w:r>
    </w:p>
    <w:p w14:paraId="3321D238" w14:textId="77777777" w:rsidR="003E2EEE" w:rsidRPr="002B41B5" w:rsidRDefault="003E2EEE" w:rsidP="009C1931">
      <w:pPr>
        <w:spacing w:line="360" w:lineRule="auto"/>
        <w:rPr>
          <w:rFonts w:ascii="Arial" w:hAnsi="Arial" w:cs="Arial"/>
        </w:rPr>
      </w:pPr>
    </w:p>
    <w:p w14:paraId="338A6F55" w14:textId="77777777" w:rsidR="003E2EEE" w:rsidRPr="002B41B5" w:rsidRDefault="003E2EEE" w:rsidP="009C1931">
      <w:pPr>
        <w:spacing w:line="360" w:lineRule="auto"/>
        <w:rPr>
          <w:rFonts w:ascii="Arial" w:hAnsi="Arial" w:cs="Arial"/>
        </w:rPr>
      </w:pPr>
      <w:r w:rsidRPr="002B41B5">
        <w:rPr>
          <w:rFonts w:ascii="Arial" w:hAnsi="Arial" w:cs="Arial"/>
        </w:rPr>
        <w:t>Lastly, the choice of qualitative research is justified by its flexibility and adaptability, allowing for the exploration of emerging themes and unexpected insights that arise during the research process. This is particularly important in a rapidly changing and dynamic environment like Dubai, where new developments and policy changes can significantly impact the real estate sector and its economic implications (Silverman, 2016).</w:t>
      </w:r>
    </w:p>
    <w:p w14:paraId="60DDE406" w14:textId="77777777" w:rsidR="003E2EEE" w:rsidRPr="002B41B5" w:rsidRDefault="003E2EEE" w:rsidP="009C1931">
      <w:pPr>
        <w:spacing w:line="360" w:lineRule="auto"/>
        <w:rPr>
          <w:rFonts w:ascii="Arial" w:hAnsi="Arial" w:cs="Arial"/>
        </w:rPr>
      </w:pPr>
    </w:p>
    <w:p w14:paraId="5511BE1B" w14:textId="3B819358" w:rsidR="00A06924" w:rsidRPr="002B41B5" w:rsidRDefault="003E2EEE" w:rsidP="009C1931">
      <w:pPr>
        <w:spacing w:line="360" w:lineRule="auto"/>
        <w:rPr>
          <w:rFonts w:ascii="Arial" w:hAnsi="Arial" w:cs="Arial"/>
        </w:rPr>
      </w:pPr>
      <w:r w:rsidRPr="002B41B5">
        <w:rPr>
          <w:rFonts w:ascii="Arial" w:hAnsi="Arial" w:cs="Arial"/>
        </w:rPr>
        <w:t>In summary, the qualitative methodology offers a comprehensive and in-depth exploration of the complex interplay between real estate development and economic growth in Dubai. Its emphasis on contextualized insights, understanding of underlying motivations and strategies, and flexibility in exploring emergent themes makes it particularly suited to addressing the research objectives of this study.</w:t>
      </w:r>
    </w:p>
    <w:p w14:paraId="4CD9A464" w14:textId="77777777" w:rsidR="00BE6745" w:rsidRPr="002B41B5" w:rsidRDefault="00BE6745" w:rsidP="009C1931">
      <w:pPr>
        <w:spacing w:line="360" w:lineRule="auto"/>
        <w:rPr>
          <w:rFonts w:ascii="Arial" w:hAnsi="Arial" w:cs="Arial"/>
        </w:rPr>
      </w:pPr>
    </w:p>
    <w:p w14:paraId="2C4ABB71" w14:textId="668EB81C" w:rsidR="003E2EEE" w:rsidRPr="002B41B5" w:rsidRDefault="00A0387B" w:rsidP="009C1931">
      <w:pPr>
        <w:pStyle w:val="Heading2"/>
      </w:pPr>
      <w:bookmarkStart w:id="20" w:name="_Toc166263526"/>
      <w:r w:rsidRPr="002B41B5">
        <w:t>Secondary Research in Qualitative Methodology</w:t>
      </w:r>
      <w:bookmarkEnd w:id="20"/>
    </w:p>
    <w:p w14:paraId="4154CEEB" w14:textId="77777777" w:rsidR="003714A4" w:rsidRPr="002B41B5" w:rsidRDefault="003714A4" w:rsidP="009C1931">
      <w:pPr>
        <w:spacing w:line="360" w:lineRule="auto"/>
        <w:rPr>
          <w:rFonts w:ascii="Arial" w:hAnsi="Arial" w:cs="Arial"/>
        </w:rPr>
      </w:pPr>
      <w:r w:rsidRPr="002B41B5">
        <w:rPr>
          <w:rFonts w:ascii="Arial" w:hAnsi="Arial" w:cs="Arial"/>
        </w:rPr>
        <w:t>Secondary research plays a pivotal role within a qualitative research framework, especially in studies aiming to understand complex phenomena such as the interplay between real estate development and economic growth. This approach involves the analysis of existing literature, documents, reports, and other secondary data sources, which collectively contribute to a comprehensive understanding of the research topic. Secondary research serves multiple purposes, including providing context and background, identifying gaps in the existing body of knowledge, and informing the development of research questions and hypotheses (Heaton, 2008).</w:t>
      </w:r>
    </w:p>
    <w:p w14:paraId="6D92F059" w14:textId="77777777" w:rsidR="003714A4" w:rsidRPr="002B41B5" w:rsidRDefault="003714A4" w:rsidP="009C1931">
      <w:pPr>
        <w:spacing w:line="360" w:lineRule="auto"/>
        <w:rPr>
          <w:rFonts w:ascii="Arial" w:hAnsi="Arial" w:cs="Arial"/>
        </w:rPr>
      </w:pPr>
    </w:p>
    <w:p w14:paraId="391B8483" w14:textId="77777777" w:rsidR="003714A4" w:rsidRPr="002B41B5" w:rsidRDefault="003714A4" w:rsidP="009C1931">
      <w:pPr>
        <w:spacing w:line="360" w:lineRule="auto"/>
        <w:rPr>
          <w:rFonts w:ascii="Arial" w:hAnsi="Arial" w:cs="Arial"/>
        </w:rPr>
      </w:pPr>
      <w:r w:rsidRPr="002B41B5">
        <w:rPr>
          <w:rFonts w:ascii="Arial" w:hAnsi="Arial" w:cs="Arial"/>
        </w:rPr>
        <w:t>In the context of investigating Dubai's real estate market and its economic implications, secondary research becomes indispensable. It offers a historical perspective on the evolution of the real estate sector, insights into previous economic trends, and an understanding of the policy landscape. Academic journals, government reports, industry analyses, and news articles can reveal patterns, themes, and anomalies within the real estate market, contributing to a nuanced understanding of its dynamics (Bowen, 2009). This foundational knowledge is crucial for contextualizing new data collected through primary research, ensuring that the analysis is grounded in the broader socio-economic context of Dubai.</w:t>
      </w:r>
    </w:p>
    <w:p w14:paraId="6FB76AEE" w14:textId="77777777" w:rsidR="003714A4" w:rsidRPr="002B41B5" w:rsidRDefault="003714A4" w:rsidP="009C1931">
      <w:pPr>
        <w:spacing w:line="360" w:lineRule="auto"/>
        <w:rPr>
          <w:rFonts w:ascii="Arial" w:hAnsi="Arial" w:cs="Arial"/>
        </w:rPr>
      </w:pPr>
    </w:p>
    <w:p w14:paraId="0D978C96" w14:textId="749AAEAE" w:rsidR="003714A4" w:rsidRPr="002B41B5" w:rsidRDefault="003714A4" w:rsidP="009C1931">
      <w:pPr>
        <w:spacing w:line="360" w:lineRule="auto"/>
        <w:rPr>
          <w:rFonts w:ascii="Arial" w:hAnsi="Arial" w:cs="Arial"/>
        </w:rPr>
      </w:pPr>
      <w:r w:rsidRPr="002B41B5">
        <w:rPr>
          <w:rFonts w:ascii="Arial" w:hAnsi="Arial" w:cs="Arial"/>
        </w:rPr>
        <w:t>Moreover, secondary research aids in the identification of theoretical frameworks and models that have been applied in similar studies. By reviewing existing literature, researchers can build upon established theories and conceptual frameworks, adapting them to the specific context of their study (Johnston, 2017). This iterative process enhances the theoretical rigor of the research and ensures that the study's findings contribute meaningfully to the academic discourse on real estate and economic development. Additionally, secondary research facilitates a comparative analysis, allowing researchers to situate their findings within a global context. By examining similar studies conducted in other regions or countries, researchers can draw parallels, highlight differences, and identify unique characteristics of Dubai's real estate market (Merriam, 2014). This comparative perspective enriches the analysis and contributes to a deeper understanding of the factors influencing real estate markets and economic growth across different settings.</w:t>
      </w:r>
    </w:p>
    <w:p w14:paraId="09F90F5E" w14:textId="77777777" w:rsidR="003714A4" w:rsidRPr="002B41B5" w:rsidRDefault="003714A4" w:rsidP="009C1931">
      <w:pPr>
        <w:spacing w:line="360" w:lineRule="auto"/>
        <w:rPr>
          <w:rFonts w:ascii="Arial" w:hAnsi="Arial" w:cs="Arial"/>
        </w:rPr>
      </w:pPr>
    </w:p>
    <w:p w14:paraId="43D8EB2F" w14:textId="32CF3775" w:rsidR="00187B76" w:rsidRPr="002B41B5" w:rsidRDefault="003714A4" w:rsidP="009C1931">
      <w:pPr>
        <w:spacing w:line="360" w:lineRule="auto"/>
        <w:rPr>
          <w:rFonts w:ascii="Arial" w:hAnsi="Arial" w:cs="Arial"/>
        </w:rPr>
      </w:pPr>
      <w:r w:rsidRPr="002B41B5">
        <w:rPr>
          <w:rFonts w:ascii="Arial" w:hAnsi="Arial" w:cs="Arial"/>
        </w:rPr>
        <w:t>In sum, secondary research is a critical component of qualitative research methodology, offering essential context, theoretical grounding, and a comparative perspective. It enables researchers to build a solid foundation for their study, guiding the collection and analysis of primary data and enhancing the overall quality and relevance of the research findings.</w:t>
      </w:r>
      <w:r w:rsidR="00187B76" w:rsidRPr="002B41B5">
        <w:rPr>
          <w:rFonts w:ascii="Arial" w:hAnsi="Arial" w:cs="Arial"/>
        </w:rPr>
        <w:t xml:space="preserve"> </w:t>
      </w:r>
    </w:p>
    <w:p w14:paraId="5F34C24C" w14:textId="77777777" w:rsidR="00EA1C7F" w:rsidRPr="002B41B5" w:rsidRDefault="00EA1C7F" w:rsidP="009C1931">
      <w:pPr>
        <w:spacing w:line="360" w:lineRule="auto"/>
        <w:rPr>
          <w:rFonts w:ascii="Arial" w:hAnsi="Arial" w:cs="Arial"/>
        </w:rPr>
      </w:pPr>
    </w:p>
    <w:p w14:paraId="01A59A28" w14:textId="3FCD1D98" w:rsidR="00EA1C7F" w:rsidRPr="002B41B5" w:rsidRDefault="00C42367" w:rsidP="009C1931">
      <w:pPr>
        <w:pStyle w:val="Heading2"/>
      </w:pPr>
      <w:bookmarkStart w:id="21" w:name="_Toc166263527"/>
      <w:r w:rsidRPr="002B41B5">
        <w:lastRenderedPageBreak/>
        <w:t xml:space="preserve">3.4 </w:t>
      </w:r>
      <w:r w:rsidR="001A07E6" w:rsidRPr="002B41B5">
        <w:t>Relevant Theories and Similar Studies</w:t>
      </w:r>
      <w:bookmarkEnd w:id="21"/>
    </w:p>
    <w:p w14:paraId="5E24E30A" w14:textId="77777777" w:rsidR="009649AA" w:rsidRPr="002B41B5" w:rsidRDefault="009649AA" w:rsidP="009C1931">
      <w:pPr>
        <w:spacing w:line="360" w:lineRule="auto"/>
        <w:rPr>
          <w:rFonts w:ascii="Arial" w:hAnsi="Arial" w:cs="Arial"/>
        </w:rPr>
      </w:pPr>
      <w:r w:rsidRPr="002B41B5">
        <w:rPr>
          <w:rFonts w:ascii="Arial" w:hAnsi="Arial" w:cs="Arial"/>
        </w:rPr>
        <w:t>The exploration of the dynamic interplay between real estate development and economic growth in Dubai is underpinned by several relevant theories and informed by similar studies in the field. These theoretical frameworks and empirical research not only provide a foundation for the current study but also guide the formulation of research questions and the interpretation of data.</w:t>
      </w:r>
    </w:p>
    <w:p w14:paraId="4826F111" w14:textId="77777777" w:rsidR="009649AA" w:rsidRPr="002B41B5" w:rsidRDefault="009649AA" w:rsidP="009C1931">
      <w:pPr>
        <w:spacing w:line="360" w:lineRule="auto"/>
        <w:rPr>
          <w:rFonts w:ascii="Arial" w:hAnsi="Arial" w:cs="Arial"/>
        </w:rPr>
      </w:pPr>
    </w:p>
    <w:p w14:paraId="18FAEB60" w14:textId="77777777" w:rsidR="009649AA" w:rsidRPr="009C1931" w:rsidRDefault="009649AA" w:rsidP="009C1931">
      <w:pPr>
        <w:spacing w:line="360" w:lineRule="auto"/>
        <w:rPr>
          <w:rFonts w:ascii="Arial" w:hAnsi="Arial" w:cs="Arial"/>
          <w:b/>
          <w:bCs/>
          <w:sz w:val="28"/>
          <w:szCs w:val="28"/>
        </w:rPr>
      </w:pPr>
      <w:r w:rsidRPr="009C1931">
        <w:rPr>
          <w:rFonts w:ascii="Arial" w:hAnsi="Arial" w:cs="Arial"/>
          <w:b/>
          <w:bCs/>
          <w:sz w:val="28"/>
          <w:szCs w:val="28"/>
        </w:rPr>
        <w:t>Relevant Theories</w:t>
      </w:r>
    </w:p>
    <w:p w14:paraId="6D247F50" w14:textId="77777777" w:rsidR="009649AA" w:rsidRPr="002B41B5" w:rsidRDefault="009649AA" w:rsidP="009C1931">
      <w:pPr>
        <w:spacing w:line="360" w:lineRule="auto"/>
        <w:rPr>
          <w:rFonts w:ascii="Arial" w:hAnsi="Arial" w:cs="Arial"/>
        </w:rPr>
      </w:pPr>
      <w:r w:rsidRPr="009C1931">
        <w:rPr>
          <w:rFonts w:ascii="Arial" w:hAnsi="Arial" w:cs="Arial"/>
          <w:b/>
          <w:bCs/>
          <w:sz w:val="28"/>
          <w:szCs w:val="28"/>
        </w:rPr>
        <w:t>Urban Economic Theory</w:t>
      </w:r>
      <w:r w:rsidRPr="009C1931">
        <w:rPr>
          <w:rFonts w:ascii="Arial" w:hAnsi="Arial" w:cs="Arial"/>
          <w:sz w:val="28"/>
          <w:szCs w:val="28"/>
        </w:rPr>
        <w:t>:</w:t>
      </w:r>
      <w:r w:rsidRPr="002B41B5">
        <w:rPr>
          <w:rFonts w:ascii="Arial" w:hAnsi="Arial" w:cs="Arial"/>
        </w:rPr>
        <w:t xml:space="preserve"> Urban economic theory, which explores the economic functions of cities and the impact of urban land use on economic development, offers critical insights into the study of real estate markets. This theory suggests that real estate development is both a driver and a consequence of economic growth, with land use patterns significantly influencing urban economic dynamics (McDonald &amp; McMillen, 2011). The application of urban economic theory to Dubai's context helps in understanding how the city's rapid urbanization and innovative land use strategies have spurred economic growth.</w:t>
      </w:r>
    </w:p>
    <w:p w14:paraId="2C351E2B" w14:textId="77777777" w:rsidR="009649AA" w:rsidRPr="002B41B5" w:rsidRDefault="009649AA" w:rsidP="009C1931">
      <w:pPr>
        <w:spacing w:line="360" w:lineRule="auto"/>
        <w:rPr>
          <w:rFonts w:ascii="Arial" w:hAnsi="Arial" w:cs="Arial"/>
        </w:rPr>
      </w:pPr>
    </w:p>
    <w:p w14:paraId="0CD32613" w14:textId="77777777" w:rsidR="009649AA" w:rsidRPr="002B41B5" w:rsidRDefault="009649AA" w:rsidP="009C1931">
      <w:pPr>
        <w:spacing w:line="360" w:lineRule="auto"/>
        <w:rPr>
          <w:rFonts w:ascii="Arial" w:hAnsi="Arial" w:cs="Arial"/>
        </w:rPr>
      </w:pPr>
      <w:r w:rsidRPr="009C1931">
        <w:rPr>
          <w:rFonts w:ascii="Arial" w:hAnsi="Arial" w:cs="Arial"/>
          <w:b/>
          <w:bCs/>
          <w:sz w:val="28"/>
          <w:szCs w:val="28"/>
        </w:rPr>
        <w:t>Growth Pole Theory</w:t>
      </w:r>
      <w:r w:rsidRPr="009C1931">
        <w:rPr>
          <w:rFonts w:ascii="Arial" w:hAnsi="Arial" w:cs="Arial"/>
          <w:sz w:val="28"/>
          <w:szCs w:val="28"/>
        </w:rPr>
        <w:t>:</w:t>
      </w:r>
      <w:r w:rsidRPr="002B41B5">
        <w:rPr>
          <w:rFonts w:ascii="Arial" w:hAnsi="Arial" w:cs="Arial"/>
        </w:rPr>
        <w:t xml:space="preserve"> Rooted in regional development economics, growth pole theory posits that economic development is not uniformly distributed but concentrated around key industries or sectors that act as catalysts for growth in their vicinity (Perroux, 1955). In the case of Dubai, the real estate sector can be viewed as a growth pole, attracting investment and stimulating development in related sectors such as construction, hospitality, and services.</w:t>
      </w:r>
    </w:p>
    <w:p w14:paraId="1B686133" w14:textId="77777777" w:rsidR="009649AA" w:rsidRPr="002B41B5" w:rsidRDefault="009649AA" w:rsidP="009C1931">
      <w:pPr>
        <w:spacing w:line="360" w:lineRule="auto"/>
        <w:rPr>
          <w:rFonts w:ascii="Arial" w:hAnsi="Arial" w:cs="Arial"/>
        </w:rPr>
      </w:pPr>
    </w:p>
    <w:p w14:paraId="0E65A125" w14:textId="7D9B6322" w:rsidR="009649AA" w:rsidRPr="002B41B5" w:rsidRDefault="009649AA" w:rsidP="009C1931">
      <w:pPr>
        <w:spacing w:line="360" w:lineRule="auto"/>
        <w:rPr>
          <w:rFonts w:ascii="Arial" w:hAnsi="Arial" w:cs="Arial"/>
        </w:rPr>
      </w:pPr>
      <w:r w:rsidRPr="009C1931">
        <w:rPr>
          <w:rFonts w:ascii="Arial" w:hAnsi="Arial" w:cs="Arial"/>
          <w:b/>
          <w:bCs/>
          <w:sz w:val="28"/>
          <w:szCs w:val="28"/>
        </w:rPr>
        <w:t>Sustainability and Development Theory</w:t>
      </w:r>
      <w:r w:rsidRPr="002B41B5">
        <w:rPr>
          <w:rFonts w:ascii="Arial" w:hAnsi="Arial" w:cs="Arial"/>
        </w:rPr>
        <w:t>: This theory emphasizes the importance of sustainable development practices within the real estate sector, balancing economic growth with environmental protection and social equity (Brundtland, 1987). Given Dubai's initiatives towards green buildings and sustainable urban development, this theory is relevant in analysing how sustainability concerns are integrated into the real estate market and their impact on economic growth.</w:t>
      </w:r>
    </w:p>
    <w:p w14:paraId="6BE3C415" w14:textId="77777777" w:rsidR="009649AA" w:rsidRPr="002B41B5" w:rsidRDefault="009649AA" w:rsidP="009C1931">
      <w:pPr>
        <w:spacing w:line="360" w:lineRule="auto"/>
        <w:rPr>
          <w:rFonts w:ascii="Arial" w:hAnsi="Arial" w:cs="Arial"/>
        </w:rPr>
      </w:pPr>
    </w:p>
    <w:p w14:paraId="701EF568" w14:textId="77777777" w:rsidR="00C34B81" w:rsidRDefault="00C34B81" w:rsidP="009C1931">
      <w:pPr>
        <w:spacing w:line="360" w:lineRule="auto"/>
        <w:rPr>
          <w:rFonts w:ascii="Arial" w:hAnsi="Arial" w:cs="Arial"/>
          <w:b/>
          <w:bCs/>
          <w:sz w:val="28"/>
          <w:szCs w:val="28"/>
        </w:rPr>
      </w:pPr>
    </w:p>
    <w:p w14:paraId="1BE649F3" w14:textId="2EA0F68B" w:rsidR="009649AA" w:rsidRPr="009C1931" w:rsidRDefault="009649AA" w:rsidP="009C1931">
      <w:pPr>
        <w:spacing w:line="360" w:lineRule="auto"/>
        <w:rPr>
          <w:rFonts w:ascii="Arial" w:hAnsi="Arial" w:cs="Arial"/>
          <w:b/>
          <w:bCs/>
          <w:sz w:val="28"/>
          <w:szCs w:val="28"/>
        </w:rPr>
      </w:pPr>
      <w:r w:rsidRPr="009C1931">
        <w:rPr>
          <w:rFonts w:ascii="Arial" w:hAnsi="Arial" w:cs="Arial"/>
          <w:b/>
          <w:bCs/>
          <w:sz w:val="28"/>
          <w:szCs w:val="28"/>
        </w:rPr>
        <w:lastRenderedPageBreak/>
        <w:t>Similar Studies</w:t>
      </w:r>
    </w:p>
    <w:p w14:paraId="6CAFAD8A" w14:textId="77777777" w:rsidR="009649AA" w:rsidRPr="002B41B5" w:rsidRDefault="009649AA" w:rsidP="009C1931">
      <w:pPr>
        <w:spacing w:line="360" w:lineRule="auto"/>
        <w:rPr>
          <w:rFonts w:ascii="Arial" w:hAnsi="Arial" w:cs="Arial"/>
        </w:rPr>
      </w:pPr>
      <w:r w:rsidRPr="002B41B5">
        <w:rPr>
          <w:rFonts w:ascii="Arial" w:hAnsi="Arial" w:cs="Arial"/>
        </w:rPr>
        <w:t>Several qualitative studies have explored the relationship between real estate development and economic growth in various contexts, providing valuable insights for the current research. For instance, a study by Ley (2003) on the impact of real estate investment on urban economic development highlights the role of speculative investment in shaping urban landscapes and economic outcomes. Similarly, research by Zhang and Fung (2006) on China's real estate market emphasizes the sector's significance in driving regional economic development and urban transformation.</w:t>
      </w:r>
    </w:p>
    <w:p w14:paraId="2AA1852A" w14:textId="77777777" w:rsidR="009649AA" w:rsidRPr="002B41B5" w:rsidRDefault="009649AA" w:rsidP="009C1931">
      <w:pPr>
        <w:spacing w:line="360" w:lineRule="auto"/>
        <w:rPr>
          <w:rFonts w:ascii="Arial" w:hAnsi="Arial" w:cs="Arial"/>
        </w:rPr>
      </w:pPr>
    </w:p>
    <w:p w14:paraId="117E63AB" w14:textId="77777777" w:rsidR="009649AA" w:rsidRPr="002B41B5" w:rsidRDefault="009649AA" w:rsidP="009C1931">
      <w:pPr>
        <w:spacing w:line="360" w:lineRule="auto"/>
        <w:rPr>
          <w:rFonts w:ascii="Arial" w:hAnsi="Arial" w:cs="Arial"/>
        </w:rPr>
      </w:pPr>
      <w:r w:rsidRPr="002B41B5">
        <w:rPr>
          <w:rFonts w:ascii="Arial" w:hAnsi="Arial" w:cs="Arial"/>
        </w:rPr>
        <w:t>In the context of the Middle East, studies like those by Al-</w:t>
      </w:r>
      <w:proofErr w:type="spellStart"/>
      <w:r w:rsidRPr="002B41B5">
        <w:rPr>
          <w:rFonts w:ascii="Arial" w:hAnsi="Arial" w:cs="Arial"/>
        </w:rPr>
        <w:t>Muharrami</w:t>
      </w:r>
      <w:proofErr w:type="spellEnd"/>
      <w:r w:rsidRPr="002B41B5">
        <w:rPr>
          <w:rFonts w:ascii="Arial" w:hAnsi="Arial" w:cs="Arial"/>
        </w:rPr>
        <w:t xml:space="preserve"> and Hardy (2013) offer an analysis of the real estate sector's contribution to economic diversification efforts in oil-dependent economies. These studies are instrumental in understanding the specific challenges and opportunities faced by Dubai's real estate market, providing a comparative perspective that enriches the current research.</w:t>
      </w:r>
    </w:p>
    <w:p w14:paraId="38C24E92" w14:textId="77777777" w:rsidR="009649AA" w:rsidRPr="002B41B5" w:rsidRDefault="009649AA" w:rsidP="009C1931">
      <w:pPr>
        <w:spacing w:line="360" w:lineRule="auto"/>
        <w:rPr>
          <w:rFonts w:ascii="Arial" w:hAnsi="Arial" w:cs="Arial"/>
        </w:rPr>
      </w:pPr>
    </w:p>
    <w:p w14:paraId="512F0035" w14:textId="77777777" w:rsidR="009649AA" w:rsidRPr="002B41B5" w:rsidRDefault="009649AA" w:rsidP="009C1931">
      <w:pPr>
        <w:spacing w:line="360" w:lineRule="auto"/>
        <w:rPr>
          <w:rFonts w:ascii="Arial" w:hAnsi="Arial" w:cs="Arial"/>
        </w:rPr>
      </w:pPr>
      <w:r w:rsidRPr="002B41B5">
        <w:rPr>
          <w:rFonts w:ascii="Arial" w:hAnsi="Arial" w:cs="Arial"/>
        </w:rPr>
        <w:t>The theoretical frameworks and empirical studies reviewed here are integral to the current study, offering insights into the complex mechanisms through which real estate development influences economic growth. By drawing on urban economic theory, growth pole theory, and sustainability and development theory, alongside insights from similar studies, this research aims to provide a nuanced analysis of Dubai's real estate sector. These theoretical and empirical foundations not only guide the formulation of research questions but also inform the interpretation of data, ensuring that the study contributes to a deeper understanding of the economic significance of real estate development in Dubai.</w:t>
      </w:r>
    </w:p>
    <w:p w14:paraId="220109E6" w14:textId="77777777" w:rsidR="002972CD" w:rsidRPr="002B41B5" w:rsidRDefault="002972CD" w:rsidP="009C1931">
      <w:pPr>
        <w:spacing w:line="360" w:lineRule="auto"/>
        <w:rPr>
          <w:rFonts w:ascii="Arial" w:hAnsi="Arial" w:cs="Arial"/>
        </w:rPr>
      </w:pPr>
    </w:p>
    <w:p w14:paraId="2D82B7FB" w14:textId="79DA4ED5" w:rsidR="002972CD" w:rsidRPr="002B41B5" w:rsidRDefault="00C42367" w:rsidP="009C1931">
      <w:pPr>
        <w:pStyle w:val="Heading2"/>
      </w:pPr>
      <w:bookmarkStart w:id="22" w:name="_Toc166263528"/>
      <w:r w:rsidRPr="002B41B5">
        <w:t xml:space="preserve">3.5 </w:t>
      </w:r>
      <w:r w:rsidR="002972CD" w:rsidRPr="002B41B5">
        <w:t>Thematic Analysis Technique</w:t>
      </w:r>
      <w:bookmarkEnd w:id="22"/>
    </w:p>
    <w:p w14:paraId="783CD03F" w14:textId="7BA7998A" w:rsidR="001C089F" w:rsidRPr="002B41B5" w:rsidRDefault="001C089F" w:rsidP="009C1931">
      <w:pPr>
        <w:spacing w:line="360" w:lineRule="auto"/>
        <w:rPr>
          <w:rFonts w:ascii="Arial" w:hAnsi="Arial" w:cs="Arial"/>
        </w:rPr>
      </w:pPr>
      <w:r w:rsidRPr="002B41B5">
        <w:rPr>
          <w:rFonts w:ascii="Arial" w:hAnsi="Arial" w:cs="Arial"/>
        </w:rPr>
        <w:t>Thematic analysis stands as a fundamental and flexible method for analysing qualitative data, offering a systematic approach to identifying, analysing, and reporting patterns (themes) within data. This technique is particularly valuable in social science research for its ability to distil complex data sets into interpretable insights, making it an apt choice for examining the multifaceted relationship between real estate development and economic growth in Dubai.</w:t>
      </w:r>
    </w:p>
    <w:p w14:paraId="500DF82C" w14:textId="77777777" w:rsidR="001C089F" w:rsidRPr="002B41B5" w:rsidRDefault="001C089F" w:rsidP="009C1931">
      <w:pPr>
        <w:spacing w:line="360" w:lineRule="auto"/>
        <w:rPr>
          <w:rFonts w:ascii="Arial" w:hAnsi="Arial" w:cs="Arial"/>
        </w:rPr>
      </w:pPr>
    </w:p>
    <w:p w14:paraId="42F6906B" w14:textId="77777777" w:rsidR="001C089F" w:rsidRPr="009C1931" w:rsidRDefault="001C089F" w:rsidP="009C1931">
      <w:pPr>
        <w:spacing w:line="360" w:lineRule="auto"/>
        <w:rPr>
          <w:rFonts w:ascii="Arial" w:hAnsi="Arial" w:cs="Arial"/>
          <w:b/>
          <w:bCs/>
          <w:sz w:val="28"/>
          <w:szCs w:val="28"/>
        </w:rPr>
      </w:pPr>
      <w:r w:rsidRPr="009C1931">
        <w:rPr>
          <w:rFonts w:ascii="Arial" w:hAnsi="Arial" w:cs="Arial"/>
          <w:b/>
          <w:bCs/>
          <w:sz w:val="28"/>
          <w:szCs w:val="28"/>
        </w:rPr>
        <w:t>The Process of Thematic Analysis</w:t>
      </w:r>
    </w:p>
    <w:p w14:paraId="080F29F2" w14:textId="77777777" w:rsidR="001C089F" w:rsidRPr="002B41B5" w:rsidRDefault="001C089F" w:rsidP="009C1931">
      <w:pPr>
        <w:spacing w:line="360" w:lineRule="auto"/>
        <w:rPr>
          <w:rFonts w:ascii="Arial" w:hAnsi="Arial" w:cs="Arial"/>
        </w:rPr>
      </w:pPr>
      <w:r w:rsidRPr="002B41B5">
        <w:rPr>
          <w:rFonts w:ascii="Arial" w:hAnsi="Arial" w:cs="Arial"/>
        </w:rPr>
        <w:t>The process of thematic analysis involves several key stages, as outlined by Braun and Clarke (2006). Initially, it requires the familiarization with the data, where researchers immerse themselves in the data through reading and re-reading the collected information, noting initial ideas. Following this, generating initial codes is conducted systematically across the entire data set, coding data segments relevant to the research questions.</w:t>
      </w:r>
    </w:p>
    <w:p w14:paraId="48C8F0EC" w14:textId="77777777" w:rsidR="001C089F" w:rsidRPr="002B41B5" w:rsidRDefault="001C089F" w:rsidP="009C1931">
      <w:pPr>
        <w:spacing w:line="360" w:lineRule="auto"/>
        <w:rPr>
          <w:rFonts w:ascii="Arial" w:hAnsi="Arial" w:cs="Arial"/>
        </w:rPr>
      </w:pPr>
    </w:p>
    <w:p w14:paraId="5FCF5690" w14:textId="77777777" w:rsidR="001C089F" w:rsidRPr="002B41B5" w:rsidRDefault="001C089F" w:rsidP="009C1931">
      <w:pPr>
        <w:spacing w:line="360" w:lineRule="auto"/>
        <w:rPr>
          <w:rFonts w:ascii="Arial" w:hAnsi="Arial" w:cs="Arial"/>
        </w:rPr>
      </w:pPr>
      <w:r w:rsidRPr="002B41B5">
        <w:rPr>
          <w:rFonts w:ascii="Arial" w:hAnsi="Arial" w:cs="Arial"/>
        </w:rPr>
        <w:t>The next stage involves searching for themes, where codes are collated into potential themes, gathering all data relevant to each potential theme. This is followed by reviewing themes, where themes are checked against the dataset to ensure they accurately represent the data, leading to the refinement of themes. The defining and naming themes stage further refines the specifics of each theme and the overall story they tell about the data, with a clear definition and name for each theme.</w:t>
      </w:r>
    </w:p>
    <w:p w14:paraId="3038C16F" w14:textId="77777777" w:rsidR="001C089F" w:rsidRPr="002B41B5" w:rsidRDefault="001C089F" w:rsidP="009C1931">
      <w:pPr>
        <w:spacing w:line="360" w:lineRule="auto"/>
        <w:rPr>
          <w:rFonts w:ascii="Arial" w:hAnsi="Arial" w:cs="Arial"/>
        </w:rPr>
      </w:pPr>
    </w:p>
    <w:p w14:paraId="66C28F84" w14:textId="77777777" w:rsidR="00E855A2" w:rsidRPr="002B41B5" w:rsidRDefault="00E855A2" w:rsidP="009C1931">
      <w:pPr>
        <w:spacing w:line="360" w:lineRule="auto"/>
        <w:rPr>
          <w:rFonts w:ascii="Arial" w:hAnsi="Arial" w:cs="Arial"/>
        </w:rPr>
      </w:pPr>
    </w:p>
    <w:p w14:paraId="5382C76C" w14:textId="10CE8D94" w:rsidR="00E855A2" w:rsidRPr="002B41B5" w:rsidRDefault="009C1931" w:rsidP="009C1931">
      <w:pPr>
        <w:spacing w:line="360" w:lineRule="auto"/>
        <w:jc w:val="center"/>
        <w:rPr>
          <w:rFonts w:ascii="Arial" w:hAnsi="Arial" w:cs="Arial"/>
        </w:rPr>
      </w:pPr>
      <w:r w:rsidRPr="002B41B5">
        <w:rPr>
          <w:rFonts w:ascii="Arial" w:hAnsi="Arial" w:cs="Arial"/>
          <w:noProof/>
        </w:rPr>
        <w:drawing>
          <wp:inline distT="0" distB="0" distL="0" distR="0" wp14:anchorId="5F1A26FA" wp14:editId="3BD83680">
            <wp:extent cx="5731510" cy="3340100"/>
            <wp:effectExtent l="0" t="0" r="2540" b="0"/>
            <wp:docPr id="198046708" name="Picture 1" descr="A visualization showing coding of qualitative data leads to codes, and an iterative comparison of codes leads to the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visualization showing coding of qualitative data leads to codes, and an iterative comparison of codes leads to themes."/>
                    <pic:cNvPicPr>
                      <a:picLocks noChangeAspect="1" noChangeArrowheads="1"/>
                    </pic:cNvPicPr>
                  </pic:nvPicPr>
                  <pic:blipFill rotWithShape="1">
                    <a:blip r:embed="rId10">
                      <a:extLst>
                        <a:ext uri="{28A0092B-C50C-407E-A947-70E740481C1C}">
                          <a14:useLocalDpi xmlns:a14="http://schemas.microsoft.com/office/drawing/2010/main" val="0"/>
                        </a:ext>
                      </a:extLst>
                    </a:blip>
                    <a:srcRect b="15972"/>
                    <a:stretch/>
                  </pic:blipFill>
                  <pic:spPr bwMode="auto">
                    <a:xfrm>
                      <a:off x="0" y="0"/>
                      <a:ext cx="5731510" cy="3340100"/>
                    </a:xfrm>
                    <a:prstGeom prst="rect">
                      <a:avLst/>
                    </a:prstGeom>
                    <a:noFill/>
                    <a:ln>
                      <a:noFill/>
                    </a:ln>
                    <a:extLst>
                      <a:ext uri="{53640926-AAD7-44D8-BBD7-CCE9431645EC}">
                        <a14:shadowObscured xmlns:a14="http://schemas.microsoft.com/office/drawing/2010/main"/>
                      </a:ext>
                    </a:extLst>
                  </pic:spPr>
                </pic:pic>
              </a:graphicData>
            </a:graphic>
          </wp:inline>
        </w:drawing>
      </w:r>
      <w:r w:rsidR="00E855A2" w:rsidRPr="002B41B5">
        <w:rPr>
          <w:rFonts w:ascii="Arial" w:hAnsi="Arial" w:cs="Arial"/>
        </w:rPr>
        <w:fldChar w:fldCharType="begin"/>
      </w:r>
      <w:r w:rsidR="00E855A2" w:rsidRPr="002B41B5">
        <w:rPr>
          <w:rFonts w:ascii="Arial" w:hAnsi="Arial" w:cs="Arial"/>
        </w:rPr>
        <w:instrText xml:space="preserve"> INCLUDEPICTURE "https://media.nngroup.com/media/editor/2022/08/17/thematic_analysis_overview.png" \* MERGEFORMATINET </w:instrText>
      </w:r>
      <w:r w:rsidR="00000000">
        <w:rPr>
          <w:rFonts w:ascii="Arial" w:hAnsi="Arial" w:cs="Arial"/>
        </w:rPr>
        <w:fldChar w:fldCharType="separate"/>
      </w:r>
      <w:r w:rsidR="00E855A2" w:rsidRPr="002B41B5">
        <w:rPr>
          <w:rFonts w:ascii="Arial" w:hAnsi="Arial" w:cs="Arial"/>
        </w:rPr>
        <w:fldChar w:fldCharType="end"/>
      </w:r>
    </w:p>
    <w:p w14:paraId="2EDE6641" w14:textId="5190CB38" w:rsidR="001848FA" w:rsidRPr="002B41B5" w:rsidRDefault="001848FA" w:rsidP="009C1931">
      <w:pPr>
        <w:pStyle w:val="Heading1"/>
      </w:pPr>
      <w:bookmarkStart w:id="23" w:name="_Toc166263529"/>
      <w:r w:rsidRPr="002B41B5">
        <w:t>Figure 2: Thematic Analysis</w:t>
      </w:r>
      <w:bookmarkEnd w:id="23"/>
    </w:p>
    <w:p w14:paraId="4807B503" w14:textId="5D26A6EB" w:rsidR="00E855A2" w:rsidRPr="002B41B5" w:rsidRDefault="00E855A2" w:rsidP="009C1931">
      <w:pPr>
        <w:spacing w:line="360" w:lineRule="auto"/>
        <w:jc w:val="center"/>
        <w:rPr>
          <w:rFonts w:ascii="Arial" w:hAnsi="Arial" w:cs="Arial"/>
        </w:rPr>
      </w:pPr>
      <w:r w:rsidRPr="002B41B5">
        <w:rPr>
          <w:rFonts w:ascii="Arial" w:hAnsi="Arial" w:cs="Arial"/>
          <w:b/>
          <w:bCs/>
        </w:rPr>
        <w:t>Source</w:t>
      </w:r>
      <w:r w:rsidRPr="002B41B5">
        <w:rPr>
          <w:rFonts w:ascii="Arial" w:hAnsi="Arial" w:cs="Arial"/>
        </w:rPr>
        <w:t>: (Rosala, 2024)</w:t>
      </w:r>
    </w:p>
    <w:p w14:paraId="5DD2B452" w14:textId="77777777" w:rsidR="00E855A2" w:rsidRPr="002B41B5" w:rsidRDefault="00E855A2" w:rsidP="009C1931">
      <w:pPr>
        <w:spacing w:line="360" w:lineRule="auto"/>
        <w:rPr>
          <w:rFonts w:ascii="Arial" w:hAnsi="Arial" w:cs="Arial"/>
        </w:rPr>
      </w:pPr>
    </w:p>
    <w:p w14:paraId="0C61811D" w14:textId="5B296348" w:rsidR="001C089F" w:rsidRPr="002B41B5" w:rsidRDefault="001C089F" w:rsidP="009C1931">
      <w:pPr>
        <w:spacing w:line="360" w:lineRule="auto"/>
        <w:rPr>
          <w:rFonts w:ascii="Arial" w:hAnsi="Arial" w:cs="Arial"/>
        </w:rPr>
      </w:pPr>
      <w:r w:rsidRPr="002B41B5">
        <w:rPr>
          <w:rFonts w:ascii="Arial" w:hAnsi="Arial" w:cs="Arial"/>
        </w:rPr>
        <w:t>Finally, the reporting phase involves weaving the analytic narrative, contextualizing the significance of the themes within the theoretical framework, and relating them back to the research questions and literature.</w:t>
      </w:r>
    </w:p>
    <w:p w14:paraId="2DEEAEDD" w14:textId="77777777" w:rsidR="006A4816" w:rsidRPr="002B41B5" w:rsidRDefault="006A4816" w:rsidP="009C1931">
      <w:pPr>
        <w:spacing w:line="360" w:lineRule="auto"/>
        <w:rPr>
          <w:rFonts w:ascii="Arial" w:hAnsi="Arial" w:cs="Arial"/>
        </w:rPr>
      </w:pPr>
    </w:p>
    <w:p w14:paraId="0F1A4869" w14:textId="77777777" w:rsidR="006A4816" w:rsidRPr="009C1931" w:rsidRDefault="006A4816" w:rsidP="009C1931">
      <w:pPr>
        <w:spacing w:line="360" w:lineRule="auto"/>
        <w:rPr>
          <w:rFonts w:ascii="Arial" w:hAnsi="Arial" w:cs="Arial"/>
          <w:b/>
          <w:bCs/>
          <w:sz w:val="28"/>
          <w:szCs w:val="28"/>
        </w:rPr>
      </w:pPr>
      <w:r w:rsidRPr="009C1931">
        <w:rPr>
          <w:rFonts w:ascii="Arial" w:hAnsi="Arial" w:cs="Arial"/>
          <w:b/>
          <w:bCs/>
          <w:sz w:val="28"/>
          <w:szCs w:val="28"/>
        </w:rPr>
        <w:t>Detailed Stages of Thematic Analysis</w:t>
      </w:r>
    </w:p>
    <w:p w14:paraId="7E58A464" w14:textId="77777777" w:rsidR="006A4816" w:rsidRPr="002B41B5" w:rsidRDefault="006A4816" w:rsidP="009C1931">
      <w:pPr>
        <w:pStyle w:val="ListParagraph"/>
        <w:numPr>
          <w:ilvl w:val="0"/>
          <w:numId w:val="4"/>
        </w:numPr>
        <w:spacing w:line="360" w:lineRule="auto"/>
        <w:ind w:left="360"/>
        <w:rPr>
          <w:rFonts w:ascii="Arial" w:hAnsi="Arial" w:cs="Arial"/>
        </w:rPr>
      </w:pPr>
      <w:r w:rsidRPr="002B41B5">
        <w:rPr>
          <w:rFonts w:ascii="Arial" w:hAnsi="Arial" w:cs="Arial"/>
          <w:b/>
          <w:bCs/>
        </w:rPr>
        <w:t>Data Familiarization</w:t>
      </w:r>
      <w:r w:rsidRPr="002B41B5">
        <w:rPr>
          <w:rFonts w:ascii="Arial" w:hAnsi="Arial" w:cs="Arial"/>
        </w:rPr>
        <w:t>: The first step involves immersing oneself deeply in the data, which may include transcribed interviews, field notes, documents, and reports. This stage is crucial for developing an intuitive understanding of the content, context, and potential insights that the data may hold. Researchers engage in repeated reading sessions, jotting down initial thoughts and observations that might inform subsequent coding (Braun &amp; Clarke, 2006).</w:t>
      </w:r>
    </w:p>
    <w:p w14:paraId="29A79A63" w14:textId="77777777" w:rsidR="006A4816" w:rsidRPr="002B41B5" w:rsidRDefault="006A4816" w:rsidP="009C1931">
      <w:pPr>
        <w:spacing w:line="360" w:lineRule="auto"/>
        <w:rPr>
          <w:rFonts w:ascii="Arial" w:hAnsi="Arial" w:cs="Arial"/>
        </w:rPr>
      </w:pPr>
    </w:p>
    <w:p w14:paraId="1DDA8209" w14:textId="77777777" w:rsidR="006A4816" w:rsidRPr="002B41B5" w:rsidRDefault="006A4816" w:rsidP="009C1931">
      <w:pPr>
        <w:pStyle w:val="ListParagraph"/>
        <w:numPr>
          <w:ilvl w:val="0"/>
          <w:numId w:val="4"/>
        </w:numPr>
        <w:spacing w:line="360" w:lineRule="auto"/>
        <w:ind w:left="360"/>
        <w:rPr>
          <w:rFonts w:ascii="Arial" w:hAnsi="Arial" w:cs="Arial"/>
        </w:rPr>
      </w:pPr>
      <w:r w:rsidRPr="002B41B5">
        <w:rPr>
          <w:rFonts w:ascii="Arial" w:hAnsi="Arial" w:cs="Arial"/>
          <w:b/>
          <w:bCs/>
        </w:rPr>
        <w:t>Generating Initial Codes</w:t>
      </w:r>
      <w:r w:rsidRPr="002B41B5">
        <w:rPr>
          <w:rFonts w:ascii="Arial" w:hAnsi="Arial" w:cs="Arial"/>
        </w:rPr>
        <w:t>: Coding is the process of systematically categorizing data segments that relate to the research question or represent interesting features of the data. Codes are generated by annotating the data with labels that summarize the essence of each data segment. This process is iterative and requires the researcher to be both methodical and creative, ensuring that codes capture the multifaceted nature of the data.</w:t>
      </w:r>
    </w:p>
    <w:p w14:paraId="62BB6457" w14:textId="77777777" w:rsidR="006A4816" w:rsidRPr="002B41B5" w:rsidRDefault="006A4816" w:rsidP="009C1931">
      <w:pPr>
        <w:spacing w:line="360" w:lineRule="auto"/>
        <w:rPr>
          <w:rFonts w:ascii="Arial" w:hAnsi="Arial" w:cs="Arial"/>
        </w:rPr>
      </w:pPr>
    </w:p>
    <w:p w14:paraId="4A054BF9" w14:textId="77777777" w:rsidR="006A4816" w:rsidRPr="002B41B5" w:rsidRDefault="006A4816" w:rsidP="009C1931">
      <w:pPr>
        <w:pStyle w:val="ListParagraph"/>
        <w:numPr>
          <w:ilvl w:val="0"/>
          <w:numId w:val="4"/>
        </w:numPr>
        <w:spacing w:line="360" w:lineRule="auto"/>
        <w:ind w:left="360"/>
        <w:rPr>
          <w:rFonts w:ascii="Arial" w:hAnsi="Arial" w:cs="Arial"/>
        </w:rPr>
      </w:pPr>
      <w:r w:rsidRPr="002B41B5">
        <w:rPr>
          <w:rFonts w:ascii="Arial" w:hAnsi="Arial" w:cs="Arial"/>
          <w:b/>
          <w:bCs/>
        </w:rPr>
        <w:t>Searching for Themes</w:t>
      </w:r>
      <w:r w:rsidRPr="002B41B5">
        <w:rPr>
          <w:rFonts w:ascii="Arial" w:hAnsi="Arial" w:cs="Arial"/>
        </w:rPr>
        <w:t>: Here, codes are sorted into potential themes, which represent broader patterns across the data set. This involves a conceptual step back from the data, where the researcher begins to identify how codes combine to form overarching themes that reflect the data's underlying dimensions.</w:t>
      </w:r>
    </w:p>
    <w:p w14:paraId="48407EA7" w14:textId="77777777" w:rsidR="006A4816" w:rsidRPr="002B41B5" w:rsidRDefault="006A4816" w:rsidP="009C1931">
      <w:pPr>
        <w:spacing w:line="360" w:lineRule="auto"/>
        <w:rPr>
          <w:rFonts w:ascii="Arial" w:hAnsi="Arial" w:cs="Arial"/>
        </w:rPr>
      </w:pPr>
    </w:p>
    <w:p w14:paraId="6D47956C" w14:textId="77777777" w:rsidR="006A4816" w:rsidRPr="002B41B5" w:rsidRDefault="006A4816" w:rsidP="009C1931">
      <w:pPr>
        <w:pStyle w:val="ListParagraph"/>
        <w:numPr>
          <w:ilvl w:val="0"/>
          <w:numId w:val="4"/>
        </w:numPr>
        <w:spacing w:line="360" w:lineRule="auto"/>
        <w:ind w:left="360"/>
        <w:rPr>
          <w:rFonts w:ascii="Arial" w:hAnsi="Arial" w:cs="Arial"/>
        </w:rPr>
      </w:pPr>
      <w:r w:rsidRPr="002B41B5">
        <w:rPr>
          <w:rFonts w:ascii="Arial" w:hAnsi="Arial" w:cs="Arial"/>
          <w:b/>
          <w:bCs/>
        </w:rPr>
        <w:t>Reviewing Themes</w:t>
      </w:r>
      <w:r w:rsidRPr="002B41B5">
        <w:rPr>
          <w:rFonts w:ascii="Arial" w:hAnsi="Arial" w:cs="Arial"/>
        </w:rPr>
        <w:t>: This critical stage involves evaluating the coherence and relevance of identified themes. It may require the researcher to revisit the data set, refining and splitting themes as necessary. This ensures that themes accurately represent the data and are relevant to the research questions. The aim is to develop a thematic map that visually represents the relationships between themes (Braun &amp; Clarke, 2006).</w:t>
      </w:r>
    </w:p>
    <w:p w14:paraId="6E3C3862" w14:textId="77777777" w:rsidR="006A4816" w:rsidRPr="002B41B5" w:rsidRDefault="006A4816" w:rsidP="009C1931">
      <w:pPr>
        <w:spacing w:line="360" w:lineRule="auto"/>
        <w:rPr>
          <w:rFonts w:ascii="Arial" w:hAnsi="Arial" w:cs="Arial"/>
        </w:rPr>
      </w:pPr>
    </w:p>
    <w:p w14:paraId="174BF3E0" w14:textId="77777777" w:rsidR="006A4816" w:rsidRPr="002B41B5" w:rsidRDefault="006A4816" w:rsidP="009C1931">
      <w:pPr>
        <w:pStyle w:val="ListParagraph"/>
        <w:numPr>
          <w:ilvl w:val="0"/>
          <w:numId w:val="4"/>
        </w:numPr>
        <w:spacing w:line="360" w:lineRule="auto"/>
        <w:ind w:left="360"/>
        <w:rPr>
          <w:rFonts w:ascii="Arial" w:hAnsi="Arial" w:cs="Arial"/>
        </w:rPr>
      </w:pPr>
      <w:r w:rsidRPr="002B41B5">
        <w:rPr>
          <w:rFonts w:ascii="Arial" w:hAnsi="Arial" w:cs="Arial"/>
          <w:b/>
          <w:bCs/>
        </w:rPr>
        <w:lastRenderedPageBreak/>
        <w:t>Defining and Naming Themes</w:t>
      </w:r>
      <w:r w:rsidRPr="002B41B5">
        <w:rPr>
          <w:rFonts w:ascii="Arial" w:hAnsi="Arial" w:cs="Arial"/>
        </w:rPr>
        <w:t>: Once themes have been reviewed and refined, each theme is clearly defined and named. This process entails writing a detailed analysis for each theme, describing what the theme captures and how it relates to the research question and literature. This stage solidifies the thematic framework that will structure the results section of the research.</w:t>
      </w:r>
    </w:p>
    <w:p w14:paraId="57D79DFB" w14:textId="77777777" w:rsidR="006A4816" w:rsidRPr="002B41B5" w:rsidRDefault="006A4816" w:rsidP="009C1931">
      <w:pPr>
        <w:spacing w:line="360" w:lineRule="auto"/>
        <w:rPr>
          <w:rFonts w:ascii="Arial" w:hAnsi="Arial" w:cs="Arial"/>
        </w:rPr>
      </w:pPr>
    </w:p>
    <w:p w14:paraId="65ED193E" w14:textId="78EDD216" w:rsidR="006A4816" w:rsidRPr="002B41B5" w:rsidRDefault="006A4816" w:rsidP="009C1931">
      <w:pPr>
        <w:pStyle w:val="ListParagraph"/>
        <w:numPr>
          <w:ilvl w:val="0"/>
          <w:numId w:val="4"/>
        </w:numPr>
        <w:spacing w:line="360" w:lineRule="auto"/>
        <w:ind w:left="360"/>
        <w:rPr>
          <w:rFonts w:ascii="Arial" w:hAnsi="Arial" w:cs="Arial"/>
        </w:rPr>
      </w:pPr>
      <w:r w:rsidRPr="002B41B5">
        <w:rPr>
          <w:rFonts w:ascii="Arial" w:hAnsi="Arial" w:cs="Arial"/>
          <w:b/>
          <w:bCs/>
        </w:rPr>
        <w:t>Producing the Report</w:t>
      </w:r>
      <w:r w:rsidRPr="002B41B5">
        <w:rPr>
          <w:rFonts w:ascii="Arial" w:hAnsi="Arial" w:cs="Arial"/>
        </w:rPr>
        <w:t>: The final stage involves weaving the thematic analysis into a coherent narrative that ties back to the research questions and the theoretical framework. It requires skilful writing to present the themes in a way that is compelling, informative, and grounded in the data. This narrative should highlight the significance of the findings and their implications for understanding the dynamics of real estate development and economic growth in Dubai.</w:t>
      </w:r>
    </w:p>
    <w:p w14:paraId="13A2FB72" w14:textId="77777777" w:rsidR="001C089F" w:rsidRPr="002B41B5" w:rsidRDefault="001C089F" w:rsidP="009C1931">
      <w:pPr>
        <w:spacing w:line="360" w:lineRule="auto"/>
        <w:rPr>
          <w:rFonts w:ascii="Arial" w:hAnsi="Arial" w:cs="Arial"/>
        </w:rPr>
      </w:pPr>
    </w:p>
    <w:p w14:paraId="6E9509F2" w14:textId="77777777" w:rsidR="001C089F" w:rsidRPr="009C1931" w:rsidRDefault="001C089F" w:rsidP="009C1931">
      <w:pPr>
        <w:spacing w:line="360" w:lineRule="auto"/>
        <w:rPr>
          <w:rFonts w:ascii="Arial" w:hAnsi="Arial" w:cs="Arial"/>
          <w:b/>
          <w:bCs/>
          <w:sz w:val="28"/>
          <w:szCs w:val="28"/>
        </w:rPr>
      </w:pPr>
      <w:r w:rsidRPr="009C1931">
        <w:rPr>
          <w:rFonts w:ascii="Arial" w:hAnsi="Arial" w:cs="Arial"/>
          <w:b/>
          <w:bCs/>
          <w:sz w:val="28"/>
          <w:szCs w:val="28"/>
        </w:rPr>
        <w:t>Application in the Current Study</w:t>
      </w:r>
    </w:p>
    <w:p w14:paraId="66AB7855" w14:textId="77777777" w:rsidR="001C089F" w:rsidRPr="002B41B5" w:rsidRDefault="001C089F" w:rsidP="009C1931">
      <w:pPr>
        <w:spacing w:line="360" w:lineRule="auto"/>
        <w:rPr>
          <w:rFonts w:ascii="Arial" w:hAnsi="Arial" w:cs="Arial"/>
        </w:rPr>
      </w:pPr>
      <w:r w:rsidRPr="002B41B5">
        <w:rPr>
          <w:rFonts w:ascii="Arial" w:hAnsi="Arial" w:cs="Arial"/>
        </w:rPr>
        <w:t>In applying thematic analysis to this research on Dubai's real estate market, the technique will enable a nuanced exploration of how different stakeholders perceive the impact of real estate development on economic growth. Interviews with policymakers, investors, developers, and residents, alongside analysis of policy documents and industry reports, will provide a rich data set. Thematic analysis will facilitate the identification of common patterns across these data sources, highlighting themes such as the role of government policy, the impact of global economic trends, and sustainability practices within the real estate sector.</w:t>
      </w:r>
    </w:p>
    <w:p w14:paraId="5B34329D" w14:textId="77777777" w:rsidR="001C089F" w:rsidRPr="002B41B5" w:rsidRDefault="001C089F" w:rsidP="009C1931">
      <w:pPr>
        <w:spacing w:line="360" w:lineRule="auto"/>
        <w:rPr>
          <w:rFonts w:ascii="Arial" w:hAnsi="Arial" w:cs="Arial"/>
        </w:rPr>
      </w:pPr>
    </w:p>
    <w:p w14:paraId="68C2439E" w14:textId="6F48D0E7" w:rsidR="002972CD" w:rsidRPr="002B41B5" w:rsidRDefault="001C089F" w:rsidP="009C1931">
      <w:pPr>
        <w:spacing w:line="360" w:lineRule="auto"/>
        <w:rPr>
          <w:rFonts w:ascii="Arial" w:hAnsi="Arial" w:cs="Arial"/>
        </w:rPr>
      </w:pPr>
      <w:r w:rsidRPr="002B41B5">
        <w:rPr>
          <w:rFonts w:ascii="Arial" w:hAnsi="Arial" w:cs="Arial"/>
        </w:rPr>
        <w:t>Thematic analysis's flexibility and inclusivity make it particularly suited to this study, allowing for the incorporation of diverse perspectives and the exploration of underlying mechanisms driving the real estate market's economic implications. By systematically identifying and analysing themes, the research aims to offer comprehensive insights into the complexities of Dubai's real estate sector and its broader economic impacts.</w:t>
      </w:r>
    </w:p>
    <w:p w14:paraId="128D8019" w14:textId="77777777" w:rsidR="006572D1" w:rsidRPr="002B41B5" w:rsidRDefault="006572D1" w:rsidP="009C1931">
      <w:pPr>
        <w:spacing w:line="360" w:lineRule="auto"/>
        <w:rPr>
          <w:rFonts w:ascii="Arial" w:hAnsi="Arial" w:cs="Arial"/>
        </w:rPr>
      </w:pPr>
    </w:p>
    <w:p w14:paraId="6ADA7B86" w14:textId="339C2AF6" w:rsidR="006572D1" w:rsidRPr="002B41B5" w:rsidRDefault="00C42367" w:rsidP="009C1931">
      <w:pPr>
        <w:pStyle w:val="Heading2"/>
      </w:pPr>
      <w:bookmarkStart w:id="24" w:name="_Toc166263530"/>
      <w:r w:rsidRPr="002B41B5">
        <w:t xml:space="preserve">3.6 </w:t>
      </w:r>
      <w:r w:rsidR="006572D1" w:rsidRPr="002B41B5">
        <w:t>Conclusion</w:t>
      </w:r>
      <w:bookmarkEnd w:id="24"/>
    </w:p>
    <w:p w14:paraId="19803A17" w14:textId="77777777" w:rsidR="003F48BF" w:rsidRPr="002B41B5" w:rsidRDefault="003F48BF" w:rsidP="009C1931">
      <w:pPr>
        <w:spacing w:line="360" w:lineRule="auto"/>
        <w:ind w:firstLine="720"/>
        <w:rPr>
          <w:rFonts w:ascii="Arial" w:hAnsi="Arial" w:cs="Arial"/>
        </w:rPr>
      </w:pPr>
      <w:r w:rsidRPr="002B41B5">
        <w:rPr>
          <w:rFonts w:ascii="Arial" w:hAnsi="Arial" w:cs="Arial"/>
        </w:rPr>
        <w:t xml:space="preserve">The methodology chapter has outlined the rationale and approach for conducting this research on the interplay between Dubai's real estate market and its </w:t>
      </w:r>
      <w:r w:rsidRPr="002B41B5">
        <w:rPr>
          <w:rFonts w:ascii="Arial" w:hAnsi="Arial" w:cs="Arial"/>
        </w:rPr>
        <w:lastRenderedPageBreak/>
        <w:t>economic growth. Through a detailed discussion of qualitative methodologies, the justification for their selection, and the implementation of secondary research and thematic analysis, this chapter establishes a solid foundation for the study. The qualitative approach, chosen for its strength in exploring complex social phenomena and capturing in-depth insights, is particularly suited to examining the nuanced dynamics of real estate development and economic indicators in Dubai. Thematic analysis, as the chosen method for data analysis, will enable the systematic identification and interpretation of themes within qualitative data, ensuring a rich, contextual understanding of the research questions.</w:t>
      </w:r>
    </w:p>
    <w:p w14:paraId="67414E62" w14:textId="77777777" w:rsidR="003F48BF" w:rsidRPr="002B41B5" w:rsidRDefault="003F48BF" w:rsidP="009C1931">
      <w:pPr>
        <w:spacing w:line="360" w:lineRule="auto"/>
        <w:rPr>
          <w:rFonts w:ascii="Arial" w:hAnsi="Arial" w:cs="Arial"/>
        </w:rPr>
      </w:pPr>
    </w:p>
    <w:p w14:paraId="4109A583" w14:textId="4816242B" w:rsidR="00C42367" w:rsidRPr="002B41B5" w:rsidRDefault="003F48BF" w:rsidP="009C1931">
      <w:pPr>
        <w:spacing w:line="360" w:lineRule="auto"/>
        <w:rPr>
          <w:rFonts w:ascii="Arial" w:hAnsi="Arial" w:cs="Arial"/>
        </w:rPr>
      </w:pPr>
      <w:r w:rsidRPr="002B41B5">
        <w:rPr>
          <w:rFonts w:ascii="Arial" w:hAnsi="Arial" w:cs="Arial"/>
        </w:rPr>
        <w:t>This methodology underscores the importance of a rigorous and systematic approach in enhancing the depth, reliability, and validity of the study's findings. By adhering to these methodological principles, the research aims to contribute meaningful insights into the economic implications of real estate development in Dubai, offering valuable perspectives for policymakers, investors, and scholars interested in urban economic growth and real estate dynamics.</w:t>
      </w:r>
    </w:p>
    <w:p w14:paraId="14765DD1" w14:textId="77777777" w:rsidR="00C42367" w:rsidRPr="002B41B5" w:rsidRDefault="00C42367" w:rsidP="009C1931">
      <w:pPr>
        <w:spacing w:line="360" w:lineRule="auto"/>
        <w:jc w:val="left"/>
        <w:rPr>
          <w:rFonts w:ascii="Arial" w:hAnsi="Arial" w:cs="Arial"/>
        </w:rPr>
      </w:pPr>
      <w:r w:rsidRPr="002B41B5">
        <w:rPr>
          <w:rFonts w:ascii="Arial" w:hAnsi="Arial" w:cs="Arial"/>
        </w:rPr>
        <w:br w:type="page"/>
      </w:r>
    </w:p>
    <w:p w14:paraId="73E39BFF" w14:textId="77777777" w:rsidR="00C42367" w:rsidRPr="002B41B5" w:rsidRDefault="00C42367" w:rsidP="009C1931">
      <w:pPr>
        <w:pStyle w:val="Heading1"/>
        <w:sectPr w:rsidR="00C42367" w:rsidRPr="002B41B5" w:rsidSect="00030684">
          <w:headerReference w:type="default" r:id="rId11"/>
          <w:footerReference w:type="default" r:id="rId12"/>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BF9C663" w14:textId="77777777" w:rsidR="00C42367" w:rsidRPr="002B41B5" w:rsidRDefault="00C42367" w:rsidP="009C1931">
      <w:pPr>
        <w:pStyle w:val="Heading1"/>
      </w:pPr>
      <w:bookmarkStart w:id="25" w:name="_Toc166263531"/>
      <w:r w:rsidRPr="002B41B5">
        <w:lastRenderedPageBreak/>
        <w:t>Chapter 4: Results</w:t>
      </w:r>
      <w:bookmarkEnd w:id="25"/>
    </w:p>
    <w:p w14:paraId="583C84ED" w14:textId="77777777" w:rsidR="00C42367" w:rsidRPr="002B41B5" w:rsidRDefault="00C42367" w:rsidP="009C1931">
      <w:pPr>
        <w:pStyle w:val="Heading2"/>
        <w:rPr>
          <w:lang w:val="en-US"/>
        </w:rPr>
      </w:pPr>
      <w:bookmarkStart w:id="26" w:name="_Toc166263532"/>
      <w:r w:rsidRPr="002B41B5">
        <w:rPr>
          <w:lang w:val="en-US"/>
        </w:rPr>
        <w:t>4.1 Summary of Key Findings</w:t>
      </w:r>
      <w:bookmarkEnd w:id="26"/>
      <w:r w:rsidRPr="002B41B5">
        <w:rPr>
          <w:lang w:val="en-US"/>
        </w:rPr>
        <w:t xml:space="preserve"> </w:t>
      </w:r>
    </w:p>
    <w:tbl>
      <w:tblPr>
        <w:tblStyle w:val="TableGrid"/>
        <w:tblW w:w="0" w:type="auto"/>
        <w:tblLook w:val="04A0" w:firstRow="1" w:lastRow="0" w:firstColumn="1" w:lastColumn="0" w:noHBand="0" w:noVBand="1"/>
      </w:tblPr>
      <w:tblGrid>
        <w:gridCol w:w="977"/>
        <w:gridCol w:w="2084"/>
        <w:gridCol w:w="927"/>
        <w:gridCol w:w="2673"/>
        <w:gridCol w:w="7287"/>
      </w:tblGrid>
      <w:tr w:rsidR="00C42367" w:rsidRPr="002B41B5" w14:paraId="0F129E16" w14:textId="77777777" w:rsidTr="00692DCB">
        <w:tc>
          <w:tcPr>
            <w:tcW w:w="853" w:type="dxa"/>
          </w:tcPr>
          <w:p w14:paraId="24C46472"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No. of studies</w:t>
            </w:r>
          </w:p>
        </w:tc>
        <w:tc>
          <w:tcPr>
            <w:tcW w:w="1744" w:type="dxa"/>
          </w:tcPr>
          <w:p w14:paraId="1D4E35EB"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Study (Author)</w:t>
            </w:r>
          </w:p>
        </w:tc>
        <w:tc>
          <w:tcPr>
            <w:tcW w:w="942" w:type="dxa"/>
          </w:tcPr>
          <w:p w14:paraId="5C773D4E"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Year</w:t>
            </w:r>
          </w:p>
        </w:tc>
        <w:tc>
          <w:tcPr>
            <w:tcW w:w="2693" w:type="dxa"/>
          </w:tcPr>
          <w:p w14:paraId="6577B75E"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Title</w:t>
            </w:r>
          </w:p>
        </w:tc>
        <w:tc>
          <w:tcPr>
            <w:tcW w:w="7716" w:type="dxa"/>
          </w:tcPr>
          <w:p w14:paraId="3CC28FC7"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Theme</w:t>
            </w:r>
          </w:p>
        </w:tc>
      </w:tr>
      <w:tr w:rsidR="00C42367" w:rsidRPr="002B41B5" w14:paraId="4F77B067" w14:textId="77777777" w:rsidTr="00692DCB">
        <w:tc>
          <w:tcPr>
            <w:tcW w:w="853" w:type="dxa"/>
          </w:tcPr>
          <w:p w14:paraId="58476ED5"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1.</w:t>
            </w:r>
          </w:p>
        </w:tc>
        <w:tc>
          <w:tcPr>
            <w:tcW w:w="1744" w:type="dxa"/>
          </w:tcPr>
          <w:p w14:paraId="4773CE1A"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Abul and Al-Kandari (2020)</w:t>
            </w:r>
          </w:p>
        </w:tc>
        <w:tc>
          <w:tcPr>
            <w:tcW w:w="942" w:type="dxa"/>
          </w:tcPr>
          <w:p w14:paraId="40B6846D"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2020</w:t>
            </w:r>
          </w:p>
        </w:tc>
        <w:tc>
          <w:tcPr>
            <w:tcW w:w="2693" w:type="dxa"/>
          </w:tcPr>
          <w:p w14:paraId="3503204A"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REAL ESTATE MARKET AND MACROECONOMIC FACTORS IN KUWAIT: AN ARDL APPROACH.</w:t>
            </w:r>
          </w:p>
        </w:tc>
        <w:tc>
          <w:tcPr>
            <w:tcW w:w="7716" w:type="dxa"/>
          </w:tcPr>
          <w:p w14:paraId="53FA96CA"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This study employed the ARDL model to analyze what links macroeconomic variables to Kuwait's real estate market. The Kuwaiti real estate market is examined using GDP, inflation, and interest rates. Their essay details these linkages to help investors and politicians make informed decisions. These findings illuminate the Kuwaiti real estate market and guide government investments and policy.</w:t>
            </w:r>
          </w:p>
        </w:tc>
      </w:tr>
      <w:tr w:rsidR="00C42367" w:rsidRPr="002B41B5" w14:paraId="4D9CDA5A" w14:textId="77777777" w:rsidTr="00692DCB">
        <w:tc>
          <w:tcPr>
            <w:tcW w:w="853" w:type="dxa"/>
          </w:tcPr>
          <w:p w14:paraId="3DB74446"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w:t>
            </w:r>
          </w:p>
        </w:tc>
        <w:tc>
          <w:tcPr>
            <w:tcW w:w="1744" w:type="dxa"/>
          </w:tcPr>
          <w:p w14:paraId="3AC2F7A3"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Adel (2022)</w:t>
            </w:r>
          </w:p>
        </w:tc>
        <w:tc>
          <w:tcPr>
            <w:tcW w:w="942" w:type="dxa"/>
          </w:tcPr>
          <w:p w14:paraId="64A3099F"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2022</w:t>
            </w:r>
          </w:p>
        </w:tc>
        <w:tc>
          <w:tcPr>
            <w:tcW w:w="2693" w:type="dxa"/>
          </w:tcPr>
          <w:p w14:paraId="5DB4F7B2"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The Impact of The Real Estate Market in The Urban Development of Cities and Driving Economic Growth in Dubai/Cairo.</w:t>
            </w:r>
          </w:p>
        </w:tc>
        <w:tc>
          <w:tcPr>
            <w:tcW w:w="7716" w:type="dxa"/>
          </w:tcPr>
          <w:p w14:paraId="028F46D4"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This study examines how real estate affects Cairo and Dubai's economy and environments. Adel says improving city planning demands real estate investments. Real estate investments boost economic growth and infrastructure, according to extensive studies. Dubai's skyline has changed as it grows globally due to ambitious real estate initiatives.</w:t>
            </w:r>
          </w:p>
        </w:tc>
      </w:tr>
      <w:tr w:rsidR="00C42367" w:rsidRPr="002B41B5" w14:paraId="72A297CF" w14:textId="77777777" w:rsidTr="00692DCB">
        <w:tc>
          <w:tcPr>
            <w:tcW w:w="853" w:type="dxa"/>
          </w:tcPr>
          <w:p w14:paraId="15719667"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3.</w:t>
            </w:r>
          </w:p>
        </w:tc>
        <w:tc>
          <w:tcPr>
            <w:tcW w:w="1744" w:type="dxa"/>
          </w:tcPr>
          <w:p w14:paraId="41A3A085"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Ahmed et al. (2020)</w:t>
            </w:r>
          </w:p>
        </w:tc>
        <w:tc>
          <w:tcPr>
            <w:tcW w:w="942" w:type="dxa"/>
          </w:tcPr>
          <w:p w14:paraId="3D51E383"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2020</w:t>
            </w:r>
          </w:p>
        </w:tc>
        <w:tc>
          <w:tcPr>
            <w:tcW w:w="2693" w:type="dxa"/>
          </w:tcPr>
          <w:p w14:paraId="0991E03A"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 xml:space="preserve">Dubai House Prices and Macroeconomic </w:t>
            </w:r>
            <w:r w:rsidRPr="002B41B5">
              <w:rPr>
                <w:rFonts w:ascii="Arial" w:hAnsi="Arial" w:cs="Arial"/>
                <w:sz w:val="24"/>
                <w:szCs w:val="24"/>
                <w:lang w:val="en-US"/>
              </w:rPr>
              <w:lastRenderedPageBreak/>
              <w:t>Fluctuations: A Time Series Analysis.</w:t>
            </w:r>
          </w:p>
        </w:tc>
        <w:tc>
          <w:tcPr>
            <w:tcW w:w="7716" w:type="dxa"/>
          </w:tcPr>
          <w:p w14:paraId="3C53B70F"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lastRenderedPageBreak/>
              <w:t xml:space="preserve">This study employed time series analysis to study Dubai's housing market and macroeconomic variables. Their research illuminates </w:t>
            </w:r>
            <w:r w:rsidRPr="002B41B5">
              <w:rPr>
                <w:rFonts w:ascii="Arial" w:hAnsi="Arial" w:cs="Arial"/>
                <w:sz w:val="24"/>
                <w:szCs w:val="24"/>
                <w:lang w:val="en-US"/>
              </w:rPr>
              <w:lastRenderedPageBreak/>
              <w:t>the many ways economic uncertainty and other factors affect real estate markets. Their analysis shows direct correlations, making the complex real estate investment market easier to manage during recessions. By examining Dubai property values and global economic instability, they hope to better understand economic resiliency and market sustainability.</w:t>
            </w:r>
          </w:p>
        </w:tc>
      </w:tr>
      <w:tr w:rsidR="00C42367" w:rsidRPr="002B41B5" w14:paraId="1811C21A" w14:textId="77777777" w:rsidTr="00692DCB">
        <w:tc>
          <w:tcPr>
            <w:tcW w:w="853" w:type="dxa"/>
          </w:tcPr>
          <w:p w14:paraId="62A6C679"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lastRenderedPageBreak/>
              <w:t>4.</w:t>
            </w:r>
          </w:p>
        </w:tc>
        <w:tc>
          <w:tcPr>
            <w:tcW w:w="1744" w:type="dxa"/>
          </w:tcPr>
          <w:p w14:paraId="33190DEA"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Al Refai et al. (2021)</w:t>
            </w:r>
          </w:p>
        </w:tc>
        <w:tc>
          <w:tcPr>
            <w:tcW w:w="942" w:type="dxa"/>
          </w:tcPr>
          <w:p w14:paraId="63378A72"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2021</w:t>
            </w:r>
          </w:p>
        </w:tc>
        <w:tc>
          <w:tcPr>
            <w:tcW w:w="2693" w:type="dxa"/>
          </w:tcPr>
          <w:p w14:paraId="64C71958"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The dynamics of the relationship between real estate and stock markets in an energy-based economy: The case of Qatar.</w:t>
            </w:r>
          </w:p>
        </w:tc>
        <w:tc>
          <w:tcPr>
            <w:tcW w:w="7716" w:type="dxa"/>
          </w:tcPr>
          <w:p w14:paraId="45242E51"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 xml:space="preserve">The complex relationship between equities and real estate in Qatar's energy-driven economy is examined by Al Refai, Eissa, and </w:t>
            </w:r>
            <w:proofErr w:type="spellStart"/>
            <w:r w:rsidRPr="002B41B5">
              <w:rPr>
                <w:rFonts w:ascii="Arial" w:hAnsi="Arial" w:cs="Arial"/>
                <w:sz w:val="24"/>
                <w:szCs w:val="24"/>
                <w:lang w:val="en-US"/>
              </w:rPr>
              <w:t>Zeitun</w:t>
            </w:r>
            <w:proofErr w:type="spellEnd"/>
            <w:r w:rsidRPr="002B41B5">
              <w:rPr>
                <w:rFonts w:ascii="Arial" w:hAnsi="Arial" w:cs="Arial"/>
                <w:sz w:val="24"/>
                <w:szCs w:val="24"/>
                <w:lang w:val="en-US"/>
              </w:rPr>
              <w:t xml:space="preserve"> (2021). Their findings suggest that policymakers and financiers should understand regional economic cycles and oil price changes. Their analysis illuminate’s investment and policy options for similar nations, helping them understand these processes and improve resilience and outcomes in changing global economic situations.</w:t>
            </w:r>
          </w:p>
        </w:tc>
      </w:tr>
      <w:tr w:rsidR="00C42367" w:rsidRPr="002B41B5" w14:paraId="6EE1B8BE" w14:textId="77777777" w:rsidTr="00692DCB">
        <w:tc>
          <w:tcPr>
            <w:tcW w:w="853" w:type="dxa"/>
          </w:tcPr>
          <w:p w14:paraId="7C502FC4"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5.</w:t>
            </w:r>
          </w:p>
        </w:tc>
        <w:tc>
          <w:tcPr>
            <w:tcW w:w="1744" w:type="dxa"/>
          </w:tcPr>
          <w:p w14:paraId="2B45679E" w14:textId="77777777" w:rsidR="00C42367" w:rsidRPr="002B41B5" w:rsidRDefault="00C42367" w:rsidP="009C1931">
            <w:pPr>
              <w:spacing w:line="360" w:lineRule="auto"/>
              <w:rPr>
                <w:rFonts w:ascii="Arial" w:hAnsi="Arial" w:cs="Arial"/>
                <w:sz w:val="24"/>
                <w:szCs w:val="24"/>
                <w:lang w:val="en-US"/>
              </w:rPr>
            </w:pPr>
            <w:proofErr w:type="spellStart"/>
            <w:r w:rsidRPr="002B41B5">
              <w:rPr>
                <w:rFonts w:ascii="Arial" w:hAnsi="Arial" w:cs="Arial"/>
                <w:sz w:val="24"/>
                <w:szCs w:val="24"/>
                <w:lang w:val="en-US"/>
              </w:rPr>
              <w:t>Albuloushi</w:t>
            </w:r>
            <w:proofErr w:type="spellEnd"/>
            <w:r w:rsidRPr="002B41B5">
              <w:rPr>
                <w:rFonts w:ascii="Arial" w:hAnsi="Arial" w:cs="Arial"/>
                <w:sz w:val="24"/>
                <w:szCs w:val="24"/>
                <w:lang w:val="en-US"/>
              </w:rPr>
              <w:t xml:space="preserve"> &amp; Al-Saleh, (2018)</w:t>
            </w:r>
          </w:p>
        </w:tc>
        <w:tc>
          <w:tcPr>
            <w:tcW w:w="942" w:type="dxa"/>
          </w:tcPr>
          <w:p w14:paraId="20A4E427"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2018</w:t>
            </w:r>
          </w:p>
        </w:tc>
        <w:tc>
          <w:tcPr>
            <w:tcW w:w="2693" w:type="dxa"/>
          </w:tcPr>
          <w:p w14:paraId="70D17825"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Understanding the dynamics of the real estate market in Kuwait.</w:t>
            </w:r>
          </w:p>
        </w:tc>
        <w:tc>
          <w:tcPr>
            <w:tcW w:w="7716" w:type="dxa"/>
          </w:tcPr>
          <w:p w14:paraId="2EFB0453"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This study examined the complex Kuwaiti real estate market. Examining market dynamics and investor behavior requires substantial investigation. Their comprehensive market research gives stakeholders the information they need to make educated decisions. By elucidating complex issues, their study helps decision-makers in Kuwait improve the real estate market.</w:t>
            </w:r>
          </w:p>
        </w:tc>
      </w:tr>
      <w:tr w:rsidR="00C42367" w:rsidRPr="002B41B5" w14:paraId="5F894B1B" w14:textId="77777777" w:rsidTr="00692DCB">
        <w:tc>
          <w:tcPr>
            <w:tcW w:w="853" w:type="dxa"/>
          </w:tcPr>
          <w:p w14:paraId="647953FF"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lastRenderedPageBreak/>
              <w:t>6.</w:t>
            </w:r>
          </w:p>
        </w:tc>
        <w:tc>
          <w:tcPr>
            <w:tcW w:w="1744" w:type="dxa"/>
          </w:tcPr>
          <w:p w14:paraId="1D984AF6" w14:textId="77777777" w:rsidR="00C42367" w:rsidRPr="002B41B5" w:rsidRDefault="00C42367" w:rsidP="009C1931">
            <w:pPr>
              <w:spacing w:line="360" w:lineRule="auto"/>
              <w:rPr>
                <w:rFonts w:ascii="Arial" w:hAnsi="Arial" w:cs="Arial"/>
                <w:sz w:val="24"/>
                <w:szCs w:val="24"/>
                <w:lang w:val="en-US"/>
              </w:rPr>
            </w:pPr>
            <w:proofErr w:type="spellStart"/>
            <w:r w:rsidRPr="002B41B5">
              <w:rPr>
                <w:rFonts w:ascii="Arial" w:hAnsi="Arial" w:cs="Arial"/>
                <w:sz w:val="24"/>
                <w:szCs w:val="24"/>
                <w:lang w:val="en-US"/>
              </w:rPr>
              <w:t>Alburshaid</w:t>
            </w:r>
            <w:proofErr w:type="spellEnd"/>
            <w:r w:rsidRPr="002B41B5">
              <w:rPr>
                <w:rFonts w:ascii="Arial" w:hAnsi="Arial" w:cs="Arial"/>
                <w:sz w:val="24"/>
                <w:szCs w:val="24"/>
                <w:lang w:val="en-US"/>
              </w:rPr>
              <w:t xml:space="preserve"> &amp; Al-Alawi, (2024)</w:t>
            </w:r>
          </w:p>
        </w:tc>
        <w:tc>
          <w:tcPr>
            <w:tcW w:w="942" w:type="dxa"/>
          </w:tcPr>
          <w:p w14:paraId="7680735D"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2024</w:t>
            </w:r>
          </w:p>
        </w:tc>
        <w:tc>
          <w:tcPr>
            <w:tcW w:w="2693" w:type="dxa"/>
          </w:tcPr>
          <w:p w14:paraId="38D6B93C"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Forecasting Methods for the Real Estate Market: A Review.</w:t>
            </w:r>
          </w:p>
        </w:tc>
        <w:tc>
          <w:tcPr>
            <w:tcW w:w="7716" w:type="dxa"/>
          </w:tcPr>
          <w:p w14:paraId="208D15C8"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 xml:space="preserve">This study assessed real estate market prediction in 2024. Their investigation examines these tactics' efficacy and market adaptability. They show each method's merits and cons to improve market forecasts. This thorough understanding helps stakeholders navigate real estate risks and make smart investments. </w:t>
            </w:r>
            <w:proofErr w:type="spellStart"/>
            <w:r w:rsidRPr="002B41B5">
              <w:rPr>
                <w:rFonts w:ascii="Arial" w:hAnsi="Arial" w:cs="Arial"/>
                <w:sz w:val="24"/>
                <w:szCs w:val="24"/>
                <w:lang w:val="en-US"/>
              </w:rPr>
              <w:t>Alburshaid</w:t>
            </w:r>
            <w:proofErr w:type="spellEnd"/>
            <w:r w:rsidRPr="002B41B5">
              <w:rPr>
                <w:rFonts w:ascii="Arial" w:hAnsi="Arial" w:cs="Arial"/>
                <w:sz w:val="24"/>
                <w:szCs w:val="24"/>
                <w:lang w:val="en-US"/>
              </w:rPr>
              <w:t xml:space="preserve"> &amp; Al-Alawi study informs real estate investment ideas in today's volatile market.</w:t>
            </w:r>
          </w:p>
        </w:tc>
      </w:tr>
      <w:tr w:rsidR="00C42367" w:rsidRPr="002B41B5" w14:paraId="3E60EC65" w14:textId="77777777" w:rsidTr="00692DCB">
        <w:tc>
          <w:tcPr>
            <w:tcW w:w="853" w:type="dxa"/>
          </w:tcPr>
          <w:p w14:paraId="31134684"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7.</w:t>
            </w:r>
          </w:p>
        </w:tc>
        <w:tc>
          <w:tcPr>
            <w:tcW w:w="1744" w:type="dxa"/>
          </w:tcPr>
          <w:p w14:paraId="4B850B85"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Alfalah et al. (2022)</w:t>
            </w:r>
          </w:p>
        </w:tc>
        <w:tc>
          <w:tcPr>
            <w:tcW w:w="942" w:type="dxa"/>
          </w:tcPr>
          <w:p w14:paraId="4A17D7CA"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2022</w:t>
            </w:r>
          </w:p>
        </w:tc>
        <w:tc>
          <w:tcPr>
            <w:tcW w:w="2693" w:type="dxa"/>
          </w:tcPr>
          <w:p w14:paraId="0FBE3E7F"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Modelling housing market fundamentals and the response to economic and political events: empirical evidence from Kuwait.</w:t>
            </w:r>
          </w:p>
        </w:tc>
        <w:tc>
          <w:tcPr>
            <w:tcW w:w="7716" w:type="dxa"/>
          </w:tcPr>
          <w:p w14:paraId="10704703"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This study examined the complex relationship between economic and political elements in the Kuwaiti housing market. In uncertain times, complicated models reveal minute market fundamental variations. This study discovered the market's resiliency and incredible response. With such insights, uncertainty can be managed and strategic decisions implemented from the listed insights.</w:t>
            </w:r>
          </w:p>
        </w:tc>
      </w:tr>
      <w:tr w:rsidR="00C42367" w:rsidRPr="002B41B5" w14:paraId="674DA4BF" w14:textId="77777777" w:rsidTr="00692DCB">
        <w:tc>
          <w:tcPr>
            <w:tcW w:w="853" w:type="dxa"/>
          </w:tcPr>
          <w:p w14:paraId="2759C246"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8.</w:t>
            </w:r>
          </w:p>
        </w:tc>
        <w:tc>
          <w:tcPr>
            <w:tcW w:w="1744" w:type="dxa"/>
          </w:tcPr>
          <w:p w14:paraId="397EBA44" w14:textId="77777777" w:rsidR="00C42367" w:rsidRPr="002B41B5" w:rsidRDefault="00C42367" w:rsidP="009C1931">
            <w:pPr>
              <w:spacing w:line="360" w:lineRule="auto"/>
              <w:rPr>
                <w:rFonts w:ascii="Arial" w:hAnsi="Arial" w:cs="Arial"/>
                <w:sz w:val="24"/>
                <w:szCs w:val="24"/>
                <w:lang w:val="en-US"/>
              </w:rPr>
            </w:pPr>
            <w:proofErr w:type="spellStart"/>
            <w:r w:rsidRPr="002B41B5">
              <w:rPr>
                <w:rFonts w:ascii="Arial" w:hAnsi="Arial" w:cs="Arial"/>
                <w:sz w:val="24"/>
                <w:szCs w:val="24"/>
                <w:lang w:val="en-US"/>
              </w:rPr>
              <w:t>Alhamlawi</w:t>
            </w:r>
            <w:proofErr w:type="spellEnd"/>
            <w:r w:rsidRPr="002B41B5">
              <w:rPr>
                <w:rFonts w:ascii="Arial" w:hAnsi="Arial" w:cs="Arial"/>
                <w:sz w:val="24"/>
                <w:szCs w:val="24"/>
                <w:lang w:val="en-US"/>
              </w:rPr>
              <w:t xml:space="preserve"> et al. (2021)</w:t>
            </w:r>
          </w:p>
        </w:tc>
        <w:tc>
          <w:tcPr>
            <w:tcW w:w="942" w:type="dxa"/>
          </w:tcPr>
          <w:p w14:paraId="4DBC9D71"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2021</w:t>
            </w:r>
          </w:p>
        </w:tc>
        <w:tc>
          <w:tcPr>
            <w:tcW w:w="2693" w:type="dxa"/>
          </w:tcPr>
          <w:p w14:paraId="57F0D09D"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 xml:space="preserve">A comprehensive assessment of Dubai's green building rating system: Al </w:t>
            </w:r>
            <w:proofErr w:type="spellStart"/>
            <w:r w:rsidRPr="002B41B5">
              <w:rPr>
                <w:rFonts w:ascii="Arial" w:hAnsi="Arial" w:cs="Arial"/>
                <w:sz w:val="24"/>
                <w:szCs w:val="24"/>
                <w:lang w:val="en-US"/>
              </w:rPr>
              <w:t>Sa'fat</w:t>
            </w:r>
            <w:proofErr w:type="spellEnd"/>
            <w:r w:rsidRPr="002B41B5">
              <w:rPr>
                <w:rFonts w:ascii="Arial" w:hAnsi="Arial" w:cs="Arial"/>
                <w:sz w:val="24"/>
                <w:szCs w:val="24"/>
                <w:lang w:val="en-US"/>
              </w:rPr>
              <w:t>.</w:t>
            </w:r>
          </w:p>
        </w:tc>
        <w:tc>
          <w:tcPr>
            <w:tcW w:w="7716" w:type="dxa"/>
          </w:tcPr>
          <w:p w14:paraId="4C800BB3"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 xml:space="preserve">This study examined Dubai's Al </w:t>
            </w:r>
            <w:proofErr w:type="spellStart"/>
            <w:r w:rsidRPr="002B41B5">
              <w:rPr>
                <w:rFonts w:ascii="Arial" w:hAnsi="Arial" w:cs="Arial"/>
                <w:sz w:val="24"/>
                <w:szCs w:val="24"/>
                <w:lang w:val="en-US"/>
              </w:rPr>
              <w:t>Sa'fat</w:t>
            </w:r>
            <w:proofErr w:type="spellEnd"/>
            <w:r w:rsidRPr="002B41B5">
              <w:rPr>
                <w:rFonts w:ascii="Arial" w:hAnsi="Arial" w:cs="Arial"/>
                <w:sz w:val="24"/>
                <w:szCs w:val="24"/>
                <w:lang w:val="en-US"/>
              </w:rPr>
              <w:t xml:space="preserve"> green building rating system and its impact on urban real estate sustainability. The researchers thoroughly examine and make insightful recommendations to increase system efficacy and promote sustainable growth. Their research advances green building and city planning, giving Dubai's lawmakers, corporate leaders, and developers a roadmap to more sustainable built environments.</w:t>
            </w:r>
          </w:p>
        </w:tc>
      </w:tr>
      <w:tr w:rsidR="00C42367" w:rsidRPr="002B41B5" w14:paraId="51F64C24" w14:textId="77777777" w:rsidTr="00692DCB">
        <w:tc>
          <w:tcPr>
            <w:tcW w:w="853" w:type="dxa"/>
          </w:tcPr>
          <w:p w14:paraId="28B6219C"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lastRenderedPageBreak/>
              <w:t>9.</w:t>
            </w:r>
          </w:p>
        </w:tc>
        <w:tc>
          <w:tcPr>
            <w:tcW w:w="1744" w:type="dxa"/>
          </w:tcPr>
          <w:p w14:paraId="6E341890" w14:textId="77777777" w:rsidR="00C42367" w:rsidRPr="002B41B5" w:rsidRDefault="00C42367" w:rsidP="009C1931">
            <w:pPr>
              <w:spacing w:line="360" w:lineRule="auto"/>
              <w:rPr>
                <w:rFonts w:ascii="Arial" w:hAnsi="Arial" w:cs="Arial"/>
                <w:sz w:val="24"/>
                <w:szCs w:val="24"/>
                <w:lang w:val="en-US"/>
              </w:rPr>
            </w:pPr>
            <w:proofErr w:type="spellStart"/>
            <w:r w:rsidRPr="002B41B5">
              <w:rPr>
                <w:rFonts w:ascii="Arial" w:hAnsi="Arial" w:cs="Arial"/>
                <w:sz w:val="24"/>
                <w:szCs w:val="24"/>
                <w:lang w:val="en-US"/>
              </w:rPr>
              <w:t>Alheet</w:t>
            </w:r>
            <w:proofErr w:type="spellEnd"/>
            <w:r w:rsidRPr="002B41B5">
              <w:rPr>
                <w:rFonts w:ascii="Arial" w:hAnsi="Arial" w:cs="Arial"/>
                <w:sz w:val="24"/>
                <w:szCs w:val="24"/>
                <w:lang w:val="en-US"/>
              </w:rPr>
              <w:t xml:space="preserve"> et al. (2021)</w:t>
            </w:r>
          </w:p>
        </w:tc>
        <w:tc>
          <w:tcPr>
            <w:tcW w:w="942" w:type="dxa"/>
          </w:tcPr>
          <w:p w14:paraId="5F9F43AC"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2021</w:t>
            </w:r>
          </w:p>
        </w:tc>
        <w:tc>
          <w:tcPr>
            <w:tcW w:w="2693" w:type="dxa"/>
          </w:tcPr>
          <w:p w14:paraId="7BF404F5"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The impact of the existing relationship between real estate market and stock exchange market on the strategic planning in the Jordanian banks.</w:t>
            </w:r>
          </w:p>
        </w:tc>
        <w:tc>
          <w:tcPr>
            <w:tcW w:w="7716" w:type="dxa"/>
          </w:tcPr>
          <w:p w14:paraId="5B6F2549"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This study analyzes how the real estate and stock markets affect Jordanian banks' strategic decision-making. They found that Jordan's banking sector relies on these markets to assess risk and develop financial strategy. By revealing how financial institutions navigate the volatile real estate and stock markets, their research can improve banking industry risk management and strategic planning.</w:t>
            </w:r>
          </w:p>
        </w:tc>
      </w:tr>
      <w:tr w:rsidR="00C42367" w:rsidRPr="002B41B5" w14:paraId="195A0709" w14:textId="77777777" w:rsidTr="00692DCB">
        <w:tc>
          <w:tcPr>
            <w:tcW w:w="853" w:type="dxa"/>
          </w:tcPr>
          <w:p w14:paraId="70D3ED1F"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10.</w:t>
            </w:r>
          </w:p>
        </w:tc>
        <w:tc>
          <w:tcPr>
            <w:tcW w:w="1744" w:type="dxa"/>
          </w:tcPr>
          <w:p w14:paraId="0D3CBB9F"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AlSabbagh (2024)</w:t>
            </w:r>
          </w:p>
        </w:tc>
        <w:tc>
          <w:tcPr>
            <w:tcW w:w="942" w:type="dxa"/>
          </w:tcPr>
          <w:p w14:paraId="6DF671E4"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2024</w:t>
            </w:r>
          </w:p>
        </w:tc>
        <w:tc>
          <w:tcPr>
            <w:tcW w:w="2693" w:type="dxa"/>
          </w:tcPr>
          <w:p w14:paraId="227C1B56"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Exploring the relationship between economic diversification and energy-related CO2 emissions in a petroleum-producing country.</w:t>
            </w:r>
          </w:p>
        </w:tc>
        <w:tc>
          <w:tcPr>
            <w:tcW w:w="7716" w:type="dxa"/>
          </w:tcPr>
          <w:p w14:paraId="0E316E1D"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This study examines oil-rich nations' complex relationship between economic diversification and carbon dioxide emissions. His research shows how petroleum-producing nations can diversify their economies for better environmental consequences and sustainable prosperity. AlSabbagh studies the complex dynamics that will shape oil-dependent nations' environmental sustainability. He studies the interaction between economic activity and the environment.</w:t>
            </w:r>
          </w:p>
        </w:tc>
      </w:tr>
      <w:tr w:rsidR="00C42367" w:rsidRPr="002B41B5" w14:paraId="6D3CF4E2" w14:textId="77777777" w:rsidTr="00692DCB">
        <w:tc>
          <w:tcPr>
            <w:tcW w:w="853" w:type="dxa"/>
          </w:tcPr>
          <w:p w14:paraId="2DCC9619"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11.</w:t>
            </w:r>
          </w:p>
        </w:tc>
        <w:tc>
          <w:tcPr>
            <w:tcW w:w="1744" w:type="dxa"/>
          </w:tcPr>
          <w:p w14:paraId="1CA70EE8" w14:textId="77777777" w:rsidR="00C42367" w:rsidRPr="002B41B5" w:rsidRDefault="00C42367" w:rsidP="009C1931">
            <w:pPr>
              <w:spacing w:line="360" w:lineRule="auto"/>
              <w:rPr>
                <w:rFonts w:ascii="Arial" w:hAnsi="Arial" w:cs="Arial"/>
                <w:sz w:val="24"/>
                <w:szCs w:val="24"/>
                <w:lang w:val="en-US"/>
              </w:rPr>
            </w:pPr>
            <w:proofErr w:type="spellStart"/>
            <w:r w:rsidRPr="002B41B5">
              <w:rPr>
                <w:rFonts w:ascii="Arial" w:hAnsi="Arial" w:cs="Arial"/>
                <w:sz w:val="24"/>
                <w:szCs w:val="24"/>
                <w:lang w:val="en-US"/>
              </w:rPr>
              <w:t>Alstadsæter</w:t>
            </w:r>
            <w:proofErr w:type="spellEnd"/>
            <w:r w:rsidRPr="002B41B5">
              <w:rPr>
                <w:rFonts w:ascii="Arial" w:hAnsi="Arial" w:cs="Arial"/>
                <w:sz w:val="24"/>
                <w:szCs w:val="24"/>
                <w:lang w:val="en-US"/>
              </w:rPr>
              <w:t xml:space="preserve"> et al. (2022)</w:t>
            </w:r>
          </w:p>
        </w:tc>
        <w:tc>
          <w:tcPr>
            <w:tcW w:w="942" w:type="dxa"/>
          </w:tcPr>
          <w:p w14:paraId="4FF39B3E"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2022</w:t>
            </w:r>
          </w:p>
        </w:tc>
        <w:tc>
          <w:tcPr>
            <w:tcW w:w="2693" w:type="dxa"/>
          </w:tcPr>
          <w:p w14:paraId="4F9785DE"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Who owns offshore real estate? evidence from Dubai.</w:t>
            </w:r>
          </w:p>
        </w:tc>
        <w:tc>
          <w:tcPr>
            <w:tcW w:w="7716" w:type="dxa"/>
          </w:tcPr>
          <w:p w14:paraId="02F78884"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This study uncovers ownership patterns of offshore real estate in Dubai, revealing insights into global wealth management and the secretive nature of real estate investments, with implications for regulatory and fiscal policies internationally.</w:t>
            </w:r>
          </w:p>
        </w:tc>
      </w:tr>
      <w:tr w:rsidR="00C42367" w:rsidRPr="002B41B5" w14:paraId="1879C843" w14:textId="77777777" w:rsidTr="00692DCB">
        <w:tc>
          <w:tcPr>
            <w:tcW w:w="853" w:type="dxa"/>
          </w:tcPr>
          <w:p w14:paraId="568B8680"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12.</w:t>
            </w:r>
          </w:p>
        </w:tc>
        <w:tc>
          <w:tcPr>
            <w:tcW w:w="1744" w:type="dxa"/>
          </w:tcPr>
          <w:p w14:paraId="41B3CBC5"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Alzoubi (2021)</w:t>
            </w:r>
          </w:p>
        </w:tc>
        <w:tc>
          <w:tcPr>
            <w:tcW w:w="942" w:type="dxa"/>
          </w:tcPr>
          <w:p w14:paraId="299D144B"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2021</w:t>
            </w:r>
          </w:p>
        </w:tc>
        <w:tc>
          <w:tcPr>
            <w:tcW w:w="2693" w:type="dxa"/>
          </w:tcPr>
          <w:p w14:paraId="0A203EEA"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 xml:space="preserve">Adaptive intelligence and emotional </w:t>
            </w:r>
            <w:r w:rsidRPr="002B41B5">
              <w:rPr>
                <w:rFonts w:ascii="Arial" w:hAnsi="Arial" w:cs="Arial"/>
                <w:sz w:val="24"/>
                <w:szCs w:val="24"/>
                <w:lang w:val="en-US"/>
              </w:rPr>
              <w:lastRenderedPageBreak/>
              <w:t>intelligence as the new determinant of success in organizations. An empirical study in Dubai’s real estate.</w:t>
            </w:r>
          </w:p>
        </w:tc>
        <w:tc>
          <w:tcPr>
            <w:tcW w:w="7716" w:type="dxa"/>
          </w:tcPr>
          <w:p w14:paraId="121A5D4B"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lastRenderedPageBreak/>
              <w:t xml:space="preserve">Dubai's real estate industry requires emotional and flexible intelligence, according to Alzoubi's 2021 research. His research </w:t>
            </w:r>
            <w:r w:rsidRPr="002B41B5">
              <w:rPr>
                <w:rFonts w:ascii="Arial" w:hAnsi="Arial" w:cs="Arial"/>
                <w:sz w:val="24"/>
                <w:szCs w:val="24"/>
                <w:lang w:val="en-US"/>
              </w:rPr>
              <w:lastRenderedPageBreak/>
              <w:t>demonstrates that these intelligences are more vital than ever for corporate success and survival in today's competitive business environment. Since Alzoubi's research shows that business success factors change, real estate organizations must build and employ these advanced sorts of intelligence to compete in today's market.</w:t>
            </w:r>
          </w:p>
        </w:tc>
      </w:tr>
      <w:tr w:rsidR="00C42367" w:rsidRPr="002B41B5" w14:paraId="25731947" w14:textId="77777777" w:rsidTr="00692DCB">
        <w:tc>
          <w:tcPr>
            <w:tcW w:w="853" w:type="dxa"/>
          </w:tcPr>
          <w:p w14:paraId="130466CB"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lastRenderedPageBreak/>
              <w:t>13.</w:t>
            </w:r>
          </w:p>
        </w:tc>
        <w:tc>
          <w:tcPr>
            <w:tcW w:w="1744" w:type="dxa"/>
          </w:tcPr>
          <w:p w14:paraId="2AE832EB"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Antwi-Boateng &amp; Al Jaberi (2022)</w:t>
            </w:r>
          </w:p>
        </w:tc>
        <w:tc>
          <w:tcPr>
            <w:tcW w:w="942" w:type="dxa"/>
          </w:tcPr>
          <w:p w14:paraId="28F62B8D"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2022</w:t>
            </w:r>
          </w:p>
        </w:tc>
        <w:tc>
          <w:tcPr>
            <w:tcW w:w="2693" w:type="dxa"/>
          </w:tcPr>
          <w:p w14:paraId="06F19352"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The post</w:t>
            </w:r>
            <w:r w:rsidRPr="002B41B5">
              <w:rPr>
                <w:rFonts w:ascii="Cambria Math" w:hAnsi="Cambria Math" w:cs="Cambria Math"/>
                <w:sz w:val="24"/>
                <w:szCs w:val="24"/>
                <w:lang w:val="en-US"/>
              </w:rPr>
              <w:t>‐</w:t>
            </w:r>
            <w:r w:rsidRPr="002B41B5">
              <w:rPr>
                <w:rFonts w:ascii="Arial" w:hAnsi="Arial" w:cs="Arial"/>
                <w:sz w:val="24"/>
                <w:szCs w:val="24"/>
                <w:lang w:val="en-US"/>
              </w:rPr>
              <w:t>oil strategy of the UAE: An examination of diversification strategies and challenges.</w:t>
            </w:r>
          </w:p>
        </w:tc>
        <w:tc>
          <w:tcPr>
            <w:tcW w:w="7716" w:type="dxa"/>
          </w:tcPr>
          <w:p w14:paraId="7CAD751F"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This research delves into the UAE's initiatives to transition away from oil dependence. They meticulously outline the multiple barriers and assess the UAE's pursuit methods. They identify the strategic reforms needed to boost long-term economic growth after the oil crisis by analyzing the economy. Their research helps stakeholders and policymakers make educated decisions that will strengthen the UAE economy in the face of global change.</w:t>
            </w:r>
          </w:p>
        </w:tc>
      </w:tr>
      <w:tr w:rsidR="00C42367" w:rsidRPr="002B41B5" w14:paraId="4B90EB59" w14:textId="77777777" w:rsidTr="00692DCB">
        <w:tc>
          <w:tcPr>
            <w:tcW w:w="853" w:type="dxa"/>
          </w:tcPr>
          <w:p w14:paraId="4B9D8BBD"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14.</w:t>
            </w:r>
          </w:p>
        </w:tc>
        <w:tc>
          <w:tcPr>
            <w:tcW w:w="1744" w:type="dxa"/>
          </w:tcPr>
          <w:p w14:paraId="7606AE6B" w14:textId="77777777" w:rsidR="00C42367" w:rsidRPr="002B41B5" w:rsidRDefault="00C42367" w:rsidP="009C1931">
            <w:pPr>
              <w:spacing w:line="360" w:lineRule="auto"/>
              <w:rPr>
                <w:rFonts w:ascii="Arial" w:hAnsi="Arial" w:cs="Arial"/>
                <w:sz w:val="24"/>
                <w:szCs w:val="24"/>
                <w:lang w:val="en-US"/>
              </w:rPr>
            </w:pPr>
            <w:proofErr w:type="spellStart"/>
            <w:r w:rsidRPr="002B41B5">
              <w:rPr>
                <w:rFonts w:ascii="Arial" w:hAnsi="Arial" w:cs="Arial"/>
                <w:sz w:val="24"/>
                <w:szCs w:val="24"/>
                <w:lang w:val="en-US"/>
              </w:rPr>
              <w:t>Anvary</w:t>
            </w:r>
            <w:proofErr w:type="spellEnd"/>
            <w:r w:rsidRPr="002B41B5">
              <w:rPr>
                <w:rFonts w:ascii="Arial" w:hAnsi="Arial" w:cs="Arial"/>
                <w:sz w:val="24"/>
                <w:szCs w:val="24"/>
                <w:lang w:val="en-US"/>
              </w:rPr>
              <w:t xml:space="preserve"> </w:t>
            </w:r>
            <w:proofErr w:type="spellStart"/>
            <w:r w:rsidRPr="002B41B5">
              <w:rPr>
                <w:rFonts w:ascii="Arial" w:hAnsi="Arial" w:cs="Arial"/>
                <w:sz w:val="24"/>
                <w:szCs w:val="24"/>
                <w:lang w:val="en-US"/>
              </w:rPr>
              <w:t>Rostamy</w:t>
            </w:r>
            <w:proofErr w:type="spellEnd"/>
            <w:r w:rsidRPr="002B41B5">
              <w:rPr>
                <w:rFonts w:ascii="Arial" w:hAnsi="Arial" w:cs="Arial"/>
                <w:sz w:val="24"/>
                <w:szCs w:val="24"/>
                <w:lang w:val="en-US"/>
              </w:rPr>
              <w:t xml:space="preserve"> &amp; Ghorbani </w:t>
            </w:r>
            <w:proofErr w:type="spellStart"/>
            <w:r w:rsidRPr="002B41B5">
              <w:rPr>
                <w:rFonts w:ascii="Arial" w:hAnsi="Arial" w:cs="Arial"/>
                <w:sz w:val="24"/>
                <w:szCs w:val="24"/>
                <w:lang w:val="en-US"/>
              </w:rPr>
              <w:t>Farmad</w:t>
            </w:r>
            <w:proofErr w:type="spellEnd"/>
            <w:r w:rsidRPr="002B41B5">
              <w:rPr>
                <w:rFonts w:ascii="Arial" w:hAnsi="Arial" w:cs="Arial"/>
                <w:sz w:val="24"/>
                <w:szCs w:val="24"/>
                <w:lang w:val="en-US"/>
              </w:rPr>
              <w:t>, (2023)</w:t>
            </w:r>
          </w:p>
        </w:tc>
        <w:tc>
          <w:tcPr>
            <w:tcW w:w="942" w:type="dxa"/>
          </w:tcPr>
          <w:p w14:paraId="795E3A20"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2023</w:t>
            </w:r>
          </w:p>
        </w:tc>
        <w:tc>
          <w:tcPr>
            <w:tcW w:w="2693" w:type="dxa"/>
          </w:tcPr>
          <w:p w14:paraId="2EE8D630"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System Dynamics Modeling to Forecast Economic and Financial Market Indicators Using Interrelationship of Shocks Among Global Financial Markets.</w:t>
            </w:r>
          </w:p>
        </w:tc>
        <w:tc>
          <w:tcPr>
            <w:tcW w:w="7716" w:type="dxa"/>
          </w:tcPr>
          <w:p w14:paraId="356DACF4"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 xml:space="preserve">Ghorbani </w:t>
            </w:r>
            <w:proofErr w:type="spellStart"/>
            <w:r w:rsidRPr="002B41B5">
              <w:rPr>
                <w:rFonts w:ascii="Arial" w:hAnsi="Arial" w:cs="Arial"/>
                <w:sz w:val="24"/>
                <w:szCs w:val="24"/>
                <w:lang w:val="en-US"/>
              </w:rPr>
              <w:t>Farmad</w:t>
            </w:r>
            <w:proofErr w:type="spellEnd"/>
            <w:r w:rsidRPr="002B41B5">
              <w:rPr>
                <w:rFonts w:ascii="Arial" w:hAnsi="Arial" w:cs="Arial"/>
                <w:sz w:val="24"/>
                <w:szCs w:val="24"/>
                <w:lang w:val="en-US"/>
              </w:rPr>
              <w:t xml:space="preserve"> and </w:t>
            </w:r>
            <w:proofErr w:type="spellStart"/>
            <w:r w:rsidRPr="002B41B5">
              <w:rPr>
                <w:rFonts w:ascii="Arial" w:hAnsi="Arial" w:cs="Arial"/>
                <w:sz w:val="24"/>
                <w:szCs w:val="24"/>
                <w:lang w:val="en-US"/>
              </w:rPr>
              <w:t>Anvary</w:t>
            </w:r>
            <w:proofErr w:type="spellEnd"/>
            <w:r w:rsidRPr="002B41B5">
              <w:rPr>
                <w:rFonts w:ascii="Arial" w:hAnsi="Arial" w:cs="Arial"/>
                <w:sz w:val="24"/>
                <w:szCs w:val="24"/>
                <w:lang w:val="en-US"/>
              </w:rPr>
              <w:t xml:space="preserve"> </w:t>
            </w:r>
            <w:proofErr w:type="spellStart"/>
            <w:r w:rsidRPr="002B41B5">
              <w:rPr>
                <w:rFonts w:ascii="Arial" w:hAnsi="Arial" w:cs="Arial"/>
                <w:sz w:val="24"/>
                <w:szCs w:val="24"/>
                <w:lang w:val="en-US"/>
              </w:rPr>
              <w:t>Rostamy</w:t>
            </w:r>
            <w:proofErr w:type="spellEnd"/>
            <w:r w:rsidRPr="002B41B5">
              <w:rPr>
                <w:rFonts w:ascii="Arial" w:hAnsi="Arial" w:cs="Arial"/>
                <w:sz w:val="24"/>
                <w:szCs w:val="24"/>
                <w:lang w:val="en-US"/>
              </w:rPr>
              <w:t xml:space="preserve"> anticipate economic and financial variables using system dynamics modeling, a successful analytical tool. They illuminate economic dynamics by showing how global market shocks interact. Their cutting-edge technique includes swing prediction, economic risk management, and financial market strategy. They assist stakeholders adapt and thrive in shifting economic situations by revealing market behavior links.</w:t>
            </w:r>
          </w:p>
        </w:tc>
      </w:tr>
      <w:tr w:rsidR="00C42367" w:rsidRPr="002B41B5" w14:paraId="4C22807C" w14:textId="77777777" w:rsidTr="00692DCB">
        <w:tc>
          <w:tcPr>
            <w:tcW w:w="853" w:type="dxa"/>
          </w:tcPr>
          <w:p w14:paraId="11A1A5F4"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lastRenderedPageBreak/>
              <w:t>15.</w:t>
            </w:r>
          </w:p>
        </w:tc>
        <w:tc>
          <w:tcPr>
            <w:tcW w:w="1744" w:type="dxa"/>
          </w:tcPr>
          <w:p w14:paraId="01683558" w14:textId="77777777" w:rsidR="00C42367" w:rsidRPr="002B41B5" w:rsidRDefault="00C42367" w:rsidP="009C1931">
            <w:pPr>
              <w:spacing w:line="360" w:lineRule="auto"/>
              <w:rPr>
                <w:rFonts w:ascii="Arial" w:hAnsi="Arial" w:cs="Arial"/>
                <w:sz w:val="24"/>
                <w:szCs w:val="24"/>
                <w:lang w:val="en-US"/>
              </w:rPr>
            </w:pPr>
            <w:proofErr w:type="spellStart"/>
            <w:r w:rsidRPr="002B41B5">
              <w:rPr>
                <w:rFonts w:ascii="Arial" w:hAnsi="Arial" w:cs="Arial"/>
                <w:sz w:val="24"/>
                <w:szCs w:val="24"/>
                <w:lang w:val="en-US"/>
              </w:rPr>
              <w:t>Awad</w:t>
            </w:r>
            <w:proofErr w:type="spellEnd"/>
            <w:r w:rsidRPr="002B41B5">
              <w:rPr>
                <w:rFonts w:ascii="Arial" w:hAnsi="Arial" w:cs="Arial"/>
                <w:sz w:val="24"/>
                <w:szCs w:val="24"/>
                <w:lang w:val="en-US"/>
              </w:rPr>
              <w:t xml:space="preserve"> &amp; Jung (2022)</w:t>
            </w:r>
          </w:p>
        </w:tc>
        <w:tc>
          <w:tcPr>
            <w:tcW w:w="942" w:type="dxa"/>
          </w:tcPr>
          <w:p w14:paraId="15D3312F"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2022</w:t>
            </w:r>
          </w:p>
        </w:tc>
        <w:tc>
          <w:tcPr>
            <w:tcW w:w="2693" w:type="dxa"/>
          </w:tcPr>
          <w:p w14:paraId="6212A51A"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Extracting the planning elements for sustainable urban regeneration in Dubai with AHP (analytic hierarchy process).</w:t>
            </w:r>
          </w:p>
        </w:tc>
        <w:tc>
          <w:tcPr>
            <w:tcW w:w="7716" w:type="dxa"/>
          </w:tcPr>
          <w:p w14:paraId="0054B14D" w14:textId="77777777" w:rsidR="00C42367" w:rsidRPr="002B41B5" w:rsidRDefault="00C42367" w:rsidP="009C1931">
            <w:pPr>
              <w:spacing w:line="360" w:lineRule="auto"/>
              <w:rPr>
                <w:rFonts w:ascii="Arial" w:hAnsi="Arial" w:cs="Arial"/>
                <w:sz w:val="24"/>
                <w:szCs w:val="24"/>
                <w:lang w:val="en-US"/>
              </w:rPr>
            </w:pPr>
            <w:proofErr w:type="spellStart"/>
            <w:r w:rsidRPr="002B41B5">
              <w:rPr>
                <w:rFonts w:ascii="Arial" w:hAnsi="Arial" w:cs="Arial"/>
                <w:sz w:val="24"/>
                <w:szCs w:val="24"/>
                <w:lang w:val="en-US"/>
              </w:rPr>
              <w:t>Awad</w:t>
            </w:r>
            <w:proofErr w:type="spellEnd"/>
            <w:r w:rsidRPr="002B41B5">
              <w:rPr>
                <w:rFonts w:ascii="Arial" w:hAnsi="Arial" w:cs="Arial"/>
                <w:sz w:val="24"/>
                <w:szCs w:val="24"/>
                <w:lang w:val="en-US"/>
              </w:rPr>
              <w:t xml:space="preserve"> and Jung (2022) use the cutting-edge Analytic Hierarchy Process to study Dubai's sustainable urban regeneration plans. Their study aids stakeholder engagement and strategy. AHP </w:t>
            </w:r>
            <w:proofErr w:type="spellStart"/>
            <w:r w:rsidRPr="002B41B5">
              <w:rPr>
                <w:rFonts w:ascii="Arial" w:hAnsi="Arial" w:cs="Arial"/>
                <w:sz w:val="24"/>
                <w:szCs w:val="24"/>
                <w:lang w:val="en-US"/>
              </w:rPr>
              <w:t>prioritises</w:t>
            </w:r>
            <w:proofErr w:type="spellEnd"/>
            <w:r w:rsidRPr="002B41B5">
              <w:rPr>
                <w:rFonts w:ascii="Arial" w:hAnsi="Arial" w:cs="Arial"/>
                <w:sz w:val="24"/>
                <w:szCs w:val="24"/>
                <w:lang w:val="en-US"/>
              </w:rPr>
              <w:t xml:space="preserve"> essential aspects during research. This strategy increases inclusive development and metropolitan sustainability by considering multiple perspectives and involving stakeholders. In quickly growing cities like Dubai, such comprehensive approaches are needed to address urbanization's many issues.</w:t>
            </w:r>
          </w:p>
        </w:tc>
      </w:tr>
      <w:tr w:rsidR="00C42367" w:rsidRPr="002B41B5" w14:paraId="4448AFC8" w14:textId="77777777" w:rsidTr="00692DCB">
        <w:tc>
          <w:tcPr>
            <w:tcW w:w="853" w:type="dxa"/>
          </w:tcPr>
          <w:p w14:paraId="62A7E0A6"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16.</w:t>
            </w:r>
          </w:p>
        </w:tc>
        <w:tc>
          <w:tcPr>
            <w:tcW w:w="1744" w:type="dxa"/>
          </w:tcPr>
          <w:p w14:paraId="5D623318"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Aysan et al. (2024)</w:t>
            </w:r>
          </w:p>
        </w:tc>
        <w:tc>
          <w:tcPr>
            <w:tcW w:w="942" w:type="dxa"/>
          </w:tcPr>
          <w:p w14:paraId="1B4F040D"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2024</w:t>
            </w:r>
          </w:p>
        </w:tc>
        <w:tc>
          <w:tcPr>
            <w:tcW w:w="2693" w:type="dxa"/>
          </w:tcPr>
          <w:p w14:paraId="415B2284"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Technological perspectives of Metaverse for financial service providers.</w:t>
            </w:r>
          </w:p>
        </w:tc>
        <w:tc>
          <w:tcPr>
            <w:tcW w:w="7716" w:type="dxa"/>
          </w:tcPr>
          <w:p w14:paraId="6047F9D8"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 xml:space="preserve">According to Aysan, </w:t>
            </w:r>
            <w:proofErr w:type="spellStart"/>
            <w:r w:rsidRPr="002B41B5">
              <w:rPr>
                <w:rFonts w:ascii="Arial" w:hAnsi="Arial" w:cs="Arial"/>
                <w:sz w:val="24"/>
                <w:szCs w:val="24"/>
                <w:lang w:val="en-US"/>
              </w:rPr>
              <w:t>Gozgor</w:t>
            </w:r>
            <w:proofErr w:type="spellEnd"/>
            <w:r w:rsidRPr="002B41B5">
              <w:rPr>
                <w:rFonts w:ascii="Arial" w:hAnsi="Arial" w:cs="Arial"/>
                <w:sz w:val="24"/>
                <w:szCs w:val="24"/>
                <w:lang w:val="en-US"/>
              </w:rPr>
              <w:t xml:space="preserve">, and </w:t>
            </w:r>
            <w:proofErr w:type="spellStart"/>
            <w:r w:rsidRPr="002B41B5">
              <w:rPr>
                <w:rFonts w:ascii="Arial" w:hAnsi="Arial" w:cs="Arial"/>
                <w:sz w:val="24"/>
                <w:szCs w:val="24"/>
                <w:lang w:val="en-US"/>
              </w:rPr>
              <w:t>Nanaeva</w:t>
            </w:r>
            <w:proofErr w:type="spellEnd"/>
            <w:r w:rsidRPr="002B41B5">
              <w:rPr>
                <w:rFonts w:ascii="Arial" w:hAnsi="Arial" w:cs="Arial"/>
                <w:sz w:val="24"/>
                <w:szCs w:val="24"/>
                <w:lang w:val="en-US"/>
              </w:rPr>
              <w:t xml:space="preserve">, metaverse technology could transform finance. They found many routes that could affect financial organizations' digital technology use. Metaverse potential includes immersive virtual worlds and decentralized money. This paradigm shift allows financial organizations to grow in the digital age. Aysan, </w:t>
            </w:r>
            <w:proofErr w:type="spellStart"/>
            <w:r w:rsidRPr="002B41B5">
              <w:rPr>
                <w:rFonts w:ascii="Arial" w:hAnsi="Arial" w:cs="Arial"/>
                <w:sz w:val="24"/>
                <w:szCs w:val="24"/>
                <w:lang w:val="en-US"/>
              </w:rPr>
              <w:t>Gozgor</w:t>
            </w:r>
            <w:proofErr w:type="spellEnd"/>
            <w:r w:rsidRPr="002B41B5">
              <w:rPr>
                <w:rFonts w:ascii="Arial" w:hAnsi="Arial" w:cs="Arial"/>
                <w:sz w:val="24"/>
                <w:szCs w:val="24"/>
                <w:lang w:val="en-US"/>
              </w:rPr>
              <w:t xml:space="preserve">, and </w:t>
            </w:r>
            <w:proofErr w:type="spellStart"/>
            <w:r w:rsidRPr="002B41B5">
              <w:rPr>
                <w:rFonts w:ascii="Arial" w:hAnsi="Arial" w:cs="Arial"/>
                <w:sz w:val="24"/>
                <w:szCs w:val="24"/>
                <w:lang w:val="en-US"/>
              </w:rPr>
              <w:t>Nanaeva</w:t>
            </w:r>
            <w:proofErr w:type="spellEnd"/>
            <w:r w:rsidRPr="002B41B5">
              <w:rPr>
                <w:rFonts w:ascii="Arial" w:hAnsi="Arial" w:cs="Arial"/>
                <w:sz w:val="24"/>
                <w:szCs w:val="24"/>
                <w:lang w:val="en-US"/>
              </w:rPr>
              <w:t xml:space="preserve"> found that proactivity is crucial in this dynamic situation.</w:t>
            </w:r>
          </w:p>
        </w:tc>
      </w:tr>
      <w:tr w:rsidR="00C42367" w:rsidRPr="002B41B5" w14:paraId="3F73EA0F" w14:textId="77777777" w:rsidTr="00692DCB">
        <w:tc>
          <w:tcPr>
            <w:tcW w:w="853" w:type="dxa"/>
          </w:tcPr>
          <w:p w14:paraId="338C5D1B"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17.</w:t>
            </w:r>
          </w:p>
        </w:tc>
        <w:tc>
          <w:tcPr>
            <w:tcW w:w="1744" w:type="dxa"/>
          </w:tcPr>
          <w:p w14:paraId="2ADC994B"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Baba et al. (2020)</w:t>
            </w:r>
          </w:p>
        </w:tc>
        <w:tc>
          <w:tcPr>
            <w:tcW w:w="942" w:type="dxa"/>
          </w:tcPr>
          <w:p w14:paraId="6BF1ACD5"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2020</w:t>
            </w:r>
          </w:p>
        </w:tc>
        <w:tc>
          <w:tcPr>
            <w:tcW w:w="2693" w:type="dxa"/>
          </w:tcPr>
          <w:p w14:paraId="3180585F"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Dynamic Hedonic Analysis Using Time-Varying Coefficients: Application to Dubai’s Housing Market.</w:t>
            </w:r>
          </w:p>
        </w:tc>
        <w:tc>
          <w:tcPr>
            <w:tcW w:w="7716" w:type="dxa"/>
          </w:tcPr>
          <w:p w14:paraId="23CB0B0E"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 xml:space="preserve">This study examined Dubai's complex real estate market using dynamic hedonic pricing models. Time-varying coefficients in these models allow us to study market dynamics on property attributes. Their careful investigation of these alterations improves property appraisal and investment analysis. The findings may help Dubai real estate agents evaluate houses and make better decisions. This </w:t>
            </w:r>
            <w:r w:rsidRPr="002B41B5">
              <w:rPr>
                <w:rFonts w:ascii="Arial" w:hAnsi="Arial" w:cs="Arial"/>
                <w:sz w:val="24"/>
                <w:szCs w:val="24"/>
                <w:lang w:val="en-US"/>
              </w:rPr>
              <w:lastRenderedPageBreak/>
              <w:t>study emphasizes the need for flexible market tracking and response.</w:t>
            </w:r>
          </w:p>
        </w:tc>
      </w:tr>
      <w:tr w:rsidR="00C42367" w:rsidRPr="002B41B5" w14:paraId="2354682D" w14:textId="77777777" w:rsidTr="00692DCB">
        <w:tc>
          <w:tcPr>
            <w:tcW w:w="853" w:type="dxa"/>
          </w:tcPr>
          <w:p w14:paraId="5CE71059"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lastRenderedPageBreak/>
              <w:t>18.</w:t>
            </w:r>
          </w:p>
        </w:tc>
        <w:tc>
          <w:tcPr>
            <w:tcW w:w="1744" w:type="dxa"/>
          </w:tcPr>
          <w:p w14:paraId="276B0A70"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Balasubramanian et al. (2023)</w:t>
            </w:r>
          </w:p>
        </w:tc>
        <w:tc>
          <w:tcPr>
            <w:tcW w:w="942" w:type="dxa"/>
          </w:tcPr>
          <w:p w14:paraId="507C37F0"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2023</w:t>
            </w:r>
          </w:p>
        </w:tc>
        <w:tc>
          <w:tcPr>
            <w:tcW w:w="2693" w:type="dxa"/>
          </w:tcPr>
          <w:p w14:paraId="487AD671"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Applying artificial intelligence in healthcare: lessons from the COVID-19 pandemic.</w:t>
            </w:r>
          </w:p>
        </w:tc>
        <w:tc>
          <w:tcPr>
            <w:tcW w:w="7716" w:type="dxa"/>
          </w:tcPr>
          <w:p w14:paraId="2B81883D"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This study described AI in healthcare discoveries relevant to the COVID-19 pandemic. Their research shows how AI has transformed healthcare delivery and disease management, revealing how AI could affect future health crises and improve medical processes. Their research shows the necessity to integrate AI technology into healthcare systems to better handle complex public health emergencies by analyzing challenges and successes.</w:t>
            </w:r>
          </w:p>
        </w:tc>
      </w:tr>
      <w:tr w:rsidR="00C42367" w:rsidRPr="002B41B5" w14:paraId="1629CD2C" w14:textId="77777777" w:rsidTr="00692DCB">
        <w:tc>
          <w:tcPr>
            <w:tcW w:w="853" w:type="dxa"/>
          </w:tcPr>
          <w:p w14:paraId="782D3BEB"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19.</w:t>
            </w:r>
          </w:p>
        </w:tc>
        <w:tc>
          <w:tcPr>
            <w:tcW w:w="1744" w:type="dxa"/>
          </w:tcPr>
          <w:p w14:paraId="7A60A1B3" w14:textId="77777777" w:rsidR="00C42367" w:rsidRPr="002B41B5" w:rsidRDefault="00C42367" w:rsidP="009C1931">
            <w:pPr>
              <w:spacing w:line="360" w:lineRule="auto"/>
              <w:rPr>
                <w:rFonts w:ascii="Arial" w:hAnsi="Arial" w:cs="Arial"/>
                <w:sz w:val="24"/>
                <w:szCs w:val="24"/>
                <w:lang w:val="en-US"/>
              </w:rPr>
            </w:pPr>
            <w:proofErr w:type="spellStart"/>
            <w:r w:rsidRPr="002B41B5">
              <w:rPr>
                <w:rFonts w:ascii="Arial" w:hAnsi="Arial" w:cs="Arial"/>
                <w:sz w:val="24"/>
                <w:szCs w:val="24"/>
                <w:lang w:val="en-US"/>
              </w:rPr>
              <w:t>Bazerbashi</w:t>
            </w:r>
            <w:proofErr w:type="spellEnd"/>
            <w:r w:rsidRPr="002B41B5">
              <w:rPr>
                <w:rFonts w:ascii="Arial" w:hAnsi="Arial" w:cs="Arial"/>
                <w:sz w:val="24"/>
                <w:szCs w:val="24"/>
                <w:lang w:val="en-US"/>
              </w:rPr>
              <w:t xml:space="preserve"> &amp; Nguyen (2023)</w:t>
            </w:r>
          </w:p>
        </w:tc>
        <w:tc>
          <w:tcPr>
            <w:tcW w:w="942" w:type="dxa"/>
          </w:tcPr>
          <w:p w14:paraId="68284FA1"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2023</w:t>
            </w:r>
          </w:p>
        </w:tc>
        <w:tc>
          <w:tcPr>
            <w:tcW w:w="2693" w:type="dxa"/>
          </w:tcPr>
          <w:p w14:paraId="6D83BA36"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Optimal Portfolio Allocation in the Middle East Real Estate Market: A Comparative Study of the UAE and Qatar.</w:t>
            </w:r>
          </w:p>
        </w:tc>
        <w:tc>
          <w:tcPr>
            <w:tcW w:w="7716" w:type="dxa"/>
          </w:tcPr>
          <w:p w14:paraId="718BAAF1"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This study compares optimal UAE and Qatar real estate portfolio allocations. By examining these regions, they show European businesses and investors the many opportunities to expand or diversify in the ever-changing Middle Eastern market. The experts' practical insights from a thorough analysis of market dynamics, regulatory frameworks, and economic indicators help stakeholders navigate these markets and benefit on their development and profitability potential.</w:t>
            </w:r>
          </w:p>
        </w:tc>
      </w:tr>
      <w:tr w:rsidR="00C42367" w:rsidRPr="002B41B5" w14:paraId="7347CEB1" w14:textId="77777777" w:rsidTr="00692DCB">
        <w:tc>
          <w:tcPr>
            <w:tcW w:w="853" w:type="dxa"/>
          </w:tcPr>
          <w:p w14:paraId="5CB0E0EE"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w:t>
            </w:r>
          </w:p>
        </w:tc>
        <w:tc>
          <w:tcPr>
            <w:tcW w:w="1744" w:type="dxa"/>
          </w:tcPr>
          <w:p w14:paraId="08B20366"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Berger &amp; Blanka (2024)</w:t>
            </w:r>
          </w:p>
        </w:tc>
        <w:tc>
          <w:tcPr>
            <w:tcW w:w="942" w:type="dxa"/>
          </w:tcPr>
          <w:p w14:paraId="303919FA"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2024</w:t>
            </w:r>
          </w:p>
        </w:tc>
        <w:tc>
          <w:tcPr>
            <w:tcW w:w="2693" w:type="dxa"/>
          </w:tcPr>
          <w:p w14:paraId="19A64EF5"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 xml:space="preserve">Comprehensive and multifaceted perspectives on sustainability, urban </w:t>
            </w:r>
            <w:r w:rsidRPr="002B41B5">
              <w:rPr>
                <w:rFonts w:ascii="Arial" w:hAnsi="Arial" w:cs="Arial"/>
                <w:sz w:val="24"/>
                <w:szCs w:val="24"/>
                <w:lang w:val="en-US"/>
              </w:rPr>
              <w:lastRenderedPageBreak/>
              <w:t>studies, and entrepreneurship.</w:t>
            </w:r>
          </w:p>
        </w:tc>
        <w:tc>
          <w:tcPr>
            <w:tcW w:w="7716" w:type="dxa"/>
          </w:tcPr>
          <w:p w14:paraId="1C2FDD41"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lastRenderedPageBreak/>
              <w:t xml:space="preserve">This study investigated the complex relationship between sustainability, urban studies, and entrepreneurship in their innovative study. Their approach extends beyond academic discussion and includes multiple opinions. They provide invaluable </w:t>
            </w:r>
            <w:r w:rsidRPr="002B41B5">
              <w:rPr>
                <w:rFonts w:ascii="Arial" w:hAnsi="Arial" w:cs="Arial"/>
                <w:sz w:val="24"/>
                <w:szCs w:val="24"/>
                <w:lang w:val="en-US"/>
              </w:rPr>
              <w:lastRenderedPageBreak/>
              <w:t xml:space="preserve">insights into how urban ecological and economic frameworks affect small company dynamics for academics and professionals. Their complete approach reveals challenges and proposes creative solutions, enabling sustainable urban development and thriving entrepreneurial ecosystems. Their revolutionary work shows their understanding and commitment to overcoming modern urban issues.   </w:t>
            </w:r>
          </w:p>
        </w:tc>
      </w:tr>
      <w:tr w:rsidR="00C42367" w:rsidRPr="002B41B5" w14:paraId="74E52655" w14:textId="77777777" w:rsidTr="00692DCB">
        <w:tc>
          <w:tcPr>
            <w:tcW w:w="853" w:type="dxa"/>
          </w:tcPr>
          <w:p w14:paraId="24D15277"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lastRenderedPageBreak/>
              <w:t>21.</w:t>
            </w:r>
          </w:p>
        </w:tc>
        <w:tc>
          <w:tcPr>
            <w:tcW w:w="1744" w:type="dxa"/>
          </w:tcPr>
          <w:p w14:paraId="0D5563F1"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Beutel (2021)</w:t>
            </w:r>
          </w:p>
        </w:tc>
        <w:tc>
          <w:tcPr>
            <w:tcW w:w="942" w:type="dxa"/>
          </w:tcPr>
          <w:p w14:paraId="1FE7DDAF"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2021</w:t>
            </w:r>
          </w:p>
        </w:tc>
        <w:tc>
          <w:tcPr>
            <w:tcW w:w="2693" w:type="dxa"/>
          </w:tcPr>
          <w:p w14:paraId="1D3040D8"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Economic diversification and sustainable development of GCC countries.</w:t>
            </w:r>
          </w:p>
        </w:tc>
        <w:tc>
          <w:tcPr>
            <w:tcW w:w="7716" w:type="dxa"/>
          </w:tcPr>
          <w:p w14:paraId="5F344FC5"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This study focuses on economic diversification, which promotes sustainable growth and reduces oil dependence. The move to more varied and sustainable economies is complex, but Beutel breaks it down. This article explores the intricate interplay between GCC governments' economic policies, environmental concerns, and geopolitical dynamics, revealing several paths to a more secure and equitable future.</w:t>
            </w:r>
          </w:p>
        </w:tc>
      </w:tr>
      <w:tr w:rsidR="00C42367" w:rsidRPr="002B41B5" w14:paraId="08BDFD7E" w14:textId="77777777" w:rsidTr="00692DCB">
        <w:tc>
          <w:tcPr>
            <w:tcW w:w="853" w:type="dxa"/>
          </w:tcPr>
          <w:p w14:paraId="15FC8F0E"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22.</w:t>
            </w:r>
          </w:p>
        </w:tc>
        <w:tc>
          <w:tcPr>
            <w:tcW w:w="1744" w:type="dxa"/>
          </w:tcPr>
          <w:p w14:paraId="1508CF73"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Case &amp; Shiller, (2003)</w:t>
            </w:r>
          </w:p>
        </w:tc>
        <w:tc>
          <w:tcPr>
            <w:tcW w:w="942" w:type="dxa"/>
          </w:tcPr>
          <w:p w14:paraId="0E0B2D92"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2003</w:t>
            </w:r>
          </w:p>
        </w:tc>
        <w:tc>
          <w:tcPr>
            <w:tcW w:w="2693" w:type="dxa"/>
          </w:tcPr>
          <w:p w14:paraId="5DDFF5C1"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Is there a bubble in the housing market?</w:t>
            </w:r>
          </w:p>
        </w:tc>
        <w:tc>
          <w:tcPr>
            <w:tcW w:w="7716" w:type="dxa"/>
          </w:tcPr>
          <w:p w14:paraId="73E3E465"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This paper analyzes whether the U.S. housing market was experiencing a price bubble during the early 2000s. The authors discuss the indicators of a bubble, including price dynamics and public expectations, and evaluate potential consequences and policy implications if such a bubble were to burst.</w:t>
            </w:r>
          </w:p>
        </w:tc>
      </w:tr>
      <w:tr w:rsidR="00C42367" w:rsidRPr="002B41B5" w14:paraId="3E142583" w14:textId="77777777" w:rsidTr="00692DCB">
        <w:tc>
          <w:tcPr>
            <w:tcW w:w="853" w:type="dxa"/>
          </w:tcPr>
          <w:p w14:paraId="7BB2758E"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23.</w:t>
            </w:r>
          </w:p>
        </w:tc>
        <w:tc>
          <w:tcPr>
            <w:tcW w:w="1744" w:type="dxa"/>
          </w:tcPr>
          <w:p w14:paraId="0854BDED"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Davidson-Huxley (2021)</w:t>
            </w:r>
          </w:p>
        </w:tc>
        <w:tc>
          <w:tcPr>
            <w:tcW w:w="942" w:type="dxa"/>
          </w:tcPr>
          <w:p w14:paraId="3606F1F5"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2021</w:t>
            </w:r>
          </w:p>
        </w:tc>
        <w:tc>
          <w:tcPr>
            <w:tcW w:w="2693" w:type="dxa"/>
          </w:tcPr>
          <w:p w14:paraId="437D1B12"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 xml:space="preserve">The future of living: exploring sustainable </w:t>
            </w:r>
            <w:r w:rsidRPr="002B41B5">
              <w:rPr>
                <w:rFonts w:ascii="Arial" w:hAnsi="Arial" w:cs="Arial"/>
                <w:sz w:val="24"/>
                <w:szCs w:val="24"/>
                <w:lang w:val="en-US"/>
              </w:rPr>
              <w:lastRenderedPageBreak/>
              <w:t>residential developments through A case study analysis of the sustainable city Dubai.</w:t>
            </w:r>
          </w:p>
        </w:tc>
        <w:tc>
          <w:tcPr>
            <w:tcW w:w="7716" w:type="dxa"/>
          </w:tcPr>
          <w:p w14:paraId="31845DED"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lastRenderedPageBreak/>
              <w:t xml:space="preserve">This study examines sustainable residential developments, using Dubai’s Sustainable City as a case study. It discusses design </w:t>
            </w:r>
            <w:r w:rsidRPr="002B41B5">
              <w:rPr>
                <w:rFonts w:ascii="Arial" w:hAnsi="Arial" w:cs="Arial"/>
                <w:sz w:val="24"/>
                <w:szCs w:val="24"/>
                <w:lang w:val="en-US"/>
              </w:rPr>
              <w:lastRenderedPageBreak/>
              <w:t>innovations, community planning, and environmentally friendly features that contribute to sustainability, providing insights into future residential planning and construction practices.</w:t>
            </w:r>
          </w:p>
        </w:tc>
      </w:tr>
      <w:tr w:rsidR="00C42367" w:rsidRPr="002B41B5" w14:paraId="77060B0B" w14:textId="77777777" w:rsidTr="00692DCB">
        <w:tc>
          <w:tcPr>
            <w:tcW w:w="853" w:type="dxa"/>
          </w:tcPr>
          <w:p w14:paraId="25EFF952"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lastRenderedPageBreak/>
              <w:t>24.</w:t>
            </w:r>
          </w:p>
        </w:tc>
        <w:tc>
          <w:tcPr>
            <w:tcW w:w="1744" w:type="dxa"/>
          </w:tcPr>
          <w:p w14:paraId="023C7365"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Dessouky et al. (2023)</w:t>
            </w:r>
          </w:p>
        </w:tc>
        <w:tc>
          <w:tcPr>
            <w:tcW w:w="942" w:type="dxa"/>
          </w:tcPr>
          <w:p w14:paraId="64238A6F"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2023</w:t>
            </w:r>
          </w:p>
        </w:tc>
        <w:tc>
          <w:tcPr>
            <w:tcW w:w="2693" w:type="dxa"/>
          </w:tcPr>
          <w:p w14:paraId="4282ACA0"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Including local actors' perspective in neighborhood sustainability assessment: evidence from Dubai's sustainable city.</w:t>
            </w:r>
          </w:p>
        </w:tc>
        <w:tc>
          <w:tcPr>
            <w:tcW w:w="7716" w:type="dxa"/>
          </w:tcPr>
          <w:p w14:paraId="2A2560F9"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This research incorporates local perspectives into the sustainability assessment of neighborhoods, using Dubai’s Sustainable City as an example. It highlights the importance of community engagement in achieving sustainability goals and the benefits of localized, participatory approaches in urban planning.</w:t>
            </w:r>
          </w:p>
        </w:tc>
      </w:tr>
      <w:tr w:rsidR="00C42367" w:rsidRPr="002B41B5" w14:paraId="6C134B36" w14:textId="77777777" w:rsidTr="00692DCB">
        <w:tc>
          <w:tcPr>
            <w:tcW w:w="853" w:type="dxa"/>
          </w:tcPr>
          <w:p w14:paraId="3DE295FD"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25.</w:t>
            </w:r>
          </w:p>
        </w:tc>
        <w:tc>
          <w:tcPr>
            <w:tcW w:w="1744" w:type="dxa"/>
          </w:tcPr>
          <w:p w14:paraId="38A0E174"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Due-Gundersen &amp; Al Suwaidi, (2024)</w:t>
            </w:r>
          </w:p>
        </w:tc>
        <w:tc>
          <w:tcPr>
            <w:tcW w:w="942" w:type="dxa"/>
          </w:tcPr>
          <w:p w14:paraId="0EF5F11E"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2024</w:t>
            </w:r>
          </w:p>
        </w:tc>
        <w:tc>
          <w:tcPr>
            <w:tcW w:w="2693" w:type="dxa"/>
          </w:tcPr>
          <w:p w14:paraId="0C2FB470"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Potential for the UAE as a Model for Coordinating GCC-Wide Economic Diversification.</w:t>
            </w:r>
          </w:p>
        </w:tc>
        <w:tc>
          <w:tcPr>
            <w:tcW w:w="7716" w:type="dxa"/>
          </w:tcPr>
          <w:p w14:paraId="1D29EA6E"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This article proposes the UAE as a potential leader in coordinating economic diversification efforts across the GCC. It analyzes the UAE's strategies and frameworks for diversification, suggesting that these could serve as a model for broader regional collaboration and economic sustainability.</w:t>
            </w:r>
          </w:p>
        </w:tc>
      </w:tr>
      <w:tr w:rsidR="00C42367" w:rsidRPr="002B41B5" w14:paraId="3231C00E" w14:textId="77777777" w:rsidTr="00692DCB">
        <w:tc>
          <w:tcPr>
            <w:tcW w:w="853" w:type="dxa"/>
          </w:tcPr>
          <w:p w14:paraId="3B393ADF"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26.</w:t>
            </w:r>
          </w:p>
        </w:tc>
        <w:tc>
          <w:tcPr>
            <w:tcW w:w="1744" w:type="dxa"/>
          </w:tcPr>
          <w:p w14:paraId="1D94585A"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 xml:space="preserve">El </w:t>
            </w:r>
            <w:proofErr w:type="spellStart"/>
            <w:r w:rsidRPr="002B41B5">
              <w:rPr>
                <w:rFonts w:ascii="Arial" w:hAnsi="Arial" w:cs="Arial"/>
                <w:sz w:val="24"/>
                <w:szCs w:val="24"/>
                <w:lang w:val="en-US"/>
              </w:rPr>
              <w:t>Hoummaidi</w:t>
            </w:r>
            <w:proofErr w:type="spellEnd"/>
            <w:r w:rsidRPr="002B41B5">
              <w:rPr>
                <w:rFonts w:ascii="Arial" w:hAnsi="Arial" w:cs="Arial"/>
                <w:sz w:val="24"/>
                <w:szCs w:val="24"/>
                <w:lang w:val="en-US"/>
              </w:rPr>
              <w:t xml:space="preserve"> et al. (2021)</w:t>
            </w:r>
          </w:p>
        </w:tc>
        <w:tc>
          <w:tcPr>
            <w:tcW w:w="942" w:type="dxa"/>
          </w:tcPr>
          <w:p w14:paraId="5F0E3847"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2021</w:t>
            </w:r>
          </w:p>
        </w:tc>
        <w:tc>
          <w:tcPr>
            <w:tcW w:w="2693" w:type="dxa"/>
          </w:tcPr>
          <w:p w14:paraId="3F91F5DA"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Using unmanned aerial systems and deep learning for agriculture mapping in Dubai.</w:t>
            </w:r>
          </w:p>
        </w:tc>
        <w:tc>
          <w:tcPr>
            <w:tcW w:w="7716" w:type="dxa"/>
          </w:tcPr>
          <w:p w14:paraId="5D9181E9"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The study demonstrates how unmanned aerial systems combined with deep learning can enhance agricultural mapping in Dubai. It discusses the technological advances, accuracy improvements, and potential impacts on agricultural planning and management.</w:t>
            </w:r>
          </w:p>
        </w:tc>
      </w:tr>
      <w:tr w:rsidR="00C42367" w:rsidRPr="002B41B5" w14:paraId="445ECC60" w14:textId="77777777" w:rsidTr="00692DCB">
        <w:tc>
          <w:tcPr>
            <w:tcW w:w="853" w:type="dxa"/>
          </w:tcPr>
          <w:p w14:paraId="39A1AEF4"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lastRenderedPageBreak/>
              <w:t>27.</w:t>
            </w:r>
          </w:p>
        </w:tc>
        <w:tc>
          <w:tcPr>
            <w:tcW w:w="1744" w:type="dxa"/>
          </w:tcPr>
          <w:p w14:paraId="0AC1A6A1" w14:textId="77777777" w:rsidR="00C42367" w:rsidRPr="002B41B5" w:rsidRDefault="00C42367" w:rsidP="009C1931">
            <w:pPr>
              <w:spacing w:line="360" w:lineRule="auto"/>
              <w:rPr>
                <w:rFonts w:ascii="Arial" w:hAnsi="Arial" w:cs="Arial"/>
                <w:sz w:val="24"/>
                <w:szCs w:val="24"/>
                <w:lang w:val="en-US"/>
              </w:rPr>
            </w:pPr>
            <w:proofErr w:type="spellStart"/>
            <w:r w:rsidRPr="002B41B5">
              <w:rPr>
                <w:rFonts w:ascii="Arial" w:hAnsi="Arial" w:cs="Arial"/>
                <w:sz w:val="24"/>
                <w:szCs w:val="24"/>
                <w:lang w:val="en-US"/>
              </w:rPr>
              <w:t>Faccia</w:t>
            </w:r>
            <w:proofErr w:type="spellEnd"/>
            <w:r w:rsidRPr="002B41B5">
              <w:rPr>
                <w:rFonts w:ascii="Arial" w:hAnsi="Arial" w:cs="Arial"/>
                <w:sz w:val="24"/>
                <w:szCs w:val="24"/>
                <w:lang w:val="en-US"/>
              </w:rPr>
              <w:t xml:space="preserve"> et al. (2023)</w:t>
            </w:r>
          </w:p>
        </w:tc>
        <w:tc>
          <w:tcPr>
            <w:tcW w:w="942" w:type="dxa"/>
          </w:tcPr>
          <w:p w14:paraId="422215C0"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2023</w:t>
            </w:r>
          </w:p>
        </w:tc>
        <w:tc>
          <w:tcPr>
            <w:tcW w:w="2693" w:type="dxa"/>
          </w:tcPr>
          <w:p w14:paraId="30A9477C"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Innovation and E-commerce models, the technology catalysts for sustainable development: the Emirate of Dubai case study.</w:t>
            </w:r>
          </w:p>
        </w:tc>
        <w:tc>
          <w:tcPr>
            <w:tcW w:w="7716" w:type="dxa"/>
          </w:tcPr>
          <w:p w14:paraId="692826A1"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Economic growth and ecological balance are impossible without new company practices and technology advances, the report claims. The article explores the complex relationship between innovation and sustainability, showing how to use technology to boost economic growth and environmental protection for overall progress.</w:t>
            </w:r>
          </w:p>
        </w:tc>
      </w:tr>
      <w:tr w:rsidR="00C42367" w:rsidRPr="002B41B5" w14:paraId="55E040A9" w14:textId="77777777" w:rsidTr="00692DCB">
        <w:tc>
          <w:tcPr>
            <w:tcW w:w="853" w:type="dxa"/>
          </w:tcPr>
          <w:p w14:paraId="03D34935"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28.</w:t>
            </w:r>
          </w:p>
        </w:tc>
        <w:tc>
          <w:tcPr>
            <w:tcW w:w="1744" w:type="dxa"/>
          </w:tcPr>
          <w:p w14:paraId="5BAC30EC" w14:textId="77777777" w:rsidR="00C42367" w:rsidRPr="002B41B5" w:rsidRDefault="00C42367" w:rsidP="009C1931">
            <w:pPr>
              <w:spacing w:line="360" w:lineRule="auto"/>
              <w:rPr>
                <w:rFonts w:ascii="Arial" w:hAnsi="Arial" w:cs="Arial"/>
                <w:sz w:val="24"/>
                <w:szCs w:val="24"/>
                <w:lang w:val="en-US"/>
              </w:rPr>
            </w:pPr>
            <w:proofErr w:type="spellStart"/>
            <w:r w:rsidRPr="002B41B5">
              <w:rPr>
                <w:rFonts w:ascii="Arial" w:hAnsi="Arial" w:cs="Arial"/>
                <w:sz w:val="24"/>
                <w:szCs w:val="24"/>
                <w:lang w:val="en-US"/>
              </w:rPr>
              <w:t>Farooki</w:t>
            </w:r>
            <w:proofErr w:type="spellEnd"/>
            <w:r w:rsidRPr="002B41B5">
              <w:rPr>
                <w:rFonts w:ascii="Arial" w:hAnsi="Arial" w:cs="Arial"/>
                <w:sz w:val="24"/>
                <w:szCs w:val="24"/>
                <w:lang w:val="en-US"/>
              </w:rPr>
              <w:t xml:space="preserve"> &amp; </w:t>
            </w:r>
            <w:proofErr w:type="spellStart"/>
            <w:r w:rsidRPr="002B41B5">
              <w:rPr>
                <w:rFonts w:ascii="Arial" w:hAnsi="Arial" w:cs="Arial"/>
                <w:sz w:val="24"/>
                <w:szCs w:val="24"/>
                <w:lang w:val="en-US"/>
              </w:rPr>
              <w:t>Mohieldin</w:t>
            </w:r>
            <w:proofErr w:type="spellEnd"/>
            <w:r w:rsidRPr="002B41B5">
              <w:rPr>
                <w:rFonts w:ascii="Arial" w:hAnsi="Arial" w:cs="Arial"/>
                <w:sz w:val="24"/>
                <w:szCs w:val="24"/>
                <w:lang w:val="en-US"/>
              </w:rPr>
              <w:t xml:space="preserve"> (2019)</w:t>
            </w:r>
          </w:p>
        </w:tc>
        <w:tc>
          <w:tcPr>
            <w:tcW w:w="942" w:type="dxa"/>
          </w:tcPr>
          <w:p w14:paraId="77DDB030"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2019</w:t>
            </w:r>
          </w:p>
        </w:tc>
        <w:tc>
          <w:tcPr>
            <w:tcW w:w="2693" w:type="dxa"/>
          </w:tcPr>
          <w:p w14:paraId="0EBD1534"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The role of real estate in sustainable development in developing countries: The case of the Gulf Cooperation Council.</w:t>
            </w:r>
          </w:p>
        </w:tc>
        <w:tc>
          <w:tcPr>
            <w:tcW w:w="7716" w:type="dxa"/>
          </w:tcPr>
          <w:p w14:paraId="06E337CC"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This study examined the crucial link between GCC real estate and sustainable growth. Their approach emphasizes real estate sustainability and gives genuine responses. Weighing pros and cons helps explain environmentally and socially responsible growth methods. Sustainability of the GCC socioeconomic environment and real estate business depends on these ideas.</w:t>
            </w:r>
          </w:p>
        </w:tc>
      </w:tr>
      <w:tr w:rsidR="00C42367" w:rsidRPr="002B41B5" w14:paraId="5435F71F" w14:textId="77777777" w:rsidTr="00692DCB">
        <w:tc>
          <w:tcPr>
            <w:tcW w:w="853" w:type="dxa"/>
          </w:tcPr>
          <w:p w14:paraId="171D6C0A"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29.</w:t>
            </w:r>
          </w:p>
        </w:tc>
        <w:tc>
          <w:tcPr>
            <w:tcW w:w="1744" w:type="dxa"/>
          </w:tcPr>
          <w:p w14:paraId="5EC66A89" w14:textId="77777777" w:rsidR="00C42367" w:rsidRPr="002B41B5" w:rsidRDefault="00C42367" w:rsidP="009C1931">
            <w:pPr>
              <w:spacing w:line="360" w:lineRule="auto"/>
              <w:rPr>
                <w:rFonts w:ascii="Arial" w:hAnsi="Arial" w:cs="Arial"/>
                <w:sz w:val="24"/>
                <w:szCs w:val="24"/>
                <w:lang w:val="en-US"/>
              </w:rPr>
            </w:pPr>
            <w:proofErr w:type="spellStart"/>
            <w:r w:rsidRPr="002B41B5">
              <w:rPr>
                <w:rFonts w:ascii="Arial" w:hAnsi="Arial" w:cs="Arial"/>
                <w:sz w:val="24"/>
                <w:szCs w:val="24"/>
                <w:lang w:val="en-US"/>
              </w:rPr>
              <w:t>Godge</w:t>
            </w:r>
            <w:proofErr w:type="spellEnd"/>
            <w:r w:rsidRPr="002B41B5">
              <w:rPr>
                <w:rFonts w:ascii="Arial" w:hAnsi="Arial" w:cs="Arial"/>
                <w:sz w:val="24"/>
                <w:szCs w:val="24"/>
                <w:lang w:val="en-US"/>
              </w:rPr>
              <w:t xml:space="preserve"> &amp; Kumar (2021)</w:t>
            </w:r>
          </w:p>
        </w:tc>
        <w:tc>
          <w:tcPr>
            <w:tcW w:w="942" w:type="dxa"/>
          </w:tcPr>
          <w:p w14:paraId="7CF1FEBB"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2021</w:t>
            </w:r>
          </w:p>
        </w:tc>
        <w:tc>
          <w:tcPr>
            <w:tcW w:w="2693" w:type="dxa"/>
          </w:tcPr>
          <w:p w14:paraId="6AC63A87"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Features, benefits, impact, and key provisions of Real Estate Regulatory Authority (RERA) Act 2016.</w:t>
            </w:r>
          </w:p>
        </w:tc>
        <w:tc>
          <w:tcPr>
            <w:tcW w:w="7716" w:type="dxa"/>
          </w:tcPr>
          <w:p w14:paraId="51C02AC7"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 xml:space="preserve">The 2016 Indian RERA Act is thoroughly researched by </w:t>
            </w:r>
            <w:proofErr w:type="spellStart"/>
            <w:r w:rsidRPr="002B41B5">
              <w:rPr>
                <w:rFonts w:ascii="Arial" w:hAnsi="Arial" w:cs="Arial"/>
                <w:sz w:val="24"/>
                <w:szCs w:val="24"/>
                <w:lang w:val="en-US"/>
              </w:rPr>
              <w:t>Godge</w:t>
            </w:r>
            <w:proofErr w:type="spellEnd"/>
            <w:r w:rsidRPr="002B41B5">
              <w:rPr>
                <w:rFonts w:ascii="Arial" w:hAnsi="Arial" w:cs="Arial"/>
                <w:sz w:val="24"/>
                <w:szCs w:val="24"/>
                <w:lang w:val="en-US"/>
              </w:rPr>
              <w:t xml:space="preserve"> and Kumar (2021). By breaking down major legislative provisions, they show how the real estate business is now more transparent and responsible. It also lists market benefits for buyers and sellers. This article discusses RERA and how it could improve India's real estate sector.</w:t>
            </w:r>
          </w:p>
        </w:tc>
      </w:tr>
      <w:tr w:rsidR="00C42367" w:rsidRPr="002B41B5" w14:paraId="37F6FC1A" w14:textId="77777777" w:rsidTr="00692DCB">
        <w:tc>
          <w:tcPr>
            <w:tcW w:w="853" w:type="dxa"/>
          </w:tcPr>
          <w:p w14:paraId="35565081"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30.</w:t>
            </w:r>
          </w:p>
        </w:tc>
        <w:tc>
          <w:tcPr>
            <w:tcW w:w="1744" w:type="dxa"/>
          </w:tcPr>
          <w:p w14:paraId="4B5B4273" w14:textId="77777777" w:rsidR="00C42367" w:rsidRPr="002B41B5" w:rsidRDefault="00C42367" w:rsidP="009C1931">
            <w:pPr>
              <w:spacing w:line="360" w:lineRule="auto"/>
              <w:rPr>
                <w:rFonts w:ascii="Arial" w:hAnsi="Arial" w:cs="Arial"/>
                <w:sz w:val="24"/>
                <w:szCs w:val="24"/>
                <w:lang w:val="en-US"/>
              </w:rPr>
            </w:pPr>
            <w:proofErr w:type="spellStart"/>
            <w:r w:rsidRPr="002B41B5">
              <w:rPr>
                <w:rFonts w:ascii="Arial" w:hAnsi="Arial" w:cs="Arial"/>
                <w:sz w:val="24"/>
                <w:szCs w:val="24"/>
                <w:lang w:val="en-US"/>
              </w:rPr>
              <w:t>Ifediora</w:t>
            </w:r>
            <w:proofErr w:type="spellEnd"/>
            <w:r w:rsidRPr="002B41B5">
              <w:rPr>
                <w:rFonts w:ascii="Arial" w:hAnsi="Arial" w:cs="Arial"/>
                <w:sz w:val="24"/>
                <w:szCs w:val="24"/>
                <w:lang w:val="en-US"/>
              </w:rPr>
              <w:t xml:space="preserve"> et al. (2021)</w:t>
            </w:r>
          </w:p>
        </w:tc>
        <w:tc>
          <w:tcPr>
            <w:tcW w:w="942" w:type="dxa"/>
          </w:tcPr>
          <w:p w14:paraId="07110A9A"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2021</w:t>
            </w:r>
          </w:p>
        </w:tc>
        <w:tc>
          <w:tcPr>
            <w:tcW w:w="2693" w:type="dxa"/>
          </w:tcPr>
          <w:p w14:paraId="33D05ABC"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 xml:space="preserve">Strengths, Opportunities, </w:t>
            </w:r>
            <w:r w:rsidRPr="002B41B5">
              <w:rPr>
                <w:rFonts w:ascii="Arial" w:hAnsi="Arial" w:cs="Arial"/>
                <w:sz w:val="24"/>
                <w:szCs w:val="24"/>
                <w:lang w:val="en-US"/>
              </w:rPr>
              <w:lastRenderedPageBreak/>
              <w:t>Weaknesses and Threats (SWOT) in Real Estate Sector: An Insight for Practitioners in Anambra State for Effective Practice.</w:t>
            </w:r>
          </w:p>
        </w:tc>
        <w:tc>
          <w:tcPr>
            <w:tcW w:w="7716" w:type="dxa"/>
          </w:tcPr>
          <w:p w14:paraId="5B35BF41"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lastRenderedPageBreak/>
              <w:t xml:space="preserve">This study assessed the Anambra State real estate market using a SWOT framework. The research's SWOT analysis may help </w:t>
            </w:r>
            <w:r w:rsidRPr="002B41B5">
              <w:rPr>
                <w:rFonts w:ascii="Arial" w:hAnsi="Arial" w:cs="Arial"/>
                <w:sz w:val="24"/>
                <w:szCs w:val="24"/>
                <w:lang w:val="en-US"/>
              </w:rPr>
              <w:lastRenderedPageBreak/>
              <w:t>practitioners. This study focuses on improving Anambra State real estate practices for growth and sustainability.</w:t>
            </w:r>
          </w:p>
        </w:tc>
      </w:tr>
      <w:tr w:rsidR="00C42367" w:rsidRPr="002B41B5" w14:paraId="707C40F8" w14:textId="77777777" w:rsidTr="00692DCB">
        <w:tc>
          <w:tcPr>
            <w:tcW w:w="853" w:type="dxa"/>
          </w:tcPr>
          <w:p w14:paraId="193242F8"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lastRenderedPageBreak/>
              <w:t>31.</w:t>
            </w:r>
          </w:p>
        </w:tc>
        <w:tc>
          <w:tcPr>
            <w:tcW w:w="1744" w:type="dxa"/>
          </w:tcPr>
          <w:p w14:paraId="383FEF8C" w14:textId="77777777" w:rsidR="00C42367" w:rsidRPr="002B41B5" w:rsidRDefault="00C42367" w:rsidP="009C1931">
            <w:pPr>
              <w:spacing w:line="360" w:lineRule="auto"/>
              <w:rPr>
                <w:rFonts w:ascii="Arial" w:hAnsi="Arial" w:cs="Arial"/>
                <w:sz w:val="24"/>
                <w:szCs w:val="24"/>
                <w:lang w:val="en-US"/>
              </w:rPr>
            </w:pPr>
            <w:proofErr w:type="spellStart"/>
            <w:r w:rsidRPr="002B41B5">
              <w:rPr>
                <w:rFonts w:ascii="Arial" w:hAnsi="Arial" w:cs="Arial"/>
                <w:sz w:val="24"/>
                <w:szCs w:val="24"/>
                <w:lang w:val="en-US"/>
              </w:rPr>
              <w:t>Joghee</w:t>
            </w:r>
            <w:proofErr w:type="spellEnd"/>
            <w:r w:rsidRPr="002B41B5">
              <w:rPr>
                <w:rFonts w:ascii="Arial" w:hAnsi="Arial" w:cs="Arial"/>
                <w:sz w:val="24"/>
                <w:szCs w:val="24"/>
                <w:lang w:val="en-US"/>
              </w:rPr>
              <w:t xml:space="preserve"> et al. (2020)</w:t>
            </w:r>
          </w:p>
        </w:tc>
        <w:tc>
          <w:tcPr>
            <w:tcW w:w="942" w:type="dxa"/>
          </w:tcPr>
          <w:p w14:paraId="07D5A455"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2020</w:t>
            </w:r>
          </w:p>
        </w:tc>
        <w:tc>
          <w:tcPr>
            <w:tcW w:w="2693" w:type="dxa"/>
          </w:tcPr>
          <w:p w14:paraId="2A0DF585"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Decisions effectiveness of FDI investment biases at real estate industry: Empirical evidence from Dubai smart city projects.</w:t>
            </w:r>
          </w:p>
        </w:tc>
        <w:tc>
          <w:tcPr>
            <w:tcW w:w="7716" w:type="dxa"/>
          </w:tcPr>
          <w:p w14:paraId="7490C256"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This study examined Dubai's real estate sector's FDI policies with a focus on smart city efforts. The study examines decision-making biases and investment outcomes using real-world data. The research shows that these factors are crucial for profiting in Dubai's dynamic real estate market.</w:t>
            </w:r>
          </w:p>
        </w:tc>
      </w:tr>
      <w:tr w:rsidR="00C42367" w:rsidRPr="002B41B5" w14:paraId="3458A7F6" w14:textId="77777777" w:rsidTr="00692DCB">
        <w:tc>
          <w:tcPr>
            <w:tcW w:w="853" w:type="dxa"/>
          </w:tcPr>
          <w:p w14:paraId="69D5614D"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32.</w:t>
            </w:r>
          </w:p>
        </w:tc>
        <w:tc>
          <w:tcPr>
            <w:tcW w:w="1744" w:type="dxa"/>
          </w:tcPr>
          <w:p w14:paraId="3A02C6E0"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Johnston (2017)</w:t>
            </w:r>
          </w:p>
        </w:tc>
        <w:tc>
          <w:tcPr>
            <w:tcW w:w="942" w:type="dxa"/>
          </w:tcPr>
          <w:p w14:paraId="17945B8A"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2017</w:t>
            </w:r>
          </w:p>
        </w:tc>
        <w:tc>
          <w:tcPr>
            <w:tcW w:w="2693" w:type="dxa"/>
          </w:tcPr>
          <w:p w14:paraId="318880A5"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Secondary data analysis: A method of which the time has come.</w:t>
            </w:r>
          </w:p>
        </w:tc>
        <w:tc>
          <w:tcPr>
            <w:tcW w:w="7716" w:type="dxa"/>
          </w:tcPr>
          <w:p w14:paraId="5CBC06AB"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In his 2017 paper "Unlocking Insights: Embracing Secondary Data Analysis," Johnston, M. P. believes that secondary data analysis is a powerful research method. He discusses its low cost and abundance of data to let academics tap into current data reservoirs for fresh insights. Johnston says this technique can boost creativity, broaden academic research, and simplify research.</w:t>
            </w:r>
          </w:p>
        </w:tc>
      </w:tr>
      <w:tr w:rsidR="00C42367" w:rsidRPr="002B41B5" w14:paraId="1F33C791" w14:textId="77777777" w:rsidTr="00692DCB">
        <w:tc>
          <w:tcPr>
            <w:tcW w:w="853" w:type="dxa"/>
          </w:tcPr>
          <w:p w14:paraId="48305A0A"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lastRenderedPageBreak/>
              <w:t>33.</w:t>
            </w:r>
          </w:p>
        </w:tc>
        <w:tc>
          <w:tcPr>
            <w:tcW w:w="1744" w:type="dxa"/>
          </w:tcPr>
          <w:p w14:paraId="01FB0B07"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Jones Lang LaSalle (2020)</w:t>
            </w:r>
          </w:p>
        </w:tc>
        <w:tc>
          <w:tcPr>
            <w:tcW w:w="942" w:type="dxa"/>
          </w:tcPr>
          <w:p w14:paraId="16E2B368"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2020</w:t>
            </w:r>
          </w:p>
        </w:tc>
        <w:tc>
          <w:tcPr>
            <w:tcW w:w="2693" w:type="dxa"/>
          </w:tcPr>
          <w:p w14:paraId="1209688A"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The impact of real estate on emerging economy growth.</w:t>
            </w:r>
          </w:p>
        </w:tc>
        <w:tc>
          <w:tcPr>
            <w:tcW w:w="7716" w:type="dxa"/>
          </w:tcPr>
          <w:p w14:paraId="0DFC32C1"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This study examines how real estate investments affect emerging economies in 2020. It proves that targeted real estate investments accelerate urbanization and economic growth. This study investigates the intricate relationship between economic growth, real estate market movements, and other factors. It claims that emerging economies can improve their cities and succeed by making smart investments.</w:t>
            </w:r>
          </w:p>
        </w:tc>
      </w:tr>
      <w:tr w:rsidR="00C42367" w:rsidRPr="002B41B5" w14:paraId="5FEF23D2" w14:textId="77777777" w:rsidTr="00692DCB">
        <w:tc>
          <w:tcPr>
            <w:tcW w:w="853" w:type="dxa"/>
          </w:tcPr>
          <w:p w14:paraId="207BDB05"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34.</w:t>
            </w:r>
          </w:p>
        </w:tc>
        <w:tc>
          <w:tcPr>
            <w:tcW w:w="1744" w:type="dxa"/>
          </w:tcPr>
          <w:p w14:paraId="4A8E2462"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Jung et al. (2022)</w:t>
            </w:r>
          </w:p>
        </w:tc>
        <w:tc>
          <w:tcPr>
            <w:tcW w:w="942" w:type="dxa"/>
          </w:tcPr>
          <w:p w14:paraId="4A16AE13"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2022</w:t>
            </w:r>
          </w:p>
        </w:tc>
        <w:tc>
          <w:tcPr>
            <w:tcW w:w="2693" w:type="dxa"/>
          </w:tcPr>
          <w:p w14:paraId="6320ED03"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Analyzing the housing consumer preferences via analytic hierarchy process (AHP) in Dubai, United Arab Emirates.</w:t>
            </w:r>
          </w:p>
        </w:tc>
        <w:tc>
          <w:tcPr>
            <w:tcW w:w="7716" w:type="dxa"/>
          </w:tcPr>
          <w:p w14:paraId="01316B54"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This study examines Dubai homeowners' complex preferences using the Analytic Hierarchy Process (AHP). Careful examination of numerous factors reveals key house selection factors. Their findings help developers and policymakers understand customer behavior and stay up with the fast-changing housing sector. This research emphasizes consumer want alignment in product design, enabling better decision-making and more personalized housing solutions.</w:t>
            </w:r>
          </w:p>
        </w:tc>
      </w:tr>
      <w:tr w:rsidR="00C42367" w:rsidRPr="002B41B5" w14:paraId="5C47A60D" w14:textId="77777777" w:rsidTr="00692DCB">
        <w:tc>
          <w:tcPr>
            <w:tcW w:w="853" w:type="dxa"/>
          </w:tcPr>
          <w:p w14:paraId="743E12DE"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35.</w:t>
            </w:r>
          </w:p>
        </w:tc>
        <w:tc>
          <w:tcPr>
            <w:tcW w:w="1744" w:type="dxa"/>
          </w:tcPr>
          <w:p w14:paraId="0C66C351"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Kalam, (2022)</w:t>
            </w:r>
          </w:p>
        </w:tc>
        <w:tc>
          <w:tcPr>
            <w:tcW w:w="942" w:type="dxa"/>
          </w:tcPr>
          <w:p w14:paraId="5D5FA6DB"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2022</w:t>
            </w:r>
          </w:p>
        </w:tc>
        <w:tc>
          <w:tcPr>
            <w:tcW w:w="2693" w:type="dxa"/>
          </w:tcPr>
          <w:p w14:paraId="399114BF"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Impact of Economic and Non-economic variables on Housing Market in Bangladesh.</w:t>
            </w:r>
          </w:p>
        </w:tc>
        <w:tc>
          <w:tcPr>
            <w:tcW w:w="7716" w:type="dxa"/>
          </w:tcPr>
          <w:p w14:paraId="0DD5C087"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 xml:space="preserve">This study analyzes the intricate interaction between numerous factors affecting the Bangladeshi housing market. This analysis illuminates the complicated dynamics driven by GDP, interest rates, and socio-political atmosphere beyond economic measurements. Analysis of these elements might reveal market trends and behavior for housing market participants. This detailed analysis shows that </w:t>
            </w:r>
            <w:r w:rsidRPr="002B41B5">
              <w:rPr>
                <w:rFonts w:ascii="Arial" w:hAnsi="Arial" w:cs="Arial"/>
                <w:sz w:val="24"/>
                <w:szCs w:val="24"/>
                <w:lang w:val="en-US"/>
              </w:rPr>
              <w:lastRenderedPageBreak/>
              <w:t>housing demand and pricing patterns must include non-economic elements.</w:t>
            </w:r>
          </w:p>
        </w:tc>
      </w:tr>
      <w:tr w:rsidR="00C42367" w:rsidRPr="002B41B5" w14:paraId="3F8F51DB" w14:textId="77777777" w:rsidTr="00692DCB">
        <w:tc>
          <w:tcPr>
            <w:tcW w:w="853" w:type="dxa"/>
          </w:tcPr>
          <w:p w14:paraId="43BA249A"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lastRenderedPageBreak/>
              <w:t>36.</w:t>
            </w:r>
          </w:p>
        </w:tc>
        <w:tc>
          <w:tcPr>
            <w:tcW w:w="1744" w:type="dxa"/>
          </w:tcPr>
          <w:p w14:paraId="571B06A7"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Karadağ (2021)</w:t>
            </w:r>
          </w:p>
        </w:tc>
        <w:tc>
          <w:tcPr>
            <w:tcW w:w="942" w:type="dxa"/>
          </w:tcPr>
          <w:p w14:paraId="42DB2549"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2021</w:t>
            </w:r>
          </w:p>
        </w:tc>
        <w:tc>
          <w:tcPr>
            <w:tcW w:w="2693" w:type="dxa"/>
          </w:tcPr>
          <w:p w14:paraId="6C323B95"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The uncertainty index and foreign direct real estate investments in developing economies.</w:t>
            </w:r>
          </w:p>
        </w:tc>
        <w:tc>
          <w:tcPr>
            <w:tcW w:w="7716" w:type="dxa"/>
          </w:tcPr>
          <w:p w14:paraId="5E24A9B4"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This study investigates the relationship between the uncertainty index and foreign direct investment in real estate in developing countries. It discusses how economic and political uncertainties can affect investor confidence and investment flows into the real estate market.</w:t>
            </w:r>
          </w:p>
        </w:tc>
      </w:tr>
      <w:tr w:rsidR="00C42367" w:rsidRPr="002B41B5" w14:paraId="6A313AC6" w14:textId="77777777" w:rsidTr="00692DCB">
        <w:tc>
          <w:tcPr>
            <w:tcW w:w="853" w:type="dxa"/>
          </w:tcPr>
          <w:p w14:paraId="784414DF"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37.</w:t>
            </w:r>
          </w:p>
        </w:tc>
        <w:tc>
          <w:tcPr>
            <w:tcW w:w="1744" w:type="dxa"/>
          </w:tcPr>
          <w:p w14:paraId="66E1B8CE"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Khan et al. (2022)</w:t>
            </w:r>
          </w:p>
        </w:tc>
        <w:tc>
          <w:tcPr>
            <w:tcW w:w="942" w:type="dxa"/>
          </w:tcPr>
          <w:p w14:paraId="7C7B922C"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2022</w:t>
            </w:r>
          </w:p>
        </w:tc>
        <w:tc>
          <w:tcPr>
            <w:tcW w:w="2693" w:type="dxa"/>
          </w:tcPr>
          <w:p w14:paraId="2BA38BEF"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Blockchain for Governments: The Case of the Dubai Government.</w:t>
            </w:r>
          </w:p>
        </w:tc>
        <w:tc>
          <w:tcPr>
            <w:tcW w:w="7716" w:type="dxa"/>
          </w:tcPr>
          <w:p w14:paraId="3C3C23AB"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This study examines blockchain technology in government, focusing on Dubai. This technology improves transparency and operational efficiency, they say. The study also examines implementation challenges and predicts government blockchain adoption.</w:t>
            </w:r>
          </w:p>
        </w:tc>
      </w:tr>
      <w:tr w:rsidR="00C42367" w:rsidRPr="002B41B5" w14:paraId="75D50480" w14:textId="77777777" w:rsidTr="00692DCB">
        <w:tc>
          <w:tcPr>
            <w:tcW w:w="853" w:type="dxa"/>
          </w:tcPr>
          <w:p w14:paraId="7DA8AE18"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38.</w:t>
            </w:r>
          </w:p>
        </w:tc>
        <w:tc>
          <w:tcPr>
            <w:tcW w:w="1744" w:type="dxa"/>
          </w:tcPr>
          <w:p w14:paraId="4B2BCBB3" w14:textId="77777777" w:rsidR="00C42367" w:rsidRPr="002B41B5" w:rsidRDefault="00C42367" w:rsidP="009C1931">
            <w:pPr>
              <w:spacing w:line="360" w:lineRule="auto"/>
              <w:rPr>
                <w:rFonts w:ascii="Arial" w:hAnsi="Arial" w:cs="Arial"/>
                <w:sz w:val="24"/>
                <w:szCs w:val="24"/>
                <w:lang w:val="en-US"/>
              </w:rPr>
            </w:pPr>
            <w:proofErr w:type="spellStart"/>
            <w:r w:rsidRPr="002B41B5">
              <w:rPr>
                <w:rFonts w:ascii="Arial" w:hAnsi="Arial" w:cs="Arial"/>
                <w:sz w:val="24"/>
                <w:szCs w:val="24"/>
                <w:lang w:val="en-US"/>
              </w:rPr>
              <w:t>Koohang</w:t>
            </w:r>
            <w:proofErr w:type="spellEnd"/>
            <w:r w:rsidRPr="002B41B5">
              <w:rPr>
                <w:rFonts w:ascii="Arial" w:hAnsi="Arial" w:cs="Arial"/>
                <w:sz w:val="24"/>
                <w:szCs w:val="24"/>
                <w:lang w:val="en-US"/>
              </w:rPr>
              <w:t xml:space="preserve"> et al. (2023)</w:t>
            </w:r>
          </w:p>
        </w:tc>
        <w:tc>
          <w:tcPr>
            <w:tcW w:w="942" w:type="dxa"/>
          </w:tcPr>
          <w:p w14:paraId="6A326AF7"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2023</w:t>
            </w:r>
          </w:p>
        </w:tc>
        <w:tc>
          <w:tcPr>
            <w:tcW w:w="2693" w:type="dxa"/>
          </w:tcPr>
          <w:p w14:paraId="2B3E76E0"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Shaping the metaverse into reality: multidisciplinary perspectives on opportunities, challenges, and future research.</w:t>
            </w:r>
          </w:p>
        </w:tc>
        <w:tc>
          <w:tcPr>
            <w:tcW w:w="7716" w:type="dxa"/>
          </w:tcPr>
          <w:p w14:paraId="16632D7E"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This study examines the metaverse's evolving nature and effects on multiple sectors. They analyze its social, economic, and technical ramifications in their overall review. The writers examine possibilities and risks to understand this changing environment. Since this topic is changing quickly, they also suggest future research directions.</w:t>
            </w:r>
          </w:p>
        </w:tc>
      </w:tr>
      <w:tr w:rsidR="00C42367" w:rsidRPr="002B41B5" w14:paraId="24B2E586" w14:textId="77777777" w:rsidTr="00692DCB">
        <w:tc>
          <w:tcPr>
            <w:tcW w:w="853" w:type="dxa"/>
          </w:tcPr>
          <w:p w14:paraId="081A9884"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39.</w:t>
            </w:r>
          </w:p>
        </w:tc>
        <w:tc>
          <w:tcPr>
            <w:tcW w:w="1744" w:type="dxa"/>
          </w:tcPr>
          <w:p w14:paraId="7F59B6B9"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Madi Odeh et al. (2023)</w:t>
            </w:r>
          </w:p>
        </w:tc>
        <w:tc>
          <w:tcPr>
            <w:tcW w:w="942" w:type="dxa"/>
          </w:tcPr>
          <w:p w14:paraId="2FC3CEF2"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2023</w:t>
            </w:r>
          </w:p>
        </w:tc>
        <w:tc>
          <w:tcPr>
            <w:tcW w:w="2693" w:type="dxa"/>
          </w:tcPr>
          <w:p w14:paraId="05E6D795"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 xml:space="preserve">The transformational leadership role in </w:t>
            </w:r>
            <w:r w:rsidRPr="002B41B5">
              <w:rPr>
                <w:rFonts w:ascii="Arial" w:hAnsi="Arial" w:cs="Arial"/>
                <w:sz w:val="24"/>
                <w:szCs w:val="24"/>
                <w:lang w:val="en-US"/>
              </w:rPr>
              <w:lastRenderedPageBreak/>
              <w:t>achieving organizational resilience through adaptive cultures: the case of Dubai service sector.</w:t>
            </w:r>
          </w:p>
        </w:tc>
        <w:tc>
          <w:tcPr>
            <w:tcW w:w="7716" w:type="dxa"/>
          </w:tcPr>
          <w:p w14:paraId="03E9356A"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lastRenderedPageBreak/>
              <w:t xml:space="preserve">This study explores resilient companies and revolutionary leadership in Dubai's burgeoning service industry. Transformational </w:t>
            </w:r>
            <w:r w:rsidRPr="002B41B5">
              <w:rPr>
                <w:rFonts w:ascii="Arial" w:hAnsi="Arial" w:cs="Arial"/>
                <w:sz w:val="24"/>
                <w:szCs w:val="24"/>
                <w:lang w:val="en-US"/>
              </w:rPr>
              <w:lastRenderedPageBreak/>
              <w:t>leaders can boost organizational resilience by creating adaptable cultures, according to their research. Leadership is essential for boosting individual and organizational performance in Dubai's ever-changing service sector. This study shows how good leadership can increase employee flexibility.</w:t>
            </w:r>
          </w:p>
        </w:tc>
      </w:tr>
      <w:tr w:rsidR="00C42367" w:rsidRPr="002B41B5" w14:paraId="59E8B505" w14:textId="77777777" w:rsidTr="00692DCB">
        <w:tc>
          <w:tcPr>
            <w:tcW w:w="853" w:type="dxa"/>
          </w:tcPr>
          <w:p w14:paraId="7E1BFA20"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lastRenderedPageBreak/>
              <w:t>40.</w:t>
            </w:r>
          </w:p>
        </w:tc>
        <w:tc>
          <w:tcPr>
            <w:tcW w:w="1744" w:type="dxa"/>
          </w:tcPr>
          <w:p w14:paraId="1257A386"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Maleki (2020)</w:t>
            </w:r>
          </w:p>
        </w:tc>
        <w:tc>
          <w:tcPr>
            <w:tcW w:w="942" w:type="dxa"/>
          </w:tcPr>
          <w:p w14:paraId="472915EF"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2020</w:t>
            </w:r>
          </w:p>
        </w:tc>
        <w:tc>
          <w:tcPr>
            <w:tcW w:w="2693" w:type="dxa"/>
          </w:tcPr>
          <w:p w14:paraId="0E3B4BE4"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Assessment of Smart Cities: The Case of Dubai.</w:t>
            </w:r>
          </w:p>
        </w:tc>
        <w:tc>
          <w:tcPr>
            <w:tcW w:w="7716" w:type="dxa"/>
          </w:tcPr>
          <w:p w14:paraId="13DB2A0B"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This study investigates Dubai's smart city ambitions and their impact on urban living. This thorough study examines how modern technology has changed municipal administration, focusing on efficiency, sustainability, and public happiness. Maleki meticulously researches Dubai's successes and lays the groundwork for smart cities around the world to integrate technology into municipal life.</w:t>
            </w:r>
          </w:p>
        </w:tc>
      </w:tr>
      <w:tr w:rsidR="00C42367" w:rsidRPr="002B41B5" w14:paraId="165D7BCF" w14:textId="77777777" w:rsidTr="00692DCB">
        <w:tc>
          <w:tcPr>
            <w:tcW w:w="853" w:type="dxa"/>
          </w:tcPr>
          <w:p w14:paraId="4F757687"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41.</w:t>
            </w:r>
          </w:p>
        </w:tc>
        <w:tc>
          <w:tcPr>
            <w:tcW w:w="1744" w:type="dxa"/>
          </w:tcPr>
          <w:p w14:paraId="68510097"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Pillai et al. (2021)</w:t>
            </w:r>
          </w:p>
        </w:tc>
        <w:tc>
          <w:tcPr>
            <w:tcW w:w="942" w:type="dxa"/>
          </w:tcPr>
          <w:p w14:paraId="0690A21C"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2021</w:t>
            </w:r>
          </w:p>
        </w:tc>
        <w:tc>
          <w:tcPr>
            <w:tcW w:w="2693" w:type="dxa"/>
          </w:tcPr>
          <w:p w14:paraId="75A7CC4F"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Assessing Institutional Dynamics of Governance Compliance in Emerging Markets: The GCC Real Estate Sector.</w:t>
            </w:r>
          </w:p>
        </w:tc>
        <w:tc>
          <w:tcPr>
            <w:tcW w:w="7716" w:type="dxa"/>
          </w:tcPr>
          <w:p w14:paraId="4155DF1F"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This study examines the intricate relationship between GCC real estate institutional dynamics and governance compliance. A complete regulatory landscape analysis in respect to global economic developments and indigenous governance frameworks reveals new market mechanisms. Its extensive study shows how GCC regulatory systems adapt to national and international economies. This study will help academics, investors, and regulators navigate evolving real estate markets.</w:t>
            </w:r>
          </w:p>
        </w:tc>
      </w:tr>
      <w:tr w:rsidR="00C42367" w:rsidRPr="002B41B5" w14:paraId="415CCFCF" w14:textId="77777777" w:rsidTr="00692DCB">
        <w:tc>
          <w:tcPr>
            <w:tcW w:w="853" w:type="dxa"/>
          </w:tcPr>
          <w:p w14:paraId="1B637BFC"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lastRenderedPageBreak/>
              <w:t>42.</w:t>
            </w:r>
          </w:p>
        </w:tc>
        <w:tc>
          <w:tcPr>
            <w:tcW w:w="1744" w:type="dxa"/>
          </w:tcPr>
          <w:p w14:paraId="52982679"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Pineda (2020)</w:t>
            </w:r>
          </w:p>
        </w:tc>
        <w:tc>
          <w:tcPr>
            <w:tcW w:w="942" w:type="dxa"/>
          </w:tcPr>
          <w:p w14:paraId="3208C514"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2020</w:t>
            </w:r>
          </w:p>
        </w:tc>
        <w:tc>
          <w:tcPr>
            <w:tcW w:w="2693" w:type="dxa"/>
          </w:tcPr>
          <w:p w14:paraId="157D50EF"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Building the Inclusive City: Governance, access, and the urban transformation of Dubai.</w:t>
            </w:r>
          </w:p>
        </w:tc>
        <w:tc>
          <w:tcPr>
            <w:tcW w:w="7716" w:type="dxa"/>
          </w:tcPr>
          <w:p w14:paraId="03968AF0"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This study explores Dubai's changing environment and the government's accessibility and equality efforts. Pineda evaluates measures to make the city harmonious and honor its diverse people. The book emphasizes social integration and equal access to create a society where people of all origins and economic situations can thrive. Pineda's research illuminates Dubai's past to help other cities solve urban problems.</w:t>
            </w:r>
          </w:p>
        </w:tc>
      </w:tr>
      <w:tr w:rsidR="00C42367" w:rsidRPr="002B41B5" w14:paraId="71E6AB55" w14:textId="77777777" w:rsidTr="00692DCB">
        <w:tc>
          <w:tcPr>
            <w:tcW w:w="853" w:type="dxa"/>
          </w:tcPr>
          <w:p w14:paraId="209D2200"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43.</w:t>
            </w:r>
          </w:p>
        </w:tc>
        <w:tc>
          <w:tcPr>
            <w:tcW w:w="1744" w:type="dxa"/>
          </w:tcPr>
          <w:p w14:paraId="472E1FC2"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Praveen et al. (2020)</w:t>
            </w:r>
          </w:p>
        </w:tc>
        <w:tc>
          <w:tcPr>
            <w:tcW w:w="942" w:type="dxa"/>
          </w:tcPr>
          <w:p w14:paraId="4F853370"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2020</w:t>
            </w:r>
          </w:p>
        </w:tc>
        <w:tc>
          <w:tcPr>
            <w:tcW w:w="2693" w:type="dxa"/>
          </w:tcPr>
          <w:p w14:paraId="441320FC"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An insight to the energy policy of GCC countries to meet renewable energy targets of 2030.</w:t>
            </w:r>
          </w:p>
        </w:tc>
        <w:tc>
          <w:tcPr>
            <w:tcW w:w="7716" w:type="dxa"/>
          </w:tcPr>
          <w:p w14:paraId="2CE54076"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This study analyzes GCC energy policy in detail. Their analysis focuses on intricate strategies to meet 2030 renewable energy objectives. Renewable energy transition difficulties and potential are discussed. Technology developments and regional cooperation are stressed in the text. The authors analyze the changing energy scene in the GCC in three parts and suggest long-term sustainability options.</w:t>
            </w:r>
          </w:p>
        </w:tc>
      </w:tr>
      <w:tr w:rsidR="00C42367" w:rsidRPr="002B41B5" w14:paraId="65F4241C" w14:textId="77777777" w:rsidTr="00692DCB">
        <w:tc>
          <w:tcPr>
            <w:tcW w:w="853" w:type="dxa"/>
          </w:tcPr>
          <w:p w14:paraId="3947CC1F"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44.</w:t>
            </w:r>
          </w:p>
        </w:tc>
        <w:tc>
          <w:tcPr>
            <w:tcW w:w="1744" w:type="dxa"/>
          </w:tcPr>
          <w:p w14:paraId="126E9F00"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Riadh, (2022)</w:t>
            </w:r>
          </w:p>
        </w:tc>
        <w:tc>
          <w:tcPr>
            <w:tcW w:w="942" w:type="dxa"/>
          </w:tcPr>
          <w:p w14:paraId="38D67F65"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2022</w:t>
            </w:r>
          </w:p>
        </w:tc>
        <w:tc>
          <w:tcPr>
            <w:tcW w:w="2693" w:type="dxa"/>
          </w:tcPr>
          <w:p w14:paraId="17E2089B"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Dubai, the sustainable, smart city.</w:t>
            </w:r>
          </w:p>
        </w:tc>
        <w:tc>
          <w:tcPr>
            <w:tcW w:w="7716" w:type="dxa"/>
          </w:tcPr>
          <w:p w14:paraId="5570DDA7"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 xml:space="preserve">This study examines Dubai's unique smart and sustainable city activities. Dubai uses innovative renewable energy sources, cutting-edge smart technologies, and careful urban design to create an environmentally sustainable metropolis. Dubai seeks to enhance its infrastructure using smart technology and renewable energy to reduce its environmental effect and improve its residents' lives. This </w:t>
            </w:r>
            <w:r w:rsidRPr="002B41B5">
              <w:rPr>
                <w:rFonts w:ascii="Arial" w:hAnsi="Arial" w:cs="Arial"/>
                <w:sz w:val="24"/>
                <w:szCs w:val="24"/>
                <w:lang w:val="en-US"/>
              </w:rPr>
              <w:lastRenderedPageBreak/>
              <w:t>holistic plan shows Dubai's commitment to balancing urban development and environmental protection.</w:t>
            </w:r>
          </w:p>
        </w:tc>
      </w:tr>
      <w:tr w:rsidR="00C42367" w:rsidRPr="002B41B5" w14:paraId="0D1B8AB2" w14:textId="77777777" w:rsidTr="00692DCB">
        <w:tc>
          <w:tcPr>
            <w:tcW w:w="853" w:type="dxa"/>
          </w:tcPr>
          <w:p w14:paraId="621A3B35"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lastRenderedPageBreak/>
              <w:t>45.</w:t>
            </w:r>
          </w:p>
        </w:tc>
        <w:tc>
          <w:tcPr>
            <w:tcW w:w="1744" w:type="dxa"/>
          </w:tcPr>
          <w:p w14:paraId="235E55D2"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Saari et al. (2022)</w:t>
            </w:r>
          </w:p>
        </w:tc>
        <w:tc>
          <w:tcPr>
            <w:tcW w:w="942" w:type="dxa"/>
          </w:tcPr>
          <w:p w14:paraId="750F0C89"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2022</w:t>
            </w:r>
          </w:p>
        </w:tc>
        <w:tc>
          <w:tcPr>
            <w:tcW w:w="2693" w:type="dxa"/>
          </w:tcPr>
          <w:p w14:paraId="5D60ED43"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Blockchain in real estate: Recent developments and empirical applications.</w:t>
            </w:r>
          </w:p>
        </w:tc>
        <w:tc>
          <w:tcPr>
            <w:tcW w:w="7716" w:type="dxa"/>
          </w:tcPr>
          <w:p w14:paraId="6A7B092A"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This study examines the rapidly growing sector of blockchain technology in real estate. The report meticulously examines blockchain's uses and developments to demonstrate its revolutionary impact. The essay shows that blockchain technology makes real estate transactions more secure, efficient, and transparent using real-world data. The study also shows how blockchain integration could influence regulatory frameworks and encourage sustainable development by affecting land use policy. This detailed analysis shows how blockchain technology will transform the real estate market.</w:t>
            </w:r>
          </w:p>
        </w:tc>
      </w:tr>
      <w:tr w:rsidR="00C42367" w:rsidRPr="002B41B5" w14:paraId="68F437E0" w14:textId="77777777" w:rsidTr="00692DCB">
        <w:tc>
          <w:tcPr>
            <w:tcW w:w="853" w:type="dxa"/>
          </w:tcPr>
          <w:p w14:paraId="74A47A7F"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46.</w:t>
            </w:r>
          </w:p>
        </w:tc>
        <w:tc>
          <w:tcPr>
            <w:tcW w:w="1744" w:type="dxa"/>
          </w:tcPr>
          <w:p w14:paraId="64FC3DF0" w14:textId="77777777" w:rsidR="00C42367" w:rsidRPr="002B41B5" w:rsidRDefault="00C42367" w:rsidP="009C1931">
            <w:pPr>
              <w:spacing w:line="360" w:lineRule="auto"/>
              <w:rPr>
                <w:rFonts w:ascii="Arial" w:hAnsi="Arial" w:cs="Arial"/>
                <w:sz w:val="24"/>
                <w:szCs w:val="24"/>
                <w:lang w:val="en-US"/>
              </w:rPr>
            </w:pPr>
            <w:proofErr w:type="spellStart"/>
            <w:r w:rsidRPr="002B41B5">
              <w:rPr>
                <w:rFonts w:ascii="Arial" w:hAnsi="Arial" w:cs="Arial"/>
                <w:sz w:val="24"/>
                <w:szCs w:val="24"/>
                <w:lang w:val="en-US"/>
              </w:rPr>
              <w:t>Sajwani</w:t>
            </w:r>
            <w:proofErr w:type="spellEnd"/>
            <w:r w:rsidRPr="002B41B5">
              <w:rPr>
                <w:rFonts w:ascii="Arial" w:hAnsi="Arial" w:cs="Arial"/>
                <w:sz w:val="24"/>
                <w:szCs w:val="24"/>
                <w:lang w:val="en-US"/>
              </w:rPr>
              <w:t xml:space="preserve"> &amp; Al-Othman, (2023)</w:t>
            </w:r>
          </w:p>
        </w:tc>
        <w:tc>
          <w:tcPr>
            <w:tcW w:w="942" w:type="dxa"/>
          </w:tcPr>
          <w:p w14:paraId="3BE11E4B"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2023</w:t>
            </w:r>
          </w:p>
        </w:tc>
        <w:tc>
          <w:tcPr>
            <w:tcW w:w="2693" w:type="dxa"/>
          </w:tcPr>
          <w:p w14:paraId="4653F19F"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Sustainable development: an analytical vision for smart Dubai city social policies.</w:t>
            </w:r>
          </w:p>
        </w:tc>
        <w:tc>
          <w:tcPr>
            <w:tcW w:w="7716" w:type="dxa"/>
          </w:tcPr>
          <w:p w14:paraId="1D693A74"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This study examined Dubai's sustainable development social policies in 2023. The study examines the complicated relationship between sustainability and urban dynamics, emphasizing smart city frameworks. The research suggests using such frameworks to promote fair and inclusive city planning. It emphasizes the need to integrate technology and social welfare through a rigorous analysis. Finally, the study gives useful information regarding the overall strategy needed to improve social sustainability pillars in Dubai's ever-changing urban growth environment.</w:t>
            </w:r>
          </w:p>
        </w:tc>
      </w:tr>
      <w:tr w:rsidR="00C42367" w:rsidRPr="002B41B5" w14:paraId="24268857" w14:textId="77777777" w:rsidTr="00692DCB">
        <w:tc>
          <w:tcPr>
            <w:tcW w:w="853" w:type="dxa"/>
          </w:tcPr>
          <w:p w14:paraId="7C106E01"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lastRenderedPageBreak/>
              <w:t>47.</w:t>
            </w:r>
          </w:p>
        </w:tc>
        <w:tc>
          <w:tcPr>
            <w:tcW w:w="1744" w:type="dxa"/>
          </w:tcPr>
          <w:p w14:paraId="1D591034"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Silverman (2016)</w:t>
            </w:r>
          </w:p>
        </w:tc>
        <w:tc>
          <w:tcPr>
            <w:tcW w:w="942" w:type="dxa"/>
          </w:tcPr>
          <w:p w14:paraId="7CCF6DD5"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2016</w:t>
            </w:r>
          </w:p>
        </w:tc>
        <w:tc>
          <w:tcPr>
            <w:tcW w:w="2693" w:type="dxa"/>
          </w:tcPr>
          <w:p w14:paraId="3CB58781"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Qualitative research.</w:t>
            </w:r>
          </w:p>
        </w:tc>
        <w:tc>
          <w:tcPr>
            <w:tcW w:w="7716" w:type="dxa"/>
          </w:tcPr>
          <w:p w14:paraId="1B1C34E9"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In 2016, Silverman published a seminal qualitative study. His detailed explanation of qualitative data collecting and analysis methods is invaluable for social science and related experts. Silverman takes readers through qualitative inquiry's difficulties, giving a framework for rigorous and insightful research with theoretical foundations and practical applications. Thus, this book is a vital resource and a beacon for better qualitative research methodology interpretation and comprehension.</w:t>
            </w:r>
          </w:p>
        </w:tc>
      </w:tr>
      <w:tr w:rsidR="00C42367" w:rsidRPr="002B41B5" w14:paraId="33243A18" w14:textId="77777777" w:rsidTr="00692DCB">
        <w:tc>
          <w:tcPr>
            <w:tcW w:w="853" w:type="dxa"/>
          </w:tcPr>
          <w:p w14:paraId="75494632"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48.</w:t>
            </w:r>
          </w:p>
        </w:tc>
        <w:tc>
          <w:tcPr>
            <w:tcW w:w="1744" w:type="dxa"/>
          </w:tcPr>
          <w:p w14:paraId="1716EF24" w14:textId="77777777" w:rsidR="00C42367" w:rsidRPr="002B41B5" w:rsidRDefault="00C42367" w:rsidP="009C1931">
            <w:pPr>
              <w:spacing w:line="360" w:lineRule="auto"/>
              <w:rPr>
                <w:rFonts w:ascii="Arial" w:hAnsi="Arial" w:cs="Arial"/>
                <w:sz w:val="24"/>
                <w:szCs w:val="24"/>
                <w:lang w:val="en-US"/>
              </w:rPr>
            </w:pPr>
            <w:proofErr w:type="spellStart"/>
            <w:r w:rsidRPr="002B41B5">
              <w:rPr>
                <w:rFonts w:ascii="Arial" w:hAnsi="Arial" w:cs="Arial"/>
                <w:sz w:val="24"/>
                <w:szCs w:val="24"/>
                <w:lang w:val="en-US"/>
              </w:rPr>
              <w:t>Uchehara</w:t>
            </w:r>
            <w:proofErr w:type="spellEnd"/>
            <w:r w:rsidRPr="002B41B5">
              <w:rPr>
                <w:rFonts w:ascii="Arial" w:hAnsi="Arial" w:cs="Arial"/>
                <w:sz w:val="24"/>
                <w:szCs w:val="24"/>
                <w:lang w:val="en-US"/>
              </w:rPr>
              <w:t xml:space="preserve"> et al. (2020)</w:t>
            </w:r>
          </w:p>
        </w:tc>
        <w:tc>
          <w:tcPr>
            <w:tcW w:w="942" w:type="dxa"/>
          </w:tcPr>
          <w:p w14:paraId="65E0FF09"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2020</w:t>
            </w:r>
          </w:p>
        </w:tc>
        <w:tc>
          <w:tcPr>
            <w:tcW w:w="2693" w:type="dxa"/>
          </w:tcPr>
          <w:p w14:paraId="03A4D6A3"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Impacts and risk management of COVID-19 pandemic on real estate supply chain.</w:t>
            </w:r>
          </w:p>
        </w:tc>
        <w:tc>
          <w:tcPr>
            <w:tcW w:w="7716" w:type="dxa"/>
          </w:tcPr>
          <w:p w14:paraId="65CAE0F0"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This study shows how COVID-19 pandemic disruptions can affect the complex real estate supply chain. The paper discusses crisis-exposed shortcomings and illuminates effective risk management approaches. It asks for flexibility to survive global health emergencies and maintain operations safe. It gives stakeholders resilience-building recommendations to ensure real estate activities continue in the face of unusual circumstances.</w:t>
            </w:r>
          </w:p>
        </w:tc>
      </w:tr>
      <w:tr w:rsidR="00C42367" w:rsidRPr="002B41B5" w14:paraId="4BA3549E" w14:textId="77777777" w:rsidTr="00692DCB">
        <w:tc>
          <w:tcPr>
            <w:tcW w:w="853" w:type="dxa"/>
          </w:tcPr>
          <w:p w14:paraId="0FD57B92"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49.</w:t>
            </w:r>
          </w:p>
        </w:tc>
        <w:tc>
          <w:tcPr>
            <w:tcW w:w="1744" w:type="dxa"/>
          </w:tcPr>
          <w:p w14:paraId="0BF24325" w14:textId="77777777" w:rsidR="00C42367" w:rsidRPr="002B41B5" w:rsidRDefault="00C42367" w:rsidP="009C1931">
            <w:pPr>
              <w:spacing w:line="360" w:lineRule="auto"/>
              <w:rPr>
                <w:rFonts w:ascii="Arial" w:hAnsi="Arial" w:cs="Arial"/>
                <w:sz w:val="24"/>
                <w:szCs w:val="24"/>
                <w:lang w:val="en-US"/>
              </w:rPr>
            </w:pPr>
            <w:proofErr w:type="spellStart"/>
            <w:r w:rsidRPr="002B41B5">
              <w:rPr>
                <w:rFonts w:ascii="Arial" w:hAnsi="Arial" w:cs="Arial"/>
                <w:sz w:val="24"/>
                <w:szCs w:val="24"/>
                <w:lang w:val="en-US"/>
              </w:rPr>
              <w:t>Vardopoulos</w:t>
            </w:r>
            <w:proofErr w:type="spellEnd"/>
            <w:r w:rsidRPr="002B41B5">
              <w:rPr>
                <w:rFonts w:ascii="Arial" w:hAnsi="Arial" w:cs="Arial"/>
                <w:sz w:val="24"/>
                <w:szCs w:val="24"/>
                <w:lang w:val="en-US"/>
              </w:rPr>
              <w:t xml:space="preserve"> et al. (2023)</w:t>
            </w:r>
          </w:p>
        </w:tc>
        <w:tc>
          <w:tcPr>
            <w:tcW w:w="942" w:type="dxa"/>
          </w:tcPr>
          <w:p w14:paraId="68069145"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2023</w:t>
            </w:r>
          </w:p>
        </w:tc>
        <w:tc>
          <w:tcPr>
            <w:tcW w:w="2693" w:type="dxa"/>
          </w:tcPr>
          <w:p w14:paraId="5EFFF20F"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Smart ‘tourist cities’ revisited: culture-led urban sustainability and the global real estate market.</w:t>
            </w:r>
          </w:p>
        </w:tc>
        <w:tc>
          <w:tcPr>
            <w:tcW w:w="7716" w:type="dxa"/>
          </w:tcPr>
          <w:p w14:paraId="1BF61C2B"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 xml:space="preserve">This study reframed smart tourist cities as sustainable urban development and cultural hubs. Culture-led projects may make towns more appealing to tourists and better places to live for people. Culturally infused urban architecture and development in these locations can stimulate global economic growth, notably real estate markets. This symbiotic relationship between sustainability </w:t>
            </w:r>
            <w:r w:rsidRPr="002B41B5">
              <w:rPr>
                <w:rFonts w:ascii="Arial" w:hAnsi="Arial" w:cs="Arial"/>
                <w:sz w:val="24"/>
                <w:szCs w:val="24"/>
                <w:lang w:val="en-US"/>
              </w:rPr>
              <w:lastRenderedPageBreak/>
              <w:t>and culture benefits everyone by encouraging short- and long-term investments in urban resilience and prosperity.</w:t>
            </w:r>
          </w:p>
        </w:tc>
      </w:tr>
      <w:tr w:rsidR="00C42367" w:rsidRPr="002B41B5" w14:paraId="67768AF2" w14:textId="77777777" w:rsidTr="00692DCB">
        <w:tc>
          <w:tcPr>
            <w:tcW w:w="853" w:type="dxa"/>
          </w:tcPr>
          <w:p w14:paraId="53F217AD"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lastRenderedPageBreak/>
              <w:t>50.</w:t>
            </w:r>
          </w:p>
        </w:tc>
        <w:tc>
          <w:tcPr>
            <w:tcW w:w="1744" w:type="dxa"/>
          </w:tcPr>
          <w:p w14:paraId="09831F5E"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Yas et al. (2020)</w:t>
            </w:r>
          </w:p>
        </w:tc>
        <w:tc>
          <w:tcPr>
            <w:tcW w:w="942" w:type="dxa"/>
          </w:tcPr>
          <w:p w14:paraId="0657129F"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2020</w:t>
            </w:r>
          </w:p>
        </w:tc>
        <w:tc>
          <w:tcPr>
            <w:tcW w:w="2693" w:type="dxa"/>
          </w:tcPr>
          <w:p w14:paraId="55721D73"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The positive role of the tourism industry for Dubai city in the United Arab Emirates.</w:t>
            </w:r>
          </w:p>
        </w:tc>
        <w:tc>
          <w:tcPr>
            <w:tcW w:w="7716" w:type="dxa"/>
          </w:tcPr>
          <w:p w14:paraId="15E0ADC1" w14:textId="77777777" w:rsidR="00C42367" w:rsidRPr="002B41B5" w:rsidRDefault="00C42367" w:rsidP="009C1931">
            <w:pPr>
              <w:spacing w:line="360" w:lineRule="auto"/>
              <w:rPr>
                <w:rFonts w:ascii="Arial" w:hAnsi="Arial" w:cs="Arial"/>
                <w:sz w:val="24"/>
                <w:szCs w:val="24"/>
                <w:lang w:val="en-US"/>
              </w:rPr>
            </w:pPr>
            <w:r w:rsidRPr="002B41B5">
              <w:rPr>
                <w:rFonts w:ascii="Arial" w:hAnsi="Arial" w:cs="Arial"/>
                <w:sz w:val="24"/>
                <w:szCs w:val="24"/>
                <w:lang w:val="en-US"/>
              </w:rPr>
              <w:t>This study examined Dubai's social and economic impact from tourism. Tourism helps communities grow in various ways, according to the study. It emphasizes how efficient tourism management boosts Dubai's economy and international prestige. The study examines numerous tourisms features to clarify the complex relationship between tourist activities and socioeconomic processes. Dubai's economic growth and global competitiveness depend on investing in and implementing innovative tourism initiatives.</w:t>
            </w:r>
          </w:p>
        </w:tc>
      </w:tr>
    </w:tbl>
    <w:p w14:paraId="49BD4AD8" w14:textId="77777777" w:rsidR="00C42367" w:rsidRPr="002B41B5" w:rsidRDefault="00C42367" w:rsidP="009C1931">
      <w:pPr>
        <w:spacing w:line="360" w:lineRule="auto"/>
        <w:rPr>
          <w:rFonts w:ascii="Arial" w:hAnsi="Arial" w:cs="Arial"/>
        </w:rPr>
      </w:pPr>
    </w:p>
    <w:p w14:paraId="7DED0DA4" w14:textId="77777777" w:rsidR="00C42367" w:rsidRPr="002B41B5" w:rsidRDefault="00C42367" w:rsidP="009C1931">
      <w:pPr>
        <w:spacing w:line="360" w:lineRule="auto"/>
        <w:rPr>
          <w:rFonts w:ascii="Arial" w:hAnsi="Arial" w:cs="Arial"/>
        </w:rPr>
      </w:pPr>
      <w:r w:rsidRPr="002B41B5">
        <w:rPr>
          <w:rFonts w:ascii="Arial" w:hAnsi="Arial" w:cs="Arial"/>
        </w:rPr>
        <w:br w:type="page"/>
      </w:r>
    </w:p>
    <w:p w14:paraId="0A31503B" w14:textId="77777777" w:rsidR="00C42367" w:rsidRPr="002B41B5" w:rsidRDefault="00C42367" w:rsidP="009C1931">
      <w:pPr>
        <w:spacing w:line="360" w:lineRule="auto"/>
        <w:rPr>
          <w:rFonts w:ascii="Arial" w:hAnsi="Arial" w:cs="Arial"/>
        </w:rPr>
        <w:sectPr w:rsidR="00C42367" w:rsidRPr="002B41B5" w:rsidSect="00030684">
          <w:pgSz w:w="16838" w:h="11906" w:orient="landscape"/>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0DFA075" w14:textId="7A3DA74A" w:rsidR="00C42367" w:rsidRPr="002B41B5" w:rsidRDefault="00C42367" w:rsidP="009C1931">
      <w:pPr>
        <w:pStyle w:val="Heading2"/>
      </w:pPr>
      <w:bookmarkStart w:id="27" w:name="_Toc166263533"/>
      <w:r w:rsidRPr="002B41B5">
        <w:lastRenderedPageBreak/>
        <w:t>4.2 Discussion of Findings</w:t>
      </w:r>
      <w:r w:rsidR="00DB1F67" w:rsidRPr="002B41B5">
        <w:t>: Thematic Analysis</w:t>
      </w:r>
      <w:bookmarkEnd w:id="27"/>
    </w:p>
    <w:p w14:paraId="3E1B64BF" w14:textId="77777777" w:rsidR="00C42367" w:rsidRPr="002B41B5" w:rsidRDefault="00C42367" w:rsidP="009C1931">
      <w:pPr>
        <w:pStyle w:val="Heading3"/>
      </w:pPr>
      <w:bookmarkStart w:id="28" w:name="_Toc166263534"/>
      <w:r w:rsidRPr="002B41B5">
        <w:t>4.2.1 Dubai's Real Estate Market and Macroeconomic Growth Indicators</w:t>
      </w:r>
      <w:bookmarkEnd w:id="28"/>
    </w:p>
    <w:p w14:paraId="3BF4CEBA" w14:textId="77777777" w:rsidR="00C42367" w:rsidRPr="002B41B5" w:rsidRDefault="00C42367" w:rsidP="009C1931">
      <w:pPr>
        <w:spacing w:line="360" w:lineRule="auto"/>
        <w:rPr>
          <w:rFonts w:ascii="Arial" w:eastAsia="Times New Roman" w:hAnsi="Arial" w:cs="Arial"/>
        </w:rPr>
      </w:pPr>
      <w:r w:rsidRPr="002B41B5">
        <w:rPr>
          <w:rFonts w:ascii="Arial" w:eastAsia="Times New Roman" w:hAnsi="Arial" w:cs="Arial"/>
        </w:rPr>
        <w:t>Dubai leads the Middle East in real estate due to its ambitious construction initiatives, location, and investor-friendly legislation. Over time, global investors have sought appealing residential and commercial property possibilities there. Macroeconomic growth indexes can evaluate Dubai's real estate market. Pricing reflects Dubai's real estate industry. Market demand, government initiatives, and global economic circumstances impact Dubai property prices. Dubai's real estate industry attracts investors with high returns and capital appreciation despite instability. Dubai's real estate market needs population expansion. Job opportunities, lifestyle facilities, and a diversified culture have kept Dubai's population growing. Population growth increases demand for residential properties for sale and rent, changing market dynamics and price (</w:t>
      </w:r>
      <w:r w:rsidRPr="002B41B5">
        <w:rPr>
          <w:rFonts w:ascii="Arial" w:eastAsia="Times New Roman" w:hAnsi="Arial" w:cs="Arial"/>
          <w:color w:val="222222"/>
          <w:highlight w:val="white"/>
        </w:rPr>
        <w:t xml:space="preserve">Rashad &amp; </w:t>
      </w:r>
      <w:proofErr w:type="spellStart"/>
      <w:r w:rsidRPr="002B41B5">
        <w:rPr>
          <w:rFonts w:ascii="Arial" w:eastAsia="Times New Roman" w:hAnsi="Arial" w:cs="Arial"/>
          <w:color w:val="222222"/>
          <w:highlight w:val="white"/>
        </w:rPr>
        <w:t>Farghally</w:t>
      </w:r>
      <w:proofErr w:type="spellEnd"/>
      <w:r w:rsidRPr="002B41B5">
        <w:rPr>
          <w:rFonts w:ascii="Arial" w:eastAsia="Times New Roman" w:hAnsi="Arial" w:cs="Arial"/>
          <w:color w:val="222222"/>
          <w:highlight w:val="white"/>
        </w:rPr>
        <w:t>, 2023</w:t>
      </w:r>
      <w:r w:rsidRPr="002B41B5">
        <w:rPr>
          <w:rFonts w:ascii="Arial" w:eastAsia="Times New Roman" w:hAnsi="Arial" w:cs="Arial"/>
        </w:rPr>
        <w:t>). A varied workforce from banking, tourism, and construction generates emirate housing and commercial demand. Employment affects housing demand, occupancy, yields, and price. Dubai economic indicator GDP growth is crucial. Strong GDP growth boosts real estate demand. Dubai's infrastructure, tourism, and diversification have increased GDP, attracting real estate investors. The Dubai real estate market is also affected by inflation. Low buying power and affordability effect property values and investments due to inflation. Low inflation may lower borrowing costs and housing affordability, encouraging real estate development. Government and monetary actions lower inflation and stable markets.</w:t>
      </w:r>
    </w:p>
    <w:p w14:paraId="39AB7928" w14:textId="77777777" w:rsidR="00C42367" w:rsidRPr="002B41B5" w:rsidRDefault="00C42367" w:rsidP="009C1931">
      <w:pPr>
        <w:spacing w:line="360" w:lineRule="auto"/>
        <w:rPr>
          <w:rFonts w:ascii="Arial" w:eastAsia="Times New Roman" w:hAnsi="Arial" w:cs="Arial"/>
        </w:rPr>
      </w:pPr>
      <w:r w:rsidRPr="002B41B5">
        <w:rPr>
          <w:rFonts w:ascii="Arial" w:eastAsia="Times New Roman" w:hAnsi="Arial" w:cs="Arial"/>
        </w:rPr>
        <w:t xml:space="preserve">Infrastructure development enhances Dubai's property market. Investors and citizens like Dubai's planned Metro, Expo 2020 site development, and world-class facilities. Improved transit, utilities, and urban infrastructure make Dubai's neighbourhoods more </w:t>
      </w:r>
      <w:proofErr w:type="spellStart"/>
      <w:r w:rsidRPr="002B41B5">
        <w:rPr>
          <w:rFonts w:ascii="Arial" w:eastAsia="Times New Roman" w:hAnsi="Arial" w:cs="Arial"/>
        </w:rPr>
        <w:t>livable</w:t>
      </w:r>
      <w:proofErr w:type="spellEnd"/>
      <w:r w:rsidRPr="002B41B5">
        <w:rPr>
          <w:rFonts w:ascii="Arial" w:eastAsia="Times New Roman" w:hAnsi="Arial" w:cs="Arial"/>
        </w:rPr>
        <w:t xml:space="preserve"> and accessible, enhancing property value. Real estate development and regulation in Dubai depend on government policy. International investment incentives, corporate regulatory flexibility, and sustainable development have bolstered the industry. Regulations to minimise speculation and calm markets may hurt investor mood and transaction volumes. Real estate in Dubai fosters economic diversification and sustainability. Real estate initiatives diversify the economy and create jobs by increasing retail, hotel, and property management demand. Dubai's green future </w:t>
      </w:r>
      <w:r w:rsidRPr="002B41B5">
        <w:rPr>
          <w:rFonts w:ascii="Arial" w:eastAsia="Times New Roman" w:hAnsi="Arial" w:cs="Arial"/>
        </w:rPr>
        <w:lastRenderedPageBreak/>
        <w:t>benefits from sustainable development targets' green investors and renters. Dubai's real estate industry has potential despite difficulties (</w:t>
      </w:r>
      <w:proofErr w:type="spellStart"/>
      <w:r w:rsidRPr="002B41B5">
        <w:rPr>
          <w:rFonts w:ascii="Arial" w:eastAsia="Times New Roman" w:hAnsi="Arial" w:cs="Arial"/>
          <w:color w:val="222222"/>
          <w:highlight w:val="white"/>
        </w:rPr>
        <w:t>Koelemaij</w:t>
      </w:r>
      <w:proofErr w:type="spellEnd"/>
      <w:r w:rsidRPr="002B41B5">
        <w:rPr>
          <w:rFonts w:ascii="Arial" w:eastAsia="Times New Roman" w:hAnsi="Arial" w:cs="Arial"/>
          <w:color w:val="222222"/>
          <w:highlight w:val="white"/>
        </w:rPr>
        <w:t>, 2022</w:t>
      </w:r>
      <w:r w:rsidRPr="002B41B5">
        <w:rPr>
          <w:rFonts w:ascii="Arial" w:eastAsia="Times New Roman" w:hAnsi="Arial" w:cs="Arial"/>
        </w:rPr>
        <w:t>). Government backing, infrastructure, and diversity should boost investor confidence and property demand. Changes in market dynamics, geopolitics, and global economic trends need proactive management and change to overcome challenges and grab development possibilities. Dubai's real estate industry will gain from urbanisation and demographics. The city attracts expatriates and skilled workers seeking jobs, lifestyle facilities, and cosmopolitanism. Dubai's real estate market benefits from increased demand for luxury villas and inexpensive flats.</w:t>
      </w:r>
    </w:p>
    <w:p w14:paraId="0253C73B" w14:textId="77777777" w:rsidR="00C42367" w:rsidRPr="002B41B5" w:rsidRDefault="00C42367" w:rsidP="009C1931">
      <w:pPr>
        <w:spacing w:line="360" w:lineRule="auto"/>
        <w:rPr>
          <w:rFonts w:ascii="Arial" w:eastAsia="Times New Roman" w:hAnsi="Arial" w:cs="Arial"/>
          <w:b/>
        </w:rPr>
      </w:pPr>
      <w:r w:rsidRPr="002B41B5">
        <w:rPr>
          <w:rFonts w:ascii="Arial" w:eastAsia="Times New Roman" w:hAnsi="Arial" w:cs="Arial"/>
        </w:rPr>
        <w:t>Dubai's worldwide tourism draws investment to its real estate industry. Its historic landmarks, world-class hospitality, and lively culture draw millions of tourists, driving short-term and investment property demand. Tourism boosts hotel and serviced apartment investments, which are linked to real estate. Dubai real estate is going towards green development, energy efficiency, and eco-friendly design. Sustainable design boosts property value, efficiency, and tenant happiness while reducing environmental impact. Sustainable real estate investments benefit developers and investors, promoting Dubai's smart, sustainable, and resilient city goal. Technology is also improving Dubai's real estate sector's efficiency, transparency, and creativity. Data analytics, VR, and digital platforms improve property marketing, sales, and management customer experiences and decision-making. Real estate developers and agencies expand, simplify, and improve asset performance via digital technologies (</w:t>
      </w:r>
      <w:r w:rsidRPr="002B41B5">
        <w:rPr>
          <w:rFonts w:ascii="Arial" w:eastAsia="Times New Roman" w:hAnsi="Arial" w:cs="Arial"/>
          <w:color w:val="222222"/>
          <w:highlight w:val="white"/>
        </w:rPr>
        <w:t>Pillai et al., 2021</w:t>
      </w:r>
      <w:r w:rsidRPr="002B41B5">
        <w:rPr>
          <w:rFonts w:ascii="Arial" w:eastAsia="Times New Roman" w:hAnsi="Arial" w:cs="Arial"/>
        </w:rPr>
        <w:t xml:space="preserve">). Finally, macroeconomic growth indicators, government policies, demographics, sustainability, and technology affect Dubai's real estate market. Dubai's real estate market has a bright future due to solid foundations, smart investments, and a strong economy. Dubai can preserve its worldwide real estate, investment, and resident prominence with innovation, sustainability, and variety. </w:t>
      </w:r>
    </w:p>
    <w:p w14:paraId="630ED1C9" w14:textId="77777777" w:rsidR="00C42367" w:rsidRPr="002B41B5" w:rsidRDefault="00C42367" w:rsidP="009C1931">
      <w:pPr>
        <w:spacing w:line="360" w:lineRule="auto"/>
        <w:rPr>
          <w:rFonts w:ascii="Arial" w:eastAsia="Times New Roman" w:hAnsi="Arial" w:cs="Arial"/>
          <w:b/>
        </w:rPr>
      </w:pPr>
    </w:p>
    <w:p w14:paraId="4A93046E" w14:textId="77777777" w:rsidR="00C42367" w:rsidRPr="009C1931" w:rsidRDefault="00C42367" w:rsidP="009C1931">
      <w:pPr>
        <w:pStyle w:val="Heading3"/>
        <w:rPr>
          <w:rFonts w:eastAsia="Times New Roman"/>
        </w:rPr>
      </w:pPr>
      <w:bookmarkStart w:id="29" w:name="_heading=h.35gbzwegv5gb"/>
      <w:bookmarkStart w:id="30" w:name="_Toc166263535"/>
      <w:bookmarkEnd w:id="29"/>
      <w:r w:rsidRPr="009C1931">
        <w:t>4.2.2 Effects of Governmental Policies on the Growth and Regulation</w:t>
      </w:r>
      <w:bookmarkEnd w:id="30"/>
      <w:r w:rsidRPr="009C1931">
        <w:t xml:space="preserve"> </w:t>
      </w:r>
    </w:p>
    <w:p w14:paraId="051DDCD6" w14:textId="77777777" w:rsidR="00C42367" w:rsidRPr="002B41B5" w:rsidRDefault="00C42367" w:rsidP="009C1931">
      <w:pPr>
        <w:spacing w:line="360" w:lineRule="auto"/>
        <w:rPr>
          <w:rFonts w:ascii="Arial" w:eastAsia="Times New Roman" w:hAnsi="Arial" w:cs="Arial"/>
        </w:rPr>
      </w:pPr>
      <w:r w:rsidRPr="002B41B5">
        <w:rPr>
          <w:rFonts w:ascii="Arial" w:eastAsia="Times New Roman" w:hAnsi="Arial" w:cs="Arial"/>
        </w:rPr>
        <w:t xml:space="preserve">Government regulations affect investor conduct, market dynamics, and performance in Dubai's real estate business. Positive and negative policy impacts affect sector direction and sustainability. Government regulations have boosted Dubai's real estate business. Foreign investment, corporate regulation reduction, and sustainable development have grown the industry. Foreigner freehold ownership limitations in </w:t>
      </w:r>
      <w:r w:rsidRPr="002B41B5">
        <w:rPr>
          <w:rFonts w:ascii="Arial" w:eastAsia="Times New Roman" w:hAnsi="Arial" w:cs="Arial"/>
        </w:rPr>
        <w:lastRenderedPageBreak/>
        <w:t>some areas have increased international investment and demand for residential and commercial properties. Government incentives including tax savings, residence permits, and infrastructure enhancements boost mega-project and master-planned community growth and investor confidence. These laws boost Dubai's competitive real estate market, encouraging innovation, investment, and development. Government real estate market regulation may conflict with industry. Long-term market stability and consumer safety require preventing speculation, stabilising prices, and fostering market openness. Tight limitations or frequent policy changes may deter investors and affect transaction volumes and asset prices. Rent ceilings, off-plan sales bans, and cooling measures have curtailed speculative booms and raised affordability (</w:t>
      </w:r>
      <w:r w:rsidRPr="002B41B5">
        <w:rPr>
          <w:rFonts w:ascii="Arial" w:eastAsia="Times New Roman" w:hAnsi="Arial" w:cs="Arial"/>
          <w:color w:val="222222"/>
          <w:highlight w:val="white"/>
        </w:rPr>
        <w:t>Abdallah et al., 2021</w:t>
      </w:r>
      <w:r w:rsidRPr="002B41B5">
        <w:rPr>
          <w:rFonts w:ascii="Arial" w:eastAsia="Times New Roman" w:hAnsi="Arial" w:cs="Arial"/>
        </w:rPr>
        <w:t>). These restrictions stabilise the market and safeguard renters and purchasers, although they may lower developer profits and short-term investment returns.</w:t>
      </w:r>
    </w:p>
    <w:p w14:paraId="65ADAE4B" w14:textId="77777777" w:rsidR="00C42367" w:rsidRPr="002B41B5" w:rsidRDefault="00C42367" w:rsidP="009C1931">
      <w:pPr>
        <w:spacing w:line="360" w:lineRule="auto"/>
        <w:rPr>
          <w:rFonts w:ascii="Arial" w:eastAsia="Times New Roman" w:hAnsi="Arial" w:cs="Arial"/>
        </w:rPr>
      </w:pPr>
      <w:r w:rsidRPr="002B41B5">
        <w:rPr>
          <w:rFonts w:ascii="Arial" w:eastAsia="Times New Roman" w:hAnsi="Arial" w:cs="Arial"/>
        </w:rPr>
        <w:t xml:space="preserve">Tax policy changes may also affect real estate. VAT became regular in Dubai's real estate sector in 2018 despite initial concerns. VAT increases transaction costs and administrative overhead but matches Dubai's tax policy with worldwide norms, boosting transparency and investor trust. Government measures help Dubai's real estate business. Government regulations push developers to use green construction, energy-efficient designs, and eco-friendly technology to fulfil national sustainability objectives. Sustainability reflects worldwide trends and makes real estate investment desirable. Urban planning and infrastructure legislation impact Dubai housing growth and control. Strategic transport, utility, and public facilities enhancements make Dubai's neighbourhoods more accessible, linked, and </w:t>
      </w:r>
      <w:proofErr w:type="spellStart"/>
      <w:r w:rsidRPr="002B41B5">
        <w:rPr>
          <w:rFonts w:ascii="Arial" w:eastAsia="Times New Roman" w:hAnsi="Arial" w:cs="Arial"/>
        </w:rPr>
        <w:t>livable</w:t>
      </w:r>
      <w:proofErr w:type="spellEnd"/>
      <w:r w:rsidRPr="002B41B5">
        <w:rPr>
          <w:rFonts w:ascii="Arial" w:eastAsia="Times New Roman" w:hAnsi="Arial" w:cs="Arial"/>
        </w:rPr>
        <w:t>, driving demand for developed area properties. Dubai's real estate business is affected by social and environmental policy (</w:t>
      </w:r>
      <w:proofErr w:type="spellStart"/>
      <w:r w:rsidRPr="002B41B5">
        <w:rPr>
          <w:rFonts w:ascii="Arial" w:eastAsia="Times New Roman" w:hAnsi="Arial" w:cs="Arial"/>
          <w:color w:val="222222"/>
          <w:highlight w:val="white"/>
        </w:rPr>
        <w:t>Varrel</w:t>
      </w:r>
      <w:proofErr w:type="spellEnd"/>
      <w:r w:rsidRPr="002B41B5">
        <w:rPr>
          <w:rFonts w:ascii="Arial" w:eastAsia="Times New Roman" w:hAnsi="Arial" w:cs="Arial"/>
          <w:color w:val="222222"/>
          <w:highlight w:val="white"/>
        </w:rPr>
        <w:t>, 2020</w:t>
      </w:r>
      <w:r w:rsidRPr="002B41B5">
        <w:rPr>
          <w:rFonts w:ascii="Arial" w:eastAsia="Times New Roman" w:hAnsi="Arial" w:cs="Arial"/>
        </w:rPr>
        <w:t xml:space="preserve">). Affordable, social, and community development policies promote inclusive growth and social cohesion. These initiatives provide affordable housing for different socioeconomic levels, promoting equality and inclusion. Government regulations must support sustainable development and environmental preservation to reduce Dubai's real estate industry's environmental impact. </w:t>
      </w:r>
    </w:p>
    <w:p w14:paraId="5304680F" w14:textId="77777777" w:rsidR="00C42367" w:rsidRPr="002B41B5" w:rsidRDefault="00C42367" w:rsidP="009C1931">
      <w:pPr>
        <w:spacing w:line="360" w:lineRule="auto"/>
        <w:rPr>
          <w:rFonts w:ascii="Arial" w:eastAsia="Times New Roman" w:hAnsi="Arial" w:cs="Arial"/>
        </w:rPr>
      </w:pPr>
      <w:r w:rsidRPr="002B41B5">
        <w:rPr>
          <w:rFonts w:ascii="Arial" w:eastAsia="Times New Roman" w:hAnsi="Arial" w:cs="Arial"/>
        </w:rPr>
        <w:t xml:space="preserve">Energy efficiency, green building certifications, and waste management help green technology. The solutions reduce resource use and carbon emissions while improving real estate asset value, climate change, and resource resilience. Stakeholder </w:t>
      </w:r>
      <w:r w:rsidRPr="002B41B5">
        <w:rPr>
          <w:rFonts w:ascii="Arial" w:eastAsia="Times New Roman" w:hAnsi="Arial" w:cs="Arial"/>
        </w:rPr>
        <w:lastRenderedPageBreak/>
        <w:t>participation, implementation, and enforcement determine government project success. Rules must be apparent and consistent to ensure property responsibility. Education and satisfaction of lawmakers and industry stakeholders need development, investment, tenant, and community engagement. Government policy cooperation and public image changes may increase Dubai real estate (Pankratov et al., 2020). Finally, government laws impact Dubai's real estate market's economic, social, and environmental management. Investment, environmental, and inclusion policies boost sectors, while regulations safeguard consumers and markets. Dubai's government balances expansion and regulation to create an inclusive, sustainable real estate market that benefits society and the economy.</w:t>
      </w:r>
    </w:p>
    <w:p w14:paraId="6B18E81B" w14:textId="77777777" w:rsidR="00C42367" w:rsidRPr="002B41B5" w:rsidRDefault="00C42367" w:rsidP="009C1931">
      <w:pPr>
        <w:pStyle w:val="Heading3"/>
        <w:rPr>
          <w:rFonts w:eastAsia="Times New Roman"/>
        </w:rPr>
      </w:pPr>
      <w:bookmarkStart w:id="31" w:name="_Toc166263536"/>
      <w:r w:rsidRPr="002B41B5">
        <w:t xml:space="preserve">4.2.3 </w:t>
      </w:r>
      <w:r w:rsidRPr="002B41B5">
        <w:rPr>
          <w:rFonts w:eastAsia="Times New Roman"/>
        </w:rPr>
        <w:t>Real Estate Sector to Dubai's Economic Diversification and Sustainability Goals</w:t>
      </w:r>
      <w:bookmarkEnd w:id="31"/>
    </w:p>
    <w:p w14:paraId="358D39C9" w14:textId="77777777" w:rsidR="00C42367" w:rsidRPr="002B41B5" w:rsidRDefault="00C42367" w:rsidP="009C1931">
      <w:pPr>
        <w:spacing w:line="360" w:lineRule="auto"/>
        <w:rPr>
          <w:rFonts w:ascii="Arial" w:eastAsia="Times New Roman" w:hAnsi="Arial" w:cs="Arial"/>
        </w:rPr>
      </w:pPr>
      <w:r w:rsidRPr="002B41B5">
        <w:rPr>
          <w:rFonts w:ascii="Arial" w:eastAsia="Times New Roman" w:hAnsi="Arial" w:cs="Arial"/>
        </w:rPr>
        <w:t>Real estate diversifies Dubai's economy by increasing GDP, jobs, and investment. Sustainability has boosted industry innovation, efficiency, and environmental responsibility. Economic variety and sustainability in real estate shape Dubai's growth. The economy benefits from real estate project material, labour, and service expenditure. Industrial, retail, and hotel demand rise, diversifying Dubai's economy and decreasing oil dependence. Real estate construction involves architects, engineers, labourers, and craftspeople. Residential, commercial, and hospitality operations provide property management, facility services, and hospitality jobs. Dubai's economy and society benefit from the real estate industry's broad and skilled workforce. Dubai's real estate industry attracts international investors due to its stable government, solid regulations, and high ROI (</w:t>
      </w:r>
      <w:proofErr w:type="spellStart"/>
      <w:r w:rsidRPr="002B41B5">
        <w:rPr>
          <w:rFonts w:ascii="Arial" w:eastAsia="Times New Roman" w:hAnsi="Arial" w:cs="Arial"/>
          <w:color w:val="222222"/>
          <w:highlight w:val="white"/>
        </w:rPr>
        <w:t>Alburshaid</w:t>
      </w:r>
      <w:proofErr w:type="spellEnd"/>
      <w:r w:rsidRPr="002B41B5">
        <w:rPr>
          <w:rFonts w:ascii="Arial" w:eastAsia="Times New Roman" w:hAnsi="Arial" w:cs="Arial"/>
          <w:color w:val="222222"/>
          <w:highlight w:val="white"/>
        </w:rPr>
        <w:t xml:space="preserve"> &amp; Al-Alawi, 2024</w:t>
      </w:r>
      <w:r w:rsidRPr="002B41B5">
        <w:rPr>
          <w:rFonts w:ascii="Arial" w:eastAsia="Times New Roman" w:hAnsi="Arial" w:cs="Arial"/>
        </w:rPr>
        <w:t>). Money, technology, and expertise from FDI in real estate developments improve Dubai's investment attractiveness and worldwide collaborations. Dubai's real estate industry benefits the economy and ecology. The emirate's environmental goal has spurred green construction, energy-efficient designs, and eco-friendly real estate innovations. Developers use sustainability to conserve resources, decrease carbon emissions, and improve the environment.</w:t>
      </w:r>
    </w:p>
    <w:p w14:paraId="05EEB61B" w14:textId="77777777" w:rsidR="00C42367" w:rsidRPr="002B41B5" w:rsidRDefault="00C42367" w:rsidP="009C1931">
      <w:pPr>
        <w:spacing w:line="360" w:lineRule="auto"/>
        <w:rPr>
          <w:rFonts w:ascii="Arial" w:eastAsia="Times New Roman" w:hAnsi="Arial" w:cs="Arial"/>
        </w:rPr>
      </w:pPr>
      <w:r w:rsidRPr="002B41B5">
        <w:rPr>
          <w:rFonts w:ascii="Arial" w:eastAsia="Times New Roman" w:hAnsi="Arial" w:cs="Arial"/>
        </w:rPr>
        <w:t xml:space="preserve">New Dubai projects commonly get LEED and </w:t>
      </w:r>
      <w:proofErr w:type="spellStart"/>
      <w:r w:rsidRPr="002B41B5">
        <w:rPr>
          <w:rFonts w:ascii="Arial" w:eastAsia="Times New Roman" w:hAnsi="Arial" w:cs="Arial"/>
        </w:rPr>
        <w:t>Estidama</w:t>
      </w:r>
      <w:proofErr w:type="spellEnd"/>
      <w:r w:rsidRPr="002B41B5">
        <w:rPr>
          <w:rFonts w:ascii="Arial" w:eastAsia="Times New Roman" w:hAnsi="Arial" w:cs="Arial"/>
        </w:rPr>
        <w:t xml:space="preserve"> certifications. These certificates encourage developers to use renewable energy, energy-efficient lighting, and water-saving solutions. The Dubai Green Building Regulations and Specifications </w:t>
      </w:r>
      <w:r w:rsidRPr="002B41B5">
        <w:rPr>
          <w:rFonts w:ascii="Arial" w:eastAsia="Times New Roman" w:hAnsi="Arial" w:cs="Arial"/>
        </w:rPr>
        <w:lastRenderedPageBreak/>
        <w:t>require all new structures to meet minimum sustainability criteria and include environmental considerations into planning and design. Beyond housing, real estate prioritises sustainable communities and urban projects. Dubai master-planned communities emphasise sustainability, walkability, and connectedness to build resilient, dynamic neighbourhoods that benefit inhabitants and the environment. These neighbourhoods complement Dubai's smart, sustainable, and inclusive policy with green spaces, mixed-use projects, and sustainable transportation.</w:t>
      </w:r>
    </w:p>
    <w:p w14:paraId="31CCD45E" w14:textId="77777777" w:rsidR="00C42367" w:rsidRPr="002B41B5" w:rsidRDefault="00C42367" w:rsidP="009C1931">
      <w:pPr>
        <w:spacing w:line="360" w:lineRule="auto"/>
        <w:rPr>
          <w:rFonts w:ascii="Arial" w:eastAsia="Times New Roman" w:hAnsi="Arial" w:cs="Arial"/>
        </w:rPr>
      </w:pPr>
      <w:r w:rsidRPr="002B41B5">
        <w:rPr>
          <w:rFonts w:ascii="Arial" w:eastAsia="Times New Roman" w:hAnsi="Arial" w:cs="Arial"/>
        </w:rPr>
        <w:t>Social sustainability and community development are key in Dubai real estate. Developers are adding social amenities, public areas, and community facilities to boost social cohesion and quality of life. Dubai's diversified people benefit from mixed-income, inexpensive, and social infrastructure enhancements. Real estate's economic diversification and sustainability benefits go beyond GDP and the environment. Real estate initiatives frequently stimulate economic growth and urban change by investing in infrastructure, public services, and quality-of-life amenities (</w:t>
      </w:r>
      <w:proofErr w:type="spellStart"/>
      <w:r w:rsidRPr="002B41B5">
        <w:rPr>
          <w:rFonts w:ascii="Arial" w:eastAsia="Times New Roman" w:hAnsi="Arial" w:cs="Arial"/>
          <w:color w:val="222222"/>
          <w:highlight w:val="white"/>
        </w:rPr>
        <w:t>Almesafri</w:t>
      </w:r>
      <w:proofErr w:type="spellEnd"/>
      <w:r w:rsidRPr="002B41B5">
        <w:rPr>
          <w:rFonts w:ascii="Arial" w:eastAsia="Times New Roman" w:hAnsi="Arial" w:cs="Arial"/>
          <w:color w:val="222222"/>
          <w:highlight w:val="white"/>
        </w:rPr>
        <w:t>, 2023</w:t>
      </w:r>
      <w:r w:rsidRPr="002B41B5">
        <w:rPr>
          <w:rFonts w:ascii="Arial" w:eastAsia="Times New Roman" w:hAnsi="Arial" w:cs="Arial"/>
        </w:rPr>
        <w:t>). Dubai mixed-use developments and urban redevelopment provide new commercial and residential spaces, revitalise underutilised neighbourhoods, attract enterprises, and boost local economies. They revitalise cities, boost culture, and provide a feeling of place and identity in Dubai. Dubai real estate promotes innovation and technology. Developers and stakeholders employ digital technology, data analytics, and smart solutions to improve real estate asset efficiency, sustainability, and user experience. Dubai leads the world in smart city projects thanks to smart buildings, integrated systems, and IoT-enabled gadgets that save energy, simplify operations, and increase occupant comfort and safety.</w:t>
      </w:r>
    </w:p>
    <w:p w14:paraId="19FBFA95" w14:textId="77777777" w:rsidR="00C42367" w:rsidRPr="002B41B5" w:rsidRDefault="00C42367" w:rsidP="009C1931">
      <w:pPr>
        <w:spacing w:line="360" w:lineRule="auto"/>
        <w:rPr>
          <w:rFonts w:ascii="Arial" w:eastAsia="Times New Roman" w:hAnsi="Arial" w:cs="Arial"/>
        </w:rPr>
      </w:pPr>
      <w:r w:rsidRPr="002B41B5">
        <w:rPr>
          <w:rFonts w:ascii="Arial" w:eastAsia="Times New Roman" w:hAnsi="Arial" w:cs="Arial"/>
        </w:rPr>
        <w:t xml:space="preserve">Dubai's real estate sector's sustainability and resilience efforts minimise climate change, protect natural resources, and construct a more resilient and adaptable metropolis. For climate change resistance, passive architecture, green roofs, and rainwater collection reduce energy usage, heat island effects, and biodiversity in Dubai. Affordable housing, accessibility, and social inclusion are addressed by property developers. Affordable, social, and mixed-income housing address affordability issues and promote inclusive development by accommodating multiple socioeconomic groups. Schools, hospitals, and community centres help Dubai construct resilient, inclusive communities. Finally, Dubai's real estate industry promotes economic diversity and sustainability in economic, environmental, social, </w:t>
      </w:r>
      <w:r w:rsidRPr="002B41B5">
        <w:rPr>
          <w:rFonts w:ascii="Arial" w:eastAsia="Times New Roman" w:hAnsi="Arial" w:cs="Arial"/>
        </w:rPr>
        <w:lastRenderedPageBreak/>
        <w:t>and technical aspects (</w:t>
      </w:r>
      <w:r w:rsidRPr="002B41B5">
        <w:rPr>
          <w:rFonts w:ascii="Arial" w:eastAsia="Times New Roman" w:hAnsi="Arial" w:cs="Arial"/>
          <w:color w:val="222222"/>
          <w:highlight w:val="white"/>
        </w:rPr>
        <w:t>Jung et al., 2022</w:t>
      </w:r>
      <w:r w:rsidRPr="002B41B5">
        <w:rPr>
          <w:rFonts w:ascii="Arial" w:eastAsia="Times New Roman" w:hAnsi="Arial" w:cs="Arial"/>
        </w:rPr>
        <w:t>). Innovation, inclusion, and sustainability in the real estate business will determine Dubai's urban development and sustainability leadership. Government, industry, and civil society must work together to optimise Dubai's real estate sector's economic growth and sustainability.</w:t>
      </w:r>
    </w:p>
    <w:p w14:paraId="72C8F733" w14:textId="77777777" w:rsidR="00C42367" w:rsidRPr="002B41B5" w:rsidRDefault="00C42367" w:rsidP="009C1931">
      <w:pPr>
        <w:spacing w:line="360" w:lineRule="auto"/>
        <w:rPr>
          <w:rFonts w:ascii="Arial" w:eastAsia="Times New Roman" w:hAnsi="Arial" w:cs="Arial"/>
        </w:rPr>
      </w:pPr>
    </w:p>
    <w:p w14:paraId="22C04DE6" w14:textId="77777777" w:rsidR="00C42367" w:rsidRPr="002B41B5" w:rsidRDefault="00C42367" w:rsidP="009C1931">
      <w:pPr>
        <w:pStyle w:val="Heading3"/>
        <w:rPr>
          <w:rFonts w:eastAsia="Times New Roman"/>
        </w:rPr>
      </w:pPr>
      <w:bookmarkStart w:id="32" w:name="_Toc166263537"/>
      <w:r w:rsidRPr="002B41B5">
        <w:t xml:space="preserve">4.2.4 </w:t>
      </w:r>
      <w:r w:rsidRPr="002B41B5">
        <w:rPr>
          <w:rFonts w:eastAsia="Times New Roman"/>
        </w:rPr>
        <w:t>Future Outlook of the Real Estate Market in Dubai</w:t>
      </w:r>
      <w:bookmarkEnd w:id="32"/>
    </w:p>
    <w:p w14:paraId="46793976" w14:textId="77777777" w:rsidR="00C42367" w:rsidRPr="002B41B5" w:rsidRDefault="00C42367" w:rsidP="009C1931">
      <w:pPr>
        <w:spacing w:line="360" w:lineRule="auto"/>
        <w:rPr>
          <w:rFonts w:ascii="Arial" w:eastAsia="Times New Roman" w:hAnsi="Arial" w:cs="Arial"/>
        </w:rPr>
      </w:pPr>
      <w:r w:rsidRPr="002B41B5">
        <w:rPr>
          <w:rFonts w:ascii="Arial" w:eastAsia="Times New Roman" w:hAnsi="Arial" w:cs="Arial"/>
        </w:rPr>
        <w:t>Economic developments, market dynamics, government regulations, and global uncertainty affect Dubai's real estate market. Strategic measures, infrastructure enhancements, and a resilient economy may help the market rebound from recent losses. Economic data suggests cautious optimism for Dubai's real estate sector. Government stimulus, vaccination efforts, and gradual border reopening will help the emirate's economy recover from COVID-19. Economic activity and business confidence may increase residential, hotel, and commercial real estate demand. Dubai's megaprojects and infrastructure boost housing demand. Expo 2020 Dubai, Dubai South, and Dubai Creek Harbour should boost residential, commercial, and hotel construction. Transportation, utilities, and urban amenities improve connection, accessibility, and quality of life, making real estate investments more appealing. Dubai's real estate business will be affected by government laws. Business-friendly, investment-friendly, and sustainable development policies boost market growth and investor confidence. Increasing affordability, permissions, and market openness will improve real estate. Segment overstock, affordability, and geopolitical volatility persist (</w:t>
      </w:r>
      <w:r w:rsidRPr="002B41B5">
        <w:rPr>
          <w:rFonts w:ascii="Arial" w:eastAsia="Times New Roman" w:hAnsi="Arial" w:cs="Arial"/>
          <w:color w:val="222222"/>
          <w:highlight w:val="white"/>
        </w:rPr>
        <w:t>Breslow, 2021</w:t>
      </w:r>
      <w:r w:rsidRPr="002B41B5">
        <w:rPr>
          <w:rFonts w:ascii="Arial" w:eastAsia="Times New Roman" w:hAnsi="Arial" w:cs="Arial"/>
        </w:rPr>
        <w:t>). Developers and governments are using inventive methods to balance house supply and demand owing to overstock and affordability. Risk management and diversification preserve investor sentiment and market stability from geopolitical and economic concerns.</w:t>
      </w:r>
    </w:p>
    <w:p w14:paraId="339E3398" w14:textId="77777777" w:rsidR="00C42367" w:rsidRPr="002B41B5" w:rsidRDefault="00C42367" w:rsidP="009C1931">
      <w:pPr>
        <w:spacing w:line="360" w:lineRule="auto"/>
        <w:rPr>
          <w:rFonts w:ascii="Arial" w:eastAsia="Times New Roman" w:hAnsi="Arial" w:cs="Arial"/>
        </w:rPr>
      </w:pPr>
      <w:r w:rsidRPr="002B41B5">
        <w:rPr>
          <w:rFonts w:ascii="Arial" w:eastAsia="Times New Roman" w:hAnsi="Arial" w:cs="Arial"/>
        </w:rPr>
        <w:t xml:space="preserve">Dubai's real estate market should attract local and international investors despite these problems due to its strategic position, business-friendly atmosphere, and long-term development potential. A worldwide commerce, tourism, and investment centre, the emirate's real estate industry can overcome short-term challenges and seize new possibilities. Dubai's real estate market is changing due to demographics and market factors. COVID-19 is predicted to increase demand for residential properties because to remote work and digital nomadism, which will increase demand for bigger living spaces, flexible work arrangements, and lifestyle amenities. Developers and </w:t>
      </w:r>
      <w:r w:rsidRPr="002B41B5">
        <w:rPr>
          <w:rFonts w:ascii="Arial" w:eastAsia="Times New Roman" w:hAnsi="Arial" w:cs="Arial"/>
        </w:rPr>
        <w:lastRenderedPageBreak/>
        <w:t xml:space="preserve">stakeholders are offering creative housing, co-living, and integrated work-play spaces to meet tenants' and renters' changing requirements. Dubai's real estate industry is evolving due to technology and consumer preferences. Digital marketing, virtual tours, and online platforms are changing real estate transactions. Technologies improve real estate market transparency, efficiency, and ease, helping buyers, sellers, and investors make remote choices. Dubai real estate prioritises sustainability. Developers support Dubai's sustainable and resilient city concept with green construction, renewable energy, and eco-friendly architecture. LEED and </w:t>
      </w:r>
      <w:proofErr w:type="spellStart"/>
      <w:r w:rsidRPr="002B41B5">
        <w:rPr>
          <w:rFonts w:ascii="Arial" w:eastAsia="Times New Roman" w:hAnsi="Arial" w:cs="Arial"/>
        </w:rPr>
        <w:t>Estidama</w:t>
      </w:r>
      <w:proofErr w:type="spellEnd"/>
      <w:r w:rsidRPr="002B41B5">
        <w:rPr>
          <w:rFonts w:ascii="Arial" w:eastAsia="Times New Roman" w:hAnsi="Arial" w:cs="Arial"/>
        </w:rPr>
        <w:t xml:space="preserve"> certifications are increasingly required for new projects, indicating demand for eco-friendly dwellings and investments.</w:t>
      </w:r>
    </w:p>
    <w:p w14:paraId="572E0BE2" w14:textId="77777777" w:rsidR="00C42367" w:rsidRPr="002B41B5" w:rsidRDefault="00C42367" w:rsidP="009C1931">
      <w:pPr>
        <w:spacing w:line="360" w:lineRule="auto"/>
        <w:rPr>
          <w:rFonts w:ascii="Arial" w:eastAsia="Times New Roman" w:hAnsi="Arial" w:cs="Arial"/>
        </w:rPr>
      </w:pPr>
      <w:r w:rsidRPr="002B41B5">
        <w:rPr>
          <w:rFonts w:ascii="Arial" w:eastAsia="Times New Roman" w:hAnsi="Arial" w:cs="Arial"/>
        </w:rPr>
        <w:t>Dubai real estate is also moving towards mixed-use complexes and integrated communities for holistic living. This complex's residential, commercial, retail, and recreational features provide dynamic urban settings for varied lifestyles. Walkability, connectivity, and socialisation benefit integrated community residents and renters. Dubai's real estate market will be affected by hotels (</w:t>
      </w:r>
      <w:r w:rsidRPr="002B41B5">
        <w:rPr>
          <w:rFonts w:ascii="Arial" w:eastAsia="Times New Roman" w:hAnsi="Arial" w:cs="Arial"/>
          <w:color w:val="222222"/>
          <w:highlight w:val="white"/>
        </w:rPr>
        <w:t>Portes, 2020</w:t>
      </w:r>
      <w:r w:rsidRPr="002B41B5">
        <w:rPr>
          <w:rFonts w:ascii="Arial" w:eastAsia="Times New Roman" w:hAnsi="Arial" w:cs="Arial"/>
        </w:rPr>
        <w:t>). Expo 2020 Dubai and other large events may boost hotel and serviced apartment demand as tourism returns. Hotel durability, flexibility, and hospitality and leisure expansion and diversification potential boost investor confidence in Dubai's real estate sector. Future of Dubai real estate is strong, innovative, and sustainable. Strategic investments, technical advances, and changing customer tastes will recover and expand the business despite setbacks. Dubai's real estate business may transform urban living with innovation, sustainability, and adaptation.</w:t>
      </w:r>
    </w:p>
    <w:p w14:paraId="73955286" w14:textId="469B84A0" w:rsidR="00C42367" w:rsidRPr="002B41B5" w:rsidRDefault="00C42367" w:rsidP="009C1931">
      <w:pPr>
        <w:spacing w:line="360" w:lineRule="auto"/>
        <w:jc w:val="left"/>
        <w:rPr>
          <w:rFonts w:ascii="Arial" w:eastAsia="Times New Roman" w:hAnsi="Arial" w:cs="Arial"/>
        </w:rPr>
      </w:pPr>
      <w:bookmarkStart w:id="33" w:name="_v6o1oyn8m8tm" w:colFirst="0" w:colLast="0"/>
      <w:bookmarkEnd w:id="33"/>
    </w:p>
    <w:p w14:paraId="2BE61B3B" w14:textId="4380CBFE" w:rsidR="00DB1F67" w:rsidRPr="002B41B5" w:rsidRDefault="00DB1F67" w:rsidP="009C1931">
      <w:pPr>
        <w:pStyle w:val="Heading3"/>
        <w:rPr>
          <w:rFonts w:eastAsia="Times New Roman"/>
          <w:color w:val="000000" w:themeColor="text1"/>
        </w:rPr>
      </w:pPr>
      <w:bookmarkStart w:id="34" w:name="_Toc166263538"/>
      <w:r w:rsidRPr="002B41B5">
        <w:rPr>
          <w:rFonts w:eastAsia="Times New Roman"/>
        </w:rPr>
        <w:t>4.2.5 How the Findings Meet the Research Objectives and Questions</w:t>
      </w:r>
      <w:bookmarkEnd w:id="34"/>
    </w:p>
    <w:p w14:paraId="15E8D39B" w14:textId="48BE0BC0" w:rsidR="00DB1F67" w:rsidRPr="002B41B5" w:rsidRDefault="00DB1F67" w:rsidP="009C1931">
      <w:pPr>
        <w:spacing w:line="360" w:lineRule="auto"/>
        <w:rPr>
          <w:rFonts w:ascii="Arial" w:eastAsia="Times New Roman" w:hAnsi="Arial" w:cs="Arial"/>
          <w:b/>
          <w:color w:val="000000" w:themeColor="text1"/>
        </w:rPr>
      </w:pPr>
      <w:r w:rsidRPr="002B41B5">
        <w:rPr>
          <w:rFonts w:ascii="Arial" w:hAnsi="Arial" w:cs="Arial"/>
        </w:rPr>
        <w:t xml:space="preserve">To conclude the discussion, it is evident that the relationship between Dubai’s real estate market and the macroeconomic indicators of GDP, inflation and employment, and its impacts is again interdependence. This study has identified the numerous ways in which these indicators affect and are affected by the dynamics of the real estate sector. Dubai’s real estate development is integral to its economic growth and a principal anchor for attracting investment. Further, the discussion made an eloquent discourse regarding the governmental policies and their related impact and contribution to regulating Dubai’s real estate sector. Besides, most importantly, it also makes a conclusive analysis on the role that the real estate sector of Dubai plays </w:t>
      </w:r>
      <w:r w:rsidRPr="002B41B5">
        <w:rPr>
          <w:rFonts w:ascii="Arial" w:hAnsi="Arial" w:cs="Arial"/>
        </w:rPr>
        <w:lastRenderedPageBreak/>
        <w:t>regarding the economy’s progress and achievement of the dream of sustainable development. The real estate projects help diversify the economy, especially through the tangential sectors that it supports like tourism, retail, and hospitality. On the other hand, the mentioned Fly Duba’s sustainability initiative helps Dubai achieve its environmental policy objectives. Overall, the issue at hand is remarkably addressed throughout this discussion.</w:t>
      </w:r>
      <w:r w:rsidRPr="002B41B5">
        <w:rPr>
          <w:rFonts w:ascii="Arial" w:eastAsia="Times New Roman" w:hAnsi="Arial" w:cs="Arial"/>
        </w:rPr>
        <w:br w:type="page"/>
      </w:r>
    </w:p>
    <w:p w14:paraId="1C8AC9C0" w14:textId="3F1EA691" w:rsidR="00C42367" w:rsidRPr="002B41B5" w:rsidRDefault="00C42367" w:rsidP="009C1931">
      <w:pPr>
        <w:pStyle w:val="Heading1"/>
        <w:rPr>
          <w:rFonts w:eastAsia="Times New Roman"/>
        </w:rPr>
      </w:pPr>
      <w:bookmarkStart w:id="35" w:name="_Toc166263539"/>
      <w:r w:rsidRPr="002B41B5">
        <w:rPr>
          <w:rFonts w:eastAsia="Times New Roman"/>
        </w:rPr>
        <w:lastRenderedPageBreak/>
        <w:t>Chapter 5: Conclusion</w:t>
      </w:r>
      <w:bookmarkEnd w:id="35"/>
    </w:p>
    <w:p w14:paraId="136A8CC4" w14:textId="77777777" w:rsidR="00C42367" w:rsidRPr="002B41B5" w:rsidRDefault="00C42367" w:rsidP="009C1931">
      <w:pPr>
        <w:pStyle w:val="Heading2"/>
        <w:rPr>
          <w:rFonts w:eastAsia="Times New Roman"/>
        </w:rPr>
      </w:pPr>
      <w:bookmarkStart w:id="36" w:name="_vujch2b0e3gw" w:colFirst="0" w:colLast="0"/>
      <w:bookmarkStart w:id="37" w:name="_Toc166263540"/>
      <w:bookmarkEnd w:id="36"/>
      <w:r w:rsidRPr="002B41B5">
        <w:rPr>
          <w:rFonts w:eastAsia="Times New Roman"/>
        </w:rPr>
        <w:t>5.1 Summary of Main Findings</w:t>
      </w:r>
      <w:bookmarkEnd w:id="37"/>
    </w:p>
    <w:p w14:paraId="79A6EFA6" w14:textId="77777777" w:rsidR="00C42367" w:rsidRPr="002B41B5" w:rsidRDefault="00C42367" w:rsidP="009C1931">
      <w:pPr>
        <w:spacing w:line="360" w:lineRule="auto"/>
        <w:rPr>
          <w:rFonts w:ascii="Arial" w:eastAsia="Times New Roman" w:hAnsi="Arial" w:cs="Arial"/>
        </w:rPr>
      </w:pPr>
      <w:r w:rsidRPr="002B41B5">
        <w:rPr>
          <w:rFonts w:ascii="Arial" w:eastAsia="Times New Roman" w:hAnsi="Arial" w:cs="Arial"/>
        </w:rPr>
        <w:t xml:space="preserve">Dubai's real estate business grows via ambition, innovation, and strategy. Dubai's complex real estate sector-economy link and its implications on economic diversification were investigated in this dissertation. Qualitative findings confirmed real estate market fundamentals and expansion. Government regulations and expansion drive Dubai's real estate market. Sustainability, regulatory change, and openness transformed the sector. Government policies that encourage prudent growth and investment have aided business. Dubai's real estate industry increases GDP and diversity. It encouraged tourism, international investment, and business and money links. Burj Khalifa and Palm Jumeirah transformed Dubai's skyline and symbolised global economic objectives. Real estate has struggled despite significant expansion. Dubai's real estate business was disrupted by the 2008-2009 global financial crisis, highlighting regulation and sustainability. The government has lowered hazards, enhanced transparency, and encouraged eco-friendly initiatives to save the business. Dubai's property boom endangers sustainability. As green economy leader, the Emirate must balance growth and sustainability. </w:t>
      </w:r>
    </w:p>
    <w:p w14:paraId="1444B934" w14:textId="77777777" w:rsidR="00C42367" w:rsidRPr="002B41B5" w:rsidRDefault="00C42367" w:rsidP="009C1931">
      <w:pPr>
        <w:spacing w:line="360" w:lineRule="auto"/>
        <w:rPr>
          <w:rFonts w:ascii="Arial" w:eastAsia="Times New Roman" w:hAnsi="Arial" w:cs="Arial"/>
        </w:rPr>
      </w:pPr>
      <w:r w:rsidRPr="002B41B5">
        <w:rPr>
          <w:rFonts w:ascii="Arial" w:eastAsia="Times New Roman" w:hAnsi="Arial" w:cs="Arial"/>
        </w:rPr>
        <w:t>Sustainable economic development allows innovation and investment despite resource use and environmental degradation. These ideas provide theoretical and practical answers. Successful real estate policy involves cooperation. Private and stakeholder investment in sustainable infrastructure is needed for responsible growth. Growth trajectory sustainability may be shown by government and market longitudinal research. Global cities with similar economic transitions may exchange best practices and learn. Despite its limitations, this study showed Dubai's real estate market dynamics and their implications on economic growth and diversity. Few quantitative studies were done. Use caution since findings may not apply beyond Dubai. The study was hampered by data reliability and availability. Research may overcome these constraints and boost real estate development and economic advancement understanding. Real estate market dynamics and sustainable urban growth may be explained by cross-regional comparisons, longitudinal research, and quantitative analysis. This study's evidence-based decision-making and sustainable development may assist Dubai and other cities.</w:t>
      </w:r>
    </w:p>
    <w:p w14:paraId="2D34C782" w14:textId="77777777" w:rsidR="00C42367" w:rsidRPr="002B41B5" w:rsidRDefault="00C42367" w:rsidP="009C1931">
      <w:pPr>
        <w:pStyle w:val="Heading2"/>
        <w:rPr>
          <w:rFonts w:eastAsia="Times New Roman"/>
        </w:rPr>
      </w:pPr>
      <w:bookmarkStart w:id="38" w:name="_x91t6ueuq0lb" w:colFirst="0" w:colLast="0"/>
      <w:bookmarkStart w:id="39" w:name="_Toc166263541"/>
      <w:bookmarkEnd w:id="38"/>
      <w:r w:rsidRPr="002B41B5">
        <w:rPr>
          <w:rFonts w:eastAsia="Times New Roman"/>
        </w:rPr>
        <w:lastRenderedPageBreak/>
        <w:t>5.2 Conclusion Based on the Research Questions</w:t>
      </w:r>
      <w:bookmarkEnd w:id="39"/>
    </w:p>
    <w:p w14:paraId="5CD68670" w14:textId="77777777" w:rsidR="00C42367" w:rsidRPr="002B41B5" w:rsidRDefault="00C42367" w:rsidP="009C1931">
      <w:pPr>
        <w:spacing w:line="360" w:lineRule="auto"/>
        <w:rPr>
          <w:rFonts w:ascii="Arial" w:eastAsia="Times New Roman" w:hAnsi="Arial" w:cs="Arial"/>
        </w:rPr>
      </w:pPr>
      <w:r w:rsidRPr="002B41B5">
        <w:rPr>
          <w:rFonts w:ascii="Arial" w:eastAsia="Times New Roman" w:hAnsi="Arial" w:cs="Arial"/>
        </w:rPr>
        <w:t>This dissertation analysed Dubai's complex real estate market and economic development to meet corporate objectives. Dubai's economy is affected by real estate, including government policy, market dynamics, and sustainability. Dubai's real estate expansion and regulation are government-driven. Through transparency, regulation, and sustainability, governments have tied the sector's trajectory to economic goals. Administration policies promote cautious industrial development and investment. Dubai's economic diversification has improved its real estate market, attracting foreign investment, tourism, and related sectors. Beyond GDP, the industry has helped Dubai become a worldwide innovation and investment destination by lowering oil usage. Burj Khalifa and Palm Jumeirah demonstrate real estate development's revolutionary potential and Dubai's worldwide economic goals. Fast growth has disadvantages, as the 2008-2009 global financial crisis illustrated. In its dismal real estate market, Dubai requires firm controls and sustained development. Regulations that minimise risks, promote transparency, and assist green initiatives show the government's commitment to economic development and sustainability.</w:t>
      </w:r>
    </w:p>
    <w:p w14:paraId="2CF06A14" w14:textId="77777777" w:rsidR="00C42367" w:rsidRPr="002B41B5" w:rsidRDefault="00C42367" w:rsidP="009C1931">
      <w:pPr>
        <w:spacing w:line="360" w:lineRule="auto"/>
        <w:rPr>
          <w:rFonts w:ascii="Arial" w:eastAsia="Times New Roman" w:hAnsi="Arial" w:cs="Arial"/>
        </w:rPr>
      </w:pPr>
      <w:r w:rsidRPr="002B41B5">
        <w:rPr>
          <w:rFonts w:ascii="Arial" w:eastAsia="Times New Roman" w:hAnsi="Arial" w:cs="Arial"/>
        </w:rPr>
        <w:t>UAE wants to lead the green economy; hence real estate must be sustainable. Innovation and stakeholder involvement are necessary for ambitious development and environmental sustainability. Sustainable practices may balance economic growth and environmental conservation. Dubai's real estate business and economy were analysed for dynamics and economic implications. Economic stimulus by the government affects markets. Real estate brought investment, tourism, and auxiliary enterprises to Dubai. Sustainability requires responsible development and stakeholder engagement. This research encourages evidence-based decision-making and sustainable development in Dubai and other cities via practical and theoretical insights. Further research into real estate development and economic growth may fix this study's faults, making urban development more sustainable.</w:t>
      </w:r>
    </w:p>
    <w:p w14:paraId="1E22509E" w14:textId="77777777" w:rsidR="00C42367" w:rsidRPr="002B41B5" w:rsidRDefault="00C42367" w:rsidP="009C1931">
      <w:pPr>
        <w:spacing w:line="360" w:lineRule="auto"/>
        <w:rPr>
          <w:rFonts w:ascii="Arial" w:eastAsia="Times New Roman" w:hAnsi="Arial" w:cs="Arial"/>
        </w:rPr>
      </w:pPr>
    </w:p>
    <w:p w14:paraId="257B7E97" w14:textId="77777777" w:rsidR="00C42367" w:rsidRPr="002B41B5" w:rsidRDefault="00C42367" w:rsidP="009C1931">
      <w:pPr>
        <w:pStyle w:val="Heading2"/>
        <w:rPr>
          <w:rFonts w:eastAsia="Times New Roman"/>
        </w:rPr>
      </w:pPr>
      <w:bookmarkStart w:id="40" w:name="_mpzsr1qprrk7" w:colFirst="0" w:colLast="0"/>
      <w:bookmarkStart w:id="41" w:name="_Toc166263542"/>
      <w:bookmarkEnd w:id="40"/>
      <w:r w:rsidRPr="002B41B5">
        <w:rPr>
          <w:rFonts w:eastAsia="Times New Roman"/>
        </w:rPr>
        <w:t>5.3 Recommendations</w:t>
      </w:r>
      <w:bookmarkEnd w:id="41"/>
    </w:p>
    <w:p w14:paraId="0DB41B62" w14:textId="77777777" w:rsidR="00C42367" w:rsidRPr="002B41B5" w:rsidRDefault="00C42367" w:rsidP="009C1931">
      <w:pPr>
        <w:pStyle w:val="Heading3"/>
        <w:rPr>
          <w:rFonts w:eastAsia="Times New Roman"/>
        </w:rPr>
      </w:pPr>
      <w:bookmarkStart w:id="42" w:name="_65c4kkovstik" w:colFirst="0" w:colLast="0"/>
      <w:bookmarkStart w:id="43" w:name="_Toc166263543"/>
      <w:bookmarkEnd w:id="42"/>
      <w:r w:rsidRPr="002B41B5">
        <w:rPr>
          <w:rFonts w:eastAsia="Times New Roman"/>
        </w:rPr>
        <w:t>Practical Recommendations</w:t>
      </w:r>
      <w:bookmarkEnd w:id="43"/>
    </w:p>
    <w:p w14:paraId="518B3EBD" w14:textId="77777777" w:rsidR="00C42367" w:rsidRPr="002B41B5" w:rsidRDefault="00C42367" w:rsidP="009C1931">
      <w:pPr>
        <w:spacing w:line="360" w:lineRule="auto"/>
        <w:rPr>
          <w:rFonts w:ascii="Arial" w:hAnsi="Arial" w:cs="Arial"/>
        </w:rPr>
      </w:pPr>
      <w:r w:rsidRPr="002B41B5">
        <w:rPr>
          <w:rFonts w:ascii="Arial" w:eastAsia="Times New Roman" w:hAnsi="Arial" w:cs="Arial"/>
          <w:b/>
        </w:rPr>
        <w:t>Better Policy Coordination:</w:t>
      </w:r>
      <w:r w:rsidRPr="002B41B5">
        <w:rPr>
          <w:rFonts w:ascii="Arial" w:eastAsia="Times New Roman" w:hAnsi="Arial" w:cs="Arial"/>
        </w:rPr>
        <w:t xml:space="preserve"> Government agencies should prioritise real estate policy consistency for efficiency and economic alignment. Improve regulatory framework </w:t>
      </w:r>
      <w:r w:rsidRPr="002B41B5">
        <w:rPr>
          <w:rFonts w:ascii="Arial" w:eastAsia="Times New Roman" w:hAnsi="Arial" w:cs="Arial"/>
        </w:rPr>
        <w:lastRenderedPageBreak/>
        <w:t>coherence, agency and stakeholder cooperation, and decision-making efficiency. Sustainable growth and investment may be promoted by unifying real estate regulation and development.</w:t>
      </w:r>
    </w:p>
    <w:p w14:paraId="65F2C514" w14:textId="77777777" w:rsidR="00C42367" w:rsidRPr="002B41B5" w:rsidRDefault="00C42367" w:rsidP="009C1931">
      <w:pPr>
        <w:spacing w:line="360" w:lineRule="auto"/>
        <w:rPr>
          <w:rFonts w:ascii="Arial" w:hAnsi="Arial" w:cs="Arial"/>
        </w:rPr>
      </w:pPr>
      <w:r w:rsidRPr="002B41B5">
        <w:rPr>
          <w:rFonts w:ascii="Arial" w:eastAsia="Times New Roman" w:hAnsi="Arial" w:cs="Arial"/>
          <w:b/>
        </w:rPr>
        <w:t>Sustainable Infrastructure Investment:</w:t>
      </w:r>
      <w:r w:rsidRPr="002B41B5">
        <w:rPr>
          <w:rFonts w:ascii="Arial" w:eastAsia="Times New Roman" w:hAnsi="Arial" w:cs="Arial"/>
        </w:rPr>
        <w:t xml:space="preserve"> Dubai needs private sector investment in sustainable infrastructure for economic and environmental reasons. Developers need government support for green construction, renewable energy, and resource management. Cash incentives, speedier approvals, and tax refunds may benefit sustainable initiatives. Dubai can lead green real estate development and boost economic growth with sustainable techniques.</w:t>
      </w:r>
    </w:p>
    <w:p w14:paraId="2D7F8A1A" w14:textId="77777777" w:rsidR="00C42367" w:rsidRPr="002B41B5" w:rsidRDefault="00C42367" w:rsidP="009C1931">
      <w:pPr>
        <w:spacing w:line="360" w:lineRule="auto"/>
        <w:rPr>
          <w:rFonts w:ascii="Arial" w:hAnsi="Arial" w:cs="Arial"/>
        </w:rPr>
      </w:pPr>
      <w:r w:rsidRPr="002B41B5">
        <w:rPr>
          <w:rFonts w:ascii="Arial" w:eastAsia="Times New Roman" w:hAnsi="Arial" w:cs="Arial"/>
          <w:b/>
        </w:rPr>
        <w:t>Stakeholder Engagement:</w:t>
      </w:r>
      <w:r w:rsidRPr="002B41B5">
        <w:rPr>
          <w:rFonts w:ascii="Arial" w:eastAsia="Times New Roman" w:hAnsi="Arial" w:cs="Arial"/>
        </w:rPr>
        <w:t xml:space="preserve"> Sustainable development transparency, accountability, and shared responsibility need collaboration between developers, policymakers, investors, and communities. This might include multi-stakeholder forums, advisory groups, or task teams to address real estate industry concerns and possibilities. Policymakers may innovate, solve new challenges, and meet community demands by fostering debate and cooperation.</w:t>
      </w:r>
    </w:p>
    <w:p w14:paraId="10E1C843" w14:textId="77777777" w:rsidR="00C42367" w:rsidRPr="002B41B5" w:rsidRDefault="00C42367" w:rsidP="009C1931">
      <w:pPr>
        <w:spacing w:line="360" w:lineRule="auto"/>
        <w:rPr>
          <w:rFonts w:ascii="Arial" w:eastAsia="Times New Roman" w:hAnsi="Arial" w:cs="Arial"/>
        </w:rPr>
      </w:pPr>
    </w:p>
    <w:p w14:paraId="40CC6A63" w14:textId="77777777" w:rsidR="00C42367" w:rsidRPr="002B41B5" w:rsidRDefault="00C42367" w:rsidP="009C1931">
      <w:pPr>
        <w:pStyle w:val="Heading3"/>
        <w:rPr>
          <w:rFonts w:eastAsia="Times New Roman"/>
        </w:rPr>
      </w:pPr>
      <w:bookmarkStart w:id="44" w:name="_tw5morcbwgr6" w:colFirst="0" w:colLast="0"/>
      <w:bookmarkStart w:id="45" w:name="_Toc166263544"/>
      <w:bookmarkEnd w:id="44"/>
      <w:r w:rsidRPr="002B41B5">
        <w:rPr>
          <w:rFonts w:eastAsia="Times New Roman"/>
        </w:rPr>
        <w:t>Theoretical Recommendations</w:t>
      </w:r>
      <w:bookmarkEnd w:id="45"/>
    </w:p>
    <w:p w14:paraId="7D1A2CB5" w14:textId="77777777" w:rsidR="00C42367" w:rsidRPr="002B41B5" w:rsidRDefault="00C42367" w:rsidP="009C1931">
      <w:pPr>
        <w:spacing w:line="360" w:lineRule="auto"/>
        <w:rPr>
          <w:rFonts w:ascii="Arial" w:hAnsi="Arial" w:cs="Arial"/>
        </w:rPr>
      </w:pPr>
      <w:r w:rsidRPr="002B41B5">
        <w:rPr>
          <w:rFonts w:ascii="Arial" w:eastAsia="Times New Roman" w:hAnsi="Arial" w:cs="Arial"/>
          <w:b/>
        </w:rPr>
        <w:t>Studied throughout time:</w:t>
      </w:r>
      <w:r w:rsidRPr="002B41B5">
        <w:rPr>
          <w:rFonts w:ascii="Arial" w:eastAsia="Times New Roman" w:hAnsi="Arial" w:cs="Arial"/>
        </w:rPr>
        <w:t xml:space="preserve"> Investigating Dubai's real estate market and government policy requires longitudinal study. Regulation, investment, and market performance may enhance growth trajectory sustainability evaluations. Sustainability regulations and actions. Exogenous shocks, regulation, and economic cycles impact real estate, according to longitudinal studies.</w:t>
      </w:r>
    </w:p>
    <w:p w14:paraId="7032064D" w14:textId="77777777" w:rsidR="00C42367" w:rsidRPr="002B41B5" w:rsidRDefault="00C42367" w:rsidP="009C1931">
      <w:pPr>
        <w:spacing w:line="360" w:lineRule="auto"/>
        <w:rPr>
          <w:rFonts w:ascii="Arial" w:hAnsi="Arial" w:cs="Arial"/>
        </w:rPr>
      </w:pPr>
      <w:r w:rsidRPr="002B41B5">
        <w:rPr>
          <w:rFonts w:ascii="Arial" w:eastAsia="Times New Roman" w:hAnsi="Arial" w:cs="Arial"/>
          <w:b/>
        </w:rPr>
        <w:t xml:space="preserve">Comparative Analysis: </w:t>
      </w:r>
      <w:r w:rsidRPr="002B41B5">
        <w:rPr>
          <w:rFonts w:ascii="Arial" w:eastAsia="Times New Roman" w:hAnsi="Arial" w:cs="Arial"/>
        </w:rPr>
        <w:t>Previous municipal economic crises may affect real estate development. Dubai's pros, cons, and trends may be contrasted. Dubai may learn from other cities' achievements and failings by comparing data. Comparative research may provide legislators with solutions.</w:t>
      </w:r>
    </w:p>
    <w:p w14:paraId="4A289D33" w14:textId="77777777" w:rsidR="00C42367" w:rsidRPr="002B41B5" w:rsidRDefault="00C42367" w:rsidP="009C1931">
      <w:pPr>
        <w:spacing w:line="360" w:lineRule="auto"/>
        <w:rPr>
          <w:rFonts w:ascii="Arial" w:hAnsi="Arial" w:cs="Arial"/>
        </w:rPr>
      </w:pPr>
      <w:r w:rsidRPr="002B41B5">
        <w:rPr>
          <w:rFonts w:ascii="Arial" w:eastAsia="Times New Roman" w:hAnsi="Arial" w:cs="Arial"/>
          <w:b/>
        </w:rPr>
        <w:t>Interdisciplinary research:</w:t>
      </w:r>
      <w:r w:rsidRPr="002B41B5">
        <w:rPr>
          <w:rFonts w:ascii="Arial" w:eastAsia="Times New Roman" w:hAnsi="Arial" w:cs="Arial"/>
        </w:rPr>
        <w:t xml:space="preserve"> Sustainable urban expansion requires multidisciplinary economic, environmental, and social study. Researchers may study the intricate relationships between real estate development, economic growth, environmental sustainability, and social equality by bringing together specialists from different fields. Interdisciplinary research innovates climate change adaptation, affordable housing, and inclusive urban development. Interdisciplinary research lets stakeholders with diverse skills and views co-create knowledge and tackle difficult urban problems.</w:t>
      </w:r>
    </w:p>
    <w:p w14:paraId="132396A8" w14:textId="77777777" w:rsidR="00C42367" w:rsidRPr="002B41B5" w:rsidRDefault="00C42367" w:rsidP="009C1931">
      <w:pPr>
        <w:spacing w:line="360" w:lineRule="auto"/>
        <w:rPr>
          <w:rFonts w:ascii="Arial" w:eastAsia="Times New Roman" w:hAnsi="Arial" w:cs="Arial"/>
        </w:rPr>
      </w:pPr>
    </w:p>
    <w:p w14:paraId="57575870" w14:textId="77777777" w:rsidR="00C42367" w:rsidRPr="002B41B5" w:rsidRDefault="00C42367" w:rsidP="009C1931">
      <w:pPr>
        <w:spacing w:line="360" w:lineRule="auto"/>
        <w:rPr>
          <w:rFonts w:ascii="Arial" w:eastAsia="Times New Roman" w:hAnsi="Arial" w:cs="Arial"/>
        </w:rPr>
      </w:pPr>
      <w:r w:rsidRPr="002B41B5">
        <w:rPr>
          <w:rFonts w:ascii="Arial" w:eastAsia="Times New Roman" w:hAnsi="Arial" w:cs="Arial"/>
        </w:rPr>
        <w:t>Finally, the practical and theoretical suggestions above may help Dubai's real estate industry grow sustainably and economically. Improving policy coordination, incentivizing sustainable investment, encouraging stakeholder engagement, longitudinal studies, comparative analyses, and interdisciplinary research can help policymakers and researchers address real estate sector challenges and opportunities and meet Dubai's long-term economic and environmental goals.</w:t>
      </w:r>
    </w:p>
    <w:p w14:paraId="4CE89D60" w14:textId="77777777" w:rsidR="00C42367" w:rsidRPr="002B41B5" w:rsidRDefault="00C42367" w:rsidP="009C1931">
      <w:pPr>
        <w:pStyle w:val="Heading2"/>
        <w:rPr>
          <w:rFonts w:eastAsia="Times New Roman"/>
        </w:rPr>
      </w:pPr>
      <w:bookmarkStart w:id="46" w:name="_831xvwqgvbyl" w:colFirst="0" w:colLast="0"/>
      <w:bookmarkStart w:id="47" w:name="_Toc166263545"/>
      <w:bookmarkEnd w:id="46"/>
      <w:r w:rsidRPr="002B41B5">
        <w:rPr>
          <w:rFonts w:eastAsia="Times New Roman"/>
        </w:rPr>
        <w:t>5.4 Limitations of Research</w:t>
      </w:r>
      <w:bookmarkEnd w:id="47"/>
    </w:p>
    <w:p w14:paraId="12EA39CE" w14:textId="77777777" w:rsidR="00C42367" w:rsidRPr="002B41B5" w:rsidRDefault="00C42367" w:rsidP="009C1931">
      <w:pPr>
        <w:spacing w:line="360" w:lineRule="auto"/>
        <w:rPr>
          <w:rFonts w:ascii="Arial" w:eastAsia="Times New Roman" w:hAnsi="Arial" w:cs="Arial"/>
        </w:rPr>
      </w:pPr>
      <w:r w:rsidRPr="002B41B5">
        <w:rPr>
          <w:rFonts w:ascii="Arial" w:eastAsia="Times New Roman" w:hAnsi="Arial" w:cs="Arial"/>
        </w:rPr>
        <w:t>With its limitations, this research examines Dubai's real estate market and its effects on economic development and diversity. These boundaries allow study results to be evaluated without criticism. This qualitative study examined Dubai's complicated real estate business using semi-structured interviews and document analysis. Qualitative approaches provide deep insights into stakeholders' ideas and experiences, but they may lack statistical rigour and generalizability. Be warned that this research may not cover the whole Dubai real estate market. Second, data availability and reliability were research issues. Many studies were hampered by data availability and consistency in government, commercial, and academic sources. Finding reliable real estate transaction, market, and regulatory data was difficult for quantitative research and empirical results. The Dubai real estate market may restrict generalizability. This research may influence Gulf or emerging market urban economies in comparable economic shifts if embraced intelligently. The Dubai real estate market may be affected differently by socio-economic, political, and regulatory factors than other cities or countries, necessitating context-specific research methods.</w:t>
      </w:r>
    </w:p>
    <w:p w14:paraId="3EB843B7" w14:textId="77777777" w:rsidR="00C42367" w:rsidRPr="002B41B5" w:rsidRDefault="00C42367" w:rsidP="009C1931">
      <w:pPr>
        <w:spacing w:line="360" w:lineRule="auto"/>
        <w:rPr>
          <w:rFonts w:ascii="Arial" w:eastAsia="Times New Roman" w:hAnsi="Arial" w:cs="Arial"/>
        </w:rPr>
      </w:pPr>
      <w:r w:rsidRPr="002B41B5">
        <w:rPr>
          <w:rFonts w:ascii="Arial" w:eastAsia="Times New Roman" w:hAnsi="Arial" w:cs="Arial"/>
        </w:rPr>
        <w:t xml:space="preserve">Qualitative research may bias. Interview and document data may have altered study outcomes due to subjective interpretation despite meticulous data collection and processing. Biassed interviewers and research questions may have influenced stakeholders. Data gathering and analysis may have changed Dubai's dynamic real estate market. Rapid growth, regulatory changes, geopolitical crises, and economic upheavals may affect real estate market dynamics and investor attitude. This market research does not predict trends. Time, expertise, and money might limit research. Qualitative research takes time for stakeholder interaction, data processing, and conclusion synthesis. Resource limits may limit study depth and breadth, restricting problems or perspectives. Despite its limits, this research reveals Dubai's complicated </w:t>
      </w:r>
      <w:r w:rsidRPr="002B41B5">
        <w:rPr>
          <w:rFonts w:ascii="Arial" w:eastAsia="Times New Roman" w:hAnsi="Arial" w:cs="Arial"/>
        </w:rPr>
        <w:lastRenderedPageBreak/>
        <w:t>real estate market's influence on economic development and variety. Qualitative researchers must consider data availability, generalizability, bias, and resource constraints. Future study may solve these constraints using mixed methods, better data, and real estate market changes.</w:t>
      </w:r>
    </w:p>
    <w:p w14:paraId="38A6BFEF" w14:textId="78C240FA" w:rsidR="00C42367" w:rsidRPr="002B41B5" w:rsidRDefault="00C42367" w:rsidP="009C1931">
      <w:pPr>
        <w:pStyle w:val="Heading2"/>
        <w:rPr>
          <w:rFonts w:eastAsia="Times New Roman"/>
        </w:rPr>
      </w:pPr>
      <w:bookmarkStart w:id="48" w:name="_gejyarxgwnxw" w:colFirst="0" w:colLast="0"/>
      <w:bookmarkStart w:id="49" w:name="_Toc166263546"/>
      <w:bookmarkEnd w:id="48"/>
      <w:r w:rsidRPr="002B41B5">
        <w:rPr>
          <w:rFonts w:eastAsia="Times New Roman"/>
        </w:rPr>
        <w:t xml:space="preserve">5.5 Recommendations for Future </w:t>
      </w:r>
      <w:bookmarkEnd w:id="49"/>
      <w:r w:rsidR="006A58D1" w:rsidRPr="002B41B5">
        <w:rPr>
          <w:rFonts w:eastAsia="Times New Roman"/>
        </w:rPr>
        <w:t>Research</w:t>
      </w:r>
    </w:p>
    <w:p w14:paraId="701E166D" w14:textId="77777777" w:rsidR="00C42367" w:rsidRPr="002B41B5" w:rsidRDefault="00C42367" w:rsidP="009C1931">
      <w:pPr>
        <w:spacing w:line="360" w:lineRule="auto"/>
        <w:rPr>
          <w:rFonts w:ascii="Arial" w:eastAsia="Times New Roman" w:hAnsi="Arial" w:cs="Arial"/>
        </w:rPr>
      </w:pPr>
      <w:r w:rsidRPr="002B41B5">
        <w:rPr>
          <w:rFonts w:ascii="Arial" w:eastAsia="Times New Roman" w:hAnsi="Arial" w:cs="Arial"/>
        </w:rPr>
        <w:t>Based on this study's findings and limitations, numerous research pathways might be pursued to understand Dubai's complicated real estate market and economic development. Policies, practitioners, and researchers may benefit from this study.</w:t>
      </w:r>
    </w:p>
    <w:p w14:paraId="4D4F554C" w14:textId="77777777" w:rsidR="00C42367" w:rsidRPr="002B41B5" w:rsidRDefault="00C42367" w:rsidP="009C1931">
      <w:pPr>
        <w:spacing w:line="360" w:lineRule="auto"/>
        <w:rPr>
          <w:rFonts w:ascii="Arial" w:hAnsi="Arial" w:cs="Arial"/>
        </w:rPr>
      </w:pPr>
      <w:r w:rsidRPr="002B41B5">
        <w:rPr>
          <w:rFonts w:ascii="Arial" w:eastAsia="Times New Roman" w:hAnsi="Arial" w:cs="Arial"/>
          <w:b/>
        </w:rPr>
        <w:t>Longitudinal Studies:</w:t>
      </w:r>
      <w:r w:rsidRPr="002B41B5">
        <w:rPr>
          <w:rFonts w:ascii="Arial" w:eastAsia="Times New Roman" w:hAnsi="Arial" w:cs="Arial"/>
        </w:rPr>
        <w:t xml:space="preserve"> Dubai's property needs long-term research. Market performance, investor flows, regulatory changes, and societal challenges might assess sector growth. Historical trends, policy performance, and sector resilience to external shocks are shown in longitudinal research. Longitudinal research may help policymakers foster robust and fair economic development by revealing growth trajectory persistence.</w:t>
      </w:r>
    </w:p>
    <w:p w14:paraId="77882EA1" w14:textId="77777777" w:rsidR="00C42367" w:rsidRPr="002B41B5" w:rsidRDefault="00C42367" w:rsidP="009C1931">
      <w:pPr>
        <w:spacing w:line="360" w:lineRule="auto"/>
        <w:rPr>
          <w:rFonts w:ascii="Arial" w:hAnsi="Arial" w:cs="Arial"/>
        </w:rPr>
      </w:pPr>
      <w:r w:rsidRPr="002B41B5">
        <w:rPr>
          <w:rFonts w:ascii="Arial" w:eastAsia="Times New Roman" w:hAnsi="Arial" w:cs="Arial"/>
          <w:b/>
        </w:rPr>
        <w:t>Quantitative Analysis:</w:t>
      </w:r>
      <w:r w:rsidRPr="002B41B5">
        <w:rPr>
          <w:rFonts w:ascii="Arial" w:eastAsia="Times New Roman" w:hAnsi="Arial" w:cs="Arial"/>
        </w:rPr>
        <w:t xml:space="preserve"> The real estate market in Dubai is better understood subjectively and statistically. Real estate's economic, policy, and market implications should be studied quantitatively. Large-scale real estate transaction, market, and macroeconomic data may reveal qualitative research's missing patterns, correlations, and causalities. Numerical research and scenario modelling may help policymakers predict market trends and create sustainable development plans.</w:t>
      </w:r>
    </w:p>
    <w:p w14:paraId="3E71D784" w14:textId="77777777" w:rsidR="00C42367" w:rsidRPr="002B41B5" w:rsidRDefault="00C42367" w:rsidP="009C1931">
      <w:pPr>
        <w:spacing w:line="360" w:lineRule="auto"/>
        <w:rPr>
          <w:rFonts w:ascii="Arial" w:hAnsi="Arial" w:cs="Arial"/>
        </w:rPr>
      </w:pPr>
      <w:r w:rsidRPr="002B41B5">
        <w:rPr>
          <w:rFonts w:ascii="Arial" w:eastAsia="Times New Roman" w:hAnsi="Arial" w:cs="Arial"/>
          <w:b/>
        </w:rPr>
        <w:t>Comparative Analysis:</w:t>
      </w:r>
      <w:r w:rsidRPr="002B41B5">
        <w:rPr>
          <w:rFonts w:ascii="Arial" w:eastAsia="Times New Roman" w:hAnsi="Arial" w:cs="Arial"/>
        </w:rPr>
        <w:t xml:space="preserve"> Comparing worldwide cities with comparable economic shocks may provide best practices and new real estate development methods. Future study should compare real estate market trends, regulations, and policies. Academics may compare Dubai to other cities to identify effective techniques, lessons learned, and future trends that may influence policy and investment. Similar cities may share information and embrace equitable and sustainable urban development methods via comparative research.</w:t>
      </w:r>
    </w:p>
    <w:p w14:paraId="3065B4B3" w14:textId="77777777" w:rsidR="00C42367" w:rsidRPr="002B41B5" w:rsidRDefault="00C42367" w:rsidP="009C1931">
      <w:pPr>
        <w:spacing w:line="360" w:lineRule="auto"/>
        <w:rPr>
          <w:rFonts w:ascii="Arial" w:hAnsi="Arial" w:cs="Arial"/>
        </w:rPr>
      </w:pPr>
      <w:r w:rsidRPr="002B41B5">
        <w:rPr>
          <w:rFonts w:ascii="Arial" w:eastAsia="Times New Roman" w:hAnsi="Arial" w:cs="Arial"/>
          <w:b/>
        </w:rPr>
        <w:t>Interdisciplinary Research:</w:t>
      </w:r>
      <w:r w:rsidRPr="002B41B5">
        <w:rPr>
          <w:rFonts w:ascii="Arial" w:eastAsia="Times New Roman" w:hAnsi="Arial" w:cs="Arial"/>
        </w:rPr>
        <w:t xml:space="preserve"> Sustainable urban expansion requires multidisciplinary economic, environmental, and social study. Explore real estate development's intricate linkages to sustainability, equity, and economic progress. Multidisciplinary research may provide climate change adaptation, affordable housing, and inclusive urban development solutions. Interdisciplinary research may help cities develop resilient, egalitarian, and sustainable economic, environmental, and social policies.</w:t>
      </w:r>
    </w:p>
    <w:p w14:paraId="48D21763" w14:textId="77777777" w:rsidR="00C42367" w:rsidRPr="002B41B5" w:rsidRDefault="00C42367" w:rsidP="009C1931">
      <w:pPr>
        <w:spacing w:line="360" w:lineRule="auto"/>
        <w:rPr>
          <w:rFonts w:ascii="Arial" w:hAnsi="Arial" w:cs="Arial"/>
        </w:rPr>
      </w:pPr>
      <w:r w:rsidRPr="002B41B5">
        <w:rPr>
          <w:rFonts w:ascii="Arial" w:eastAsia="Times New Roman" w:hAnsi="Arial" w:cs="Arial"/>
          <w:b/>
        </w:rPr>
        <w:lastRenderedPageBreak/>
        <w:t>Stakeholder Engagement:</w:t>
      </w:r>
      <w:r w:rsidRPr="002B41B5">
        <w:rPr>
          <w:rFonts w:ascii="Arial" w:eastAsia="Times New Roman" w:hAnsi="Arial" w:cs="Arial"/>
        </w:rPr>
        <w:t xml:space="preserve"> Effective research-based policies and practices need proactive stakeholder participation. Future research should include stakeholders in issue development, data collecting, analysis, interpretation, and dissemination. Researchers may make their results relevant and responsive by incorporating lawmakers, practitioners, industry representatives, community leaders, and others. For real estate sector issues and opportunities, stakeholder participation may speed knowledge co-creation, capacity development, and collaborative networks.</w:t>
      </w:r>
    </w:p>
    <w:p w14:paraId="3ED7FB12" w14:textId="77777777" w:rsidR="00C42367" w:rsidRPr="002B41B5" w:rsidRDefault="00C42367" w:rsidP="009C1931">
      <w:pPr>
        <w:spacing w:line="360" w:lineRule="auto"/>
        <w:rPr>
          <w:rFonts w:ascii="Arial" w:hAnsi="Arial" w:cs="Arial"/>
        </w:rPr>
      </w:pPr>
      <w:r w:rsidRPr="002B41B5">
        <w:rPr>
          <w:rFonts w:ascii="Arial" w:eastAsia="Times New Roman" w:hAnsi="Arial" w:cs="Arial"/>
          <w:b/>
        </w:rPr>
        <w:t>Policy Evaluation and Impact Assessment:</w:t>
      </w:r>
      <w:r w:rsidRPr="002B41B5">
        <w:rPr>
          <w:rFonts w:ascii="Arial" w:eastAsia="Times New Roman" w:hAnsi="Arial" w:cs="Arial"/>
        </w:rPr>
        <w:t xml:space="preserve"> Evaluation of sustainable real estate developments requires policy and impact research. Study how government interventions, regulatory changes, and incentives impact market dynamics, economic performance, sustainability, and society. Propensity score matching, difference-in-differences analysis, and quasi-experimental designs may quantify outcomes, causal links, and policy cost-effectiveness. Policy assessments that teach evidence-based decision-making may aid sustainable real estate development.</w:t>
      </w:r>
    </w:p>
    <w:p w14:paraId="7EC7ADAA" w14:textId="77777777" w:rsidR="00C42367" w:rsidRPr="002B41B5" w:rsidRDefault="00C42367" w:rsidP="009C1931">
      <w:pPr>
        <w:spacing w:line="360" w:lineRule="auto"/>
        <w:rPr>
          <w:rFonts w:ascii="Arial" w:eastAsia="Times New Roman" w:hAnsi="Arial" w:cs="Arial"/>
        </w:rPr>
      </w:pPr>
      <w:r w:rsidRPr="002B41B5">
        <w:rPr>
          <w:rFonts w:ascii="Arial" w:eastAsia="Times New Roman" w:hAnsi="Arial" w:cs="Arial"/>
        </w:rPr>
        <w:t>Longitudinal, quantitative, comparative, interdisciplinary, stakeholder, and policy study are needed to understand Dubai's complex real estate market and economic growth. Researchers may use these suggestions to inform Dubai and other sustainable and equitable urban development officials, practitioners, and academics.</w:t>
      </w:r>
    </w:p>
    <w:p w14:paraId="7EF996AB" w14:textId="77777777" w:rsidR="00785067" w:rsidRPr="002B41B5" w:rsidRDefault="00785067" w:rsidP="009C1931">
      <w:pPr>
        <w:spacing w:line="360" w:lineRule="auto"/>
        <w:rPr>
          <w:rFonts w:ascii="Arial" w:hAnsi="Arial" w:cs="Arial"/>
        </w:rPr>
      </w:pPr>
    </w:p>
    <w:p w14:paraId="0C5B9955" w14:textId="77777777" w:rsidR="001A07E6" w:rsidRPr="002B41B5" w:rsidRDefault="001A07E6" w:rsidP="009C1931">
      <w:pPr>
        <w:spacing w:line="360" w:lineRule="auto"/>
        <w:rPr>
          <w:rFonts w:ascii="Arial" w:hAnsi="Arial" w:cs="Arial"/>
        </w:rPr>
      </w:pPr>
    </w:p>
    <w:p w14:paraId="62D4FB14" w14:textId="77777777" w:rsidR="001C67F5" w:rsidRPr="002B41B5" w:rsidRDefault="001C67F5" w:rsidP="009C1931">
      <w:pPr>
        <w:spacing w:line="360" w:lineRule="auto"/>
        <w:rPr>
          <w:rFonts w:ascii="Arial" w:hAnsi="Arial" w:cs="Arial"/>
        </w:rPr>
      </w:pPr>
    </w:p>
    <w:p w14:paraId="12CBEF41" w14:textId="018EB338" w:rsidR="00426363" w:rsidRPr="002B41B5" w:rsidRDefault="001C67F5" w:rsidP="009C1931">
      <w:pPr>
        <w:spacing w:line="360" w:lineRule="auto"/>
        <w:jc w:val="left"/>
        <w:rPr>
          <w:rFonts w:ascii="Arial" w:hAnsi="Arial" w:cs="Arial"/>
        </w:rPr>
      </w:pPr>
      <w:r w:rsidRPr="002B41B5">
        <w:rPr>
          <w:rFonts w:ascii="Arial" w:hAnsi="Arial" w:cs="Arial"/>
        </w:rPr>
        <w:br w:type="page"/>
      </w:r>
    </w:p>
    <w:p w14:paraId="2445ABB8" w14:textId="15AD8610" w:rsidR="00D7693A" w:rsidRPr="009C1931" w:rsidRDefault="001826A2" w:rsidP="009C1931">
      <w:pPr>
        <w:spacing w:line="360" w:lineRule="auto"/>
        <w:rPr>
          <w:rFonts w:ascii="Arial" w:hAnsi="Arial" w:cs="Arial"/>
          <w:sz w:val="28"/>
          <w:szCs w:val="28"/>
        </w:rPr>
      </w:pPr>
      <w:bookmarkStart w:id="50" w:name="_Toc166263547"/>
      <w:r w:rsidRPr="009C1931">
        <w:rPr>
          <w:rStyle w:val="Heading1Char"/>
        </w:rPr>
        <w:lastRenderedPageBreak/>
        <w:t>Reference</w:t>
      </w:r>
      <w:bookmarkEnd w:id="50"/>
      <w:r w:rsidR="009C1931">
        <w:rPr>
          <w:rStyle w:val="Heading1Char"/>
        </w:rPr>
        <w:t>:</w:t>
      </w:r>
    </w:p>
    <w:p w14:paraId="4569BDEE" w14:textId="77777777" w:rsidR="00C42367" w:rsidRPr="002B41B5" w:rsidRDefault="00C42367" w:rsidP="009C1931">
      <w:pPr>
        <w:spacing w:after="240" w:line="360" w:lineRule="auto"/>
        <w:rPr>
          <w:rFonts w:ascii="Arial" w:hAnsi="Arial" w:cs="Arial"/>
        </w:rPr>
      </w:pPr>
      <w:r w:rsidRPr="002B41B5">
        <w:rPr>
          <w:rFonts w:ascii="Arial" w:hAnsi="Arial" w:cs="Arial"/>
        </w:rPr>
        <w:t xml:space="preserve">ABUL, S. J., &amp; Al-Kandari, A. M. (2020). REAL ESTATE MARKET AND MACROECONOMIC FACTORS IN KUWAIT: AN ARDL APPROACH. International Economics/Economia </w:t>
      </w:r>
      <w:proofErr w:type="spellStart"/>
      <w:r w:rsidRPr="002B41B5">
        <w:rPr>
          <w:rFonts w:ascii="Arial" w:hAnsi="Arial" w:cs="Arial"/>
        </w:rPr>
        <w:t>Internazionale</w:t>
      </w:r>
      <w:proofErr w:type="spellEnd"/>
      <w:r w:rsidRPr="002B41B5">
        <w:rPr>
          <w:rFonts w:ascii="Arial" w:hAnsi="Arial" w:cs="Arial"/>
        </w:rPr>
        <w:t>, 73(3).</w:t>
      </w:r>
    </w:p>
    <w:p w14:paraId="04A83DA3" w14:textId="77777777" w:rsidR="00C42367" w:rsidRPr="002B41B5" w:rsidRDefault="00C42367" w:rsidP="009C1931">
      <w:pPr>
        <w:spacing w:after="240" w:line="360" w:lineRule="auto"/>
        <w:rPr>
          <w:rFonts w:ascii="Arial" w:hAnsi="Arial" w:cs="Arial"/>
        </w:rPr>
      </w:pPr>
      <w:r w:rsidRPr="002B41B5">
        <w:rPr>
          <w:rFonts w:ascii="Arial" w:hAnsi="Arial" w:cs="Arial"/>
        </w:rPr>
        <w:t xml:space="preserve">Adams, Z., &amp; </w:t>
      </w:r>
      <w:proofErr w:type="spellStart"/>
      <w:r w:rsidRPr="002B41B5">
        <w:rPr>
          <w:rFonts w:ascii="Arial" w:hAnsi="Arial" w:cs="Arial"/>
        </w:rPr>
        <w:t>Füss</w:t>
      </w:r>
      <w:proofErr w:type="spellEnd"/>
      <w:r w:rsidRPr="002B41B5">
        <w:rPr>
          <w:rFonts w:ascii="Arial" w:hAnsi="Arial" w:cs="Arial"/>
        </w:rPr>
        <w:t>, R. (2010). Macroeconomic determinants of international housing markets. Journal of Housing Economics, 19(1), 38-50.</w:t>
      </w:r>
    </w:p>
    <w:p w14:paraId="45515874" w14:textId="77777777" w:rsidR="00C42367" w:rsidRPr="002B41B5" w:rsidRDefault="00C42367" w:rsidP="009C1931">
      <w:pPr>
        <w:spacing w:after="240" w:line="360" w:lineRule="auto"/>
        <w:rPr>
          <w:rFonts w:ascii="Arial" w:hAnsi="Arial" w:cs="Arial"/>
        </w:rPr>
      </w:pPr>
      <w:r w:rsidRPr="002B41B5">
        <w:rPr>
          <w:rFonts w:ascii="Arial" w:hAnsi="Arial" w:cs="Arial"/>
        </w:rPr>
        <w:t xml:space="preserve">Adel, I. (2022). The Impact </w:t>
      </w:r>
      <w:proofErr w:type="gramStart"/>
      <w:r w:rsidRPr="002B41B5">
        <w:rPr>
          <w:rFonts w:ascii="Arial" w:hAnsi="Arial" w:cs="Arial"/>
        </w:rPr>
        <w:t>Of</w:t>
      </w:r>
      <w:proofErr w:type="gramEnd"/>
      <w:r w:rsidRPr="002B41B5">
        <w:rPr>
          <w:rFonts w:ascii="Arial" w:hAnsi="Arial" w:cs="Arial"/>
        </w:rPr>
        <w:t xml:space="preserve"> The Real Estate Market In The Urban Development Of Cities And Driving Economic Growth In Dubai/Cairo.</w:t>
      </w:r>
    </w:p>
    <w:p w14:paraId="5CBB237E" w14:textId="77777777" w:rsidR="00C42367" w:rsidRPr="002B41B5" w:rsidRDefault="00C42367" w:rsidP="009C1931">
      <w:pPr>
        <w:spacing w:after="240" w:line="360" w:lineRule="auto"/>
        <w:rPr>
          <w:rFonts w:ascii="Arial" w:hAnsi="Arial" w:cs="Arial"/>
        </w:rPr>
      </w:pPr>
      <w:r w:rsidRPr="002B41B5">
        <w:rPr>
          <w:rFonts w:ascii="Arial" w:hAnsi="Arial" w:cs="Arial"/>
        </w:rPr>
        <w:t>Ahmed, F., Maheshwari, S., &amp; Mirani, S. H. (2020). Dubai House Prices and Macroeconomic Fluctuations: A Time Series Analysis. Pacific Business Review International (PBRI), 13(1), 61-73.</w:t>
      </w:r>
    </w:p>
    <w:p w14:paraId="124D924F" w14:textId="77777777" w:rsidR="00C42367" w:rsidRPr="002B41B5" w:rsidRDefault="00C42367" w:rsidP="009C1931">
      <w:pPr>
        <w:spacing w:after="240" w:line="360" w:lineRule="auto"/>
        <w:rPr>
          <w:rFonts w:ascii="Arial" w:hAnsi="Arial" w:cs="Arial"/>
        </w:rPr>
      </w:pPr>
      <w:r w:rsidRPr="002B41B5">
        <w:rPr>
          <w:rFonts w:ascii="Arial" w:hAnsi="Arial" w:cs="Arial"/>
        </w:rPr>
        <w:t xml:space="preserve">Al Refai, H., Eissa, M. A., &amp; </w:t>
      </w:r>
      <w:proofErr w:type="spellStart"/>
      <w:r w:rsidRPr="002B41B5">
        <w:rPr>
          <w:rFonts w:ascii="Arial" w:hAnsi="Arial" w:cs="Arial"/>
        </w:rPr>
        <w:t>Zeitun</w:t>
      </w:r>
      <w:proofErr w:type="spellEnd"/>
      <w:r w:rsidRPr="002B41B5">
        <w:rPr>
          <w:rFonts w:ascii="Arial" w:hAnsi="Arial" w:cs="Arial"/>
        </w:rPr>
        <w:t>, R. (2021). The dynamics of the relationship between real estate and stock markets in an energy-based economy: The case of Qatar. The Journal of Economic Asymmetries, 23, e00200.</w:t>
      </w:r>
    </w:p>
    <w:p w14:paraId="44F2AC01" w14:textId="77777777" w:rsidR="00C42367" w:rsidRPr="002B41B5" w:rsidRDefault="00C42367" w:rsidP="009C1931">
      <w:pPr>
        <w:spacing w:after="240" w:line="360" w:lineRule="auto"/>
        <w:rPr>
          <w:rFonts w:ascii="Arial" w:hAnsi="Arial" w:cs="Arial"/>
        </w:rPr>
      </w:pPr>
      <w:proofErr w:type="spellStart"/>
      <w:r w:rsidRPr="002B41B5">
        <w:rPr>
          <w:rFonts w:ascii="Arial" w:hAnsi="Arial" w:cs="Arial"/>
        </w:rPr>
        <w:t>Albuloushi</w:t>
      </w:r>
      <w:proofErr w:type="spellEnd"/>
      <w:r w:rsidRPr="002B41B5">
        <w:rPr>
          <w:rFonts w:ascii="Arial" w:hAnsi="Arial" w:cs="Arial"/>
        </w:rPr>
        <w:t>, N., &amp; Al-Saleh, Y. (2018). Understanding the dynamics of the real estate market in Kuwait. Journal of Real Estate Literature, 26(2), 233-255.</w:t>
      </w:r>
    </w:p>
    <w:p w14:paraId="79BAA66F" w14:textId="77777777" w:rsidR="00C42367" w:rsidRPr="002B41B5" w:rsidRDefault="00C42367" w:rsidP="009C1931">
      <w:pPr>
        <w:spacing w:after="240" w:line="360" w:lineRule="auto"/>
        <w:rPr>
          <w:rFonts w:ascii="Arial" w:hAnsi="Arial" w:cs="Arial"/>
        </w:rPr>
      </w:pPr>
      <w:proofErr w:type="spellStart"/>
      <w:r w:rsidRPr="002B41B5">
        <w:rPr>
          <w:rFonts w:ascii="Arial" w:hAnsi="Arial" w:cs="Arial"/>
        </w:rPr>
        <w:t>Alburshaid</w:t>
      </w:r>
      <w:proofErr w:type="spellEnd"/>
      <w:r w:rsidRPr="002B41B5">
        <w:rPr>
          <w:rFonts w:ascii="Arial" w:hAnsi="Arial" w:cs="Arial"/>
        </w:rPr>
        <w:t>, E. A., &amp; Al-Alawi, A. I. (2024, January). Forecasting Methods for the Real Estate Market: A Review. In 2024 ASU International Conference in Emerging Technologies for Sustainability and Intelligent Systems (ICETSIS) (pp. 472-477). IEEE.</w:t>
      </w:r>
    </w:p>
    <w:p w14:paraId="088FE8F6" w14:textId="77777777" w:rsidR="00C42367" w:rsidRPr="002B41B5" w:rsidRDefault="00C42367" w:rsidP="009C1931">
      <w:pPr>
        <w:spacing w:after="240" w:line="360" w:lineRule="auto"/>
        <w:rPr>
          <w:rFonts w:ascii="Arial" w:hAnsi="Arial" w:cs="Arial"/>
        </w:rPr>
      </w:pPr>
      <w:r w:rsidRPr="002B41B5">
        <w:rPr>
          <w:rFonts w:ascii="Arial" w:hAnsi="Arial" w:cs="Arial"/>
        </w:rPr>
        <w:t>Alfalah, A., D’Arcy, E., Heinig, S., &amp; Stevenson, S. (2022). Modelling housing market fundamentals and the response to economic and political events: empirical evidence from Kuwait. International Journal of Housing Markets and Analysis, 15(4), 736-761.</w:t>
      </w:r>
    </w:p>
    <w:p w14:paraId="13E8E9EE" w14:textId="77777777" w:rsidR="00C42367" w:rsidRPr="002B41B5" w:rsidRDefault="00C42367" w:rsidP="009C1931">
      <w:pPr>
        <w:spacing w:after="240" w:line="360" w:lineRule="auto"/>
        <w:rPr>
          <w:rFonts w:ascii="Arial" w:hAnsi="Arial" w:cs="Arial"/>
        </w:rPr>
      </w:pPr>
      <w:proofErr w:type="spellStart"/>
      <w:r w:rsidRPr="002B41B5">
        <w:rPr>
          <w:rFonts w:ascii="Arial" w:hAnsi="Arial" w:cs="Arial"/>
        </w:rPr>
        <w:t>Alhamlawi</w:t>
      </w:r>
      <w:proofErr w:type="spellEnd"/>
      <w:r w:rsidRPr="002B41B5">
        <w:rPr>
          <w:rFonts w:ascii="Arial" w:hAnsi="Arial" w:cs="Arial"/>
        </w:rPr>
        <w:t xml:space="preserve">, F., </w:t>
      </w:r>
      <w:proofErr w:type="spellStart"/>
      <w:r w:rsidRPr="002B41B5">
        <w:rPr>
          <w:rFonts w:ascii="Arial" w:hAnsi="Arial" w:cs="Arial"/>
        </w:rPr>
        <w:t>Alaifan</w:t>
      </w:r>
      <w:proofErr w:type="spellEnd"/>
      <w:r w:rsidRPr="002B41B5">
        <w:rPr>
          <w:rFonts w:ascii="Arial" w:hAnsi="Arial" w:cs="Arial"/>
        </w:rPr>
        <w:t xml:space="preserve">, B., &amp; Azar, E. (2021). A comprehensive assessment of Dubai's green building rating system: Al </w:t>
      </w:r>
      <w:proofErr w:type="spellStart"/>
      <w:r w:rsidRPr="002B41B5">
        <w:rPr>
          <w:rFonts w:ascii="Arial" w:hAnsi="Arial" w:cs="Arial"/>
        </w:rPr>
        <w:t>Sa'fat</w:t>
      </w:r>
      <w:proofErr w:type="spellEnd"/>
      <w:r w:rsidRPr="002B41B5">
        <w:rPr>
          <w:rFonts w:ascii="Arial" w:hAnsi="Arial" w:cs="Arial"/>
        </w:rPr>
        <w:t>. Energy Policy, 157, 112503.</w:t>
      </w:r>
    </w:p>
    <w:p w14:paraId="69630AA7" w14:textId="77777777" w:rsidR="00C42367" w:rsidRPr="002B41B5" w:rsidRDefault="00C42367" w:rsidP="009C1931">
      <w:pPr>
        <w:spacing w:after="240" w:line="360" w:lineRule="auto"/>
        <w:rPr>
          <w:rFonts w:ascii="Arial" w:hAnsi="Arial" w:cs="Arial"/>
        </w:rPr>
      </w:pPr>
      <w:proofErr w:type="spellStart"/>
      <w:r w:rsidRPr="002B41B5">
        <w:rPr>
          <w:rFonts w:ascii="Arial" w:hAnsi="Arial" w:cs="Arial"/>
        </w:rPr>
        <w:t>Alheet</w:t>
      </w:r>
      <w:proofErr w:type="spellEnd"/>
      <w:r w:rsidRPr="002B41B5">
        <w:rPr>
          <w:rFonts w:ascii="Arial" w:hAnsi="Arial" w:cs="Arial"/>
        </w:rPr>
        <w:t xml:space="preserve">, A. F., </w:t>
      </w:r>
      <w:proofErr w:type="spellStart"/>
      <w:r w:rsidRPr="002B41B5">
        <w:rPr>
          <w:rFonts w:ascii="Arial" w:hAnsi="Arial" w:cs="Arial"/>
        </w:rPr>
        <w:t>Qawasmeh</w:t>
      </w:r>
      <w:proofErr w:type="spellEnd"/>
      <w:r w:rsidRPr="002B41B5">
        <w:rPr>
          <w:rFonts w:ascii="Arial" w:hAnsi="Arial" w:cs="Arial"/>
        </w:rPr>
        <w:t xml:space="preserve">, R. A., </w:t>
      </w:r>
      <w:proofErr w:type="spellStart"/>
      <w:r w:rsidRPr="002B41B5">
        <w:rPr>
          <w:rFonts w:ascii="Arial" w:hAnsi="Arial" w:cs="Arial"/>
        </w:rPr>
        <w:t>Areiqat</w:t>
      </w:r>
      <w:proofErr w:type="spellEnd"/>
      <w:r w:rsidRPr="002B41B5">
        <w:rPr>
          <w:rFonts w:ascii="Arial" w:hAnsi="Arial" w:cs="Arial"/>
        </w:rPr>
        <w:t xml:space="preserve">, A. Y., &amp; Zamil, A. M. (2021). The impact of the existing relationship between real estate market and stock exchange market on the </w:t>
      </w:r>
      <w:r w:rsidRPr="002B41B5">
        <w:rPr>
          <w:rFonts w:ascii="Arial" w:hAnsi="Arial" w:cs="Arial"/>
        </w:rPr>
        <w:lastRenderedPageBreak/>
        <w:t>strategic planning in the Jordanian banks. Academy of Accounting and Financial Studies Journal, 25(2), 1-11.</w:t>
      </w:r>
    </w:p>
    <w:p w14:paraId="179C958B" w14:textId="77777777" w:rsidR="00C42367" w:rsidRPr="002B41B5" w:rsidRDefault="00C42367" w:rsidP="009C1931">
      <w:pPr>
        <w:spacing w:after="240" w:line="360" w:lineRule="auto"/>
        <w:rPr>
          <w:rFonts w:ascii="Arial" w:hAnsi="Arial" w:cs="Arial"/>
        </w:rPr>
      </w:pPr>
      <w:r w:rsidRPr="002B41B5">
        <w:rPr>
          <w:rFonts w:ascii="Arial" w:hAnsi="Arial" w:cs="Arial"/>
        </w:rPr>
        <w:t>Al-</w:t>
      </w:r>
      <w:proofErr w:type="spellStart"/>
      <w:r w:rsidRPr="002B41B5">
        <w:rPr>
          <w:rFonts w:ascii="Arial" w:hAnsi="Arial" w:cs="Arial"/>
        </w:rPr>
        <w:t>Muharrami</w:t>
      </w:r>
      <w:proofErr w:type="spellEnd"/>
      <w:r w:rsidRPr="002B41B5">
        <w:rPr>
          <w:rFonts w:ascii="Arial" w:hAnsi="Arial" w:cs="Arial"/>
        </w:rPr>
        <w:t>, S., &amp; Hardy, D. C. (2013). The role of the real estate sector in the economic growth of Dubai: An empirical analysis. Journal of Economic Studies, 40(3), 269-287.</w:t>
      </w:r>
    </w:p>
    <w:p w14:paraId="6D21A60C" w14:textId="77777777" w:rsidR="00C42367" w:rsidRPr="002B41B5" w:rsidRDefault="00C42367" w:rsidP="009C1931">
      <w:pPr>
        <w:spacing w:after="240" w:line="360" w:lineRule="auto"/>
        <w:rPr>
          <w:rFonts w:ascii="Arial" w:hAnsi="Arial" w:cs="Arial"/>
        </w:rPr>
      </w:pPr>
      <w:r w:rsidRPr="002B41B5">
        <w:rPr>
          <w:rFonts w:ascii="Arial" w:hAnsi="Arial" w:cs="Arial"/>
        </w:rPr>
        <w:t>AlSabbagh, M. (2024). Exploring the relationship between economic diversification and energy-related CO2 emissions in a petroleum-producing country. International Journal of Energy Sector Management.</w:t>
      </w:r>
    </w:p>
    <w:p w14:paraId="3EEC0F2C" w14:textId="77777777" w:rsidR="00C42367" w:rsidRPr="002B41B5" w:rsidRDefault="00C42367" w:rsidP="009C1931">
      <w:pPr>
        <w:spacing w:after="240" w:line="360" w:lineRule="auto"/>
        <w:rPr>
          <w:rFonts w:ascii="Arial" w:hAnsi="Arial" w:cs="Arial"/>
        </w:rPr>
      </w:pPr>
      <w:proofErr w:type="spellStart"/>
      <w:r w:rsidRPr="002B41B5">
        <w:rPr>
          <w:rFonts w:ascii="Arial" w:hAnsi="Arial" w:cs="Arial"/>
        </w:rPr>
        <w:t>Alstadsæter</w:t>
      </w:r>
      <w:proofErr w:type="spellEnd"/>
      <w:r w:rsidRPr="002B41B5">
        <w:rPr>
          <w:rFonts w:ascii="Arial" w:hAnsi="Arial" w:cs="Arial"/>
        </w:rPr>
        <w:t xml:space="preserve">, A., </w:t>
      </w:r>
      <w:proofErr w:type="spellStart"/>
      <w:r w:rsidRPr="002B41B5">
        <w:rPr>
          <w:rFonts w:ascii="Arial" w:hAnsi="Arial" w:cs="Arial"/>
        </w:rPr>
        <w:t>Planterose</w:t>
      </w:r>
      <w:proofErr w:type="spellEnd"/>
      <w:r w:rsidRPr="002B41B5">
        <w:rPr>
          <w:rFonts w:ascii="Arial" w:hAnsi="Arial" w:cs="Arial"/>
        </w:rPr>
        <w:t>, B., Zucman, G., &amp; Økland, A. (2022). Who owns offshore real estate? evidence from Dubai.</w:t>
      </w:r>
    </w:p>
    <w:p w14:paraId="010EEBB9" w14:textId="77777777" w:rsidR="00C42367" w:rsidRPr="002B41B5" w:rsidRDefault="00C42367" w:rsidP="009C1931">
      <w:pPr>
        <w:spacing w:after="240" w:line="360" w:lineRule="auto"/>
        <w:rPr>
          <w:rFonts w:ascii="Arial" w:hAnsi="Arial" w:cs="Arial"/>
        </w:rPr>
      </w:pPr>
      <w:r w:rsidRPr="002B41B5">
        <w:rPr>
          <w:rFonts w:ascii="Arial" w:hAnsi="Arial" w:cs="Arial"/>
        </w:rPr>
        <w:t>Alzoubi, H. M. (2021). Adaptive intelligence and emotional intelligence as the new determinant of success in organizations. An empirical study in Dubai’s real estate. Journal of Legal, Ethical and Regulatory Issues, 24(6).</w:t>
      </w:r>
    </w:p>
    <w:p w14:paraId="3475B86D" w14:textId="77777777" w:rsidR="00C42367" w:rsidRPr="002B41B5" w:rsidRDefault="00C42367" w:rsidP="009C1931">
      <w:pPr>
        <w:spacing w:after="240" w:line="360" w:lineRule="auto"/>
        <w:rPr>
          <w:rFonts w:ascii="Arial" w:hAnsi="Arial" w:cs="Arial"/>
        </w:rPr>
      </w:pPr>
      <w:r w:rsidRPr="002B41B5">
        <w:rPr>
          <w:rFonts w:ascii="Arial" w:hAnsi="Arial" w:cs="Arial"/>
        </w:rPr>
        <w:t>Antwi</w:t>
      </w:r>
      <w:r w:rsidRPr="002B41B5">
        <w:rPr>
          <w:rFonts w:ascii="Cambria Math" w:hAnsi="Cambria Math" w:cs="Cambria Math"/>
        </w:rPr>
        <w:t>‐</w:t>
      </w:r>
      <w:r w:rsidRPr="002B41B5">
        <w:rPr>
          <w:rFonts w:ascii="Arial" w:hAnsi="Arial" w:cs="Arial"/>
        </w:rPr>
        <w:t>Boateng, O., &amp; Al Jaberi, N. H. S. (2022). The post</w:t>
      </w:r>
      <w:r w:rsidRPr="002B41B5">
        <w:rPr>
          <w:rFonts w:ascii="Cambria Math" w:hAnsi="Cambria Math" w:cs="Cambria Math"/>
        </w:rPr>
        <w:t>‐</w:t>
      </w:r>
      <w:r w:rsidRPr="002B41B5">
        <w:rPr>
          <w:rFonts w:ascii="Arial" w:hAnsi="Arial" w:cs="Arial"/>
        </w:rPr>
        <w:t>oil strategy of the UAE: An examination of diversification strategies and challenges. Politics &amp; Policy, 50(2), 380-407.</w:t>
      </w:r>
    </w:p>
    <w:p w14:paraId="23310B7C" w14:textId="77777777" w:rsidR="00C42367" w:rsidRPr="002B41B5" w:rsidRDefault="00C42367" w:rsidP="009C1931">
      <w:pPr>
        <w:spacing w:after="240" w:line="360" w:lineRule="auto"/>
        <w:rPr>
          <w:rFonts w:ascii="Arial" w:hAnsi="Arial" w:cs="Arial"/>
        </w:rPr>
      </w:pPr>
      <w:proofErr w:type="spellStart"/>
      <w:r w:rsidRPr="002B41B5">
        <w:rPr>
          <w:rFonts w:ascii="Arial" w:hAnsi="Arial" w:cs="Arial"/>
        </w:rPr>
        <w:t>Anvary</w:t>
      </w:r>
      <w:proofErr w:type="spellEnd"/>
      <w:r w:rsidRPr="002B41B5">
        <w:rPr>
          <w:rFonts w:ascii="Arial" w:hAnsi="Arial" w:cs="Arial"/>
        </w:rPr>
        <w:t xml:space="preserve"> </w:t>
      </w:r>
      <w:proofErr w:type="spellStart"/>
      <w:r w:rsidRPr="002B41B5">
        <w:rPr>
          <w:rFonts w:ascii="Arial" w:hAnsi="Arial" w:cs="Arial"/>
        </w:rPr>
        <w:t>Rostamy</w:t>
      </w:r>
      <w:proofErr w:type="spellEnd"/>
      <w:r w:rsidRPr="002B41B5">
        <w:rPr>
          <w:rFonts w:ascii="Arial" w:hAnsi="Arial" w:cs="Arial"/>
        </w:rPr>
        <w:t xml:space="preserve">, A. A., &amp; Ghorbani </w:t>
      </w:r>
      <w:proofErr w:type="spellStart"/>
      <w:r w:rsidRPr="002B41B5">
        <w:rPr>
          <w:rFonts w:ascii="Arial" w:hAnsi="Arial" w:cs="Arial"/>
        </w:rPr>
        <w:t>Farmad</w:t>
      </w:r>
      <w:proofErr w:type="spellEnd"/>
      <w:r w:rsidRPr="002B41B5">
        <w:rPr>
          <w:rFonts w:ascii="Arial" w:hAnsi="Arial" w:cs="Arial"/>
        </w:rPr>
        <w:t xml:space="preserve">, H. (2023). System Dynamics </w:t>
      </w:r>
      <w:proofErr w:type="spellStart"/>
      <w:r w:rsidRPr="002B41B5">
        <w:rPr>
          <w:rFonts w:ascii="Arial" w:hAnsi="Arial" w:cs="Arial"/>
        </w:rPr>
        <w:t>Modeling</w:t>
      </w:r>
      <w:proofErr w:type="spellEnd"/>
      <w:r w:rsidRPr="002B41B5">
        <w:rPr>
          <w:rFonts w:ascii="Arial" w:hAnsi="Arial" w:cs="Arial"/>
        </w:rPr>
        <w:t xml:space="preserve"> to Forecast Economic and Financial Market Indicators Using Interrelationship of Shocks Among Global Financial Markets. International Journal of Business and Development Studies, 15(1), 143-170.</w:t>
      </w:r>
    </w:p>
    <w:p w14:paraId="2B9269E1" w14:textId="77777777" w:rsidR="00C42367" w:rsidRPr="002B41B5" w:rsidRDefault="00C42367" w:rsidP="009C1931">
      <w:pPr>
        <w:spacing w:after="240" w:line="360" w:lineRule="auto"/>
        <w:rPr>
          <w:rFonts w:ascii="Arial" w:hAnsi="Arial" w:cs="Arial"/>
        </w:rPr>
      </w:pPr>
      <w:proofErr w:type="spellStart"/>
      <w:r w:rsidRPr="002B41B5">
        <w:rPr>
          <w:rFonts w:ascii="Arial" w:hAnsi="Arial" w:cs="Arial"/>
        </w:rPr>
        <w:t>Awad</w:t>
      </w:r>
      <w:proofErr w:type="spellEnd"/>
      <w:r w:rsidRPr="002B41B5">
        <w:rPr>
          <w:rFonts w:ascii="Arial" w:hAnsi="Arial" w:cs="Arial"/>
        </w:rPr>
        <w:t>, J., &amp; Jung, C. (2022). Extracting the planning elements for sustainable urban regeneration in Dubai with AHP (analytic hierarchy process). Sustainable Cities and Society, 76, 103496.</w:t>
      </w:r>
    </w:p>
    <w:p w14:paraId="2AF4A60F" w14:textId="77777777" w:rsidR="00C42367" w:rsidRPr="002B41B5" w:rsidRDefault="00C42367" w:rsidP="009C1931">
      <w:pPr>
        <w:spacing w:after="240" w:line="360" w:lineRule="auto"/>
        <w:rPr>
          <w:rFonts w:ascii="Arial" w:hAnsi="Arial" w:cs="Arial"/>
        </w:rPr>
      </w:pPr>
      <w:r w:rsidRPr="002B41B5">
        <w:rPr>
          <w:rFonts w:ascii="Arial" w:hAnsi="Arial" w:cs="Arial"/>
        </w:rPr>
        <w:t xml:space="preserve">Aysan, A. F., </w:t>
      </w:r>
      <w:proofErr w:type="spellStart"/>
      <w:r w:rsidRPr="002B41B5">
        <w:rPr>
          <w:rFonts w:ascii="Arial" w:hAnsi="Arial" w:cs="Arial"/>
        </w:rPr>
        <w:t>Gozgor</w:t>
      </w:r>
      <w:proofErr w:type="spellEnd"/>
      <w:r w:rsidRPr="002B41B5">
        <w:rPr>
          <w:rFonts w:ascii="Arial" w:hAnsi="Arial" w:cs="Arial"/>
        </w:rPr>
        <w:t xml:space="preserve">, G., &amp; </w:t>
      </w:r>
      <w:proofErr w:type="spellStart"/>
      <w:r w:rsidRPr="002B41B5">
        <w:rPr>
          <w:rFonts w:ascii="Arial" w:hAnsi="Arial" w:cs="Arial"/>
        </w:rPr>
        <w:t>Nanaeva</w:t>
      </w:r>
      <w:proofErr w:type="spellEnd"/>
      <w:r w:rsidRPr="002B41B5">
        <w:rPr>
          <w:rFonts w:ascii="Arial" w:hAnsi="Arial" w:cs="Arial"/>
        </w:rPr>
        <w:t>, Z. (2024). Technological perspectives of Metaverse for financial service providers. Technological Forecasting and Social Change, 202, 123323.</w:t>
      </w:r>
    </w:p>
    <w:p w14:paraId="069349F5" w14:textId="77777777" w:rsidR="00C42367" w:rsidRPr="002B41B5" w:rsidRDefault="00C42367" w:rsidP="009C1931">
      <w:pPr>
        <w:spacing w:after="240" w:line="360" w:lineRule="auto"/>
        <w:rPr>
          <w:rFonts w:ascii="Arial" w:hAnsi="Arial" w:cs="Arial"/>
        </w:rPr>
      </w:pPr>
      <w:r w:rsidRPr="002B41B5">
        <w:rPr>
          <w:rFonts w:ascii="Arial" w:hAnsi="Arial" w:cs="Arial"/>
        </w:rPr>
        <w:lastRenderedPageBreak/>
        <w:t xml:space="preserve">Baba, H., Nishi, H., </w:t>
      </w:r>
      <w:proofErr w:type="spellStart"/>
      <w:r w:rsidRPr="002B41B5">
        <w:rPr>
          <w:rFonts w:ascii="Arial" w:hAnsi="Arial" w:cs="Arial"/>
        </w:rPr>
        <w:t>Seetharamapura</w:t>
      </w:r>
      <w:proofErr w:type="spellEnd"/>
      <w:r w:rsidRPr="002B41B5">
        <w:rPr>
          <w:rFonts w:ascii="Arial" w:hAnsi="Arial" w:cs="Arial"/>
        </w:rPr>
        <w:t>, A. M., &amp; Shimizu, C. (2020). Dynamic Hedonic Analysis Using Time-Varying Coefficients: Application to Dubai’s Housing Market (No. 170). CSIS Discussion Paper.</w:t>
      </w:r>
    </w:p>
    <w:p w14:paraId="5B88F62F" w14:textId="77777777" w:rsidR="00C42367" w:rsidRPr="002B41B5" w:rsidRDefault="00C42367" w:rsidP="009C1931">
      <w:pPr>
        <w:spacing w:after="240" w:line="360" w:lineRule="auto"/>
        <w:rPr>
          <w:rFonts w:ascii="Arial" w:hAnsi="Arial" w:cs="Arial"/>
        </w:rPr>
      </w:pPr>
      <w:r w:rsidRPr="002B41B5">
        <w:rPr>
          <w:rFonts w:ascii="Arial" w:hAnsi="Arial" w:cs="Arial"/>
        </w:rPr>
        <w:t>Balasubramanian, S., Shukla, V., Islam, N., Upadhyay, A., &amp; Duong, L. (2023). Applying artificial intelligence in healthcare: lessons from the COVID-19 pandemic. International Journal of Production Research, 1-34.</w:t>
      </w:r>
    </w:p>
    <w:p w14:paraId="305957C8" w14:textId="77777777" w:rsidR="00C42367" w:rsidRPr="002B41B5" w:rsidRDefault="00C42367" w:rsidP="009C1931">
      <w:pPr>
        <w:spacing w:after="240" w:line="360" w:lineRule="auto"/>
        <w:rPr>
          <w:rFonts w:ascii="Arial" w:hAnsi="Arial" w:cs="Arial"/>
        </w:rPr>
      </w:pPr>
      <w:proofErr w:type="spellStart"/>
      <w:r w:rsidRPr="002B41B5">
        <w:rPr>
          <w:rFonts w:ascii="Arial" w:hAnsi="Arial" w:cs="Arial"/>
        </w:rPr>
        <w:t>Bazerbashi</w:t>
      </w:r>
      <w:proofErr w:type="spellEnd"/>
      <w:r w:rsidRPr="002B41B5">
        <w:rPr>
          <w:rFonts w:ascii="Arial" w:hAnsi="Arial" w:cs="Arial"/>
        </w:rPr>
        <w:t xml:space="preserve">, A., &amp; Nguyen, E. (2023). Optimal Portfolio Allocation in the Middle East Real Estate Market: A Comparative Study of the UAE and Qatar: Why could UAE or Qatar be an opportunity for European businesses and portfolio investors in the Middle </w:t>
      </w:r>
      <w:proofErr w:type="gramStart"/>
      <w:r w:rsidRPr="002B41B5">
        <w:rPr>
          <w:rFonts w:ascii="Arial" w:hAnsi="Arial" w:cs="Arial"/>
        </w:rPr>
        <w:t>East?.</w:t>
      </w:r>
      <w:proofErr w:type="gramEnd"/>
    </w:p>
    <w:p w14:paraId="6E89689F" w14:textId="77777777" w:rsidR="00C42367" w:rsidRPr="002B41B5" w:rsidRDefault="00C42367" w:rsidP="009C1931">
      <w:pPr>
        <w:spacing w:after="240" w:line="360" w:lineRule="auto"/>
        <w:rPr>
          <w:rFonts w:ascii="Arial" w:hAnsi="Arial" w:cs="Arial"/>
        </w:rPr>
      </w:pPr>
      <w:r w:rsidRPr="002B41B5">
        <w:rPr>
          <w:rFonts w:ascii="Arial" w:hAnsi="Arial" w:cs="Arial"/>
        </w:rPr>
        <w:t>Berger, E. S., &amp; Blanka, C. (2024). Comprehensive and multifaceted perspectives on sustainability, urban studies, and entrepreneurship. Small Business Economics, 62(2), 471-501.</w:t>
      </w:r>
    </w:p>
    <w:p w14:paraId="287F9B37" w14:textId="77777777" w:rsidR="00C42367" w:rsidRPr="002B41B5" w:rsidRDefault="00C42367" w:rsidP="009C1931">
      <w:pPr>
        <w:spacing w:after="240" w:line="360" w:lineRule="auto"/>
        <w:rPr>
          <w:rFonts w:ascii="Arial" w:hAnsi="Arial" w:cs="Arial"/>
        </w:rPr>
      </w:pPr>
      <w:r w:rsidRPr="002B41B5">
        <w:rPr>
          <w:rFonts w:ascii="Arial" w:hAnsi="Arial" w:cs="Arial"/>
        </w:rPr>
        <w:t xml:space="preserve">Beutel, J. (2021). Economic diversification and sustainable development of GCC countries. When Can Oil Economies Be Deemed </w:t>
      </w:r>
      <w:proofErr w:type="gramStart"/>
      <w:r w:rsidRPr="002B41B5">
        <w:rPr>
          <w:rFonts w:ascii="Arial" w:hAnsi="Arial" w:cs="Arial"/>
        </w:rPr>
        <w:t>Sustainable?,</w:t>
      </w:r>
      <w:proofErr w:type="gramEnd"/>
      <w:r w:rsidRPr="002B41B5">
        <w:rPr>
          <w:rFonts w:ascii="Arial" w:hAnsi="Arial" w:cs="Arial"/>
        </w:rPr>
        <w:t xml:space="preserve"> 99-151.</w:t>
      </w:r>
    </w:p>
    <w:p w14:paraId="427265C5" w14:textId="77777777" w:rsidR="00C42367" w:rsidRPr="002B41B5" w:rsidRDefault="00C42367" w:rsidP="009C1931">
      <w:pPr>
        <w:spacing w:after="240" w:line="360" w:lineRule="auto"/>
        <w:rPr>
          <w:rFonts w:ascii="Arial" w:hAnsi="Arial" w:cs="Arial"/>
        </w:rPr>
      </w:pPr>
      <w:r w:rsidRPr="002B41B5">
        <w:rPr>
          <w:rFonts w:ascii="Arial" w:hAnsi="Arial" w:cs="Arial"/>
        </w:rPr>
        <w:t>Bowen, G. A. (2009). Document analysis as a qualitative research method. Qualitative Research Journal, 9(2), 27-40.</w:t>
      </w:r>
    </w:p>
    <w:p w14:paraId="39B719C6" w14:textId="77777777" w:rsidR="00C42367" w:rsidRPr="002B41B5" w:rsidRDefault="00C42367" w:rsidP="009C1931">
      <w:pPr>
        <w:spacing w:after="240" w:line="360" w:lineRule="auto"/>
        <w:rPr>
          <w:rFonts w:ascii="Arial" w:hAnsi="Arial" w:cs="Arial"/>
        </w:rPr>
      </w:pPr>
      <w:r w:rsidRPr="002B41B5">
        <w:rPr>
          <w:rFonts w:ascii="Arial" w:hAnsi="Arial" w:cs="Arial"/>
        </w:rPr>
        <w:t>Braun, V., &amp; Clarke, V. (2006). Using thematic analysis in psychology. Qualitative Research in Psychology, 3(2), 77-101.</w:t>
      </w:r>
    </w:p>
    <w:p w14:paraId="4064874A" w14:textId="77777777" w:rsidR="00C42367" w:rsidRPr="002B41B5" w:rsidRDefault="00C42367" w:rsidP="009C1931">
      <w:pPr>
        <w:spacing w:after="240" w:line="360" w:lineRule="auto"/>
        <w:rPr>
          <w:rFonts w:ascii="Arial" w:hAnsi="Arial" w:cs="Arial"/>
        </w:rPr>
      </w:pPr>
      <w:r w:rsidRPr="002B41B5">
        <w:rPr>
          <w:rFonts w:ascii="Arial" w:hAnsi="Arial" w:cs="Arial"/>
        </w:rPr>
        <w:t>Braun, V., &amp; Clarke, V. (2013). Successful qualitative research: A practical guide for beginners. Sage.</w:t>
      </w:r>
    </w:p>
    <w:p w14:paraId="6BA6EADC" w14:textId="77777777" w:rsidR="00C42367" w:rsidRPr="002B41B5" w:rsidRDefault="00C42367" w:rsidP="009C1931">
      <w:pPr>
        <w:spacing w:after="240" w:line="360" w:lineRule="auto"/>
        <w:rPr>
          <w:rFonts w:ascii="Arial" w:hAnsi="Arial" w:cs="Arial"/>
        </w:rPr>
      </w:pPr>
      <w:r w:rsidRPr="002B41B5">
        <w:rPr>
          <w:rFonts w:ascii="Arial" w:hAnsi="Arial" w:cs="Arial"/>
        </w:rPr>
        <w:t>Brundtland, G. H. (1987). Our common future: The World Commission on Environment and Development. Oxford: Oxford University Press.</w:t>
      </w:r>
    </w:p>
    <w:p w14:paraId="7D8CF6F9" w14:textId="77777777" w:rsidR="00C42367" w:rsidRPr="002B41B5" w:rsidRDefault="00C42367" w:rsidP="009C1931">
      <w:pPr>
        <w:spacing w:after="240" w:line="360" w:lineRule="auto"/>
        <w:rPr>
          <w:rFonts w:ascii="Arial" w:hAnsi="Arial" w:cs="Arial"/>
        </w:rPr>
      </w:pPr>
      <w:r w:rsidRPr="002B41B5">
        <w:rPr>
          <w:rFonts w:ascii="Arial" w:hAnsi="Arial" w:cs="Arial"/>
        </w:rPr>
        <w:t>Bryman, A. (2016). Social research methods. Oxford University Press.</w:t>
      </w:r>
    </w:p>
    <w:p w14:paraId="23EBB4CE" w14:textId="77777777" w:rsidR="00C42367" w:rsidRPr="002B41B5" w:rsidRDefault="00C42367" w:rsidP="009C1931">
      <w:pPr>
        <w:spacing w:after="240" w:line="360" w:lineRule="auto"/>
        <w:rPr>
          <w:rFonts w:ascii="Arial" w:hAnsi="Arial" w:cs="Arial"/>
        </w:rPr>
      </w:pPr>
      <w:r w:rsidRPr="002B41B5">
        <w:rPr>
          <w:rFonts w:ascii="Arial" w:hAnsi="Arial" w:cs="Arial"/>
        </w:rPr>
        <w:t>Case, K. E., &amp; Shiller, R. J. (2003). Is there a bubble in the housing market? Brookings Papers on Economic Activity, 2003(2), 299-342.</w:t>
      </w:r>
    </w:p>
    <w:p w14:paraId="797B3F78" w14:textId="77777777" w:rsidR="00C42367" w:rsidRPr="002B41B5" w:rsidRDefault="00C42367" w:rsidP="009C1931">
      <w:pPr>
        <w:spacing w:after="240" w:line="360" w:lineRule="auto"/>
        <w:rPr>
          <w:rFonts w:ascii="Arial" w:hAnsi="Arial" w:cs="Arial"/>
        </w:rPr>
      </w:pPr>
      <w:r w:rsidRPr="002B41B5">
        <w:rPr>
          <w:rFonts w:ascii="Arial" w:hAnsi="Arial" w:cs="Arial"/>
        </w:rPr>
        <w:lastRenderedPageBreak/>
        <w:t>Cohen, B. (2010). Sustainable valley entrepreneurial ecosystems. Business Strategy and the Environment, 19(1), 1-14.</w:t>
      </w:r>
    </w:p>
    <w:p w14:paraId="083EC76C" w14:textId="77777777" w:rsidR="00C42367" w:rsidRPr="002B41B5" w:rsidRDefault="00C42367" w:rsidP="009C1931">
      <w:pPr>
        <w:spacing w:after="240" w:line="360" w:lineRule="auto"/>
        <w:rPr>
          <w:rFonts w:ascii="Arial" w:hAnsi="Arial" w:cs="Arial"/>
        </w:rPr>
      </w:pPr>
      <w:r w:rsidRPr="002B41B5">
        <w:rPr>
          <w:rFonts w:ascii="Arial" w:hAnsi="Arial" w:cs="Arial"/>
        </w:rPr>
        <w:t xml:space="preserve">Creswell, J. W. (2014). Research design: Qualitative, quantitative, and mixed methods </w:t>
      </w:r>
      <w:proofErr w:type="gramStart"/>
      <w:r w:rsidRPr="002B41B5">
        <w:rPr>
          <w:rFonts w:ascii="Arial" w:hAnsi="Arial" w:cs="Arial"/>
        </w:rPr>
        <w:t>approaches</w:t>
      </w:r>
      <w:proofErr w:type="gramEnd"/>
      <w:r w:rsidRPr="002B41B5">
        <w:rPr>
          <w:rFonts w:ascii="Arial" w:hAnsi="Arial" w:cs="Arial"/>
        </w:rPr>
        <w:t>. Sage publications.</w:t>
      </w:r>
    </w:p>
    <w:p w14:paraId="6B753234" w14:textId="77777777" w:rsidR="00C42367" w:rsidRPr="002B41B5" w:rsidRDefault="00C42367" w:rsidP="009C1931">
      <w:pPr>
        <w:spacing w:after="240" w:line="360" w:lineRule="auto"/>
        <w:rPr>
          <w:rFonts w:ascii="Arial" w:hAnsi="Arial" w:cs="Arial"/>
        </w:rPr>
      </w:pPr>
      <w:r w:rsidRPr="002B41B5">
        <w:rPr>
          <w:rFonts w:ascii="Arial" w:hAnsi="Arial" w:cs="Arial"/>
        </w:rPr>
        <w:t xml:space="preserve">Creswell, J. W., &amp; Creswell, J. D. (2018). Research design: Qualitative, quantitative, and mixed methods </w:t>
      </w:r>
      <w:proofErr w:type="gramStart"/>
      <w:r w:rsidRPr="002B41B5">
        <w:rPr>
          <w:rFonts w:ascii="Arial" w:hAnsi="Arial" w:cs="Arial"/>
        </w:rPr>
        <w:t>approaches</w:t>
      </w:r>
      <w:proofErr w:type="gramEnd"/>
      <w:r w:rsidRPr="002B41B5">
        <w:rPr>
          <w:rFonts w:ascii="Arial" w:hAnsi="Arial" w:cs="Arial"/>
        </w:rPr>
        <w:t>. Sage publications.</w:t>
      </w:r>
    </w:p>
    <w:p w14:paraId="0A13E908" w14:textId="77777777" w:rsidR="00C42367" w:rsidRPr="002B41B5" w:rsidRDefault="00C42367" w:rsidP="009C1931">
      <w:pPr>
        <w:spacing w:after="240" w:line="360" w:lineRule="auto"/>
        <w:rPr>
          <w:rFonts w:ascii="Arial" w:hAnsi="Arial" w:cs="Arial"/>
        </w:rPr>
      </w:pPr>
      <w:r w:rsidRPr="002B41B5">
        <w:rPr>
          <w:rFonts w:ascii="Arial" w:hAnsi="Arial" w:cs="Arial"/>
        </w:rPr>
        <w:t>Davidson, C. M. (2008). Dubai: The vulnerability of success. Columbia University Press.</w:t>
      </w:r>
    </w:p>
    <w:p w14:paraId="38DFA05D" w14:textId="77777777" w:rsidR="00C42367" w:rsidRPr="002B41B5" w:rsidRDefault="00C42367" w:rsidP="009C1931">
      <w:pPr>
        <w:spacing w:after="240" w:line="360" w:lineRule="auto"/>
        <w:rPr>
          <w:rFonts w:ascii="Arial" w:hAnsi="Arial" w:cs="Arial"/>
        </w:rPr>
      </w:pPr>
      <w:r w:rsidRPr="002B41B5">
        <w:rPr>
          <w:rFonts w:ascii="Arial" w:hAnsi="Arial" w:cs="Arial"/>
        </w:rPr>
        <w:t>Davidson-Huxley, C. (2021). The future of living: exploring sustainable residential developments through A case study analysis of the sustainable city Dubai.</w:t>
      </w:r>
    </w:p>
    <w:p w14:paraId="7617DC0F" w14:textId="77777777" w:rsidR="00C42367" w:rsidRPr="002B41B5" w:rsidRDefault="00C42367" w:rsidP="009C1931">
      <w:pPr>
        <w:spacing w:after="240" w:line="360" w:lineRule="auto"/>
        <w:rPr>
          <w:rFonts w:ascii="Arial" w:hAnsi="Arial" w:cs="Arial"/>
        </w:rPr>
      </w:pPr>
      <w:r w:rsidRPr="002B41B5">
        <w:rPr>
          <w:rFonts w:ascii="Arial" w:hAnsi="Arial" w:cs="Arial"/>
        </w:rPr>
        <w:t xml:space="preserve">Dessouky, N., Wheeler, S., &amp; Salama, A. M. (2023). Including local actors' perspective in </w:t>
      </w:r>
      <w:proofErr w:type="spellStart"/>
      <w:r w:rsidRPr="002B41B5">
        <w:rPr>
          <w:rFonts w:ascii="Arial" w:hAnsi="Arial" w:cs="Arial"/>
        </w:rPr>
        <w:t>neighborhood</w:t>
      </w:r>
      <w:proofErr w:type="spellEnd"/>
      <w:r w:rsidRPr="002B41B5">
        <w:rPr>
          <w:rFonts w:ascii="Arial" w:hAnsi="Arial" w:cs="Arial"/>
        </w:rPr>
        <w:t xml:space="preserve"> sustainability assessment: evidence from Dubai's sustainable city. Smart and Sustainable Built Environment.</w:t>
      </w:r>
    </w:p>
    <w:p w14:paraId="0C622835" w14:textId="77777777" w:rsidR="00C42367" w:rsidRPr="002B41B5" w:rsidRDefault="00C42367" w:rsidP="009C1931">
      <w:pPr>
        <w:spacing w:after="240" w:line="360" w:lineRule="auto"/>
        <w:rPr>
          <w:rFonts w:ascii="Arial" w:hAnsi="Arial" w:cs="Arial"/>
        </w:rPr>
      </w:pPr>
      <w:r w:rsidRPr="002B41B5">
        <w:rPr>
          <w:rFonts w:ascii="Arial" w:hAnsi="Arial" w:cs="Arial"/>
        </w:rPr>
        <w:t>Due-Gundersen, N., &amp; Al Suwaidi, K. (2024). Potential for the UAE as a Model for Coordinating GCC-Wide Economic Diversification.</w:t>
      </w:r>
    </w:p>
    <w:p w14:paraId="2CAD3D5D" w14:textId="77777777" w:rsidR="00C42367" w:rsidRPr="002B41B5" w:rsidRDefault="00C42367" w:rsidP="009C1931">
      <w:pPr>
        <w:spacing w:after="240" w:line="360" w:lineRule="auto"/>
        <w:rPr>
          <w:rFonts w:ascii="Arial" w:hAnsi="Arial" w:cs="Arial"/>
        </w:rPr>
      </w:pPr>
      <w:r w:rsidRPr="002B41B5">
        <w:rPr>
          <w:rFonts w:ascii="Arial" w:hAnsi="Arial" w:cs="Arial"/>
        </w:rPr>
        <w:t xml:space="preserve">El </w:t>
      </w:r>
      <w:proofErr w:type="spellStart"/>
      <w:r w:rsidRPr="002B41B5">
        <w:rPr>
          <w:rFonts w:ascii="Arial" w:hAnsi="Arial" w:cs="Arial"/>
        </w:rPr>
        <w:t>Hoummaidi</w:t>
      </w:r>
      <w:proofErr w:type="spellEnd"/>
      <w:r w:rsidRPr="002B41B5">
        <w:rPr>
          <w:rFonts w:ascii="Arial" w:hAnsi="Arial" w:cs="Arial"/>
        </w:rPr>
        <w:t xml:space="preserve">, L., Larabi, A., &amp; Alam, K. (2021). Using unmanned aerial systems and deep learning for agriculture mapping in Dubai. </w:t>
      </w:r>
      <w:proofErr w:type="spellStart"/>
      <w:r w:rsidRPr="002B41B5">
        <w:rPr>
          <w:rFonts w:ascii="Arial" w:hAnsi="Arial" w:cs="Arial"/>
        </w:rPr>
        <w:t>Heliyon</w:t>
      </w:r>
      <w:proofErr w:type="spellEnd"/>
      <w:r w:rsidRPr="002B41B5">
        <w:rPr>
          <w:rFonts w:ascii="Arial" w:hAnsi="Arial" w:cs="Arial"/>
        </w:rPr>
        <w:t>, 7(10).</w:t>
      </w:r>
    </w:p>
    <w:p w14:paraId="0D17F6E6" w14:textId="77777777" w:rsidR="00C42367" w:rsidRPr="002B41B5" w:rsidRDefault="00C42367" w:rsidP="009C1931">
      <w:pPr>
        <w:spacing w:after="240" w:line="360" w:lineRule="auto"/>
        <w:rPr>
          <w:rFonts w:ascii="Arial" w:hAnsi="Arial" w:cs="Arial"/>
        </w:rPr>
      </w:pPr>
      <w:proofErr w:type="spellStart"/>
      <w:r w:rsidRPr="002B41B5">
        <w:rPr>
          <w:rFonts w:ascii="Arial" w:hAnsi="Arial" w:cs="Arial"/>
        </w:rPr>
        <w:t>Faccia</w:t>
      </w:r>
      <w:proofErr w:type="spellEnd"/>
      <w:r w:rsidRPr="002B41B5">
        <w:rPr>
          <w:rFonts w:ascii="Arial" w:hAnsi="Arial" w:cs="Arial"/>
        </w:rPr>
        <w:t>, A., Le Roux, C. L., &amp; Pandey, V. (2023). Innovation and E-commerce models, the technology catalysts for sustainable development: the Emirate of Dubai case study. Sustainability, 15(4), 3419.</w:t>
      </w:r>
    </w:p>
    <w:p w14:paraId="6B678E6C" w14:textId="77777777" w:rsidR="00C42367" w:rsidRPr="002B41B5" w:rsidRDefault="00C42367" w:rsidP="009C1931">
      <w:pPr>
        <w:spacing w:after="240" w:line="360" w:lineRule="auto"/>
        <w:rPr>
          <w:rFonts w:ascii="Arial" w:hAnsi="Arial" w:cs="Arial"/>
        </w:rPr>
      </w:pPr>
      <w:proofErr w:type="spellStart"/>
      <w:r w:rsidRPr="002B41B5">
        <w:rPr>
          <w:rFonts w:ascii="Arial" w:hAnsi="Arial" w:cs="Arial"/>
        </w:rPr>
        <w:t>Farooki</w:t>
      </w:r>
      <w:proofErr w:type="spellEnd"/>
      <w:r w:rsidRPr="002B41B5">
        <w:rPr>
          <w:rFonts w:ascii="Arial" w:hAnsi="Arial" w:cs="Arial"/>
        </w:rPr>
        <w:t xml:space="preserve">, M. Z., &amp; </w:t>
      </w:r>
      <w:proofErr w:type="spellStart"/>
      <w:r w:rsidRPr="002B41B5">
        <w:rPr>
          <w:rFonts w:ascii="Arial" w:hAnsi="Arial" w:cs="Arial"/>
        </w:rPr>
        <w:t>Mohieldin</w:t>
      </w:r>
      <w:proofErr w:type="spellEnd"/>
      <w:r w:rsidRPr="002B41B5">
        <w:rPr>
          <w:rFonts w:ascii="Arial" w:hAnsi="Arial" w:cs="Arial"/>
        </w:rPr>
        <w:t>, M. (2019). The role of real estate in sustainable development in developing countries: The case of the Gulf Cooperation Council. Sustainable Cities and Society, 44, 565-572.</w:t>
      </w:r>
    </w:p>
    <w:p w14:paraId="030FD470" w14:textId="77777777" w:rsidR="00C42367" w:rsidRPr="002B41B5" w:rsidRDefault="00C42367" w:rsidP="009C1931">
      <w:pPr>
        <w:spacing w:after="240" w:line="360" w:lineRule="auto"/>
        <w:rPr>
          <w:rFonts w:ascii="Arial" w:hAnsi="Arial" w:cs="Arial"/>
        </w:rPr>
      </w:pPr>
      <w:proofErr w:type="spellStart"/>
      <w:r w:rsidRPr="002B41B5">
        <w:rPr>
          <w:rFonts w:ascii="Arial" w:hAnsi="Arial" w:cs="Arial"/>
        </w:rPr>
        <w:t>Godge</w:t>
      </w:r>
      <w:proofErr w:type="spellEnd"/>
      <w:r w:rsidRPr="002B41B5">
        <w:rPr>
          <w:rFonts w:ascii="Arial" w:hAnsi="Arial" w:cs="Arial"/>
        </w:rPr>
        <w:t xml:space="preserve">, A., &amp; Kumar, A. (2021). Features, benefits, impact, and key provisions of Real Estate Regulatory Authority (RERA) Act 2016. </w:t>
      </w:r>
      <w:proofErr w:type="spellStart"/>
      <w:r w:rsidRPr="002B41B5">
        <w:rPr>
          <w:rFonts w:ascii="Arial" w:hAnsi="Arial" w:cs="Arial"/>
        </w:rPr>
        <w:t>Vidyabharati</w:t>
      </w:r>
      <w:proofErr w:type="spellEnd"/>
      <w:r w:rsidRPr="002B41B5">
        <w:rPr>
          <w:rFonts w:ascii="Arial" w:hAnsi="Arial" w:cs="Arial"/>
        </w:rPr>
        <w:t xml:space="preserve"> International Interdisciplinary Research Journal, 13(1), 998-1002.</w:t>
      </w:r>
    </w:p>
    <w:p w14:paraId="1155772D" w14:textId="77777777" w:rsidR="00C42367" w:rsidRPr="002B41B5" w:rsidRDefault="00C42367" w:rsidP="009C1931">
      <w:pPr>
        <w:spacing w:after="240" w:line="360" w:lineRule="auto"/>
        <w:rPr>
          <w:rFonts w:ascii="Arial" w:hAnsi="Arial" w:cs="Arial"/>
        </w:rPr>
      </w:pPr>
      <w:r w:rsidRPr="002B41B5">
        <w:rPr>
          <w:rFonts w:ascii="Arial" w:hAnsi="Arial" w:cs="Arial"/>
        </w:rPr>
        <w:lastRenderedPageBreak/>
        <w:t xml:space="preserve">Heaton, J. (2008). Secondary analysis of qualitative data: An overview. Historical Social Research / </w:t>
      </w:r>
      <w:proofErr w:type="spellStart"/>
      <w:r w:rsidRPr="002B41B5">
        <w:rPr>
          <w:rFonts w:ascii="Arial" w:hAnsi="Arial" w:cs="Arial"/>
        </w:rPr>
        <w:t>Historische</w:t>
      </w:r>
      <w:proofErr w:type="spellEnd"/>
      <w:r w:rsidRPr="002B41B5">
        <w:rPr>
          <w:rFonts w:ascii="Arial" w:hAnsi="Arial" w:cs="Arial"/>
        </w:rPr>
        <w:t xml:space="preserve"> </w:t>
      </w:r>
      <w:proofErr w:type="spellStart"/>
      <w:r w:rsidRPr="002B41B5">
        <w:rPr>
          <w:rFonts w:ascii="Arial" w:hAnsi="Arial" w:cs="Arial"/>
        </w:rPr>
        <w:t>Sozialforschung</w:t>
      </w:r>
      <w:proofErr w:type="spellEnd"/>
      <w:r w:rsidRPr="002B41B5">
        <w:rPr>
          <w:rFonts w:ascii="Arial" w:hAnsi="Arial" w:cs="Arial"/>
        </w:rPr>
        <w:t>, pp. 33-45.</w:t>
      </w:r>
    </w:p>
    <w:p w14:paraId="16C9AC74" w14:textId="77777777" w:rsidR="00C42367" w:rsidRPr="002B41B5" w:rsidRDefault="00C42367" w:rsidP="009C1931">
      <w:pPr>
        <w:spacing w:after="240" w:line="360" w:lineRule="auto"/>
        <w:rPr>
          <w:rFonts w:ascii="Arial" w:hAnsi="Arial" w:cs="Arial"/>
        </w:rPr>
      </w:pPr>
      <w:proofErr w:type="spellStart"/>
      <w:r w:rsidRPr="002B41B5">
        <w:rPr>
          <w:rFonts w:ascii="Arial" w:hAnsi="Arial" w:cs="Arial"/>
        </w:rPr>
        <w:t>Ifediora</w:t>
      </w:r>
      <w:proofErr w:type="spellEnd"/>
      <w:r w:rsidRPr="002B41B5">
        <w:rPr>
          <w:rFonts w:ascii="Arial" w:hAnsi="Arial" w:cs="Arial"/>
        </w:rPr>
        <w:t xml:space="preserve">, C. O., </w:t>
      </w:r>
      <w:proofErr w:type="spellStart"/>
      <w:r w:rsidRPr="002B41B5">
        <w:rPr>
          <w:rFonts w:ascii="Arial" w:hAnsi="Arial" w:cs="Arial"/>
        </w:rPr>
        <w:t>Efobi</w:t>
      </w:r>
      <w:proofErr w:type="spellEnd"/>
      <w:r w:rsidRPr="002B41B5">
        <w:rPr>
          <w:rFonts w:ascii="Arial" w:hAnsi="Arial" w:cs="Arial"/>
        </w:rPr>
        <w:t>, D. J., &amp; Nwosu, C. C. (2021). Strengths, Opportunities, Weaknesses and Threats (SWOT) in Real Estate Sector: An Insight for Practitioners in Anambra State for Effective Practice.</w:t>
      </w:r>
    </w:p>
    <w:p w14:paraId="51E9A3F9" w14:textId="77777777" w:rsidR="00C42367" w:rsidRPr="002B41B5" w:rsidRDefault="00C42367" w:rsidP="009C1931">
      <w:pPr>
        <w:spacing w:after="240" w:line="360" w:lineRule="auto"/>
        <w:rPr>
          <w:rFonts w:ascii="Arial" w:hAnsi="Arial" w:cs="Arial"/>
        </w:rPr>
      </w:pPr>
      <w:r w:rsidRPr="002B41B5">
        <w:rPr>
          <w:rFonts w:ascii="Arial" w:hAnsi="Arial" w:cs="Arial"/>
        </w:rPr>
        <w:t>Jensen, J. (2010). Real estate investment and economic growth in Dubai. International Journal of Housing Markets and Analysis, 3(4), 369-379.</w:t>
      </w:r>
    </w:p>
    <w:p w14:paraId="0B446C64" w14:textId="77777777" w:rsidR="00C42367" w:rsidRPr="002B41B5" w:rsidRDefault="00C42367" w:rsidP="009C1931">
      <w:pPr>
        <w:spacing w:after="240" w:line="360" w:lineRule="auto"/>
        <w:rPr>
          <w:rFonts w:ascii="Arial" w:hAnsi="Arial" w:cs="Arial"/>
        </w:rPr>
      </w:pPr>
      <w:proofErr w:type="spellStart"/>
      <w:r w:rsidRPr="002B41B5">
        <w:rPr>
          <w:rFonts w:ascii="Arial" w:hAnsi="Arial" w:cs="Arial"/>
        </w:rPr>
        <w:t>Joghee</w:t>
      </w:r>
      <w:proofErr w:type="spellEnd"/>
      <w:r w:rsidRPr="002B41B5">
        <w:rPr>
          <w:rFonts w:ascii="Arial" w:hAnsi="Arial" w:cs="Arial"/>
        </w:rPr>
        <w:t>, S., Alzoubi, H. M., &amp; Dubey, A. R. (2020). Decisions effectiveness of FDI investment biases at real estate industry: Empirical evidence from Dubai smart city projects. International Journal of Scientific and Technology Research, 9(3), 3499-3503.</w:t>
      </w:r>
    </w:p>
    <w:p w14:paraId="5AFEDF24" w14:textId="77777777" w:rsidR="00C42367" w:rsidRPr="002B41B5" w:rsidRDefault="00C42367" w:rsidP="009C1931">
      <w:pPr>
        <w:spacing w:after="240" w:line="360" w:lineRule="auto"/>
        <w:rPr>
          <w:rFonts w:ascii="Arial" w:hAnsi="Arial" w:cs="Arial"/>
        </w:rPr>
      </w:pPr>
      <w:r w:rsidRPr="002B41B5">
        <w:rPr>
          <w:rFonts w:ascii="Arial" w:hAnsi="Arial" w:cs="Arial"/>
        </w:rPr>
        <w:t>Johnson, R. B., &amp; Onwuegbuzie, A. J. (2004). Mixed methods research: A research paradigm whose time has come. Educational Researcher, 33(7), 14-26.</w:t>
      </w:r>
    </w:p>
    <w:p w14:paraId="2448E019" w14:textId="77777777" w:rsidR="00C42367" w:rsidRPr="002B41B5" w:rsidRDefault="00C42367" w:rsidP="009C1931">
      <w:pPr>
        <w:spacing w:after="240" w:line="360" w:lineRule="auto"/>
        <w:rPr>
          <w:rFonts w:ascii="Arial" w:hAnsi="Arial" w:cs="Arial"/>
        </w:rPr>
      </w:pPr>
      <w:r w:rsidRPr="002B41B5">
        <w:rPr>
          <w:rFonts w:ascii="Arial" w:hAnsi="Arial" w:cs="Arial"/>
        </w:rPr>
        <w:t>Johnston, M. P. (2017). Secondary data analysis: A method of which the time has come. Qualitative and Quantitative Methods in Libraries, 3(3), 619-626.</w:t>
      </w:r>
    </w:p>
    <w:p w14:paraId="1AC9D45C" w14:textId="77777777" w:rsidR="00C42367" w:rsidRPr="002B41B5" w:rsidRDefault="00C42367" w:rsidP="009C1931">
      <w:pPr>
        <w:spacing w:after="240" w:line="360" w:lineRule="auto"/>
        <w:rPr>
          <w:rFonts w:ascii="Arial" w:hAnsi="Arial" w:cs="Arial"/>
        </w:rPr>
      </w:pPr>
      <w:r w:rsidRPr="002B41B5">
        <w:rPr>
          <w:rFonts w:ascii="Arial" w:hAnsi="Arial" w:cs="Arial"/>
        </w:rPr>
        <w:t>Jones Lang LaSalle. (2020). The impact of real estate on emerging economy growth. JLL Research.</w:t>
      </w:r>
    </w:p>
    <w:p w14:paraId="19095F88" w14:textId="77777777" w:rsidR="00C42367" w:rsidRPr="002B41B5" w:rsidRDefault="00C42367" w:rsidP="009C1931">
      <w:pPr>
        <w:spacing w:after="240" w:line="360" w:lineRule="auto"/>
        <w:rPr>
          <w:rFonts w:ascii="Arial" w:hAnsi="Arial" w:cs="Arial"/>
        </w:rPr>
      </w:pPr>
      <w:r w:rsidRPr="002B41B5">
        <w:rPr>
          <w:rFonts w:ascii="Arial" w:hAnsi="Arial" w:cs="Arial"/>
        </w:rPr>
        <w:t>Jones, C., &amp; Li, Y. (2015). The economic importance of the real estate sector: A comparative analysis of international markets. International Journal of Housing Markets and Analysis, 8(4), 489-507.</w:t>
      </w:r>
    </w:p>
    <w:p w14:paraId="17A29543" w14:textId="77777777" w:rsidR="00C42367" w:rsidRPr="002B41B5" w:rsidRDefault="00C42367" w:rsidP="009C1931">
      <w:pPr>
        <w:spacing w:after="240" w:line="360" w:lineRule="auto"/>
        <w:rPr>
          <w:rFonts w:ascii="Arial" w:hAnsi="Arial" w:cs="Arial"/>
        </w:rPr>
      </w:pPr>
      <w:r w:rsidRPr="002B41B5">
        <w:rPr>
          <w:rFonts w:ascii="Arial" w:hAnsi="Arial" w:cs="Arial"/>
        </w:rPr>
        <w:t xml:space="preserve">Jung, C., Al Qassimi, N., Abdelaziz Mahmoud, N. S., &amp; Lee, S. Y. (2022). </w:t>
      </w:r>
      <w:proofErr w:type="spellStart"/>
      <w:r w:rsidRPr="002B41B5">
        <w:rPr>
          <w:rFonts w:ascii="Arial" w:hAnsi="Arial" w:cs="Arial"/>
        </w:rPr>
        <w:t>Analyzing</w:t>
      </w:r>
      <w:proofErr w:type="spellEnd"/>
      <w:r w:rsidRPr="002B41B5">
        <w:rPr>
          <w:rFonts w:ascii="Arial" w:hAnsi="Arial" w:cs="Arial"/>
        </w:rPr>
        <w:t xml:space="preserve"> the housing consumer preferences via analytic hierarchy process (AHP) in Dubai, United Arab Emirates. </w:t>
      </w:r>
      <w:proofErr w:type="spellStart"/>
      <w:r w:rsidRPr="002B41B5">
        <w:rPr>
          <w:rFonts w:ascii="Arial" w:hAnsi="Arial" w:cs="Arial"/>
        </w:rPr>
        <w:t>Behavioral</w:t>
      </w:r>
      <w:proofErr w:type="spellEnd"/>
      <w:r w:rsidRPr="002B41B5">
        <w:rPr>
          <w:rFonts w:ascii="Arial" w:hAnsi="Arial" w:cs="Arial"/>
        </w:rPr>
        <w:t xml:space="preserve"> Sciences, 12(9), 327.</w:t>
      </w:r>
    </w:p>
    <w:p w14:paraId="5344EF4D" w14:textId="77777777" w:rsidR="00C42367" w:rsidRPr="002B41B5" w:rsidRDefault="00C42367" w:rsidP="009C1931">
      <w:pPr>
        <w:spacing w:after="240" w:line="360" w:lineRule="auto"/>
        <w:rPr>
          <w:rFonts w:ascii="Arial" w:hAnsi="Arial" w:cs="Arial"/>
        </w:rPr>
      </w:pPr>
      <w:r w:rsidRPr="002B41B5">
        <w:rPr>
          <w:rFonts w:ascii="Arial" w:hAnsi="Arial" w:cs="Arial"/>
        </w:rPr>
        <w:t>Kalam, K. K. Impact of Economic and Non-economic variables on Housing Market in Bangladesh.</w:t>
      </w:r>
    </w:p>
    <w:p w14:paraId="169D2D26" w14:textId="77777777" w:rsidR="00C42367" w:rsidRPr="002B41B5" w:rsidRDefault="00C42367" w:rsidP="009C1931">
      <w:pPr>
        <w:spacing w:after="240" w:line="360" w:lineRule="auto"/>
        <w:rPr>
          <w:rFonts w:ascii="Arial" w:hAnsi="Arial" w:cs="Arial"/>
        </w:rPr>
      </w:pPr>
      <w:r w:rsidRPr="002B41B5">
        <w:rPr>
          <w:rFonts w:ascii="Arial" w:hAnsi="Arial" w:cs="Arial"/>
        </w:rPr>
        <w:t>Karadağ, H. (2021). The uncertainty index and foreign direct real estate investments in developing economies.</w:t>
      </w:r>
    </w:p>
    <w:p w14:paraId="26D9CBEB" w14:textId="77777777" w:rsidR="00C42367" w:rsidRPr="002B41B5" w:rsidRDefault="00C42367" w:rsidP="009C1931">
      <w:pPr>
        <w:spacing w:after="240" w:line="360" w:lineRule="auto"/>
        <w:rPr>
          <w:rFonts w:ascii="Arial" w:hAnsi="Arial" w:cs="Arial"/>
        </w:rPr>
      </w:pPr>
      <w:r w:rsidRPr="002B41B5">
        <w:rPr>
          <w:rFonts w:ascii="Arial" w:hAnsi="Arial" w:cs="Arial"/>
        </w:rPr>
        <w:lastRenderedPageBreak/>
        <w:t xml:space="preserve">Khan, S., Shael, M., </w:t>
      </w:r>
      <w:proofErr w:type="spellStart"/>
      <w:r w:rsidRPr="002B41B5">
        <w:rPr>
          <w:rFonts w:ascii="Arial" w:hAnsi="Arial" w:cs="Arial"/>
        </w:rPr>
        <w:t>Majdalawieh</w:t>
      </w:r>
      <w:proofErr w:type="spellEnd"/>
      <w:r w:rsidRPr="002B41B5">
        <w:rPr>
          <w:rFonts w:ascii="Arial" w:hAnsi="Arial" w:cs="Arial"/>
        </w:rPr>
        <w:t>, M., Nizamuddin, N., &amp; Nicho, M. (2022). Blockchain for Governments: The Case of the Dubai Government. Sustainability, 14(11), 6576.</w:t>
      </w:r>
    </w:p>
    <w:p w14:paraId="0C70CA4B" w14:textId="77777777" w:rsidR="00C42367" w:rsidRPr="002B41B5" w:rsidRDefault="00C42367" w:rsidP="009C1931">
      <w:pPr>
        <w:spacing w:after="240" w:line="360" w:lineRule="auto"/>
        <w:rPr>
          <w:rFonts w:ascii="Arial" w:hAnsi="Arial" w:cs="Arial"/>
        </w:rPr>
      </w:pPr>
      <w:proofErr w:type="spellStart"/>
      <w:r w:rsidRPr="002B41B5">
        <w:rPr>
          <w:rFonts w:ascii="Arial" w:hAnsi="Arial" w:cs="Arial"/>
        </w:rPr>
        <w:t>Koohang</w:t>
      </w:r>
      <w:proofErr w:type="spellEnd"/>
      <w:r w:rsidRPr="002B41B5">
        <w:rPr>
          <w:rFonts w:ascii="Arial" w:hAnsi="Arial" w:cs="Arial"/>
        </w:rPr>
        <w:t>, A., Nord, J., Ooi, K., Tan, G., Al-Emran, M., Aw, E., ... &amp; Wong, L. (2023). Shaping the metaverse into reality: multidisciplinary perspectives on opportunities, challenges, and future research. Journal of Computer Information Systems, 63(3), 735-765.</w:t>
      </w:r>
    </w:p>
    <w:p w14:paraId="5E0D6381" w14:textId="77777777" w:rsidR="00C42367" w:rsidRPr="002B41B5" w:rsidRDefault="00C42367" w:rsidP="009C1931">
      <w:pPr>
        <w:spacing w:after="240" w:line="360" w:lineRule="auto"/>
        <w:rPr>
          <w:rFonts w:ascii="Arial" w:hAnsi="Arial" w:cs="Arial"/>
        </w:rPr>
      </w:pPr>
      <w:r w:rsidRPr="002B41B5">
        <w:rPr>
          <w:rFonts w:ascii="Arial" w:hAnsi="Arial" w:cs="Arial"/>
        </w:rPr>
        <w:t>KPMG. (2019). Real estate in the UAE: A cornerstone of economic diversification. KPMG Insights.</w:t>
      </w:r>
    </w:p>
    <w:p w14:paraId="42AF37E9" w14:textId="77777777" w:rsidR="00C42367" w:rsidRPr="002B41B5" w:rsidRDefault="00C42367" w:rsidP="009C1931">
      <w:pPr>
        <w:spacing w:after="240" w:line="360" w:lineRule="auto"/>
        <w:rPr>
          <w:rFonts w:ascii="Arial" w:hAnsi="Arial" w:cs="Arial"/>
        </w:rPr>
      </w:pPr>
      <w:r w:rsidRPr="002B41B5">
        <w:rPr>
          <w:rFonts w:ascii="Arial" w:hAnsi="Arial" w:cs="Arial"/>
        </w:rPr>
        <w:t>Leung, C. K. (2004). Macroeconomics and housing: a review of the literature. Journal of Housing Economics, 13(4), 249-267.</w:t>
      </w:r>
    </w:p>
    <w:p w14:paraId="5700BCA3" w14:textId="77777777" w:rsidR="00C42367" w:rsidRPr="002B41B5" w:rsidRDefault="00C42367" w:rsidP="009C1931">
      <w:pPr>
        <w:spacing w:after="240" w:line="360" w:lineRule="auto"/>
        <w:rPr>
          <w:rFonts w:ascii="Arial" w:hAnsi="Arial" w:cs="Arial"/>
        </w:rPr>
      </w:pPr>
      <w:r w:rsidRPr="002B41B5">
        <w:rPr>
          <w:rFonts w:ascii="Arial" w:hAnsi="Arial" w:cs="Arial"/>
        </w:rPr>
        <w:t xml:space="preserve">Ley, D. (2003). Artists, </w:t>
      </w:r>
      <w:proofErr w:type="spellStart"/>
      <w:r w:rsidRPr="002B41B5">
        <w:rPr>
          <w:rFonts w:ascii="Arial" w:hAnsi="Arial" w:cs="Arial"/>
        </w:rPr>
        <w:t>aestheticisation</w:t>
      </w:r>
      <w:proofErr w:type="spellEnd"/>
      <w:r w:rsidRPr="002B41B5">
        <w:rPr>
          <w:rFonts w:ascii="Arial" w:hAnsi="Arial" w:cs="Arial"/>
        </w:rPr>
        <w:t xml:space="preserve"> and the field of gentrification. Urban Studies, 40(12), 2527-2544.</w:t>
      </w:r>
    </w:p>
    <w:p w14:paraId="52518EA2" w14:textId="77777777" w:rsidR="00C42367" w:rsidRPr="002B41B5" w:rsidRDefault="00C42367" w:rsidP="009C1931">
      <w:pPr>
        <w:spacing w:after="240" w:line="360" w:lineRule="auto"/>
        <w:rPr>
          <w:rFonts w:ascii="Arial" w:hAnsi="Arial" w:cs="Arial"/>
        </w:rPr>
      </w:pPr>
      <w:r w:rsidRPr="002B41B5">
        <w:rPr>
          <w:rFonts w:ascii="Arial" w:hAnsi="Arial" w:cs="Arial"/>
        </w:rPr>
        <w:t xml:space="preserve">Madi Odeh, R. B., Obeidat, B. Y., Jaradat, M. O., </w:t>
      </w:r>
      <w:proofErr w:type="spellStart"/>
      <w:r w:rsidRPr="002B41B5">
        <w:rPr>
          <w:rFonts w:ascii="Arial" w:hAnsi="Arial" w:cs="Arial"/>
        </w:rPr>
        <w:t>Masa'deh</w:t>
      </w:r>
      <w:proofErr w:type="spellEnd"/>
      <w:r w:rsidRPr="002B41B5">
        <w:rPr>
          <w:rFonts w:ascii="Arial" w:hAnsi="Arial" w:cs="Arial"/>
        </w:rPr>
        <w:t xml:space="preserve">, R. E., &amp; </w:t>
      </w:r>
      <w:proofErr w:type="spellStart"/>
      <w:r w:rsidRPr="002B41B5">
        <w:rPr>
          <w:rFonts w:ascii="Arial" w:hAnsi="Arial" w:cs="Arial"/>
        </w:rPr>
        <w:t>Alshurideh</w:t>
      </w:r>
      <w:proofErr w:type="spellEnd"/>
      <w:r w:rsidRPr="002B41B5">
        <w:rPr>
          <w:rFonts w:ascii="Arial" w:hAnsi="Arial" w:cs="Arial"/>
        </w:rPr>
        <w:t>, M. T. (2023). The transformational leadership role in achieving organizational resilience through adaptive cultures: the case of Dubai service sector. International Journal of Productivity and Performance Management, 72(2), 440-468.</w:t>
      </w:r>
    </w:p>
    <w:p w14:paraId="1DD9B964" w14:textId="77777777" w:rsidR="00C42367" w:rsidRPr="002B41B5" w:rsidRDefault="00C42367" w:rsidP="009C1931">
      <w:pPr>
        <w:spacing w:after="240" w:line="360" w:lineRule="auto"/>
        <w:rPr>
          <w:rFonts w:ascii="Arial" w:hAnsi="Arial" w:cs="Arial"/>
        </w:rPr>
      </w:pPr>
      <w:r w:rsidRPr="002B41B5">
        <w:rPr>
          <w:rFonts w:ascii="Arial" w:hAnsi="Arial" w:cs="Arial"/>
        </w:rPr>
        <w:t xml:space="preserve">Maleki, B. (2020). Assessment of Smart Cities: The Case of Dubai (Master's thesis, Eastern Mediterranean University (EMU)-Doğu Akdeniz </w:t>
      </w:r>
      <w:proofErr w:type="spellStart"/>
      <w:r w:rsidRPr="002B41B5">
        <w:rPr>
          <w:rFonts w:ascii="Arial" w:hAnsi="Arial" w:cs="Arial"/>
        </w:rPr>
        <w:t>Üniversitesi</w:t>
      </w:r>
      <w:proofErr w:type="spellEnd"/>
      <w:r w:rsidRPr="002B41B5">
        <w:rPr>
          <w:rFonts w:ascii="Arial" w:hAnsi="Arial" w:cs="Arial"/>
        </w:rPr>
        <w:t xml:space="preserve"> (DAÜ)).</w:t>
      </w:r>
    </w:p>
    <w:p w14:paraId="44A9F151" w14:textId="77777777" w:rsidR="00C42367" w:rsidRPr="002B41B5" w:rsidRDefault="00C42367" w:rsidP="009C1931">
      <w:pPr>
        <w:spacing w:after="240" w:line="360" w:lineRule="auto"/>
        <w:rPr>
          <w:rFonts w:ascii="Arial" w:hAnsi="Arial" w:cs="Arial"/>
        </w:rPr>
      </w:pPr>
      <w:r w:rsidRPr="002B41B5">
        <w:rPr>
          <w:rFonts w:ascii="Arial" w:hAnsi="Arial" w:cs="Arial"/>
        </w:rPr>
        <w:t>Maxwell, J. A. (2013). Qualitative research design: An interactive approach. Sage Publications.</w:t>
      </w:r>
    </w:p>
    <w:p w14:paraId="469B8EE9" w14:textId="77777777" w:rsidR="00C42367" w:rsidRPr="002B41B5" w:rsidRDefault="00C42367" w:rsidP="009C1931">
      <w:pPr>
        <w:spacing w:after="240" w:line="360" w:lineRule="auto"/>
        <w:rPr>
          <w:rFonts w:ascii="Arial" w:hAnsi="Arial" w:cs="Arial"/>
        </w:rPr>
      </w:pPr>
      <w:r w:rsidRPr="002B41B5">
        <w:rPr>
          <w:rFonts w:ascii="Arial" w:hAnsi="Arial" w:cs="Arial"/>
        </w:rPr>
        <w:t>McDonald, J. F., &amp; McMillen, D. P. (2011). Urban economics and real estate: Theory and policy. John Wiley &amp; Sons.</w:t>
      </w:r>
    </w:p>
    <w:p w14:paraId="58C65C5B" w14:textId="77777777" w:rsidR="00C42367" w:rsidRPr="002B41B5" w:rsidRDefault="00C42367" w:rsidP="009C1931">
      <w:pPr>
        <w:spacing w:after="240" w:line="360" w:lineRule="auto"/>
        <w:rPr>
          <w:rFonts w:ascii="Arial" w:hAnsi="Arial" w:cs="Arial"/>
        </w:rPr>
      </w:pPr>
      <w:r w:rsidRPr="002B41B5">
        <w:rPr>
          <w:rFonts w:ascii="Arial" w:hAnsi="Arial" w:cs="Arial"/>
        </w:rPr>
        <w:t>Merriam, S. B. (2014). Qualitative research: A guide to design and implementation. Jossey-Bass.</w:t>
      </w:r>
    </w:p>
    <w:p w14:paraId="4CD1F57C" w14:textId="77777777" w:rsidR="00C42367" w:rsidRPr="002B41B5" w:rsidRDefault="00C42367" w:rsidP="009C1931">
      <w:pPr>
        <w:spacing w:after="240" w:line="360" w:lineRule="auto"/>
        <w:rPr>
          <w:rFonts w:ascii="Arial" w:hAnsi="Arial" w:cs="Arial"/>
        </w:rPr>
      </w:pPr>
      <w:r w:rsidRPr="002B41B5">
        <w:rPr>
          <w:rFonts w:ascii="Arial" w:hAnsi="Arial" w:cs="Arial"/>
        </w:rPr>
        <w:t>Perroux, F. (1955). Note on the concept of "growth poles". Econ Appl, 7, 307-320.</w:t>
      </w:r>
    </w:p>
    <w:p w14:paraId="2DC37B80" w14:textId="77777777" w:rsidR="00C42367" w:rsidRPr="002B41B5" w:rsidRDefault="00C42367" w:rsidP="009C1931">
      <w:pPr>
        <w:spacing w:after="240" w:line="360" w:lineRule="auto"/>
        <w:rPr>
          <w:rFonts w:ascii="Arial" w:hAnsi="Arial" w:cs="Arial"/>
        </w:rPr>
      </w:pPr>
      <w:r w:rsidRPr="002B41B5">
        <w:rPr>
          <w:rFonts w:ascii="Arial" w:hAnsi="Arial" w:cs="Arial"/>
        </w:rPr>
        <w:lastRenderedPageBreak/>
        <w:t>Pillai, R., &amp; Husam-Aldin, N. Al-</w:t>
      </w:r>
      <w:proofErr w:type="spellStart"/>
      <w:r w:rsidRPr="002B41B5">
        <w:rPr>
          <w:rFonts w:ascii="Arial" w:hAnsi="Arial" w:cs="Arial"/>
        </w:rPr>
        <w:t>Malkawi</w:t>
      </w:r>
      <w:proofErr w:type="spellEnd"/>
      <w:r w:rsidRPr="002B41B5">
        <w:rPr>
          <w:rFonts w:ascii="Arial" w:hAnsi="Arial" w:cs="Arial"/>
        </w:rPr>
        <w:t>, and M. Ishaq Bhatti. 2021. Assessing Institutional Dynamics of Governance Compliance in Emerging Markets: The GCC Real Estate Sector. Journal of Risk and Financial Management, 14, 501.</w:t>
      </w:r>
    </w:p>
    <w:p w14:paraId="3F65B517" w14:textId="77777777" w:rsidR="00C42367" w:rsidRPr="002B41B5" w:rsidRDefault="00C42367" w:rsidP="009C1931">
      <w:pPr>
        <w:spacing w:after="240" w:line="360" w:lineRule="auto"/>
        <w:rPr>
          <w:rFonts w:ascii="Arial" w:hAnsi="Arial" w:cs="Arial"/>
        </w:rPr>
      </w:pPr>
      <w:r w:rsidRPr="002B41B5">
        <w:rPr>
          <w:rFonts w:ascii="Arial" w:hAnsi="Arial" w:cs="Arial"/>
        </w:rPr>
        <w:t>Pineda, V. S. (2020). Building the Inclusive City: Governance, access, and the urban transformation of Dubai (p. 169). Springer Nature.</w:t>
      </w:r>
    </w:p>
    <w:p w14:paraId="3BE11A28" w14:textId="77777777" w:rsidR="00C42367" w:rsidRPr="002B41B5" w:rsidRDefault="00C42367" w:rsidP="009C1931">
      <w:pPr>
        <w:spacing w:after="240" w:line="360" w:lineRule="auto"/>
        <w:rPr>
          <w:rFonts w:ascii="Arial" w:hAnsi="Arial" w:cs="Arial"/>
        </w:rPr>
      </w:pPr>
      <w:r w:rsidRPr="002B41B5">
        <w:rPr>
          <w:rFonts w:ascii="Arial" w:hAnsi="Arial" w:cs="Arial"/>
        </w:rPr>
        <w:t xml:space="preserve">Praveen, R. P., </w:t>
      </w:r>
      <w:proofErr w:type="spellStart"/>
      <w:r w:rsidRPr="002B41B5">
        <w:rPr>
          <w:rFonts w:ascii="Arial" w:hAnsi="Arial" w:cs="Arial"/>
        </w:rPr>
        <w:t>Keloth</w:t>
      </w:r>
      <w:proofErr w:type="spellEnd"/>
      <w:r w:rsidRPr="002B41B5">
        <w:rPr>
          <w:rFonts w:ascii="Arial" w:hAnsi="Arial" w:cs="Arial"/>
        </w:rPr>
        <w:t xml:space="preserve">, V., Abo-Khalil, A. G., Alghamdi, A. S., </w:t>
      </w:r>
      <w:proofErr w:type="spellStart"/>
      <w:r w:rsidRPr="002B41B5">
        <w:rPr>
          <w:rFonts w:ascii="Arial" w:hAnsi="Arial" w:cs="Arial"/>
        </w:rPr>
        <w:t>Eltamaly</w:t>
      </w:r>
      <w:proofErr w:type="spellEnd"/>
      <w:r w:rsidRPr="002B41B5">
        <w:rPr>
          <w:rFonts w:ascii="Arial" w:hAnsi="Arial" w:cs="Arial"/>
        </w:rPr>
        <w:t>, A. M., &amp; Tlili, I. (2020). An insight to the energy policy of GCC countries to meet renewable energy targets of 2030. Energy Policy, 147, 111864.</w:t>
      </w:r>
    </w:p>
    <w:p w14:paraId="45B55276" w14:textId="77777777" w:rsidR="00C42367" w:rsidRPr="002B41B5" w:rsidRDefault="00C42367" w:rsidP="009C1931">
      <w:pPr>
        <w:spacing w:after="240" w:line="360" w:lineRule="auto"/>
        <w:rPr>
          <w:rFonts w:ascii="Arial" w:hAnsi="Arial" w:cs="Arial"/>
        </w:rPr>
      </w:pPr>
      <w:r w:rsidRPr="002B41B5">
        <w:rPr>
          <w:rFonts w:ascii="Arial" w:hAnsi="Arial" w:cs="Arial"/>
        </w:rPr>
        <w:t>Riadh, A. D. (2022). Dubai, the sustainable, smart city. Renewable Energy and Environmental Sustainability, 7, 3.</w:t>
      </w:r>
    </w:p>
    <w:p w14:paraId="58296237" w14:textId="77777777" w:rsidR="00C42367" w:rsidRPr="002B41B5" w:rsidRDefault="00C42367" w:rsidP="009C1931">
      <w:pPr>
        <w:spacing w:after="240" w:line="360" w:lineRule="auto"/>
        <w:rPr>
          <w:rFonts w:ascii="Arial" w:hAnsi="Arial" w:cs="Arial"/>
        </w:rPr>
      </w:pPr>
      <w:r w:rsidRPr="002B41B5">
        <w:rPr>
          <w:rFonts w:ascii="Arial" w:hAnsi="Arial" w:cs="Arial"/>
        </w:rPr>
        <w:t>Ritchie, B. W., &amp; Crotts, J. C. (2014). The competitive destination: A sustainable tourism perspective. CABI.</w:t>
      </w:r>
    </w:p>
    <w:p w14:paraId="46A9C0A8" w14:textId="77777777" w:rsidR="00C42367" w:rsidRPr="002B41B5" w:rsidRDefault="00C42367" w:rsidP="009C1931">
      <w:pPr>
        <w:spacing w:after="240" w:line="360" w:lineRule="auto"/>
        <w:rPr>
          <w:rFonts w:ascii="Arial" w:hAnsi="Arial" w:cs="Arial"/>
        </w:rPr>
      </w:pPr>
      <w:r w:rsidRPr="002B41B5">
        <w:rPr>
          <w:rFonts w:ascii="Arial" w:hAnsi="Arial" w:cs="Arial"/>
        </w:rPr>
        <w:t xml:space="preserve">Rosala, M. (2024) How to </w:t>
      </w:r>
      <w:proofErr w:type="spellStart"/>
      <w:r w:rsidRPr="002B41B5">
        <w:rPr>
          <w:rFonts w:ascii="Arial" w:hAnsi="Arial" w:cs="Arial"/>
        </w:rPr>
        <w:t>Analyze</w:t>
      </w:r>
      <w:proofErr w:type="spellEnd"/>
      <w:r w:rsidRPr="002B41B5">
        <w:rPr>
          <w:rFonts w:ascii="Arial" w:hAnsi="Arial" w:cs="Arial"/>
        </w:rPr>
        <w:t xml:space="preserve"> Qualitative Data from UX Research: Thematic Analysis. [Online] Nielsen Norman Group. Available </w:t>
      </w:r>
      <w:proofErr w:type="gramStart"/>
      <w:r w:rsidRPr="002B41B5">
        <w:rPr>
          <w:rFonts w:ascii="Arial" w:hAnsi="Arial" w:cs="Arial"/>
        </w:rPr>
        <w:t>from :</w:t>
      </w:r>
      <w:proofErr w:type="gramEnd"/>
      <w:r w:rsidRPr="002B41B5">
        <w:rPr>
          <w:rFonts w:ascii="Arial" w:hAnsi="Arial" w:cs="Arial"/>
        </w:rPr>
        <w:t xml:space="preserve"> </w:t>
      </w:r>
      <w:hyperlink r:id="rId13" w:history="1">
        <w:r w:rsidRPr="002B41B5">
          <w:rPr>
            <w:rStyle w:val="Hyperlink"/>
            <w:rFonts w:ascii="Arial" w:hAnsi="Arial" w:cs="Arial"/>
          </w:rPr>
          <w:t>https://www.nngroup.com/articles/thematic-analysis/</w:t>
        </w:r>
      </w:hyperlink>
      <w:r w:rsidRPr="002B41B5">
        <w:rPr>
          <w:rFonts w:ascii="Arial" w:hAnsi="Arial" w:cs="Arial"/>
        </w:rPr>
        <w:t>.</w:t>
      </w:r>
    </w:p>
    <w:p w14:paraId="7950BD5A" w14:textId="77777777" w:rsidR="00C42367" w:rsidRPr="002B41B5" w:rsidRDefault="00C42367" w:rsidP="009C1931">
      <w:pPr>
        <w:spacing w:after="240" w:line="360" w:lineRule="auto"/>
        <w:rPr>
          <w:rFonts w:ascii="Arial" w:hAnsi="Arial" w:cs="Arial"/>
        </w:rPr>
      </w:pPr>
      <w:r w:rsidRPr="002B41B5">
        <w:rPr>
          <w:rFonts w:ascii="Arial" w:hAnsi="Arial" w:cs="Arial"/>
        </w:rPr>
        <w:t xml:space="preserve">Saari, A., </w:t>
      </w:r>
      <w:proofErr w:type="spellStart"/>
      <w:r w:rsidRPr="002B41B5">
        <w:rPr>
          <w:rFonts w:ascii="Arial" w:hAnsi="Arial" w:cs="Arial"/>
        </w:rPr>
        <w:t>Vimpari</w:t>
      </w:r>
      <w:proofErr w:type="spellEnd"/>
      <w:r w:rsidRPr="002B41B5">
        <w:rPr>
          <w:rFonts w:ascii="Arial" w:hAnsi="Arial" w:cs="Arial"/>
        </w:rPr>
        <w:t>, J., &amp; Junnila, S. (2022). Blockchain in real estate: Recent developments and empirical applications. Land Use Policy, 121, 106334.</w:t>
      </w:r>
    </w:p>
    <w:p w14:paraId="297D1B1C" w14:textId="77777777" w:rsidR="00C42367" w:rsidRPr="002B41B5" w:rsidRDefault="00C42367" w:rsidP="009C1931">
      <w:pPr>
        <w:spacing w:after="240" w:line="360" w:lineRule="auto"/>
        <w:rPr>
          <w:rFonts w:ascii="Arial" w:hAnsi="Arial" w:cs="Arial"/>
        </w:rPr>
      </w:pPr>
      <w:proofErr w:type="spellStart"/>
      <w:r w:rsidRPr="002B41B5">
        <w:rPr>
          <w:rFonts w:ascii="Arial" w:hAnsi="Arial" w:cs="Arial"/>
        </w:rPr>
        <w:t>Sajwani</w:t>
      </w:r>
      <w:proofErr w:type="spellEnd"/>
      <w:r w:rsidRPr="002B41B5">
        <w:rPr>
          <w:rFonts w:ascii="Arial" w:hAnsi="Arial" w:cs="Arial"/>
        </w:rPr>
        <w:t>, G., &amp; Al-Othman, H. (2023). Sustainable development: an analytical vision for smart Dubai city social policies. Information Science Letters, 12(7), 2877-2889.</w:t>
      </w:r>
    </w:p>
    <w:p w14:paraId="3F85CCED" w14:textId="77777777" w:rsidR="00C42367" w:rsidRPr="002B41B5" w:rsidRDefault="00C42367" w:rsidP="009C1931">
      <w:pPr>
        <w:spacing w:after="240" w:line="360" w:lineRule="auto"/>
        <w:rPr>
          <w:rFonts w:ascii="Arial" w:hAnsi="Arial" w:cs="Arial"/>
        </w:rPr>
      </w:pPr>
      <w:r w:rsidRPr="002B41B5">
        <w:rPr>
          <w:rFonts w:ascii="Arial" w:hAnsi="Arial" w:cs="Arial"/>
        </w:rPr>
        <w:t>Silverman, D. (2016). Qualitative research. Sage.</w:t>
      </w:r>
    </w:p>
    <w:p w14:paraId="0325F5CA" w14:textId="77777777" w:rsidR="00C42367" w:rsidRPr="002B41B5" w:rsidRDefault="00C42367" w:rsidP="009C1931">
      <w:pPr>
        <w:spacing w:after="240" w:line="360" w:lineRule="auto"/>
        <w:rPr>
          <w:rFonts w:ascii="Arial" w:hAnsi="Arial" w:cs="Arial"/>
        </w:rPr>
      </w:pPr>
      <w:proofErr w:type="spellStart"/>
      <w:r w:rsidRPr="002B41B5">
        <w:rPr>
          <w:rFonts w:ascii="Arial" w:hAnsi="Arial" w:cs="Arial"/>
        </w:rPr>
        <w:t>Uchehara</w:t>
      </w:r>
      <w:proofErr w:type="spellEnd"/>
      <w:r w:rsidRPr="002B41B5">
        <w:rPr>
          <w:rFonts w:ascii="Arial" w:hAnsi="Arial" w:cs="Arial"/>
        </w:rPr>
        <w:t>, I., Hamma-</w:t>
      </w:r>
      <w:proofErr w:type="spellStart"/>
      <w:r w:rsidRPr="002B41B5">
        <w:rPr>
          <w:rFonts w:ascii="Arial" w:hAnsi="Arial" w:cs="Arial"/>
        </w:rPr>
        <w:t>Adama</w:t>
      </w:r>
      <w:proofErr w:type="spellEnd"/>
      <w:r w:rsidRPr="002B41B5">
        <w:rPr>
          <w:rFonts w:ascii="Arial" w:hAnsi="Arial" w:cs="Arial"/>
        </w:rPr>
        <w:t xml:space="preserve">, M., Obiri, K. A., </w:t>
      </w:r>
      <w:proofErr w:type="spellStart"/>
      <w:r w:rsidRPr="002B41B5">
        <w:rPr>
          <w:rFonts w:ascii="Arial" w:hAnsi="Arial" w:cs="Arial"/>
        </w:rPr>
        <w:t>Jafarifar</w:t>
      </w:r>
      <w:proofErr w:type="spellEnd"/>
      <w:r w:rsidRPr="002B41B5">
        <w:rPr>
          <w:rFonts w:ascii="Arial" w:hAnsi="Arial" w:cs="Arial"/>
        </w:rPr>
        <w:t>, N., &amp; Moore, D. (2020). Impacts and risk management of COVID-19 pandemic on real estate supply chain. International journal of real estate studies, 14(S1), 41-53.</w:t>
      </w:r>
    </w:p>
    <w:p w14:paraId="6252F489" w14:textId="77777777" w:rsidR="00C42367" w:rsidRPr="002B41B5" w:rsidRDefault="00C42367" w:rsidP="009C1931">
      <w:pPr>
        <w:spacing w:after="240" w:line="360" w:lineRule="auto"/>
        <w:rPr>
          <w:rFonts w:ascii="Arial" w:hAnsi="Arial" w:cs="Arial"/>
        </w:rPr>
      </w:pPr>
      <w:proofErr w:type="spellStart"/>
      <w:r w:rsidRPr="002B41B5">
        <w:rPr>
          <w:rFonts w:ascii="Arial" w:hAnsi="Arial" w:cs="Arial"/>
        </w:rPr>
        <w:t>Vardopoulos</w:t>
      </w:r>
      <w:proofErr w:type="spellEnd"/>
      <w:r w:rsidRPr="002B41B5">
        <w:rPr>
          <w:rFonts w:ascii="Arial" w:hAnsi="Arial" w:cs="Arial"/>
        </w:rPr>
        <w:t xml:space="preserve">, I., </w:t>
      </w:r>
      <w:proofErr w:type="spellStart"/>
      <w:r w:rsidRPr="002B41B5">
        <w:rPr>
          <w:rFonts w:ascii="Arial" w:hAnsi="Arial" w:cs="Arial"/>
        </w:rPr>
        <w:t>Papoui</w:t>
      </w:r>
      <w:proofErr w:type="spellEnd"/>
      <w:r w:rsidRPr="002B41B5">
        <w:rPr>
          <w:rFonts w:ascii="Arial" w:hAnsi="Arial" w:cs="Arial"/>
        </w:rPr>
        <w:t>-Evangelou, M., Nosova, B., &amp; Salvati, L. (2023). Smart ‘tourist cities’ revisited: culture-led urban sustainability and the global real estate market. Sustainability, 15(5), 4313.</w:t>
      </w:r>
    </w:p>
    <w:p w14:paraId="237C27C8" w14:textId="77777777" w:rsidR="00C42367" w:rsidRPr="002B41B5" w:rsidRDefault="00C42367" w:rsidP="009C1931">
      <w:pPr>
        <w:spacing w:after="240" w:line="360" w:lineRule="auto"/>
        <w:rPr>
          <w:rFonts w:ascii="Arial" w:hAnsi="Arial" w:cs="Arial"/>
        </w:rPr>
      </w:pPr>
      <w:r w:rsidRPr="002B41B5">
        <w:rPr>
          <w:rFonts w:ascii="Arial" w:hAnsi="Arial" w:cs="Arial"/>
        </w:rPr>
        <w:t>World Bank. (2018). The World Bank in the United Arab Emirates. World Bank.</w:t>
      </w:r>
    </w:p>
    <w:p w14:paraId="6D0EDF5F" w14:textId="77777777" w:rsidR="00C42367" w:rsidRPr="002B41B5" w:rsidRDefault="00C42367" w:rsidP="009C1931">
      <w:pPr>
        <w:spacing w:after="240" w:line="360" w:lineRule="auto"/>
        <w:rPr>
          <w:rFonts w:ascii="Arial" w:hAnsi="Arial" w:cs="Arial"/>
        </w:rPr>
      </w:pPr>
      <w:r w:rsidRPr="002B41B5">
        <w:rPr>
          <w:rFonts w:ascii="Arial" w:hAnsi="Arial" w:cs="Arial"/>
        </w:rPr>
        <w:lastRenderedPageBreak/>
        <w:t>World Economic Forum. (2016). The future of real estate investments: Integrating sustainability in real estate markets. Geneva: World Economic Forum.</w:t>
      </w:r>
    </w:p>
    <w:p w14:paraId="6E9C36CC" w14:textId="77777777" w:rsidR="00C42367" w:rsidRPr="002B41B5" w:rsidRDefault="00C42367" w:rsidP="009C1931">
      <w:pPr>
        <w:spacing w:after="240" w:line="360" w:lineRule="auto"/>
        <w:rPr>
          <w:rFonts w:ascii="Arial" w:hAnsi="Arial" w:cs="Arial"/>
        </w:rPr>
      </w:pPr>
      <w:r w:rsidRPr="002B41B5">
        <w:rPr>
          <w:rFonts w:ascii="Arial" w:hAnsi="Arial" w:cs="Arial"/>
        </w:rPr>
        <w:t xml:space="preserve">Yas, H., Mardani, A., Albayati, Y. K., Lootah, S. E., &amp; </w:t>
      </w:r>
      <w:proofErr w:type="spellStart"/>
      <w:r w:rsidRPr="002B41B5">
        <w:rPr>
          <w:rFonts w:ascii="Arial" w:hAnsi="Arial" w:cs="Arial"/>
        </w:rPr>
        <w:t>Streimikiene</w:t>
      </w:r>
      <w:proofErr w:type="spellEnd"/>
      <w:r w:rsidRPr="002B41B5">
        <w:rPr>
          <w:rFonts w:ascii="Arial" w:hAnsi="Arial" w:cs="Arial"/>
        </w:rPr>
        <w:t>, D. (2020). The positive role of the tourism industry for Dubai city in the United Arab Emirates. Contemporary Economics, 14(4), 601.</w:t>
      </w:r>
    </w:p>
    <w:p w14:paraId="79EF108A" w14:textId="77777777" w:rsidR="00C42367" w:rsidRPr="002B41B5" w:rsidRDefault="00C42367" w:rsidP="009C1931">
      <w:pPr>
        <w:spacing w:after="240" w:line="360" w:lineRule="auto"/>
        <w:rPr>
          <w:rFonts w:ascii="Arial" w:hAnsi="Arial" w:cs="Arial"/>
        </w:rPr>
      </w:pPr>
      <w:r w:rsidRPr="002B41B5">
        <w:rPr>
          <w:rFonts w:ascii="Arial" w:hAnsi="Arial" w:cs="Arial"/>
        </w:rPr>
        <w:t>Yin, R. K. (2018). Case study research and applications: Design and methods. Sage Publications.</w:t>
      </w:r>
    </w:p>
    <w:p w14:paraId="635A75A4" w14:textId="77777777" w:rsidR="00C42367" w:rsidRPr="002B41B5" w:rsidRDefault="00C42367" w:rsidP="009C1931">
      <w:pPr>
        <w:spacing w:after="240" w:line="360" w:lineRule="auto"/>
        <w:rPr>
          <w:rFonts w:ascii="Arial" w:hAnsi="Arial" w:cs="Arial"/>
        </w:rPr>
      </w:pPr>
      <w:r w:rsidRPr="002B41B5">
        <w:rPr>
          <w:rFonts w:ascii="Arial" w:hAnsi="Arial" w:cs="Arial"/>
        </w:rPr>
        <w:t>Zhang, X., &amp; Fung, H. G. (2006). China’s real estate market and the theory of urban development. Journal of Real Estate Literature, 14(3), 339-356.</w:t>
      </w:r>
    </w:p>
    <w:sectPr w:rsidR="00C42367" w:rsidRPr="002B41B5" w:rsidSect="00030684">
      <w:footerReference w:type="even"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E479AA" w14:textId="77777777" w:rsidR="008F1249" w:rsidRDefault="008F1249" w:rsidP="00B74102">
      <w:r>
        <w:separator/>
      </w:r>
    </w:p>
  </w:endnote>
  <w:endnote w:type="continuationSeparator" w:id="0">
    <w:p w14:paraId="35158398" w14:textId="77777777" w:rsidR="008F1249" w:rsidRDefault="008F1249" w:rsidP="00B74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5834577"/>
      <w:docPartObj>
        <w:docPartGallery w:val="Page Numbers (Bottom of Page)"/>
        <w:docPartUnique/>
      </w:docPartObj>
    </w:sdtPr>
    <w:sdtEndPr>
      <w:rPr>
        <w:rFonts w:ascii="Times New Roman" w:hAnsi="Times New Roman" w:cs="Times New Roman"/>
        <w:noProof/>
        <w:sz w:val="20"/>
        <w:szCs w:val="20"/>
      </w:rPr>
    </w:sdtEndPr>
    <w:sdtContent>
      <w:p w14:paraId="4D5E4194" w14:textId="77777777" w:rsidR="00C42367" w:rsidRPr="00DE64B8" w:rsidRDefault="00C42367">
        <w:pPr>
          <w:pStyle w:val="Footer"/>
          <w:jc w:val="right"/>
          <w:rPr>
            <w:rFonts w:ascii="Times New Roman" w:hAnsi="Times New Roman" w:cs="Times New Roman"/>
            <w:sz w:val="20"/>
            <w:szCs w:val="20"/>
          </w:rPr>
        </w:pPr>
        <w:r w:rsidRPr="00DE64B8">
          <w:rPr>
            <w:rFonts w:ascii="Times New Roman" w:hAnsi="Times New Roman" w:cs="Times New Roman"/>
            <w:sz w:val="20"/>
            <w:szCs w:val="20"/>
          </w:rPr>
          <w:fldChar w:fldCharType="begin"/>
        </w:r>
        <w:r w:rsidRPr="00DE64B8">
          <w:rPr>
            <w:rFonts w:ascii="Times New Roman" w:hAnsi="Times New Roman" w:cs="Times New Roman"/>
            <w:sz w:val="20"/>
            <w:szCs w:val="20"/>
          </w:rPr>
          <w:instrText xml:space="preserve"> PAGE   \* MERGEFORMAT </w:instrText>
        </w:r>
        <w:r w:rsidRPr="00DE64B8">
          <w:rPr>
            <w:rFonts w:ascii="Times New Roman" w:hAnsi="Times New Roman" w:cs="Times New Roman"/>
            <w:sz w:val="20"/>
            <w:szCs w:val="20"/>
          </w:rPr>
          <w:fldChar w:fldCharType="separate"/>
        </w:r>
        <w:r w:rsidRPr="00DE64B8">
          <w:rPr>
            <w:rFonts w:ascii="Times New Roman" w:hAnsi="Times New Roman" w:cs="Times New Roman"/>
            <w:noProof/>
            <w:sz w:val="20"/>
            <w:szCs w:val="20"/>
          </w:rPr>
          <w:t>2</w:t>
        </w:r>
        <w:r w:rsidRPr="00DE64B8">
          <w:rPr>
            <w:rFonts w:ascii="Times New Roman" w:hAnsi="Times New Roman" w:cs="Times New Roman"/>
            <w:noProof/>
            <w:sz w:val="20"/>
            <w:szCs w:val="20"/>
          </w:rPr>
          <w:fldChar w:fldCharType="end"/>
        </w:r>
      </w:p>
    </w:sdtContent>
  </w:sdt>
  <w:p w14:paraId="3406971E" w14:textId="77777777" w:rsidR="00C42367" w:rsidRDefault="00C423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691184204"/>
      <w:docPartObj>
        <w:docPartGallery w:val="Page Numbers (Bottom of Page)"/>
        <w:docPartUnique/>
      </w:docPartObj>
    </w:sdtPr>
    <w:sdtContent>
      <w:p w14:paraId="5BBF72CF" w14:textId="6B36DA71" w:rsidR="00B74102" w:rsidRDefault="00B74102" w:rsidP="000B4F8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68FF53A" w14:textId="77777777" w:rsidR="00B74102" w:rsidRDefault="00B74102" w:rsidP="00B7410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597679030"/>
      <w:docPartObj>
        <w:docPartGallery w:val="Page Numbers (Bottom of Page)"/>
        <w:docPartUnique/>
      </w:docPartObj>
    </w:sdtPr>
    <w:sdtContent>
      <w:p w14:paraId="0C1C9590" w14:textId="0577394E" w:rsidR="00B74102" w:rsidRDefault="00B74102" w:rsidP="000B4F8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D60F825" w14:textId="77777777" w:rsidR="00B74102" w:rsidRDefault="00B74102" w:rsidP="00B7410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C257F8" w14:textId="77777777" w:rsidR="008F1249" w:rsidRDefault="008F1249" w:rsidP="00B74102">
      <w:r>
        <w:separator/>
      </w:r>
    </w:p>
  </w:footnote>
  <w:footnote w:type="continuationSeparator" w:id="0">
    <w:p w14:paraId="36F33E4C" w14:textId="77777777" w:rsidR="008F1249" w:rsidRDefault="008F1249" w:rsidP="00B741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47D8A8" w14:textId="232084AE" w:rsidR="004C7394" w:rsidRDefault="004C7394">
    <w:pPr>
      <w:pStyle w:val="Header"/>
    </w:pPr>
    <w:r>
      <w:rPr>
        <w:noProof/>
      </w:rPr>
      <w:drawing>
        <wp:inline distT="0" distB="0" distL="0" distR="0" wp14:anchorId="318ED98F" wp14:editId="503D0E54">
          <wp:extent cx="921263" cy="510540"/>
          <wp:effectExtent l="0" t="0" r="0" b="3810"/>
          <wp:docPr id="53263063" name="Picture 1" descr="University of the week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the week - University of Wales Trinity Saint Davi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4734" cy="52354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8B2C3D"/>
    <w:multiLevelType w:val="hybridMultilevel"/>
    <w:tmpl w:val="C9540EF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F117DA9"/>
    <w:multiLevelType w:val="hybridMultilevel"/>
    <w:tmpl w:val="381293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85B3F2A"/>
    <w:multiLevelType w:val="hybridMultilevel"/>
    <w:tmpl w:val="DB6AF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004131"/>
    <w:multiLevelType w:val="multilevel"/>
    <w:tmpl w:val="83B2C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A815F80"/>
    <w:multiLevelType w:val="hybridMultilevel"/>
    <w:tmpl w:val="18EA21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B4C7330"/>
    <w:multiLevelType w:val="hybridMultilevel"/>
    <w:tmpl w:val="7B3AFD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61854931">
    <w:abstractNumId w:val="3"/>
  </w:num>
  <w:num w:numId="2" w16cid:durableId="1525047582">
    <w:abstractNumId w:val="5"/>
  </w:num>
  <w:num w:numId="3" w16cid:durableId="246036677">
    <w:abstractNumId w:val="0"/>
  </w:num>
  <w:num w:numId="4" w16cid:durableId="1964576843">
    <w:abstractNumId w:val="2"/>
  </w:num>
  <w:num w:numId="5" w16cid:durableId="710153467">
    <w:abstractNumId w:val="1"/>
  </w:num>
  <w:num w:numId="6" w16cid:durableId="2612300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FD3"/>
    <w:rsid w:val="00013692"/>
    <w:rsid w:val="00015E0F"/>
    <w:rsid w:val="00030684"/>
    <w:rsid w:val="00032FA9"/>
    <w:rsid w:val="00043D0C"/>
    <w:rsid w:val="00052B97"/>
    <w:rsid w:val="0007412F"/>
    <w:rsid w:val="00093827"/>
    <w:rsid w:val="000961C9"/>
    <w:rsid w:val="000A0E5F"/>
    <w:rsid w:val="000B6FCF"/>
    <w:rsid w:val="000B7F6D"/>
    <w:rsid w:val="000F5A30"/>
    <w:rsid w:val="00127D07"/>
    <w:rsid w:val="00127DF4"/>
    <w:rsid w:val="0014204C"/>
    <w:rsid w:val="00142EB7"/>
    <w:rsid w:val="001826A2"/>
    <w:rsid w:val="001848FA"/>
    <w:rsid w:val="00187B76"/>
    <w:rsid w:val="001A07E6"/>
    <w:rsid w:val="001B20D9"/>
    <w:rsid w:val="001C089F"/>
    <w:rsid w:val="001C2F9E"/>
    <w:rsid w:val="001C3782"/>
    <w:rsid w:val="001C67F5"/>
    <w:rsid w:val="001F11DA"/>
    <w:rsid w:val="001F729E"/>
    <w:rsid w:val="00237171"/>
    <w:rsid w:val="002972CD"/>
    <w:rsid w:val="002B063F"/>
    <w:rsid w:val="002B41B5"/>
    <w:rsid w:val="002E3117"/>
    <w:rsid w:val="00300C51"/>
    <w:rsid w:val="00344512"/>
    <w:rsid w:val="00362D55"/>
    <w:rsid w:val="003714A4"/>
    <w:rsid w:val="00385D60"/>
    <w:rsid w:val="0038610F"/>
    <w:rsid w:val="003A5C90"/>
    <w:rsid w:val="003C31F2"/>
    <w:rsid w:val="003E2EEE"/>
    <w:rsid w:val="003F1A29"/>
    <w:rsid w:val="003F48BF"/>
    <w:rsid w:val="00426363"/>
    <w:rsid w:val="00443885"/>
    <w:rsid w:val="00453FF9"/>
    <w:rsid w:val="004633DD"/>
    <w:rsid w:val="004809B2"/>
    <w:rsid w:val="004C7394"/>
    <w:rsid w:val="004E4B62"/>
    <w:rsid w:val="005368C9"/>
    <w:rsid w:val="00540F6A"/>
    <w:rsid w:val="00544F0B"/>
    <w:rsid w:val="00584E92"/>
    <w:rsid w:val="005D1DF2"/>
    <w:rsid w:val="005D26C2"/>
    <w:rsid w:val="005F2281"/>
    <w:rsid w:val="00625029"/>
    <w:rsid w:val="00651B93"/>
    <w:rsid w:val="00654E87"/>
    <w:rsid w:val="006572D1"/>
    <w:rsid w:val="00662080"/>
    <w:rsid w:val="00673093"/>
    <w:rsid w:val="006926DC"/>
    <w:rsid w:val="006A4816"/>
    <w:rsid w:val="006A58D1"/>
    <w:rsid w:val="006D5980"/>
    <w:rsid w:val="007016B0"/>
    <w:rsid w:val="00731151"/>
    <w:rsid w:val="00741BA9"/>
    <w:rsid w:val="00785067"/>
    <w:rsid w:val="00787A06"/>
    <w:rsid w:val="008016FE"/>
    <w:rsid w:val="00860966"/>
    <w:rsid w:val="00867FDD"/>
    <w:rsid w:val="00896F5C"/>
    <w:rsid w:val="008B4D7D"/>
    <w:rsid w:val="008B7780"/>
    <w:rsid w:val="008C0C69"/>
    <w:rsid w:val="008C2FD3"/>
    <w:rsid w:val="008F1249"/>
    <w:rsid w:val="00905017"/>
    <w:rsid w:val="009164B4"/>
    <w:rsid w:val="00937AD4"/>
    <w:rsid w:val="009649AA"/>
    <w:rsid w:val="00973566"/>
    <w:rsid w:val="009801DC"/>
    <w:rsid w:val="0098205D"/>
    <w:rsid w:val="009B3004"/>
    <w:rsid w:val="009C1931"/>
    <w:rsid w:val="009C1BF7"/>
    <w:rsid w:val="00A0387B"/>
    <w:rsid w:val="00A06924"/>
    <w:rsid w:val="00A26B2A"/>
    <w:rsid w:val="00A33CC6"/>
    <w:rsid w:val="00A35BE9"/>
    <w:rsid w:val="00A84BC9"/>
    <w:rsid w:val="00AD3406"/>
    <w:rsid w:val="00AF4397"/>
    <w:rsid w:val="00B15FDE"/>
    <w:rsid w:val="00B57960"/>
    <w:rsid w:val="00B74102"/>
    <w:rsid w:val="00B9759F"/>
    <w:rsid w:val="00BC07CC"/>
    <w:rsid w:val="00BC1724"/>
    <w:rsid w:val="00BE6745"/>
    <w:rsid w:val="00C34B81"/>
    <w:rsid w:val="00C42367"/>
    <w:rsid w:val="00C65AE3"/>
    <w:rsid w:val="00C93416"/>
    <w:rsid w:val="00CD6306"/>
    <w:rsid w:val="00CF05A9"/>
    <w:rsid w:val="00D0506D"/>
    <w:rsid w:val="00D130D7"/>
    <w:rsid w:val="00D4360B"/>
    <w:rsid w:val="00D436D0"/>
    <w:rsid w:val="00D7693A"/>
    <w:rsid w:val="00DA5BFB"/>
    <w:rsid w:val="00DB1F67"/>
    <w:rsid w:val="00DF713C"/>
    <w:rsid w:val="00E17B1F"/>
    <w:rsid w:val="00E82D48"/>
    <w:rsid w:val="00E855A2"/>
    <w:rsid w:val="00E86D68"/>
    <w:rsid w:val="00E94527"/>
    <w:rsid w:val="00EA1C7F"/>
    <w:rsid w:val="00EC2F0C"/>
    <w:rsid w:val="00F90C4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9E83E"/>
  <w15:chartTrackingRefBased/>
  <w15:docId w15:val="{E6CAF5F2-DC6B-5747-BB76-A0B587B7A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FD3"/>
    <w:pPr>
      <w:jc w:val="both"/>
    </w:pPr>
  </w:style>
  <w:style w:type="paragraph" w:styleId="Heading1">
    <w:name w:val="heading 1"/>
    <w:basedOn w:val="Normal"/>
    <w:next w:val="Normal"/>
    <w:link w:val="Heading1Char"/>
    <w:autoRedefine/>
    <w:uiPriority w:val="9"/>
    <w:qFormat/>
    <w:rsid w:val="005D26C2"/>
    <w:pPr>
      <w:keepNext/>
      <w:keepLines/>
      <w:spacing w:before="360" w:after="80" w:line="360" w:lineRule="auto"/>
      <w:jc w:val="center"/>
      <w:outlineLvl w:val="0"/>
    </w:pPr>
    <w:rPr>
      <w:rFonts w:ascii="Arial" w:eastAsiaTheme="majorEastAsia" w:hAnsi="Arial" w:cs="Arial"/>
      <w:b/>
      <w:color w:val="000000" w:themeColor="text1"/>
      <w:sz w:val="28"/>
      <w:szCs w:val="28"/>
    </w:rPr>
  </w:style>
  <w:style w:type="paragraph" w:styleId="Heading2">
    <w:name w:val="heading 2"/>
    <w:basedOn w:val="Normal"/>
    <w:next w:val="Normal"/>
    <w:link w:val="Heading2Char"/>
    <w:autoRedefine/>
    <w:uiPriority w:val="9"/>
    <w:unhideWhenUsed/>
    <w:qFormat/>
    <w:rsid w:val="005D26C2"/>
    <w:pPr>
      <w:keepNext/>
      <w:keepLines/>
      <w:spacing w:before="160" w:after="80" w:line="360" w:lineRule="auto"/>
      <w:outlineLvl w:val="1"/>
    </w:pPr>
    <w:rPr>
      <w:rFonts w:ascii="Arial" w:eastAsiaTheme="majorEastAsia" w:hAnsi="Arial" w:cs="Arial"/>
      <w:b/>
      <w:i/>
      <w:sz w:val="28"/>
      <w:szCs w:val="28"/>
    </w:rPr>
  </w:style>
  <w:style w:type="paragraph" w:styleId="Heading3">
    <w:name w:val="heading 3"/>
    <w:basedOn w:val="Normal"/>
    <w:next w:val="Normal"/>
    <w:link w:val="Heading3Char"/>
    <w:autoRedefine/>
    <w:uiPriority w:val="9"/>
    <w:unhideWhenUsed/>
    <w:qFormat/>
    <w:rsid w:val="009C1931"/>
    <w:pPr>
      <w:keepNext/>
      <w:keepLines/>
      <w:spacing w:before="160" w:after="80" w:line="360" w:lineRule="auto"/>
      <w:outlineLvl w:val="2"/>
    </w:pPr>
    <w:rPr>
      <w:rFonts w:ascii="Arial" w:eastAsiaTheme="majorEastAsia" w:hAnsi="Arial" w:cs="Arial"/>
      <w:b/>
      <w:sz w:val="28"/>
      <w:szCs w:val="28"/>
    </w:rPr>
  </w:style>
  <w:style w:type="paragraph" w:styleId="Heading4">
    <w:name w:val="heading 4"/>
    <w:basedOn w:val="Normal"/>
    <w:next w:val="Normal"/>
    <w:link w:val="Heading4Char"/>
    <w:uiPriority w:val="9"/>
    <w:semiHidden/>
    <w:unhideWhenUsed/>
    <w:qFormat/>
    <w:rsid w:val="008C2F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2F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2FD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2FD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2FD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2FD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6C2"/>
    <w:rPr>
      <w:rFonts w:ascii="Arial" w:eastAsiaTheme="majorEastAsia" w:hAnsi="Arial" w:cs="Arial"/>
      <w:b/>
      <w:color w:val="000000" w:themeColor="text1"/>
      <w:sz w:val="28"/>
      <w:szCs w:val="28"/>
    </w:rPr>
  </w:style>
  <w:style w:type="character" w:customStyle="1" w:styleId="Heading2Char">
    <w:name w:val="Heading 2 Char"/>
    <w:basedOn w:val="DefaultParagraphFont"/>
    <w:link w:val="Heading2"/>
    <w:uiPriority w:val="9"/>
    <w:rsid w:val="005D26C2"/>
    <w:rPr>
      <w:rFonts w:ascii="Arial" w:eastAsiaTheme="majorEastAsia" w:hAnsi="Arial" w:cs="Arial"/>
      <w:b/>
      <w:i/>
      <w:sz w:val="28"/>
      <w:szCs w:val="28"/>
    </w:rPr>
  </w:style>
  <w:style w:type="character" w:customStyle="1" w:styleId="Heading3Char">
    <w:name w:val="Heading 3 Char"/>
    <w:basedOn w:val="DefaultParagraphFont"/>
    <w:link w:val="Heading3"/>
    <w:uiPriority w:val="9"/>
    <w:rsid w:val="009C1931"/>
    <w:rPr>
      <w:rFonts w:ascii="Arial" w:eastAsiaTheme="majorEastAsia" w:hAnsi="Arial" w:cs="Arial"/>
      <w:b/>
      <w:sz w:val="28"/>
      <w:szCs w:val="28"/>
    </w:rPr>
  </w:style>
  <w:style w:type="character" w:customStyle="1" w:styleId="Heading4Char">
    <w:name w:val="Heading 4 Char"/>
    <w:basedOn w:val="DefaultParagraphFont"/>
    <w:link w:val="Heading4"/>
    <w:uiPriority w:val="9"/>
    <w:semiHidden/>
    <w:rsid w:val="008C2F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2F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2F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2F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2F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2FD3"/>
    <w:rPr>
      <w:rFonts w:eastAsiaTheme="majorEastAsia" w:cstheme="majorBidi"/>
      <w:color w:val="272727" w:themeColor="text1" w:themeTint="D8"/>
    </w:rPr>
  </w:style>
  <w:style w:type="paragraph" w:styleId="Title">
    <w:name w:val="Title"/>
    <w:basedOn w:val="Normal"/>
    <w:next w:val="Normal"/>
    <w:link w:val="TitleChar"/>
    <w:uiPriority w:val="10"/>
    <w:qFormat/>
    <w:rsid w:val="008C2FD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2F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2FD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2F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2FD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C2FD3"/>
    <w:rPr>
      <w:i/>
      <w:iCs/>
      <w:color w:val="404040" w:themeColor="text1" w:themeTint="BF"/>
    </w:rPr>
  </w:style>
  <w:style w:type="paragraph" w:styleId="ListParagraph">
    <w:name w:val="List Paragraph"/>
    <w:basedOn w:val="Normal"/>
    <w:uiPriority w:val="34"/>
    <w:qFormat/>
    <w:rsid w:val="008C2FD3"/>
    <w:pPr>
      <w:ind w:left="720"/>
      <w:contextualSpacing/>
    </w:pPr>
  </w:style>
  <w:style w:type="character" w:styleId="IntenseEmphasis">
    <w:name w:val="Intense Emphasis"/>
    <w:basedOn w:val="DefaultParagraphFont"/>
    <w:uiPriority w:val="21"/>
    <w:qFormat/>
    <w:rsid w:val="008C2FD3"/>
    <w:rPr>
      <w:i/>
      <w:iCs/>
      <w:color w:val="0F4761" w:themeColor="accent1" w:themeShade="BF"/>
    </w:rPr>
  </w:style>
  <w:style w:type="paragraph" w:styleId="IntenseQuote">
    <w:name w:val="Intense Quote"/>
    <w:basedOn w:val="Normal"/>
    <w:next w:val="Normal"/>
    <w:link w:val="IntenseQuoteChar"/>
    <w:uiPriority w:val="30"/>
    <w:qFormat/>
    <w:rsid w:val="008C2F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2FD3"/>
    <w:rPr>
      <w:i/>
      <w:iCs/>
      <w:color w:val="0F4761" w:themeColor="accent1" w:themeShade="BF"/>
    </w:rPr>
  </w:style>
  <w:style w:type="character" w:styleId="IntenseReference">
    <w:name w:val="Intense Reference"/>
    <w:basedOn w:val="DefaultParagraphFont"/>
    <w:uiPriority w:val="32"/>
    <w:qFormat/>
    <w:rsid w:val="008C2FD3"/>
    <w:rPr>
      <w:b/>
      <w:bCs/>
      <w:smallCaps/>
      <w:color w:val="0F4761" w:themeColor="accent1" w:themeShade="BF"/>
      <w:spacing w:val="5"/>
    </w:rPr>
  </w:style>
  <w:style w:type="paragraph" w:styleId="TOCHeading">
    <w:name w:val="TOC Heading"/>
    <w:basedOn w:val="Heading1"/>
    <w:next w:val="Normal"/>
    <w:uiPriority w:val="39"/>
    <w:unhideWhenUsed/>
    <w:qFormat/>
    <w:rsid w:val="001C2F9E"/>
    <w:pPr>
      <w:spacing w:before="480" w:after="0" w:line="276" w:lineRule="auto"/>
      <w:outlineLvl w:val="9"/>
    </w:pPr>
    <w:rPr>
      <w:bCs/>
      <w:color w:val="0F4761" w:themeColor="accent1" w:themeShade="BF"/>
      <w:kern w:val="0"/>
      <w:lang w:val="en-US"/>
      <w14:ligatures w14:val="none"/>
    </w:rPr>
  </w:style>
  <w:style w:type="paragraph" w:styleId="TOC1">
    <w:name w:val="toc 1"/>
    <w:basedOn w:val="Normal"/>
    <w:next w:val="Normal"/>
    <w:autoRedefine/>
    <w:uiPriority w:val="39"/>
    <w:unhideWhenUsed/>
    <w:rsid w:val="001C2F9E"/>
    <w:pPr>
      <w:spacing w:before="120" w:after="120"/>
      <w:jc w:val="left"/>
    </w:pPr>
    <w:rPr>
      <w:b/>
      <w:bCs/>
      <w:caps/>
      <w:sz w:val="20"/>
      <w:szCs w:val="20"/>
    </w:rPr>
  </w:style>
  <w:style w:type="paragraph" w:styleId="TOC2">
    <w:name w:val="toc 2"/>
    <w:basedOn w:val="Normal"/>
    <w:next w:val="Normal"/>
    <w:autoRedefine/>
    <w:uiPriority w:val="39"/>
    <w:unhideWhenUsed/>
    <w:rsid w:val="001C2F9E"/>
    <w:pPr>
      <w:ind w:left="240"/>
      <w:jc w:val="left"/>
    </w:pPr>
    <w:rPr>
      <w:smallCaps/>
      <w:sz w:val="20"/>
      <w:szCs w:val="20"/>
    </w:rPr>
  </w:style>
  <w:style w:type="character" w:styleId="Hyperlink">
    <w:name w:val="Hyperlink"/>
    <w:basedOn w:val="DefaultParagraphFont"/>
    <w:uiPriority w:val="99"/>
    <w:unhideWhenUsed/>
    <w:rsid w:val="001C2F9E"/>
    <w:rPr>
      <w:color w:val="467886" w:themeColor="hyperlink"/>
      <w:u w:val="single"/>
    </w:rPr>
  </w:style>
  <w:style w:type="paragraph" w:styleId="TOC3">
    <w:name w:val="toc 3"/>
    <w:basedOn w:val="Normal"/>
    <w:next w:val="Normal"/>
    <w:autoRedefine/>
    <w:uiPriority w:val="39"/>
    <w:unhideWhenUsed/>
    <w:rsid w:val="001C2F9E"/>
    <w:pPr>
      <w:ind w:left="480"/>
      <w:jc w:val="left"/>
    </w:pPr>
    <w:rPr>
      <w:i/>
      <w:iCs/>
      <w:sz w:val="20"/>
      <w:szCs w:val="20"/>
    </w:rPr>
  </w:style>
  <w:style w:type="paragraph" w:styleId="TOC4">
    <w:name w:val="toc 4"/>
    <w:basedOn w:val="Normal"/>
    <w:next w:val="Normal"/>
    <w:autoRedefine/>
    <w:uiPriority w:val="39"/>
    <w:semiHidden/>
    <w:unhideWhenUsed/>
    <w:rsid w:val="001C2F9E"/>
    <w:pPr>
      <w:ind w:left="720"/>
      <w:jc w:val="left"/>
    </w:pPr>
    <w:rPr>
      <w:sz w:val="18"/>
      <w:szCs w:val="18"/>
    </w:rPr>
  </w:style>
  <w:style w:type="paragraph" w:styleId="TOC5">
    <w:name w:val="toc 5"/>
    <w:basedOn w:val="Normal"/>
    <w:next w:val="Normal"/>
    <w:autoRedefine/>
    <w:uiPriority w:val="39"/>
    <w:semiHidden/>
    <w:unhideWhenUsed/>
    <w:rsid w:val="001C2F9E"/>
    <w:pPr>
      <w:ind w:left="960"/>
      <w:jc w:val="left"/>
    </w:pPr>
    <w:rPr>
      <w:sz w:val="18"/>
      <w:szCs w:val="18"/>
    </w:rPr>
  </w:style>
  <w:style w:type="paragraph" w:styleId="TOC6">
    <w:name w:val="toc 6"/>
    <w:basedOn w:val="Normal"/>
    <w:next w:val="Normal"/>
    <w:autoRedefine/>
    <w:uiPriority w:val="39"/>
    <w:semiHidden/>
    <w:unhideWhenUsed/>
    <w:rsid w:val="001C2F9E"/>
    <w:pPr>
      <w:ind w:left="1200"/>
      <w:jc w:val="left"/>
    </w:pPr>
    <w:rPr>
      <w:sz w:val="18"/>
      <w:szCs w:val="18"/>
    </w:rPr>
  </w:style>
  <w:style w:type="paragraph" w:styleId="TOC7">
    <w:name w:val="toc 7"/>
    <w:basedOn w:val="Normal"/>
    <w:next w:val="Normal"/>
    <w:autoRedefine/>
    <w:uiPriority w:val="39"/>
    <w:semiHidden/>
    <w:unhideWhenUsed/>
    <w:rsid w:val="001C2F9E"/>
    <w:pPr>
      <w:ind w:left="1440"/>
      <w:jc w:val="left"/>
    </w:pPr>
    <w:rPr>
      <w:sz w:val="18"/>
      <w:szCs w:val="18"/>
    </w:rPr>
  </w:style>
  <w:style w:type="paragraph" w:styleId="TOC8">
    <w:name w:val="toc 8"/>
    <w:basedOn w:val="Normal"/>
    <w:next w:val="Normal"/>
    <w:autoRedefine/>
    <w:uiPriority w:val="39"/>
    <w:semiHidden/>
    <w:unhideWhenUsed/>
    <w:rsid w:val="001C2F9E"/>
    <w:pPr>
      <w:ind w:left="1680"/>
      <w:jc w:val="left"/>
    </w:pPr>
    <w:rPr>
      <w:sz w:val="18"/>
      <w:szCs w:val="18"/>
    </w:rPr>
  </w:style>
  <w:style w:type="paragraph" w:styleId="TOC9">
    <w:name w:val="toc 9"/>
    <w:basedOn w:val="Normal"/>
    <w:next w:val="Normal"/>
    <w:autoRedefine/>
    <w:uiPriority w:val="39"/>
    <w:semiHidden/>
    <w:unhideWhenUsed/>
    <w:rsid w:val="001C2F9E"/>
    <w:pPr>
      <w:ind w:left="1920"/>
      <w:jc w:val="left"/>
    </w:pPr>
    <w:rPr>
      <w:sz w:val="18"/>
      <w:szCs w:val="18"/>
    </w:rPr>
  </w:style>
  <w:style w:type="paragraph" w:styleId="Footer">
    <w:name w:val="footer"/>
    <w:basedOn w:val="Normal"/>
    <w:link w:val="FooterChar"/>
    <w:uiPriority w:val="99"/>
    <w:unhideWhenUsed/>
    <w:rsid w:val="00B74102"/>
    <w:pPr>
      <w:tabs>
        <w:tab w:val="center" w:pos="4513"/>
        <w:tab w:val="right" w:pos="9026"/>
      </w:tabs>
    </w:pPr>
  </w:style>
  <w:style w:type="character" w:customStyle="1" w:styleId="FooterChar">
    <w:name w:val="Footer Char"/>
    <w:basedOn w:val="DefaultParagraphFont"/>
    <w:link w:val="Footer"/>
    <w:uiPriority w:val="99"/>
    <w:rsid w:val="00B74102"/>
  </w:style>
  <w:style w:type="character" w:styleId="PageNumber">
    <w:name w:val="page number"/>
    <w:basedOn w:val="DefaultParagraphFont"/>
    <w:uiPriority w:val="99"/>
    <w:semiHidden/>
    <w:unhideWhenUsed/>
    <w:rsid w:val="00B74102"/>
  </w:style>
  <w:style w:type="character" w:styleId="UnresolvedMention">
    <w:name w:val="Unresolved Mention"/>
    <w:basedOn w:val="DefaultParagraphFont"/>
    <w:uiPriority w:val="99"/>
    <w:semiHidden/>
    <w:unhideWhenUsed/>
    <w:rsid w:val="00344512"/>
    <w:rPr>
      <w:color w:val="605E5C"/>
      <w:shd w:val="clear" w:color="auto" w:fill="E1DFDD"/>
    </w:rPr>
  </w:style>
  <w:style w:type="table" w:styleId="TableGrid">
    <w:name w:val="Table Grid"/>
    <w:basedOn w:val="TableNormal"/>
    <w:uiPriority w:val="39"/>
    <w:rsid w:val="00C42367"/>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84BC9"/>
    <w:pPr>
      <w:spacing w:before="100" w:beforeAutospacing="1" w:after="100" w:afterAutospacing="1"/>
      <w:jc w:val="left"/>
    </w:pPr>
    <w:rPr>
      <w:rFonts w:ascii="Times New Roman" w:eastAsia="Times New Roman" w:hAnsi="Times New Roman" w:cs="Times New Roman"/>
      <w:kern w:val="0"/>
      <w:lang w:eastAsia="en-IN"/>
      <w14:ligatures w14:val="none"/>
    </w:rPr>
  </w:style>
  <w:style w:type="paragraph" w:styleId="Header">
    <w:name w:val="header"/>
    <w:basedOn w:val="Normal"/>
    <w:link w:val="HeaderChar"/>
    <w:uiPriority w:val="99"/>
    <w:unhideWhenUsed/>
    <w:rsid w:val="004C7394"/>
    <w:pPr>
      <w:tabs>
        <w:tab w:val="center" w:pos="4513"/>
        <w:tab w:val="right" w:pos="9026"/>
      </w:tabs>
    </w:pPr>
  </w:style>
  <w:style w:type="character" w:customStyle="1" w:styleId="HeaderChar">
    <w:name w:val="Header Char"/>
    <w:basedOn w:val="DefaultParagraphFont"/>
    <w:link w:val="Header"/>
    <w:uiPriority w:val="99"/>
    <w:rsid w:val="004C73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722158">
      <w:bodyDiv w:val="1"/>
      <w:marLeft w:val="0"/>
      <w:marRight w:val="0"/>
      <w:marTop w:val="0"/>
      <w:marBottom w:val="0"/>
      <w:divBdr>
        <w:top w:val="none" w:sz="0" w:space="0" w:color="auto"/>
        <w:left w:val="none" w:sz="0" w:space="0" w:color="auto"/>
        <w:bottom w:val="none" w:sz="0" w:space="0" w:color="auto"/>
        <w:right w:val="none" w:sz="0" w:space="0" w:color="auto"/>
      </w:divBdr>
    </w:div>
    <w:div w:id="192809155">
      <w:bodyDiv w:val="1"/>
      <w:marLeft w:val="0"/>
      <w:marRight w:val="0"/>
      <w:marTop w:val="0"/>
      <w:marBottom w:val="0"/>
      <w:divBdr>
        <w:top w:val="none" w:sz="0" w:space="0" w:color="auto"/>
        <w:left w:val="none" w:sz="0" w:space="0" w:color="auto"/>
        <w:bottom w:val="none" w:sz="0" w:space="0" w:color="auto"/>
        <w:right w:val="none" w:sz="0" w:space="0" w:color="auto"/>
      </w:divBdr>
    </w:div>
    <w:div w:id="211698041">
      <w:bodyDiv w:val="1"/>
      <w:marLeft w:val="0"/>
      <w:marRight w:val="0"/>
      <w:marTop w:val="0"/>
      <w:marBottom w:val="0"/>
      <w:divBdr>
        <w:top w:val="none" w:sz="0" w:space="0" w:color="auto"/>
        <w:left w:val="none" w:sz="0" w:space="0" w:color="auto"/>
        <w:bottom w:val="none" w:sz="0" w:space="0" w:color="auto"/>
        <w:right w:val="none" w:sz="0" w:space="0" w:color="auto"/>
      </w:divBdr>
    </w:div>
    <w:div w:id="284192532">
      <w:bodyDiv w:val="1"/>
      <w:marLeft w:val="0"/>
      <w:marRight w:val="0"/>
      <w:marTop w:val="0"/>
      <w:marBottom w:val="0"/>
      <w:divBdr>
        <w:top w:val="none" w:sz="0" w:space="0" w:color="auto"/>
        <w:left w:val="none" w:sz="0" w:space="0" w:color="auto"/>
        <w:bottom w:val="none" w:sz="0" w:space="0" w:color="auto"/>
        <w:right w:val="none" w:sz="0" w:space="0" w:color="auto"/>
      </w:divBdr>
    </w:div>
    <w:div w:id="365640837">
      <w:bodyDiv w:val="1"/>
      <w:marLeft w:val="0"/>
      <w:marRight w:val="0"/>
      <w:marTop w:val="0"/>
      <w:marBottom w:val="0"/>
      <w:divBdr>
        <w:top w:val="none" w:sz="0" w:space="0" w:color="auto"/>
        <w:left w:val="none" w:sz="0" w:space="0" w:color="auto"/>
        <w:bottom w:val="none" w:sz="0" w:space="0" w:color="auto"/>
        <w:right w:val="none" w:sz="0" w:space="0" w:color="auto"/>
      </w:divBdr>
    </w:div>
    <w:div w:id="418332800">
      <w:bodyDiv w:val="1"/>
      <w:marLeft w:val="0"/>
      <w:marRight w:val="0"/>
      <w:marTop w:val="0"/>
      <w:marBottom w:val="0"/>
      <w:divBdr>
        <w:top w:val="none" w:sz="0" w:space="0" w:color="auto"/>
        <w:left w:val="none" w:sz="0" w:space="0" w:color="auto"/>
        <w:bottom w:val="none" w:sz="0" w:space="0" w:color="auto"/>
        <w:right w:val="none" w:sz="0" w:space="0" w:color="auto"/>
      </w:divBdr>
    </w:div>
    <w:div w:id="423456218">
      <w:bodyDiv w:val="1"/>
      <w:marLeft w:val="0"/>
      <w:marRight w:val="0"/>
      <w:marTop w:val="0"/>
      <w:marBottom w:val="0"/>
      <w:divBdr>
        <w:top w:val="none" w:sz="0" w:space="0" w:color="auto"/>
        <w:left w:val="none" w:sz="0" w:space="0" w:color="auto"/>
        <w:bottom w:val="none" w:sz="0" w:space="0" w:color="auto"/>
        <w:right w:val="none" w:sz="0" w:space="0" w:color="auto"/>
      </w:divBdr>
    </w:div>
    <w:div w:id="430977559">
      <w:bodyDiv w:val="1"/>
      <w:marLeft w:val="0"/>
      <w:marRight w:val="0"/>
      <w:marTop w:val="0"/>
      <w:marBottom w:val="0"/>
      <w:divBdr>
        <w:top w:val="none" w:sz="0" w:space="0" w:color="auto"/>
        <w:left w:val="none" w:sz="0" w:space="0" w:color="auto"/>
        <w:bottom w:val="none" w:sz="0" w:space="0" w:color="auto"/>
        <w:right w:val="none" w:sz="0" w:space="0" w:color="auto"/>
      </w:divBdr>
    </w:div>
    <w:div w:id="487526112">
      <w:bodyDiv w:val="1"/>
      <w:marLeft w:val="0"/>
      <w:marRight w:val="0"/>
      <w:marTop w:val="0"/>
      <w:marBottom w:val="0"/>
      <w:divBdr>
        <w:top w:val="none" w:sz="0" w:space="0" w:color="auto"/>
        <w:left w:val="none" w:sz="0" w:space="0" w:color="auto"/>
        <w:bottom w:val="none" w:sz="0" w:space="0" w:color="auto"/>
        <w:right w:val="none" w:sz="0" w:space="0" w:color="auto"/>
      </w:divBdr>
    </w:div>
    <w:div w:id="563221545">
      <w:bodyDiv w:val="1"/>
      <w:marLeft w:val="0"/>
      <w:marRight w:val="0"/>
      <w:marTop w:val="0"/>
      <w:marBottom w:val="0"/>
      <w:divBdr>
        <w:top w:val="none" w:sz="0" w:space="0" w:color="auto"/>
        <w:left w:val="none" w:sz="0" w:space="0" w:color="auto"/>
        <w:bottom w:val="none" w:sz="0" w:space="0" w:color="auto"/>
        <w:right w:val="none" w:sz="0" w:space="0" w:color="auto"/>
      </w:divBdr>
    </w:div>
    <w:div w:id="575210855">
      <w:bodyDiv w:val="1"/>
      <w:marLeft w:val="0"/>
      <w:marRight w:val="0"/>
      <w:marTop w:val="0"/>
      <w:marBottom w:val="0"/>
      <w:divBdr>
        <w:top w:val="none" w:sz="0" w:space="0" w:color="auto"/>
        <w:left w:val="none" w:sz="0" w:space="0" w:color="auto"/>
        <w:bottom w:val="none" w:sz="0" w:space="0" w:color="auto"/>
        <w:right w:val="none" w:sz="0" w:space="0" w:color="auto"/>
      </w:divBdr>
    </w:div>
    <w:div w:id="579608727">
      <w:bodyDiv w:val="1"/>
      <w:marLeft w:val="0"/>
      <w:marRight w:val="0"/>
      <w:marTop w:val="0"/>
      <w:marBottom w:val="0"/>
      <w:divBdr>
        <w:top w:val="none" w:sz="0" w:space="0" w:color="auto"/>
        <w:left w:val="none" w:sz="0" w:space="0" w:color="auto"/>
        <w:bottom w:val="none" w:sz="0" w:space="0" w:color="auto"/>
        <w:right w:val="none" w:sz="0" w:space="0" w:color="auto"/>
      </w:divBdr>
    </w:div>
    <w:div w:id="596601913">
      <w:bodyDiv w:val="1"/>
      <w:marLeft w:val="0"/>
      <w:marRight w:val="0"/>
      <w:marTop w:val="0"/>
      <w:marBottom w:val="0"/>
      <w:divBdr>
        <w:top w:val="none" w:sz="0" w:space="0" w:color="auto"/>
        <w:left w:val="none" w:sz="0" w:space="0" w:color="auto"/>
        <w:bottom w:val="none" w:sz="0" w:space="0" w:color="auto"/>
        <w:right w:val="none" w:sz="0" w:space="0" w:color="auto"/>
      </w:divBdr>
    </w:div>
    <w:div w:id="638149613">
      <w:bodyDiv w:val="1"/>
      <w:marLeft w:val="0"/>
      <w:marRight w:val="0"/>
      <w:marTop w:val="0"/>
      <w:marBottom w:val="0"/>
      <w:divBdr>
        <w:top w:val="none" w:sz="0" w:space="0" w:color="auto"/>
        <w:left w:val="none" w:sz="0" w:space="0" w:color="auto"/>
        <w:bottom w:val="none" w:sz="0" w:space="0" w:color="auto"/>
        <w:right w:val="none" w:sz="0" w:space="0" w:color="auto"/>
      </w:divBdr>
    </w:div>
    <w:div w:id="661273460">
      <w:bodyDiv w:val="1"/>
      <w:marLeft w:val="0"/>
      <w:marRight w:val="0"/>
      <w:marTop w:val="0"/>
      <w:marBottom w:val="0"/>
      <w:divBdr>
        <w:top w:val="none" w:sz="0" w:space="0" w:color="auto"/>
        <w:left w:val="none" w:sz="0" w:space="0" w:color="auto"/>
        <w:bottom w:val="none" w:sz="0" w:space="0" w:color="auto"/>
        <w:right w:val="none" w:sz="0" w:space="0" w:color="auto"/>
      </w:divBdr>
    </w:div>
    <w:div w:id="747188948">
      <w:bodyDiv w:val="1"/>
      <w:marLeft w:val="0"/>
      <w:marRight w:val="0"/>
      <w:marTop w:val="0"/>
      <w:marBottom w:val="0"/>
      <w:divBdr>
        <w:top w:val="none" w:sz="0" w:space="0" w:color="auto"/>
        <w:left w:val="none" w:sz="0" w:space="0" w:color="auto"/>
        <w:bottom w:val="none" w:sz="0" w:space="0" w:color="auto"/>
        <w:right w:val="none" w:sz="0" w:space="0" w:color="auto"/>
      </w:divBdr>
      <w:divsChild>
        <w:div w:id="1492604493">
          <w:marLeft w:val="0"/>
          <w:marRight w:val="0"/>
          <w:marTop w:val="0"/>
          <w:marBottom w:val="0"/>
          <w:divBdr>
            <w:top w:val="single" w:sz="2" w:space="0" w:color="E3E3E3"/>
            <w:left w:val="single" w:sz="2" w:space="0" w:color="E3E3E3"/>
            <w:bottom w:val="single" w:sz="2" w:space="0" w:color="E3E3E3"/>
            <w:right w:val="single" w:sz="2" w:space="0" w:color="E3E3E3"/>
          </w:divBdr>
          <w:divsChild>
            <w:div w:id="637880524">
              <w:marLeft w:val="0"/>
              <w:marRight w:val="0"/>
              <w:marTop w:val="100"/>
              <w:marBottom w:val="100"/>
              <w:divBdr>
                <w:top w:val="single" w:sz="2" w:space="0" w:color="E3E3E3"/>
                <w:left w:val="single" w:sz="2" w:space="0" w:color="E3E3E3"/>
                <w:bottom w:val="single" w:sz="2" w:space="0" w:color="E3E3E3"/>
                <w:right w:val="single" w:sz="2" w:space="0" w:color="E3E3E3"/>
              </w:divBdr>
              <w:divsChild>
                <w:div w:id="1373380151">
                  <w:marLeft w:val="0"/>
                  <w:marRight w:val="0"/>
                  <w:marTop w:val="0"/>
                  <w:marBottom w:val="0"/>
                  <w:divBdr>
                    <w:top w:val="single" w:sz="2" w:space="0" w:color="E3E3E3"/>
                    <w:left w:val="single" w:sz="2" w:space="0" w:color="E3E3E3"/>
                    <w:bottom w:val="single" w:sz="2" w:space="0" w:color="E3E3E3"/>
                    <w:right w:val="single" w:sz="2" w:space="0" w:color="E3E3E3"/>
                  </w:divBdr>
                  <w:divsChild>
                    <w:div w:id="1419908927">
                      <w:marLeft w:val="0"/>
                      <w:marRight w:val="0"/>
                      <w:marTop w:val="0"/>
                      <w:marBottom w:val="0"/>
                      <w:divBdr>
                        <w:top w:val="single" w:sz="2" w:space="0" w:color="E3E3E3"/>
                        <w:left w:val="single" w:sz="2" w:space="0" w:color="E3E3E3"/>
                        <w:bottom w:val="single" w:sz="2" w:space="0" w:color="E3E3E3"/>
                        <w:right w:val="single" w:sz="2" w:space="0" w:color="E3E3E3"/>
                      </w:divBdr>
                      <w:divsChild>
                        <w:div w:id="1026978062">
                          <w:marLeft w:val="0"/>
                          <w:marRight w:val="0"/>
                          <w:marTop w:val="0"/>
                          <w:marBottom w:val="0"/>
                          <w:divBdr>
                            <w:top w:val="single" w:sz="2" w:space="0" w:color="E3E3E3"/>
                            <w:left w:val="single" w:sz="2" w:space="0" w:color="E3E3E3"/>
                            <w:bottom w:val="single" w:sz="2" w:space="0" w:color="E3E3E3"/>
                            <w:right w:val="single" w:sz="2" w:space="0" w:color="E3E3E3"/>
                          </w:divBdr>
                          <w:divsChild>
                            <w:div w:id="548879963">
                              <w:marLeft w:val="0"/>
                              <w:marRight w:val="0"/>
                              <w:marTop w:val="0"/>
                              <w:marBottom w:val="0"/>
                              <w:divBdr>
                                <w:top w:val="single" w:sz="2" w:space="0" w:color="E3E3E3"/>
                                <w:left w:val="single" w:sz="2" w:space="0" w:color="E3E3E3"/>
                                <w:bottom w:val="single" w:sz="2" w:space="0" w:color="E3E3E3"/>
                                <w:right w:val="single" w:sz="2" w:space="0" w:color="E3E3E3"/>
                              </w:divBdr>
                              <w:divsChild>
                                <w:div w:id="1029259993">
                                  <w:marLeft w:val="0"/>
                                  <w:marRight w:val="0"/>
                                  <w:marTop w:val="0"/>
                                  <w:marBottom w:val="0"/>
                                  <w:divBdr>
                                    <w:top w:val="single" w:sz="2" w:space="0" w:color="E3E3E3"/>
                                    <w:left w:val="single" w:sz="2" w:space="0" w:color="E3E3E3"/>
                                    <w:bottom w:val="single" w:sz="2" w:space="0" w:color="E3E3E3"/>
                                    <w:right w:val="single" w:sz="2" w:space="0" w:color="E3E3E3"/>
                                  </w:divBdr>
                                  <w:divsChild>
                                    <w:div w:id="12732415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53383884">
          <w:marLeft w:val="0"/>
          <w:marRight w:val="0"/>
          <w:marTop w:val="0"/>
          <w:marBottom w:val="0"/>
          <w:divBdr>
            <w:top w:val="single" w:sz="2" w:space="0" w:color="E3E3E3"/>
            <w:left w:val="single" w:sz="2" w:space="0" w:color="E3E3E3"/>
            <w:bottom w:val="single" w:sz="2" w:space="0" w:color="E3E3E3"/>
            <w:right w:val="single" w:sz="2" w:space="0" w:color="E3E3E3"/>
          </w:divBdr>
          <w:divsChild>
            <w:div w:id="1446383482">
              <w:marLeft w:val="0"/>
              <w:marRight w:val="0"/>
              <w:marTop w:val="100"/>
              <w:marBottom w:val="100"/>
              <w:divBdr>
                <w:top w:val="single" w:sz="2" w:space="0" w:color="E3E3E3"/>
                <w:left w:val="single" w:sz="2" w:space="0" w:color="E3E3E3"/>
                <w:bottom w:val="single" w:sz="2" w:space="0" w:color="E3E3E3"/>
                <w:right w:val="single" w:sz="2" w:space="0" w:color="E3E3E3"/>
              </w:divBdr>
              <w:divsChild>
                <w:div w:id="1763139072">
                  <w:marLeft w:val="0"/>
                  <w:marRight w:val="0"/>
                  <w:marTop w:val="0"/>
                  <w:marBottom w:val="0"/>
                  <w:divBdr>
                    <w:top w:val="single" w:sz="2" w:space="0" w:color="E3E3E3"/>
                    <w:left w:val="single" w:sz="2" w:space="0" w:color="E3E3E3"/>
                    <w:bottom w:val="single" w:sz="2" w:space="0" w:color="E3E3E3"/>
                    <w:right w:val="single" w:sz="2" w:space="0" w:color="E3E3E3"/>
                  </w:divBdr>
                  <w:divsChild>
                    <w:div w:id="6757667">
                      <w:marLeft w:val="0"/>
                      <w:marRight w:val="0"/>
                      <w:marTop w:val="0"/>
                      <w:marBottom w:val="0"/>
                      <w:divBdr>
                        <w:top w:val="single" w:sz="2" w:space="0" w:color="E3E3E3"/>
                        <w:left w:val="single" w:sz="2" w:space="0" w:color="E3E3E3"/>
                        <w:bottom w:val="single" w:sz="2" w:space="0" w:color="E3E3E3"/>
                        <w:right w:val="single" w:sz="2" w:space="0" w:color="E3E3E3"/>
                      </w:divBdr>
                      <w:divsChild>
                        <w:div w:id="1651179950">
                          <w:marLeft w:val="0"/>
                          <w:marRight w:val="0"/>
                          <w:marTop w:val="0"/>
                          <w:marBottom w:val="0"/>
                          <w:divBdr>
                            <w:top w:val="single" w:sz="2" w:space="0" w:color="E3E3E3"/>
                            <w:left w:val="single" w:sz="2" w:space="0" w:color="E3E3E3"/>
                            <w:bottom w:val="single" w:sz="2" w:space="0" w:color="E3E3E3"/>
                            <w:right w:val="single" w:sz="2" w:space="0" w:color="E3E3E3"/>
                          </w:divBdr>
                          <w:divsChild>
                            <w:div w:id="1212763050">
                              <w:marLeft w:val="0"/>
                              <w:marRight w:val="0"/>
                              <w:marTop w:val="0"/>
                              <w:marBottom w:val="0"/>
                              <w:divBdr>
                                <w:top w:val="single" w:sz="2" w:space="0" w:color="E3E3E3"/>
                                <w:left w:val="single" w:sz="2" w:space="0" w:color="E3E3E3"/>
                                <w:bottom w:val="single" w:sz="2" w:space="0" w:color="E3E3E3"/>
                                <w:right w:val="single" w:sz="2" w:space="0" w:color="E3E3E3"/>
                              </w:divBdr>
                              <w:divsChild>
                                <w:div w:id="15072812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57403741">
      <w:bodyDiv w:val="1"/>
      <w:marLeft w:val="0"/>
      <w:marRight w:val="0"/>
      <w:marTop w:val="0"/>
      <w:marBottom w:val="0"/>
      <w:divBdr>
        <w:top w:val="none" w:sz="0" w:space="0" w:color="auto"/>
        <w:left w:val="none" w:sz="0" w:space="0" w:color="auto"/>
        <w:bottom w:val="none" w:sz="0" w:space="0" w:color="auto"/>
        <w:right w:val="none" w:sz="0" w:space="0" w:color="auto"/>
      </w:divBdr>
    </w:div>
    <w:div w:id="765155555">
      <w:bodyDiv w:val="1"/>
      <w:marLeft w:val="0"/>
      <w:marRight w:val="0"/>
      <w:marTop w:val="0"/>
      <w:marBottom w:val="0"/>
      <w:divBdr>
        <w:top w:val="none" w:sz="0" w:space="0" w:color="auto"/>
        <w:left w:val="none" w:sz="0" w:space="0" w:color="auto"/>
        <w:bottom w:val="none" w:sz="0" w:space="0" w:color="auto"/>
        <w:right w:val="none" w:sz="0" w:space="0" w:color="auto"/>
      </w:divBdr>
    </w:div>
    <w:div w:id="844126533">
      <w:bodyDiv w:val="1"/>
      <w:marLeft w:val="0"/>
      <w:marRight w:val="0"/>
      <w:marTop w:val="0"/>
      <w:marBottom w:val="0"/>
      <w:divBdr>
        <w:top w:val="none" w:sz="0" w:space="0" w:color="auto"/>
        <w:left w:val="none" w:sz="0" w:space="0" w:color="auto"/>
        <w:bottom w:val="none" w:sz="0" w:space="0" w:color="auto"/>
        <w:right w:val="none" w:sz="0" w:space="0" w:color="auto"/>
      </w:divBdr>
    </w:div>
    <w:div w:id="903836169">
      <w:bodyDiv w:val="1"/>
      <w:marLeft w:val="0"/>
      <w:marRight w:val="0"/>
      <w:marTop w:val="0"/>
      <w:marBottom w:val="0"/>
      <w:divBdr>
        <w:top w:val="none" w:sz="0" w:space="0" w:color="auto"/>
        <w:left w:val="none" w:sz="0" w:space="0" w:color="auto"/>
        <w:bottom w:val="none" w:sz="0" w:space="0" w:color="auto"/>
        <w:right w:val="none" w:sz="0" w:space="0" w:color="auto"/>
      </w:divBdr>
    </w:div>
    <w:div w:id="952787826">
      <w:bodyDiv w:val="1"/>
      <w:marLeft w:val="0"/>
      <w:marRight w:val="0"/>
      <w:marTop w:val="0"/>
      <w:marBottom w:val="0"/>
      <w:divBdr>
        <w:top w:val="none" w:sz="0" w:space="0" w:color="auto"/>
        <w:left w:val="none" w:sz="0" w:space="0" w:color="auto"/>
        <w:bottom w:val="none" w:sz="0" w:space="0" w:color="auto"/>
        <w:right w:val="none" w:sz="0" w:space="0" w:color="auto"/>
      </w:divBdr>
    </w:div>
    <w:div w:id="1028918528">
      <w:bodyDiv w:val="1"/>
      <w:marLeft w:val="0"/>
      <w:marRight w:val="0"/>
      <w:marTop w:val="0"/>
      <w:marBottom w:val="0"/>
      <w:divBdr>
        <w:top w:val="none" w:sz="0" w:space="0" w:color="auto"/>
        <w:left w:val="none" w:sz="0" w:space="0" w:color="auto"/>
        <w:bottom w:val="none" w:sz="0" w:space="0" w:color="auto"/>
        <w:right w:val="none" w:sz="0" w:space="0" w:color="auto"/>
      </w:divBdr>
    </w:div>
    <w:div w:id="1049648730">
      <w:bodyDiv w:val="1"/>
      <w:marLeft w:val="0"/>
      <w:marRight w:val="0"/>
      <w:marTop w:val="0"/>
      <w:marBottom w:val="0"/>
      <w:divBdr>
        <w:top w:val="none" w:sz="0" w:space="0" w:color="auto"/>
        <w:left w:val="none" w:sz="0" w:space="0" w:color="auto"/>
        <w:bottom w:val="none" w:sz="0" w:space="0" w:color="auto"/>
        <w:right w:val="none" w:sz="0" w:space="0" w:color="auto"/>
      </w:divBdr>
      <w:divsChild>
        <w:div w:id="839852473">
          <w:marLeft w:val="0"/>
          <w:marRight w:val="0"/>
          <w:marTop w:val="0"/>
          <w:marBottom w:val="0"/>
          <w:divBdr>
            <w:top w:val="single" w:sz="2" w:space="0" w:color="E3E3E3"/>
            <w:left w:val="single" w:sz="2" w:space="0" w:color="E3E3E3"/>
            <w:bottom w:val="single" w:sz="2" w:space="0" w:color="E3E3E3"/>
            <w:right w:val="single" w:sz="2" w:space="0" w:color="E3E3E3"/>
          </w:divBdr>
          <w:divsChild>
            <w:div w:id="1596211439">
              <w:marLeft w:val="0"/>
              <w:marRight w:val="0"/>
              <w:marTop w:val="100"/>
              <w:marBottom w:val="100"/>
              <w:divBdr>
                <w:top w:val="single" w:sz="2" w:space="0" w:color="E3E3E3"/>
                <w:left w:val="single" w:sz="2" w:space="0" w:color="E3E3E3"/>
                <w:bottom w:val="single" w:sz="2" w:space="0" w:color="E3E3E3"/>
                <w:right w:val="single" w:sz="2" w:space="0" w:color="E3E3E3"/>
              </w:divBdr>
              <w:divsChild>
                <w:div w:id="290022296">
                  <w:marLeft w:val="0"/>
                  <w:marRight w:val="0"/>
                  <w:marTop w:val="0"/>
                  <w:marBottom w:val="0"/>
                  <w:divBdr>
                    <w:top w:val="single" w:sz="2" w:space="0" w:color="E3E3E3"/>
                    <w:left w:val="single" w:sz="2" w:space="0" w:color="E3E3E3"/>
                    <w:bottom w:val="single" w:sz="2" w:space="0" w:color="E3E3E3"/>
                    <w:right w:val="single" w:sz="2" w:space="0" w:color="E3E3E3"/>
                  </w:divBdr>
                  <w:divsChild>
                    <w:div w:id="692147954">
                      <w:marLeft w:val="0"/>
                      <w:marRight w:val="0"/>
                      <w:marTop w:val="0"/>
                      <w:marBottom w:val="0"/>
                      <w:divBdr>
                        <w:top w:val="single" w:sz="2" w:space="0" w:color="E3E3E3"/>
                        <w:left w:val="single" w:sz="2" w:space="0" w:color="E3E3E3"/>
                        <w:bottom w:val="single" w:sz="2" w:space="0" w:color="E3E3E3"/>
                        <w:right w:val="single" w:sz="2" w:space="0" w:color="E3E3E3"/>
                      </w:divBdr>
                      <w:divsChild>
                        <w:div w:id="445199942">
                          <w:marLeft w:val="0"/>
                          <w:marRight w:val="0"/>
                          <w:marTop w:val="0"/>
                          <w:marBottom w:val="0"/>
                          <w:divBdr>
                            <w:top w:val="single" w:sz="2" w:space="0" w:color="E3E3E3"/>
                            <w:left w:val="single" w:sz="2" w:space="0" w:color="E3E3E3"/>
                            <w:bottom w:val="single" w:sz="2" w:space="0" w:color="E3E3E3"/>
                            <w:right w:val="single" w:sz="2" w:space="0" w:color="E3E3E3"/>
                          </w:divBdr>
                          <w:divsChild>
                            <w:div w:id="1946689969">
                              <w:marLeft w:val="0"/>
                              <w:marRight w:val="0"/>
                              <w:marTop w:val="0"/>
                              <w:marBottom w:val="0"/>
                              <w:divBdr>
                                <w:top w:val="single" w:sz="2" w:space="0" w:color="E3E3E3"/>
                                <w:left w:val="single" w:sz="2" w:space="0" w:color="E3E3E3"/>
                                <w:bottom w:val="single" w:sz="2" w:space="0" w:color="E3E3E3"/>
                                <w:right w:val="single" w:sz="2" w:space="0" w:color="E3E3E3"/>
                              </w:divBdr>
                              <w:divsChild>
                                <w:div w:id="867061628">
                                  <w:marLeft w:val="0"/>
                                  <w:marRight w:val="0"/>
                                  <w:marTop w:val="0"/>
                                  <w:marBottom w:val="0"/>
                                  <w:divBdr>
                                    <w:top w:val="single" w:sz="2" w:space="0" w:color="E3E3E3"/>
                                    <w:left w:val="single" w:sz="2" w:space="0" w:color="E3E3E3"/>
                                    <w:bottom w:val="single" w:sz="2" w:space="0" w:color="E3E3E3"/>
                                    <w:right w:val="single" w:sz="2" w:space="0" w:color="E3E3E3"/>
                                  </w:divBdr>
                                  <w:divsChild>
                                    <w:div w:id="16921451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20954436">
          <w:marLeft w:val="0"/>
          <w:marRight w:val="0"/>
          <w:marTop w:val="0"/>
          <w:marBottom w:val="0"/>
          <w:divBdr>
            <w:top w:val="single" w:sz="2" w:space="0" w:color="E3E3E3"/>
            <w:left w:val="single" w:sz="2" w:space="0" w:color="E3E3E3"/>
            <w:bottom w:val="single" w:sz="2" w:space="0" w:color="E3E3E3"/>
            <w:right w:val="single" w:sz="2" w:space="0" w:color="E3E3E3"/>
          </w:divBdr>
          <w:divsChild>
            <w:div w:id="2052996836">
              <w:marLeft w:val="0"/>
              <w:marRight w:val="0"/>
              <w:marTop w:val="100"/>
              <w:marBottom w:val="100"/>
              <w:divBdr>
                <w:top w:val="single" w:sz="2" w:space="0" w:color="E3E3E3"/>
                <w:left w:val="single" w:sz="2" w:space="0" w:color="E3E3E3"/>
                <w:bottom w:val="single" w:sz="2" w:space="0" w:color="E3E3E3"/>
                <w:right w:val="single" w:sz="2" w:space="0" w:color="E3E3E3"/>
              </w:divBdr>
              <w:divsChild>
                <w:div w:id="1236470664">
                  <w:marLeft w:val="0"/>
                  <w:marRight w:val="0"/>
                  <w:marTop w:val="0"/>
                  <w:marBottom w:val="0"/>
                  <w:divBdr>
                    <w:top w:val="single" w:sz="2" w:space="0" w:color="E3E3E3"/>
                    <w:left w:val="single" w:sz="2" w:space="0" w:color="E3E3E3"/>
                    <w:bottom w:val="single" w:sz="2" w:space="0" w:color="E3E3E3"/>
                    <w:right w:val="single" w:sz="2" w:space="0" w:color="E3E3E3"/>
                  </w:divBdr>
                  <w:divsChild>
                    <w:div w:id="804007117">
                      <w:marLeft w:val="0"/>
                      <w:marRight w:val="0"/>
                      <w:marTop w:val="0"/>
                      <w:marBottom w:val="0"/>
                      <w:divBdr>
                        <w:top w:val="single" w:sz="2" w:space="0" w:color="E3E3E3"/>
                        <w:left w:val="single" w:sz="2" w:space="0" w:color="E3E3E3"/>
                        <w:bottom w:val="single" w:sz="2" w:space="0" w:color="E3E3E3"/>
                        <w:right w:val="single" w:sz="2" w:space="0" w:color="E3E3E3"/>
                      </w:divBdr>
                      <w:divsChild>
                        <w:div w:id="803080290">
                          <w:marLeft w:val="0"/>
                          <w:marRight w:val="0"/>
                          <w:marTop w:val="0"/>
                          <w:marBottom w:val="0"/>
                          <w:divBdr>
                            <w:top w:val="single" w:sz="2" w:space="0" w:color="E3E3E3"/>
                            <w:left w:val="single" w:sz="2" w:space="0" w:color="E3E3E3"/>
                            <w:bottom w:val="single" w:sz="2" w:space="0" w:color="E3E3E3"/>
                            <w:right w:val="single" w:sz="2" w:space="0" w:color="E3E3E3"/>
                          </w:divBdr>
                          <w:divsChild>
                            <w:div w:id="1355571161">
                              <w:marLeft w:val="0"/>
                              <w:marRight w:val="0"/>
                              <w:marTop w:val="0"/>
                              <w:marBottom w:val="0"/>
                              <w:divBdr>
                                <w:top w:val="single" w:sz="2" w:space="0" w:color="E3E3E3"/>
                                <w:left w:val="single" w:sz="2" w:space="0" w:color="E3E3E3"/>
                                <w:bottom w:val="single" w:sz="2" w:space="0" w:color="E3E3E3"/>
                                <w:right w:val="single" w:sz="2" w:space="0" w:color="E3E3E3"/>
                              </w:divBdr>
                              <w:divsChild>
                                <w:div w:id="9112315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65510985">
      <w:bodyDiv w:val="1"/>
      <w:marLeft w:val="0"/>
      <w:marRight w:val="0"/>
      <w:marTop w:val="0"/>
      <w:marBottom w:val="0"/>
      <w:divBdr>
        <w:top w:val="none" w:sz="0" w:space="0" w:color="auto"/>
        <w:left w:val="none" w:sz="0" w:space="0" w:color="auto"/>
        <w:bottom w:val="none" w:sz="0" w:space="0" w:color="auto"/>
        <w:right w:val="none" w:sz="0" w:space="0" w:color="auto"/>
      </w:divBdr>
    </w:div>
    <w:div w:id="1216966024">
      <w:bodyDiv w:val="1"/>
      <w:marLeft w:val="0"/>
      <w:marRight w:val="0"/>
      <w:marTop w:val="0"/>
      <w:marBottom w:val="0"/>
      <w:divBdr>
        <w:top w:val="none" w:sz="0" w:space="0" w:color="auto"/>
        <w:left w:val="none" w:sz="0" w:space="0" w:color="auto"/>
        <w:bottom w:val="none" w:sz="0" w:space="0" w:color="auto"/>
        <w:right w:val="none" w:sz="0" w:space="0" w:color="auto"/>
      </w:divBdr>
    </w:div>
    <w:div w:id="1351226875">
      <w:bodyDiv w:val="1"/>
      <w:marLeft w:val="0"/>
      <w:marRight w:val="0"/>
      <w:marTop w:val="0"/>
      <w:marBottom w:val="0"/>
      <w:divBdr>
        <w:top w:val="none" w:sz="0" w:space="0" w:color="auto"/>
        <w:left w:val="none" w:sz="0" w:space="0" w:color="auto"/>
        <w:bottom w:val="none" w:sz="0" w:space="0" w:color="auto"/>
        <w:right w:val="none" w:sz="0" w:space="0" w:color="auto"/>
      </w:divBdr>
    </w:div>
    <w:div w:id="1370567450">
      <w:bodyDiv w:val="1"/>
      <w:marLeft w:val="0"/>
      <w:marRight w:val="0"/>
      <w:marTop w:val="0"/>
      <w:marBottom w:val="0"/>
      <w:divBdr>
        <w:top w:val="none" w:sz="0" w:space="0" w:color="auto"/>
        <w:left w:val="none" w:sz="0" w:space="0" w:color="auto"/>
        <w:bottom w:val="none" w:sz="0" w:space="0" w:color="auto"/>
        <w:right w:val="none" w:sz="0" w:space="0" w:color="auto"/>
      </w:divBdr>
    </w:div>
    <w:div w:id="1400664297">
      <w:bodyDiv w:val="1"/>
      <w:marLeft w:val="0"/>
      <w:marRight w:val="0"/>
      <w:marTop w:val="0"/>
      <w:marBottom w:val="0"/>
      <w:divBdr>
        <w:top w:val="none" w:sz="0" w:space="0" w:color="auto"/>
        <w:left w:val="none" w:sz="0" w:space="0" w:color="auto"/>
        <w:bottom w:val="none" w:sz="0" w:space="0" w:color="auto"/>
        <w:right w:val="none" w:sz="0" w:space="0" w:color="auto"/>
      </w:divBdr>
    </w:div>
    <w:div w:id="1404523937">
      <w:bodyDiv w:val="1"/>
      <w:marLeft w:val="0"/>
      <w:marRight w:val="0"/>
      <w:marTop w:val="0"/>
      <w:marBottom w:val="0"/>
      <w:divBdr>
        <w:top w:val="none" w:sz="0" w:space="0" w:color="auto"/>
        <w:left w:val="none" w:sz="0" w:space="0" w:color="auto"/>
        <w:bottom w:val="none" w:sz="0" w:space="0" w:color="auto"/>
        <w:right w:val="none" w:sz="0" w:space="0" w:color="auto"/>
      </w:divBdr>
    </w:div>
    <w:div w:id="1461604319">
      <w:bodyDiv w:val="1"/>
      <w:marLeft w:val="0"/>
      <w:marRight w:val="0"/>
      <w:marTop w:val="0"/>
      <w:marBottom w:val="0"/>
      <w:divBdr>
        <w:top w:val="none" w:sz="0" w:space="0" w:color="auto"/>
        <w:left w:val="none" w:sz="0" w:space="0" w:color="auto"/>
        <w:bottom w:val="none" w:sz="0" w:space="0" w:color="auto"/>
        <w:right w:val="none" w:sz="0" w:space="0" w:color="auto"/>
      </w:divBdr>
    </w:div>
    <w:div w:id="1497725078">
      <w:bodyDiv w:val="1"/>
      <w:marLeft w:val="0"/>
      <w:marRight w:val="0"/>
      <w:marTop w:val="0"/>
      <w:marBottom w:val="0"/>
      <w:divBdr>
        <w:top w:val="none" w:sz="0" w:space="0" w:color="auto"/>
        <w:left w:val="none" w:sz="0" w:space="0" w:color="auto"/>
        <w:bottom w:val="none" w:sz="0" w:space="0" w:color="auto"/>
        <w:right w:val="none" w:sz="0" w:space="0" w:color="auto"/>
      </w:divBdr>
    </w:div>
    <w:div w:id="1703743868">
      <w:bodyDiv w:val="1"/>
      <w:marLeft w:val="0"/>
      <w:marRight w:val="0"/>
      <w:marTop w:val="0"/>
      <w:marBottom w:val="0"/>
      <w:divBdr>
        <w:top w:val="none" w:sz="0" w:space="0" w:color="auto"/>
        <w:left w:val="none" w:sz="0" w:space="0" w:color="auto"/>
        <w:bottom w:val="none" w:sz="0" w:space="0" w:color="auto"/>
        <w:right w:val="none" w:sz="0" w:space="0" w:color="auto"/>
      </w:divBdr>
    </w:div>
    <w:div w:id="1759134773">
      <w:bodyDiv w:val="1"/>
      <w:marLeft w:val="0"/>
      <w:marRight w:val="0"/>
      <w:marTop w:val="0"/>
      <w:marBottom w:val="0"/>
      <w:divBdr>
        <w:top w:val="none" w:sz="0" w:space="0" w:color="auto"/>
        <w:left w:val="none" w:sz="0" w:space="0" w:color="auto"/>
        <w:bottom w:val="none" w:sz="0" w:space="0" w:color="auto"/>
        <w:right w:val="none" w:sz="0" w:space="0" w:color="auto"/>
      </w:divBdr>
    </w:div>
    <w:div w:id="1809862173">
      <w:bodyDiv w:val="1"/>
      <w:marLeft w:val="0"/>
      <w:marRight w:val="0"/>
      <w:marTop w:val="0"/>
      <w:marBottom w:val="0"/>
      <w:divBdr>
        <w:top w:val="none" w:sz="0" w:space="0" w:color="auto"/>
        <w:left w:val="none" w:sz="0" w:space="0" w:color="auto"/>
        <w:bottom w:val="none" w:sz="0" w:space="0" w:color="auto"/>
        <w:right w:val="none" w:sz="0" w:space="0" w:color="auto"/>
      </w:divBdr>
    </w:div>
    <w:div w:id="1839539821">
      <w:bodyDiv w:val="1"/>
      <w:marLeft w:val="0"/>
      <w:marRight w:val="0"/>
      <w:marTop w:val="0"/>
      <w:marBottom w:val="0"/>
      <w:divBdr>
        <w:top w:val="none" w:sz="0" w:space="0" w:color="auto"/>
        <w:left w:val="none" w:sz="0" w:space="0" w:color="auto"/>
        <w:bottom w:val="none" w:sz="0" w:space="0" w:color="auto"/>
        <w:right w:val="none" w:sz="0" w:space="0" w:color="auto"/>
      </w:divBdr>
    </w:div>
    <w:div w:id="1858621129">
      <w:bodyDiv w:val="1"/>
      <w:marLeft w:val="0"/>
      <w:marRight w:val="0"/>
      <w:marTop w:val="0"/>
      <w:marBottom w:val="0"/>
      <w:divBdr>
        <w:top w:val="none" w:sz="0" w:space="0" w:color="auto"/>
        <w:left w:val="none" w:sz="0" w:space="0" w:color="auto"/>
        <w:bottom w:val="none" w:sz="0" w:space="0" w:color="auto"/>
        <w:right w:val="none" w:sz="0" w:space="0" w:color="auto"/>
      </w:divBdr>
    </w:div>
    <w:div w:id="1907377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nngroup.com/articles/thematic-analysi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DB67D-DC30-8B4E-B0DD-19F56A98A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72</Pages>
  <Words>18482</Words>
  <Characters>105350</Characters>
  <Application>Microsoft Office Word</Application>
  <DocSecurity>0</DocSecurity>
  <Lines>877</Lines>
  <Paragraphs>247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123585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Clinto Wilson</dc:creator>
  <cp:keywords/>
  <dc:description/>
  <cp:lastModifiedBy>kanak jamalta</cp:lastModifiedBy>
  <cp:revision>6</cp:revision>
  <dcterms:created xsi:type="dcterms:W3CDTF">2024-05-12T17:01:00Z</dcterms:created>
  <dcterms:modified xsi:type="dcterms:W3CDTF">2024-05-12T19:17:00Z</dcterms:modified>
  <cp:category/>
</cp:coreProperties>
</file>