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F2D071" w14:textId="7E67BE30" w:rsidR="00D81945" w:rsidRDefault="00D81945" w:rsidP="00D81945">
      <w:pPr>
        <w:spacing w:line="278" w:lineRule="auto"/>
        <w:jc w:val="center"/>
      </w:pPr>
      <w:r>
        <w:rPr>
          <w:noProof/>
        </w:rPr>
        <w:drawing>
          <wp:inline distT="0" distB="0" distL="0" distR="0" wp14:anchorId="70DB84E1" wp14:editId="4528DCF7">
            <wp:extent cx="2021227" cy="809625"/>
            <wp:effectExtent l="0" t="0" r="0" b="0"/>
            <wp:docPr id="207387576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26355" cy="811679"/>
                    </a:xfrm>
                    <a:prstGeom prst="rect">
                      <a:avLst/>
                    </a:prstGeom>
                    <a:noFill/>
                  </pic:spPr>
                </pic:pic>
              </a:graphicData>
            </a:graphic>
          </wp:inline>
        </w:drawing>
      </w:r>
    </w:p>
    <w:p w14:paraId="4F405AD9" w14:textId="77777777" w:rsidR="00A01140" w:rsidRDefault="00A01140" w:rsidP="00207B1F">
      <w:pPr>
        <w:jc w:val="center"/>
        <w:rPr>
          <w:b/>
          <w:bCs/>
          <w:sz w:val="32"/>
          <w:szCs w:val="32"/>
        </w:rPr>
      </w:pPr>
    </w:p>
    <w:p w14:paraId="6ED9EAD3" w14:textId="28653F76" w:rsidR="00D81945" w:rsidRPr="00207B1F" w:rsidRDefault="00207B1F" w:rsidP="00207B1F">
      <w:pPr>
        <w:jc w:val="center"/>
        <w:rPr>
          <w:sz w:val="32"/>
          <w:szCs w:val="32"/>
        </w:rPr>
      </w:pPr>
      <w:r w:rsidRPr="00207B1F">
        <w:rPr>
          <w:b/>
          <w:bCs/>
          <w:sz w:val="32"/>
          <w:szCs w:val="32"/>
        </w:rPr>
        <w:t xml:space="preserve">PROGRAMME: </w:t>
      </w:r>
      <w:r w:rsidRPr="00207B1F">
        <w:rPr>
          <w:sz w:val="32"/>
          <w:szCs w:val="32"/>
        </w:rPr>
        <w:t>MASTER OF BUSINESS ADMINISTRATION</w:t>
      </w:r>
    </w:p>
    <w:p w14:paraId="3912891A" w14:textId="763FB107" w:rsidR="00D81945" w:rsidRPr="00207B1F" w:rsidRDefault="00207B1F" w:rsidP="00207B1F">
      <w:pPr>
        <w:jc w:val="center"/>
        <w:rPr>
          <w:sz w:val="32"/>
          <w:szCs w:val="32"/>
        </w:rPr>
      </w:pPr>
      <w:r w:rsidRPr="00207B1F">
        <w:rPr>
          <w:b/>
          <w:bCs/>
          <w:sz w:val="32"/>
          <w:szCs w:val="32"/>
        </w:rPr>
        <w:t xml:space="preserve">MODULE: </w:t>
      </w:r>
      <w:r w:rsidRPr="00207B1F">
        <w:rPr>
          <w:sz w:val="32"/>
          <w:szCs w:val="32"/>
        </w:rPr>
        <w:t>HUMAN CAPITAL MANAGEMENT</w:t>
      </w:r>
    </w:p>
    <w:p w14:paraId="22772068" w14:textId="041157E3" w:rsidR="00D81945" w:rsidRPr="00207B1F" w:rsidRDefault="00207B1F" w:rsidP="00207B1F">
      <w:pPr>
        <w:jc w:val="center"/>
        <w:rPr>
          <w:sz w:val="32"/>
          <w:szCs w:val="32"/>
        </w:rPr>
      </w:pPr>
      <w:r w:rsidRPr="00207B1F">
        <w:rPr>
          <w:b/>
          <w:bCs/>
          <w:sz w:val="32"/>
          <w:szCs w:val="32"/>
        </w:rPr>
        <w:t>MODULE CODE:</w:t>
      </w:r>
      <w:r w:rsidR="00A01140">
        <w:rPr>
          <w:sz w:val="32"/>
          <w:szCs w:val="32"/>
        </w:rPr>
        <w:t xml:space="preserve"> </w:t>
      </w:r>
      <w:r w:rsidRPr="00207B1F">
        <w:rPr>
          <w:sz w:val="32"/>
          <w:szCs w:val="32"/>
        </w:rPr>
        <w:t>LCMB7023</w:t>
      </w:r>
      <w:r w:rsidRPr="00207B1F">
        <w:rPr>
          <w:sz w:val="32"/>
          <w:szCs w:val="32"/>
        </w:rPr>
        <w:tab/>
      </w:r>
    </w:p>
    <w:p w14:paraId="75444E29" w14:textId="09994AC6" w:rsidR="00D81945" w:rsidRPr="00207B1F" w:rsidRDefault="00207B1F" w:rsidP="00207B1F">
      <w:pPr>
        <w:jc w:val="center"/>
        <w:rPr>
          <w:sz w:val="32"/>
          <w:szCs w:val="32"/>
        </w:rPr>
      </w:pPr>
      <w:r w:rsidRPr="00207B1F">
        <w:rPr>
          <w:b/>
          <w:bCs/>
          <w:sz w:val="32"/>
          <w:szCs w:val="32"/>
        </w:rPr>
        <w:t xml:space="preserve">ASSIGNMENT TITLE: </w:t>
      </w:r>
      <w:r w:rsidRPr="00207B1F">
        <w:rPr>
          <w:sz w:val="32"/>
          <w:szCs w:val="32"/>
        </w:rPr>
        <w:t>INTEGRATED HUMAN CAPITAL BLUEPRINT</w:t>
      </w:r>
    </w:p>
    <w:p w14:paraId="587781B0" w14:textId="5DCC200E" w:rsidR="00D81945" w:rsidRPr="00207B1F" w:rsidRDefault="00207B1F" w:rsidP="00207B1F">
      <w:pPr>
        <w:jc w:val="center"/>
        <w:rPr>
          <w:b/>
          <w:bCs/>
          <w:sz w:val="32"/>
          <w:szCs w:val="32"/>
        </w:rPr>
      </w:pPr>
      <w:r w:rsidRPr="00207B1F">
        <w:rPr>
          <w:b/>
          <w:bCs/>
          <w:sz w:val="32"/>
          <w:szCs w:val="32"/>
        </w:rPr>
        <w:t>STUDENT NAME:</w:t>
      </w:r>
      <w:r w:rsidRPr="00207B1F">
        <w:rPr>
          <w:b/>
          <w:bCs/>
          <w:sz w:val="32"/>
          <w:szCs w:val="32"/>
        </w:rPr>
        <w:tab/>
      </w:r>
      <w:r w:rsidR="008E24D1" w:rsidRPr="008E24D1">
        <w:rPr>
          <w:b/>
          <w:bCs/>
          <w:sz w:val="32"/>
          <w:szCs w:val="32"/>
        </w:rPr>
        <w:t>Wares Sikder Anik</w:t>
      </w:r>
      <w:r w:rsidRPr="00207B1F">
        <w:rPr>
          <w:b/>
          <w:bCs/>
          <w:sz w:val="32"/>
          <w:szCs w:val="32"/>
        </w:rPr>
        <w:t xml:space="preserve">     </w:t>
      </w:r>
    </w:p>
    <w:p w14:paraId="7BB73472" w14:textId="73896BAB" w:rsidR="00D81945" w:rsidRPr="00207B1F" w:rsidRDefault="00207B1F" w:rsidP="00207B1F">
      <w:pPr>
        <w:jc w:val="center"/>
        <w:rPr>
          <w:b/>
          <w:bCs/>
          <w:sz w:val="32"/>
          <w:szCs w:val="32"/>
        </w:rPr>
      </w:pPr>
      <w:r w:rsidRPr="00207B1F">
        <w:rPr>
          <w:b/>
          <w:bCs/>
          <w:sz w:val="32"/>
          <w:szCs w:val="32"/>
        </w:rPr>
        <w:t>STUDENT ID NUMBER:</w:t>
      </w:r>
      <w:r w:rsidRPr="00207B1F">
        <w:rPr>
          <w:b/>
          <w:bCs/>
          <w:sz w:val="32"/>
          <w:szCs w:val="32"/>
        </w:rPr>
        <w:tab/>
      </w:r>
      <w:r w:rsidR="008E24D1" w:rsidRPr="008E24D1">
        <w:rPr>
          <w:b/>
          <w:bCs/>
          <w:sz w:val="32"/>
          <w:szCs w:val="32"/>
        </w:rPr>
        <w:t>2518993</w:t>
      </w:r>
    </w:p>
    <w:p w14:paraId="47CB3B50" w14:textId="51DA6ABD" w:rsidR="00207B1F" w:rsidRPr="00207B1F" w:rsidRDefault="00207B1F" w:rsidP="00207B1F">
      <w:pPr>
        <w:jc w:val="center"/>
        <w:rPr>
          <w:sz w:val="32"/>
          <w:szCs w:val="32"/>
        </w:rPr>
      </w:pPr>
      <w:r w:rsidRPr="00207B1F">
        <w:rPr>
          <w:b/>
          <w:bCs/>
          <w:sz w:val="32"/>
          <w:szCs w:val="32"/>
        </w:rPr>
        <w:t xml:space="preserve">WORD COUNT: 2,500 </w:t>
      </w:r>
    </w:p>
    <w:p w14:paraId="43AFBBFA" w14:textId="77777777" w:rsidR="00207B1F" w:rsidRDefault="00207B1F" w:rsidP="00D81945">
      <w:pPr>
        <w:spacing w:line="278" w:lineRule="auto"/>
        <w:jc w:val="center"/>
      </w:pPr>
    </w:p>
    <w:p w14:paraId="7A2D1CDA" w14:textId="6BB76255" w:rsidR="00267631" w:rsidRDefault="00267631" w:rsidP="00D81945">
      <w:pPr>
        <w:spacing w:line="278" w:lineRule="auto"/>
        <w:jc w:val="center"/>
      </w:pPr>
      <w:r>
        <w:br w:type="page"/>
      </w:r>
    </w:p>
    <w:sdt>
      <w:sdtPr>
        <w:rPr>
          <w:rFonts w:ascii="Times New Roman" w:eastAsiaTheme="minorHAnsi" w:hAnsi="Times New Roman" w:cs="Times New Roman"/>
          <w:b/>
          <w:bCs/>
          <w:color w:val="auto"/>
          <w:kern w:val="2"/>
          <w:sz w:val="28"/>
          <w:szCs w:val="28"/>
          <w14:ligatures w14:val="standardContextual"/>
        </w:rPr>
        <w:id w:val="-1150208402"/>
        <w:docPartObj>
          <w:docPartGallery w:val="Table of Contents"/>
          <w:docPartUnique/>
        </w:docPartObj>
      </w:sdtPr>
      <w:sdtEndPr>
        <w:rPr>
          <w:rFonts w:cstheme="minorBidi"/>
          <w:noProof/>
          <w:color w:val="000000" w:themeColor="text1"/>
          <w:sz w:val="24"/>
          <w:szCs w:val="24"/>
        </w:rPr>
      </w:sdtEndPr>
      <w:sdtContent>
        <w:p w14:paraId="3A487A0A" w14:textId="057E6A19" w:rsidR="00381563" w:rsidRPr="00381563" w:rsidRDefault="00381563" w:rsidP="00381563">
          <w:pPr>
            <w:pStyle w:val="TOCHeading"/>
            <w:jc w:val="center"/>
            <w:rPr>
              <w:rFonts w:ascii="Times New Roman" w:hAnsi="Times New Roman" w:cs="Times New Roman"/>
              <w:b/>
              <w:bCs/>
              <w:color w:val="auto"/>
              <w:sz w:val="28"/>
              <w:szCs w:val="28"/>
            </w:rPr>
          </w:pPr>
          <w:r w:rsidRPr="00381563">
            <w:rPr>
              <w:rFonts w:ascii="Times New Roman" w:hAnsi="Times New Roman" w:cs="Times New Roman"/>
              <w:b/>
              <w:bCs/>
              <w:color w:val="auto"/>
              <w:sz w:val="28"/>
              <w:szCs w:val="28"/>
            </w:rPr>
            <w:t>Table of Contents</w:t>
          </w:r>
        </w:p>
        <w:p w14:paraId="3C52F043" w14:textId="49EFF532" w:rsidR="00381563" w:rsidRDefault="00381563">
          <w:pPr>
            <w:pStyle w:val="TOC1"/>
            <w:tabs>
              <w:tab w:val="right" w:leader="dot" w:pos="9350"/>
            </w:tabs>
            <w:rPr>
              <w:noProof/>
            </w:rPr>
          </w:pPr>
          <w:r>
            <w:fldChar w:fldCharType="begin"/>
          </w:r>
          <w:r>
            <w:instrText xml:space="preserve"> TOC \o "1-3" \h \z \u </w:instrText>
          </w:r>
          <w:r>
            <w:fldChar w:fldCharType="separate"/>
          </w:r>
          <w:hyperlink w:anchor="_Toc221882898" w:history="1">
            <w:r w:rsidRPr="00F26535">
              <w:rPr>
                <w:rStyle w:val="Hyperlink"/>
                <w:rFonts w:eastAsia="SimSun"/>
                <w:noProof/>
              </w:rPr>
              <w:t>PART 1: OPTION 3-DESIGNING THE TALENT ECOSYSTEM</w:t>
            </w:r>
            <w:r>
              <w:rPr>
                <w:noProof/>
                <w:webHidden/>
              </w:rPr>
              <w:tab/>
            </w:r>
            <w:r>
              <w:rPr>
                <w:noProof/>
                <w:webHidden/>
              </w:rPr>
              <w:fldChar w:fldCharType="begin"/>
            </w:r>
            <w:r>
              <w:rPr>
                <w:noProof/>
                <w:webHidden/>
              </w:rPr>
              <w:instrText xml:space="preserve"> PAGEREF _Toc221882898 \h </w:instrText>
            </w:r>
            <w:r>
              <w:rPr>
                <w:noProof/>
                <w:webHidden/>
              </w:rPr>
            </w:r>
            <w:r>
              <w:rPr>
                <w:noProof/>
                <w:webHidden/>
              </w:rPr>
              <w:fldChar w:fldCharType="separate"/>
            </w:r>
            <w:r w:rsidR="007D3DC8">
              <w:rPr>
                <w:noProof/>
                <w:webHidden/>
              </w:rPr>
              <w:t>4</w:t>
            </w:r>
            <w:r>
              <w:rPr>
                <w:noProof/>
                <w:webHidden/>
              </w:rPr>
              <w:fldChar w:fldCharType="end"/>
            </w:r>
          </w:hyperlink>
        </w:p>
        <w:p w14:paraId="54D8177A" w14:textId="28046C7E" w:rsidR="00381563" w:rsidRDefault="00381563">
          <w:pPr>
            <w:pStyle w:val="TOC2"/>
            <w:tabs>
              <w:tab w:val="right" w:leader="dot" w:pos="9350"/>
            </w:tabs>
            <w:rPr>
              <w:noProof/>
            </w:rPr>
          </w:pPr>
          <w:hyperlink w:anchor="_Toc221882899" w:history="1">
            <w:r w:rsidRPr="00F26535">
              <w:rPr>
                <w:rStyle w:val="Hyperlink"/>
                <w:noProof/>
              </w:rPr>
              <w:t>Introduction</w:t>
            </w:r>
            <w:r>
              <w:rPr>
                <w:noProof/>
                <w:webHidden/>
              </w:rPr>
              <w:tab/>
            </w:r>
            <w:r>
              <w:rPr>
                <w:noProof/>
                <w:webHidden/>
              </w:rPr>
              <w:fldChar w:fldCharType="begin"/>
            </w:r>
            <w:r>
              <w:rPr>
                <w:noProof/>
                <w:webHidden/>
              </w:rPr>
              <w:instrText xml:space="preserve"> PAGEREF _Toc221882899 \h </w:instrText>
            </w:r>
            <w:r>
              <w:rPr>
                <w:noProof/>
                <w:webHidden/>
              </w:rPr>
            </w:r>
            <w:r>
              <w:rPr>
                <w:noProof/>
                <w:webHidden/>
              </w:rPr>
              <w:fldChar w:fldCharType="separate"/>
            </w:r>
            <w:r w:rsidR="007D3DC8">
              <w:rPr>
                <w:noProof/>
                <w:webHidden/>
              </w:rPr>
              <w:t>4</w:t>
            </w:r>
            <w:r>
              <w:rPr>
                <w:noProof/>
                <w:webHidden/>
              </w:rPr>
              <w:fldChar w:fldCharType="end"/>
            </w:r>
          </w:hyperlink>
        </w:p>
        <w:p w14:paraId="010974B2" w14:textId="02BF8867" w:rsidR="00381563" w:rsidRDefault="00381563">
          <w:pPr>
            <w:pStyle w:val="TOC2"/>
            <w:tabs>
              <w:tab w:val="right" w:leader="dot" w:pos="9350"/>
            </w:tabs>
            <w:rPr>
              <w:noProof/>
            </w:rPr>
          </w:pPr>
          <w:hyperlink w:anchor="_Toc221882900" w:history="1">
            <w:r w:rsidRPr="00F26535">
              <w:rPr>
                <w:rStyle w:val="Hyperlink"/>
                <w:noProof/>
              </w:rPr>
              <w:t>Diagnosing Aether’s Human Capital Problem</w:t>
            </w:r>
            <w:r>
              <w:rPr>
                <w:noProof/>
                <w:webHidden/>
              </w:rPr>
              <w:tab/>
            </w:r>
            <w:r>
              <w:rPr>
                <w:noProof/>
                <w:webHidden/>
              </w:rPr>
              <w:fldChar w:fldCharType="begin"/>
            </w:r>
            <w:r>
              <w:rPr>
                <w:noProof/>
                <w:webHidden/>
              </w:rPr>
              <w:instrText xml:space="preserve"> PAGEREF _Toc221882900 \h </w:instrText>
            </w:r>
            <w:r>
              <w:rPr>
                <w:noProof/>
                <w:webHidden/>
              </w:rPr>
            </w:r>
            <w:r>
              <w:rPr>
                <w:noProof/>
                <w:webHidden/>
              </w:rPr>
              <w:fldChar w:fldCharType="separate"/>
            </w:r>
            <w:r w:rsidR="007D3DC8">
              <w:rPr>
                <w:noProof/>
                <w:webHidden/>
              </w:rPr>
              <w:t>4</w:t>
            </w:r>
            <w:r>
              <w:rPr>
                <w:noProof/>
                <w:webHidden/>
              </w:rPr>
              <w:fldChar w:fldCharType="end"/>
            </w:r>
          </w:hyperlink>
        </w:p>
        <w:p w14:paraId="62CE8E2E" w14:textId="471E00E2" w:rsidR="00381563" w:rsidRDefault="00381563">
          <w:pPr>
            <w:pStyle w:val="TOC2"/>
            <w:tabs>
              <w:tab w:val="right" w:leader="dot" w:pos="9350"/>
            </w:tabs>
            <w:rPr>
              <w:noProof/>
            </w:rPr>
          </w:pPr>
          <w:hyperlink w:anchor="_Toc221882901" w:history="1">
            <w:r w:rsidRPr="00F26535">
              <w:rPr>
                <w:rStyle w:val="Hyperlink"/>
                <w:noProof/>
              </w:rPr>
              <w:t>Critical Review of Talent Ecosystems in Tech Firms</w:t>
            </w:r>
            <w:r>
              <w:rPr>
                <w:noProof/>
                <w:webHidden/>
              </w:rPr>
              <w:tab/>
            </w:r>
            <w:r>
              <w:rPr>
                <w:noProof/>
                <w:webHidden/>
              </w:rPr>
              <w:fldChar w:fldCharType="begin"/>
            </w:r>
            <w:r>
              <w:rPr>
                <w:noProof/>
                <w:webHidden/>
              </w:rPr>
              <w:instrText xml:space="preserve"> PAGEREF _Toc221882901 \h </w:instrText>
            </w:r>
            <w:r>
              <w:rPr>
                <w:noProof/>
                <w:webHidden/>
              </w:rPr>
            </w:r>
            <w:r>
              <w:rPr>
                <w:noProof/>
                <w:webHidden/>
              </w:rPr>
              <w:fldChar w:fldCharType="separate"/>
            </w:r>
            <w:r w:rsidR="007D3DC8">
              <w:rPr>
                <w:noProof/>
                <w:webHidden/>
              </w:rPr>
              <w:t>5</w:t>
            </w:r>
            <w:r>
              <w:rPr>
                <w:noProof/>
                <w:webHidden/>
              </w:rPr>
              <w:fldChar w:fldCharType="end"/>
            </w:r>
          </w:hyperlink>
        </w:p>
        <w:p w14:paraId="2931596C" w14:textId="0FC04D8F" w:rsidR="00381563" w:rsidRDefault="00381563">
          <w:pPr>
            <w:pStyle w:val="TOC2"/>
            <w:tabs>
              <w:tab w:val="right" w:leader="dot" w:pos="9350"/>
            </w:tabs>
            <w:rPr>
              <w:noProof/>
            </w:rPr>
          </w:pPr>
          <w:hyperlink w:anchor="_Toc221882902" w:history="1">
            <w:r w:rsidRPr="00F26535">
              <w:rPr>
                <w:rStyle w:val="Hyperlink"/>
                <w:noProof/>
              </w:rPr>
              <w:t>Proposed Build vs Buy Strategic Model</w:t>
            </w:r>
            <w:r>
              <w:rPr>
                <w:noProof/>
                <w:webHidden/>
              </w:rPr>
              <w:tab/>
            </w:r>
            <w:r>
              <w:rPr>
                <w:noProof/>
                <w:webHidden/>
              </w:rPr>
              <w:fldChar w:fldCharType="begin"/>
            </w:r>
            <w:r>
              <w:rPr>
                <w:noProof/>
                <w:webHidden/>
              </w:rPr>
              <w:instrText xml:space="preserve"> PAGEREF _Toc221882902 \h </w:instrText>
            </w:r>
            <w:r>
              <w:rPr>
                <w:noProof/>
                <w:webHidden/>
              </w:rPr>
            </w:r>
            <w:r>
              <w:rPr>
                <w:noProof/>
                <w:webHidden/>
              </w:rPr>
              <w:fldChar w:fldCharType="separate"/>
            </w:r>
            <w:r w:rsidR="007D3DC8">
              <w:rPr>
                <w:noProof/>
                <w:webHidden/>
              </w:rPr>
              <w:t>6</w:t>
            </w:r>
            <w:r>
              <w:rPr>
                <w:noProof/>
                <w:webHidden/>
              </w:rPr>
              <w:fldChar w:fldCharType="end"/>
            </w:r>
          </w:hyperlink>
        </w:p>
        <w:p w14:paraId="654059F3" w14:textId="7E696E40" w:rsidR="00381563" w:rsidRDefault="00381563">
          <w:pPr>
            <w:pStyle w:val="TOC2"/>
            <w:tabs>
              <w:tab w:val="right" w:leader="dot" w:pos="9350"/>
            </w:tabs>
            <w:rPr>
              <w:noProof/>
            </w:rPr>
          </w:pPr>
          <w:hyperlink w:anchor="_Toc221882903" w:history="1">
            <w:r w:rsidRPr="00F26535">
              <w:rPr>
                <w:rStyle w:val="Hyperlink"/>
                <w:noProof/>
              </w:rPr>
              <w:t>Mentorship, Leadership Pathways &amp; Lifelong Learning</w:t>
            </w:r>
            <w:r>
              <w:rPr>
                <w:noProof/>
                <w:webHidden/>
              </w:rPr>
              <w:tab/>
            </w:r>
            <w:r>
              <w:rPr>
                <w:noProof/>
                <w:webHidden/>
              </w:rPr>
              <w:fldChar w:fldCharType="begin"/>
            </w:r>
            <w:r>
              <w:rPr>
                <w:noProof/>
                <w:webHidden/>
              </w:rPr>
              <w:instrText xml:space="preserve"> PAGEREF _Toc221882903 \h </w:instrText>
            </w:r>
            <w:r>
              <w:rPr>
                <w:noProof/>
                <w:webHidden/>
              </w:rPr>
            </w:r>
            <w:r>
              <w:rPr>
                <w:noProof/>
                <w:webHidden/>
              </w:rPr>
              <w:fldChar w:fldCharType="separate"/>
            </w:r>
            <w:r w:rsidR="007D3DC8">
              <w:rPr>
                <w:noProof/>
                <w:webHidden/>
              </w:rPr>
              <w:t>8</w:t>
            </w:r>
            <w:r>
              <w:rPr>
                <w:noProof/>
                <w:webHidden/>
              </w:rPr>
              <w:fldChar w:fldCharType="end"/>
            </w:r>
          </w:hyperlink>
        </w:p>
        <w:p w14:paraId="70C7B7AF" w14:textId="595EBCA0" w:rsidR="00381563" w:rsidRDefault="00381563">
          <w:pPr>
            <w:pStyle w:val="TOC2"/>
            <w:tabs>
              <w:tab w:val="right" w:leader="dot" w:pos="9350"/>
            </w:tabs>
            <w:rPr>
              <w:noProof/>
            </w:rPr>
          </w:pPr>
          <w:hyperlink w:anchor="_Toc221882904" w:history="1">
            <w:r w:rsidRPr="00F26535">
              <w:rPr>
                <w:rStyle w:val="Hyperlink"/>
                <w:noProof/>
              </w:rPr>
              <w:t>Integrated HR Blueprint: Connecting to Performance Outcomes</w:t>
            </w:r>
            <w:r>
              <w:rPr>
                <w:noProof/>
                <w:webHidden/>
              </w:rPr>
              <w:tab/>
            </w:r>
            <w:r>
              <w:rPr>
                <w:noProof/>
                <w:webHidden/>
              </w:rPr>
              <w:fldChar w:fldCharType="begin"/>
            </w:r>
            <w:r>
              <w:rPr>
                <w:noProof/>
                <w:webHidden/>
              </w:rPr>
              <w:instrText xml:space="preserve"> PAGEREF _Toc221882904 \h </w:instrText>
            </w:r>
            <w:r>
              <w:rPr>
                <w:noProof/>
                <w:webHidden/>
              </w:rPr>
            </w:r>
            <w:r>
              <w:rPr>
                <w:noProof/>
                <w:webHidden/>
              </w:rPr>
              <w:fldChar w:fldCharType="separate"/>
            </w:r>
            <w:r w:rsidR="007D3DC8">
              <w:rPr>
                <w:noProof/>
                <w:webHidden/>
              </w:rPr>
              <w:t>8</w:t>
            </w:r>
            <w:r>
              <w:rPr>
                <w:noProof/>
                <w:webHidden/>
              </w:rPr>
              <w:fldChar w:fldCharType="end"/>
            </w:r>
          </w:hyperlink>
        </w:p>
        <w:p w14:paraId="38DEB0CE" w14:textId="43BA868A" w:rsidR="00381563" w:rsidRDefault="00381563">
          <w:pPr>
            <w:pStyle w:val="TOC2"/>
            <w:tabs>
              <w:tab w:val="right" w:leader="dot" w:pos="9350"/>
            </w:tabs>
            <w:rPr>
              <w:noProof/>
            </w:rPr>
          </w:pPr>
          <w:hyperlink w:anchor="_Toc221882905" w:history="1">
            <w:r w:rsidRPr="00F26535">
              <w:rPr>
                <w:rStyle w:val="Hyperlink"/>
                <w:noProof/>
              </w:rPr>
              <w:t>Conclusion</w:t>
            </w:r>
            <w:r>
              <w:rPr>
                <w:noProof/>
                <w:webHidden/>
              </w:rPr>
              <w:tab/>
            </w:r>
            <w:r>
              <w:rPr>
                <w:noProof/>
                <w:webHidden/>
              </w:rPr>
              <w:fldChar w:fldCharType="begin"/>
            </w:r>
            <w:r>
              <w:rPr>
                <w:noProof/>
                <w:webHidden/>
              </w:rPr>
              <w:instrText xml:space="preserve"> PAGEREF _Toc221882905 \h </w:instrText>
            </w:r>
            <w:r>
              <w:rPr>
                <w:noProof/>
                <w:webHidden/>
              </w:rPr>
            </w:r>
            <w:r>
              <w:rPr>
                <w:noProof/>
                <w:webHidden/>
              </w:rPr>
              <w:fldChar w:fldCharType="separate"/>
            </w:r>
            <w:r w:rsidR="007D3DC8">
              <w:rPr>
                <w:noProof/>
                <w:webHidden/>
              </w:rPr>
              <w:t>9</w:t>
            </w:r>
            <w:r>
              <w:rPr>
                <w:noProof/>
                <w:webHidden/>
              </w:rPr>
              <w:fldChar w:fldCharType="end"/>
            </w:r>
          </w:hyperlink>
        </w:p>
        <w:p w14:paraId="5231AEF8" w14:textId="08579B38" w:rsidR="00381563" w:rsidRDefault="00381563">
          <w:pPr>
            <w:pStyle w:val="TOC1"/>
            <w:tabs>
              <w:tab w:val="right" w:leader="dot" w:pos="9350"/>
            </w:tabs>
            <w:rPr>
              <w:noProof/>
            </w:rPr>
          </w:pPr>
          <w:hyperlink w:anchor="_Toc221882906" w:history="1">
            <w:r w:rsidRPr="00F26535">
              <w:rPr>
                <w:rStyle w:val="Hyperlink"/>
                <w:noProof/>
              </w:rPr>
              <w:t>PART 2: REFLECTION</w:t>
            </w:r>
            <w:r>
              <w:rPr>
                <w:noProof/>
                <w:webHidden/>
              </w:rPr>
              <w:tab/>
            </w:r>
            <w:r>
              <w:rPr>
                <w:noProof/>
                <w:webHidden/>
              </w:rPr>
              <w:fldChar w:fldCharType="begin"/>
            </w:r>
            <w:r>
              <w:rPr>
                <w:noProof/>
                <w:webHidden/>
              </w:rPr>
              <w:instrText xml:space="preserve"> PAGEREF _Toc221882906 \h </w:instrText>
            </w:r>
            <w:r>
              <w:rPr>
                <w:noProof/>
                <w:webHidden/>
              </w:rPr>
            </w:r>
            <w:r>
              <w:rPr>
                <w:noProof/>
                <w:webHidden/>
              </w:rPr>
              <w:fldChar w:fldCharType="separate"/>
            </w:r>
            <w:r w:rsidR="007D3DC8">
              <w:rPr>
                <w:noProof/>
                <w:webHidden/>
              </w:rPr>
              <w:t>10</w:t>
            </w:r>
            <w:r>
              <w:rPr>
                <w:noProof/>
                <w:webHidden/>
              </w:rPr>
              <w:fldChar w:fldCharType="end"/>
            </w:r>
          </w:hyperlink>
        </w:p>
        <w:p w14:paraId="57123BA8" w14:textId="164B3B12" w:rsidR="00381563" w:rsidRDefault="00381563">
          <w:pPr>
            <w:pStyle w:val="TOC2"/>
            <w:tabs>
              <w:tab w:val="right" w:leader="dot" w:pos="9350"/>
            </w:tabs>
            <w:rPr>
              <w:noProof/>
            </w:rPr>
          </w:pPr>
          <w:hyperlink w:anchor="_Toc221882907" w:history="1">
            <w:r w:rsidRPr="00F26535">
              <w:rPr>
                <w:rStyle w:val="Hyperlink"/>
                <w:noProof/>
              </w:rPr>
              <w:t>Reflective Learning Journey</w:t>
            </w:r>
            <w:r>
              <w:rPr>
                <w:noProof/>
                <w:webHidden/>
              </w:rPr>
              <w:tab/>
            </w:r>
            <w:r>
              <w:rPr>
                <w:noProof/>
                <w:webHidden/>
              </w:rPr>
              <w:fldChar w:fldCharType="begin"/>
            </w:r>
            <w:r>
              <w:rPr>
                <w:noProof/>
                <w:webHidden/>
              </w:rPr>
              <w:instrText xml:space="preserve"> PAGEREF _Toc221882907 \h </w:instrText>
            </w:r>
            <w:r>
              <w:rPr>
                <w:noProof/>
                <w:webHidden/>
              </w:rPr>
            </w:r>
            <w:r>
              <w:rPr>
                <w:noProof/>
                <w:webHidden/>
              </w:rPr>
              <w:fldChar w:fldCharType="separate"/>
            </w:r>
            <w:r w:rsidR="007D3DC8">
              <w:rPr>
                <w:noProof/>
                <w:webHidden/>
              </w:rPr>
              <w:t>10</w:t>
            </w:r>
            <w:r>
              <w:rPr>
                <w:noProof/>
                <w:webHidden/>
              </w:rPr>
              <w:fldChar w:fldCharType="end"/>
            </w:r>
          </w:hyperlink>
        </w:p>
        <w:p w14:paraId="71877485" w14:textId="5D19A2A1" w:rsidR="00381563" w:rsidRDefault="00381563">
          <w:pPr>
            <w:pStyle w:val="TOC2"/>
            <w:tabs>
              <w:tab w:val="right" w:leader="dot" w:pos="9350"/>
            </w:tabs>
            <w:rPr>
              <w:noProof/>
            </w:rPr>
          </w:pPr>
          <w:hyperlink w:anchor="_Toc221882908" w:history="1">
            <w:r w:rsidRPr="00F26535">
              <w:rPr>
                <w:rStyle w:val="Hyperlink"/>
                <w:noProof/>
              </w:rPr>
              <w:t>AI and Future Employability Reflection</w:t>
            </w:r>
            <w:r>
              <w:rPr>
                <w:noProof/>
                <w:webHidden/>
              </w:rPr>
              <w:tab/>
            </w:r>
            <w:r>
              <w:rPr>
                <w:noProof/>
                <w:webHidden/>
              </w:rPr>
              <w:fldChar w:fldCharType="begin"/>
            </w:r>
            <w:r>
              <w:rPr>
                <w:noProof/>
                <w:webHidden/>
              </w:rPr>
              <w:instrText xml:space="preserve"> PAGEREF _Toc221882908 \h </w:instrText>
            </w:r>
            <w:r>
              <w:rPr>
                <w:noProof/>
                <w:webHidden/>
              </w:rPr>
            </w:r>
            <w:r>
              <w:rPr>
                <w:noProof/>
                <w:webHidden/>
              </w:rPr>
              <w:fldChar w:fldCharType="separate"/>
            </w:r>
            <w:r w:rsidR="007D3DC8">
              <w:rPr>
                <w:noProof/>
                <w:webHidden/>
              </w:rPr>
              <w:t>13</w:t>
            </w:r>
            <w:r>
              <w:rPr>
                <w:noProof/>
                <w:webHidden/>
              </w:rPr>
              <w:fldChar w:fldCharType="end"/>
            </w:r>
          </w:hyperlink>
        </w:p>
        <w:p w14:paraId="748E0002" w14:textId="6253C493" w:rsidR="00381563" w:rsidRDefault="00381563">
          <w:pPr>
            <w:pStyle w:val="TOC1"/>
            <w:tabs>
              <w:tab w:val="right" w:leader="dot" w:pos="9350"/>
            </w:tabs>
            <w:rPr>
              <w:noProof/>
            </w:rPr>
          </w:pPr>
          <w:hyperlink w:anchor="_Toc221882909" w:history="1">
            <w:r w:rsidRPr="00F26535">
              <w:rPr>
                <w:rStyle w:val="Hyperlink"/>
                <w:noProof/>
              </w:rPr>
              <w:t>REFERENCE LIST</w:t>
            </w:r>
            <w:r>
              <w:rPr>
                <w:noProof/>
                <w:webHidden/>
              </w:rPr>
              <w:tab/>
            </w:r>
            <w:r>
              <w:rPr>
                <w:noProof/>
                <w:webHidden/>
              </w:rPr>
              <w:fldChar w:fldCharType="begin"/>
            </w:r>
            <w:r>
              <w:rPr>
                <w:noProof/>
                <w:webHidden/>
              </w:rPr>
              <w:instrText xml:space="preserve"> PAGEREF _Toc221882909 \h </w:instrText>
            </w:r>
            <w:r>
              <w:rPr>
                <w:noProof/>
                <w:webHidden/>
              </w:rPr>
            </w:r>
            <w:r>
              <w:rPr>
                <w:noProof/>
                <w:webHidden/>
              </w:rPr>
              <w:fldChar w:fldCharType="separate"/>
            </w:r>
            <w:r w:rsidR="007D3DC8">
              <w:rPr>
                <w:noProof/>
                <w:webHidden/>
              </w:rPr>
              <w:t>14</w:t>
            </w:r>
            <w:r>
              <w:rPr>
                <w:noProof/>
                <w:webHidden/>
              </w:rPr>
              <w:fldChar w:fldCharType="end"/>
            </w:r>
          </w:hyperlink>
        </w:p>
        <w:p w14:paraId="097E9D8A" w14:textId="417375E3" w:rsidR="00381563" w:rsidRDefault="00381563">
          <w:r>
            <w:rPr>
              <w:b/>
              <w:bCs/>
              <w:noProof/>
            </w:rPr>
            <w:fldChar w:fldCharType="end"/>
          </w:r>
        </w:p>
      </w:sdtContent>
    </w:sdt>
    <w:p w14:paraId="3A720B4A" w14:textId="77777777" w:rsidR="00FA7321" w:rsidRDefault="00FA7321">
      <w:pPr>
        <w:spacing w:line="278" w:lineRule="auto"/>
        <w:jc w:val="left"/>
      </w:pPr>
      <w:r>
        <w:br w:type="page"/>
      </w:r>
    </w:p>
    <w:p w14:paraId="4094A976" w14:textId="77777777" w:rsidR="004E7A06" w:rsidRPr="004E7A06" w:rsidRDefault="004E7A06" w:rsidP="004E7A06">
      <w:pPr>
        <w:spacing w:line="278" w:lineRule="auto"/>
        <w:jc w:val="center"/>
        <w:rPr>
          <w:b/>
          <w:bCs/>
          <w:sz w:val="28"/>
          <w:szCs w:val="28"/>
        </w:rPr>
      </w:pPr>
      <w:r w:rsidRPr="004E7A06">
        <w:rPr>
          <w:b/>
          <w:bCs/>
          <w:sz w:val="28"/>
          <w:szCs w:val="28"/>
        </w:rPr>
        <w:lastRenderedPageBreak/>
        <w:t>List of Figures</w:t>
      </w:r>
    </w:p>
    <w:p w14:paraId="7A0C98BC" w14:textId="656FC95A" w:rsidR="004E7A06" w:rsidRDefault="004E7A06">
      <w:pPr>
        <w:pStyle w:val="TableofFigures"/>
        <w:tabs>
          <w:tab w:val="right" w:leader="dot" w:pos="9350"/>
        </w:tabs>
        <w:rPr>
          <w:noProof/>
        </w:rPr>
      </w:pPr>
      <w:r>
        <w:fldChar w:fldCharType="begin"/>
      </w:r>
      <w:r>
        <w:instrText xml:space="preserve"> TOC \h \z \t "Heading 4" \c </w:instrText>
      </w:r>
      <w:r>
        <w:fldChar w:fldCharType="separate"/>
      </w:r>
      <w:hyperlink w:anchor="_Toc221882943" w:history="1">
        <w:r w:rsidRPr="004A4E57">
          <w:rPr>
            <w:rStyle w:val="Hyperlink"/>
            <w:noProof/>
          </w:rPr>
          <w:t>Figure 1: Resource-Based View (RBV)</w:t>
        </w:r>
        <w:r>
          <w:rPr>
            <w:noProof/>
            <w:webHidden/>
          </w:rPr>
          <w:tab/>
        </w:r>
        <w:r>
          <w:rPr>
            <w:noProof/>
            <w:webHidden/>
          </w:rPr>
          <w:fldChar w:fldCharType="begin"/>
        </w:r>
        <w:r>
          <w:rPr>
            <w:noProof/>
            <w:webHidden/>
          </w:rPr>
          <w:instrText xml:space="preserve"> PAGEREF _Toc221882943 \h </w:instrText>
        </w:r>
        <w:r>
          <w:rPr>
            <w:noProof/>
            <w:webHidden/>
          </w:rPr>
        </w:r>
        <w:r>
          <w:rPr>
            <w:noProof/>
            <w:webHidden/>
          </w:rPr>
          <w:fldChar w:fldCharType="separate"/>
        </w:r>
        <w:r w:rsidR="007D3DC8">
          <w:rPr>
            <w:noProof/>
            <w:webHidden/>
          </w:rPr>
          <w:t>5</w:t>
        </w:r>
        <w:r>
          <w:rPr>
            <w:noProof/>
            <w:webHidden/>
          </w:rPr>
          <w:fldChar w:fldCharType="end"/>
        </w:r>
      </w:hyperlink>
    </w:p>
    <w:p w14:paraId="504C543D" w14:textId="77C70A1B" w:rsidR="004E7A06" w:rsidRDefault="004E7A06">
      <w:pPr>
        <w:pStyle w:val="TableofFigures"/>
        <w:tabs>
          <w:tab w:val="right" w:leader="dot" w:pos="9350"/>
        </w:tabs>
        <w:rPr>
          <w:noProof/>
        </w:rPr>
      </w:pPr>
      <w:hyperlink w:anchor="_Toc221882944" w:history="1">
        <w:r w:rsidRPr="004A4E57">
          <w:rPr>
            <w:rStyle w:val="Hyperlink"/>
            <w:noProof/>
          </w:rPr>
          <w:t>Figure 2: Human Capital Theory</w:t>
        </w:r>
        <w:r>
          <w:rPr>
            <w:noProof/>
            <w:webHidden/>
          </w:rPr>
          <w:tab/>
        </w:r>
        <w:r>
          <w:rPr>
            <w:noProof/>
            <w:webHidden/>
          </w:rPr>
          <w:fldChar w:fldCharType="begin"/>
        </w:r>
        <w:r>
          <w:rPr>
            <w:noProof/>
            <w:webHidden/>
          </w:rPr>
          <w:instrText xml:space="preserve"> PAGEREF _Toc221882944 \h </w:instrText>
        </w:r>
        <w:r>
          <w:rPr>
            <w:noProof/>
            <w:webHidden/>
          </w:rPr>
        </w:r>
        <w:r>
          <w:rPr>
            <w:noProof/>
            <w:webHidden/>
          </w:rPr>
          <w:fldChar w:fldCharType="separate"/>
        </w:r>
        <w:r w:rsidR="007D3DC8">
          <w:rPr>
            <w:noProof/>
            <w:webHidden/>
          </w:rPr>
          <w:t>5</w:t>
        </w:r>
        <w:r>
          <w:rPr>
            <w:noProof/>
            <w:webHidden/>
          </w:rPr>
          <w:fldChar w:fldCharType="end"/>
        </w:r>
      </w:hyperlink>
    </w:p>
    <w:p w14:paraId="1B489063" w14:textId="31C0A4BD" w:rsidR="004E7A06" w:rsidRDefault="004E7A06">
      <w:pPr>
        <w:pStyle w:val="TableofFigures"/>
        <w:tabs>
          <w:tab w:val="right" w:leader="dot" w:pos="9350"/>
        </w:tabs>
        <w:rPr>
          <w:noProof/>
        </w:rPr>
      </w:pPr>
      <w:hyperlink w:anchor="_Toc221882945" w:history="1">
        <w:r w:rsidRPr="004A4E57">
          <w:rPr>
            <w:rStyle w:val="Hyperlink"/>
            <w:noProof/>
          </w:rPr>
          <w:t>Figure 3: Gibbs Reflective Cycle</w:t>
        </w:r>
        <w:r>
          <w:rPr>
            <w:noProof/>
            <w:webHidden/>
          </w:rPr>
          <w:tab/>
        </w:r>
        <w:r>
          <w:rPr>
            <w:noProof/>
            <w:webHidden/>
          </w:rPr>
          <w:fldChar w:fldCharType="begin"/>
        </w:r>
        <w:r>
          <w:rPr>
            <w:noProof/>
            <w:webHidden/>
          </w:rPr>
          <w:instrText xml:space="preserve"> PAGEREF _Toc221882945 \h </w:instrText>
        </w:r>
        <w:r>
          <w:rPr>
            <w:noProof/>
            <w:webHidden/>
          </w:rPr>
        </w:r>
        <w:r>
          <w:rPr>
            <w:noProof/>
            <w:webHidden/>
          </w:rPr>
          <w:fldChar w:fldCharType="separate"/>
        </w:r>
        <w:r w:rsidR="007D3DC8">
          <w:rPr>
            <w:noProof/>
            <w:webHidden/>
          </w:rPr>
          <w:t>11</w:t>
        </w:r>
        <w:r>
          <w:rPr>
            <w:noProof/>
            <w:webHidden/>
          </w:rPr>
          <w:fldChar w:fldCharType="end"/>
        </w:r>
      </w:hyperlink>
    </w:p>
    <w:p w14:paraId="73FEFDFD" w14:textId="49D7F2D7" w:rsidR="00267631" w:rsidRDefault="004E7A06">
      <w:pPr>
        <w:spacing w:line="278" w:lineRule="auto"/>
        <w:jc w:val="left"/>
      </w:pPr>
      <w:r>
        <w:fldChar w:fldCharType="end"/>
      </w:r>
      <w:r w:rsidR="00267631">
        <w:br w:type="page"/>
      </w:r>
    </w:p>
    <w:p w14:paraId="5A3530E4" w14:textId="1FF36A74" w:rsidR="000A7A03" w:rsidRDefault="000A7A03" w:rsidP="000A7A03">
      <w:pPr>
        <w:pStyle w:val="Heading1"/>
      </w:pPr>
      <w:bookmarkStart w:id="0" w:name="_Toc221882898"/>
      <w:r w:rsidRPr="005F2596">
        <w:rPr>
          <w:rFonts w:eastAsia="SimSun"/>
          <w:sz w:val="24"/>
          <w:szCs w:val="24"/>
        </w:rPr>
        <w:lastRenderedPageBreak/>
        <w:t xml:space="preserve">PART 1: </w:t>
      </w:r>
      <w:r>
        <w:rPr>
          <w:rFonts w:eastAsia="SimSun"/>
        </w:rPr>
        <w:t xml:space="preserve">OPTION </w:t>
      </w:r>
      <w:r w:rsidRPr="009121FA">
        <w:rPr>
          <w:rFonts w:eastAsia="SimSun"/>
        </w:rPr>
        <w:t>3</w:t>
      </w:r>
      <w:r>
        <w:rPr>
          <w:rFonts w:eastAsia="SimSun"/>
        </w:rPr>
        <w:t>-</w:t>
      </w:r>
      <w:r w:rsidRPr="009121FA">
        <w:rPr>
          <w:rFonts w:eastAsia="SimSun"/>
        </w:rPr>
        <w:t>DESIGNING THE TALENT ECOSYSTEM</w:t>
      </w:r>
      <w:bookmarkEnd w:id="0"/>
      <w:r w:rsidRPr="009121FA">
        <w:rPr>
          <w:rFonts w:eastAsia="SimSun"/>
        </w:rPr>
        <w:t xml:space="preserve"> </w:t>
      </w:r>
    </w:p>
    <w:p w14:paraId="0ADC6212" w14:textId="3C8291AA" w:rsidR="006E5239" w:rsidRPr="006E5239" w:rsidRDefault="006E5239" w:rsidP="008942AE">
      <w:pPr>
        <w:pStyle w:val="Heading2"/>
      </w:pPr>
      <w:bookmarkStart w:id="1" w:name="_Toc221882899"/>
      <w:r w:rsidRPr="006E5239">
        <w:t>Introduction</w:t>
      </w:r>
      <w:bookmarkEnd w:id="1"/>
    </w:p>
    <w:p w14:paraId="126BA848" w14:textId="306CEE30" w:rsidR="006E5239" w:rsidRPr="006E5239" w:rsidRDefault="0023633E" w:rsidP="006E5239">
      <w:r w:rsidRPr="0023633E">
        <w:t>Aether Innovations is a technology company of 300 employees which has been experiencing unhurried growth and the workers are quitting and people are not happy with the products. This is not a failure of operation but misalignment of human capital at a higher scale. Alternative 3: This report has decided to develop the Talent Ecosystem that involves the strategically integrated build-buy model to re-establish the ability of innovation and organisational commitment. The report finds failure in core talent, and then critically appraises current tech talent strategies.</w:t>
      </w:r>
    </w:p>
    <w:p w14:paraId="47239D9C" w14:textId="3E464704" w:rsidR="006E5239" w:rsidRPr="006E5239" w:rsidRDefault="006E5239" w:rsidP="008942AE">
      <w:pPr>
        <w:pStyle w:val="Heading2"/>
      </w:pPr>
      <w:bookmarkStart w:id="2" w:name="_Toc221882900"/>
      <w:r w:rsidRPr="006E5239">
        <w:t>Diagnosing Aether’s Human Capital Problem</w:t>
      </w:r>
      <w:bookmarkEnd w:id="2"/>
      <w:r w:rsidRPr="006E5239">
        <w:t xml:space="preserve"> </w:t>
      </w:r>
    </w:p>
    <w:p w14:paraId="3C624024" w14:textId="6CFDAD91" w:rsidR="006E5239" w:rsidRDefault="0023633E" w:rsidP="006E5239">
      <w:r w:rsidRPr="0023633E">
        <w:t xml:space="preserve">Increasing turnover in Aether is a sign of the possible breach of the </w:t>
      </w:r>
      <w:r w:rsidRPr="0023633E">
        <w:rPr>
          <w:b/>
          <w:bCs/>
          <w:i/>
          <w:iCs/>
        </w:rPr>
        <w:t>psychological contract</w:t>
      </w:r>
      <w:r w:rsidRPr="0023633E">
        <w:t xml:space="preserve"> under which the workers may experience that in Aether there is no career promotion, no development investment or expectations. The breaches undermine faith and choice (Papademetriou, Anastasiadou and Papalexandris, 2023). The </w:t>
      </w:r>
      <w:r w:rsidRPr="0023633E">
        <w:rPr>
          <w:b/>
          <w:bCs/>
          <w:i/>
          <w:iCs/>
        </w:rPr>
        <w:t>Guest model</w:t>
      </w:r>
      <w:r w:rsidRPr="0023633E">
        <w:t xml:space="preserve"> indicates that incompetent HR practices reduce the commitment of workers, which, in turn, reduces the quality and performance outcomes, hence the decline in customer satisfaction</w:t>
      </w:r>
      <w:r w:rsidR="006E5239" w:rsidRPr="006E5239">
        <w:t>.</w:t>
      </w:r>
    </w:p>
    <w:p w14:paraId="2EC102E7" w14:textId="335A327E" w:rsidR="003507CC" w:rsidRDefault="003507CC" w:rsidP="003507CC">
      <w:pPr>
        <w:jc w:val="center"/>
      </w:pPr>
      <w:r>
        <w:rPr>
          <w:noProof/>
        </w:rPr>
        <w:drawing>
          <wp:inline distT="0" distB="0" distL="0" distR="0" wp14:anchorId="6880598E" wp14:editId="7CC4EA92">
            <wp:extent cx="3895725" cy="3590925"/>
            <wp:effectExtent l="76200" t="76200" r="142875" b="142875"/>
            <wp:docPr id="544232033" name="Picture 1" descr="The Resource-Based View (RBV)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The Resource-Based View (RBV)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5725" cy="3590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C87A51" w14:textId="6119F6C8" w:rsidR="003507CC" w:rsidRDefault="003507CC" w:rsidP="00A07D4F">
      <w:pPr>
        <w:pStyle w:val="Heading4"/>
      </w:pPr>
      <w:bookmarkStart w:id="3" w:name="_Toc221882943"/>
      <w:r>
        <w:lastRenderedPageBreak/>
        <w:t xml:space="preserve">Figure 1: </w:t>
      </w:r>
      <w:r w:rsidRPr="003507CC">
        <w:t>Resource-Based View (RBV)</w:t>
      </w:r>
      <w:bookmarkEnd w:id="3"/>
    </w:p>
    <w:p w14:paraId="12E4437F" w14:textId="4D9CDD0C" w:rsidR="003507CC" w:rsidRPr="006E5239" w:rsidRDefault="003507CC" w:rsidP="003507CC">
      <w:pPr>
        <w:jc w:val="center"/>
      </w:pPr>
      <w:r>
        <w:t xml:space="preserve">(Source: </w:t>
      </w:r>
      <w:r w:rsidR="00A07D4F" w:rsidRPr="001B5FC5">
        <w:t>Valerio, 2024</w:t>
      </w:r>
      <w:r w:rsidR="00A07D4F">
        <w:t>)</w:t>
      </w:r>
    </w:p>
    <w:p w14:paraId="562FA8A6" w14:textId="2B37A21B" w:rsidR="006E5239" w:rsidRPr="006E5239" w:rsidRDefault="0023633E" w:rsidP="006E5239">
      <w:r w:rsidRPr="0023633E">
        <w:t xml:space="preserve">The loss of firm-specific advantages may result in flattened innovation. The </w:t>
      </w:r>
      <w:r w:rsidRPr="0023633E">
        <w:rPr>
          <w:b/>
          <w:bCs/>
          <w:i/>
          <w:iCs/>
        </w:rPr>
        <w:t xml:space="preserve">Resource-Based View (RBV) </w:t>
      </w:r>
      <w:r w:rsidRPr="0023633E">
        <w:t>is a school of thought that argues that competitive advantage in the long-run depends on access to valuable, rare, inimitable, and non-substitutable human capital (Valerio, 2024). Outsourcing is a quick introduction of skills that do not form robust tacit knowledge. In addition, inadequate succession planning minimizes succession continuity, which increases strategic vulnerability. Aether flat growth is not a problem in the market alone, but a system problem of talent architecture failure, which requires systemic redesign rather than simple HR</w:t>
      </w:r>
      <w:r w:rsidR="006E5239" w:rsidRPr="006E5239">
        <w:t>.</w:t>
      </w:r>
    </w:p>
    <w:p w14:paraId="7D65CC08" w14:textId="46D40CA8" w:rsidR="006E5239" w:rsidRPr="006E5239" w:rsidRDefault="006E5239" w:rsidP="008942AE">
      <w:pPr>
        <w:pStyle w:val="Heading2"/>
      </w:pPr>
      <w:bookmarkStart w:id="4" w:name="_Toc221882901"/>
      <w:r w:rsidRPr="006E5239">
        <w:t>Critical Review of Talent Ecosystems in Tech Firms</w:t>
      </w:r>
      <w:bookmarkEnd w:id="4"/>
      <w:r w:rsidRPr="006E5239">
        <w:t xml:space="preserve"> </w:t>
      </w:r>
    </w:p>
    <w:p w14:paraId="12010C90" w14:textId="6C6A7EAD" w:rsidR="00A07D4F" w:rsidRDefault="0023633E" w:rsidP="006E5239">
      <w:r w:rsidRPr="0023633E">
        <w:t xml:space="preserve">Technology companies are known to employ a </w:t>
      </w:r>
      <w:r w:rsidRPr="006E5239">
        <w:rPr>
          <w:b/>
          <w:bCs/>
          <w:i/>
          <w:iCs/>
        </w:rPr>
        <w:t>buy-dominant talent strategy</w:t>
      </w:r>
      <w:r w:rsidRPr="0023633E">
        <w:t>, or an outside-centered style that focuses on rare digital abilities, such as artificial intelligence and cybersecurity awareness. It is a rapid rise of capabilities, but a short-term Talent on Demand logic, where the development of capabilities becomes a priority in the long run (Zhang and Liu, 2022). However, this model assumes the presence of liquid labour markets, and underestimates the retention risk</w:t>
      </w:r>
      <w:r w:rsidR="006E5239" w:rsidRPr="006E5239">
        <w:t>.</w:t>
      </w:r>
      <w:r w:rsidR="00D0085B">
        <w:t xml:space="preserve"> </w:t>
      </w:r>
    </w:p>
    <w:p w14:paraId="44D5F123" w14:textId="77E55B51" w:rsidR="00A07D4F" w:rsidRDefault="00A07D4F" w:rsidP="00A07D4F">
      <w:pPr>
        <w:jc w:val="center"/>
      </w:pPr>
      <w:r>
        <w:rPr>
          <w:noProof/>
        </w:rPr>
        <w:drawing>
          <wp:inline distT="0" distB="0" distL="0" distR="0" wp14:anchorId="3914BE3F" wp14:editId="19C0D49B">
            <wp:extent cx="4857750" cy="3097335"/>
            <wp:effectExtent l="0" t="0" r="0" b="8255"/>
            <wp:docPr id="1415566884" name="Picture 2" descr="Figure: Human Capital Theory (Source: Influnced by Mu et al. 20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Figure: Human Capital Theory (Source: Influnced by Mu et al. 202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3016" cy="3100692"/>
                    </a:xfrm>
                    <a:prstGeom prst="rect">
                      <a:avLst/>
                    </a:prstGeom>
                    <a:noFill/>
                    <a:ln>
                      <a:noFill/>
                    </a:ln>
                  </pic:spPr>
                </pic:pic>
              </a:graphicData>
            </a:graphic>
          </wp:inline>
        </w:drawing>
      </w:r>
    </w:p>
    <w:p w14:paraId="4C2B108C" w14:textId="0BA452F4" w:rsidR="00A07D4F" w:rsidRDefault="00A07D4F" w:rsidP="00A07D4F">
      <w:pPr>
        <w:pStyle w:val="Heading4"/>
      </w:pPr>
      <w:bookmarkStart w:id="5" w:name="_Toc221882944"/>
      <w:r>
        <w:t xml:space="preserve">Figure 2: </w:t>
      </w:r>
      <w:r w:rsidRPr="00A07D4F">
        <w:t>Human Capital Theory</w:t>
      </w:r>
      <w:bookmarkEnd w:id="5"/>
    </w:p>
    <w:p w14:paraId="2B26B9D4" w14:textId="15C3550D" w:rsidR="00A07D4F" w:rsidRPr="006E5239" w:rsidRDefault="00A07D4F" w:rsidP="00A07D4F">
      <w:pPr>
        <w:jc w:val="center"/>
      </w:pPr>
      <w:r>
        <w:t xml:space="preserve">(Source: </w:t>
      </w:r>
      <w:r w:rsidR="009E5459">
        <w:t xml:space="preserve">Influenced by </w:t>
      </w:r>
      <w:r w:rsidR="009E5459" w:rsidRPr="00DF0056">
        <w:t>Rafid, 2023</w:t>
      </w:r>
      <w:r w:rsidR="009E5459">
        <w:t>)</w:t>
      </w:r>
    </w:p>
    <w:p w14:paraId="5A29496B" w14:textId="77777777" w:rsidR="0055730F" w:rsidRDefault="0055730F" w:rsidP="0055730F">
      <w:r>
        <w:lastRenderedPageBreak/>
        <w:t xml:space="preserve">According to </w:t>
      </w:r>
      <w:r w:rsidRPr="0055730F">
        <w:rPr>
          <w:b/>
          <w:bCs/>
          <w:i/>
          <w:iCs/>
        </w:rPr>
        <w:t>Human Capital Theory,</w:t>
      </w:r>
      <w:r>
        <w:t xml:space="preserve"> organisations invest less in developing internal capability thus decreasing the development of firm-specific knowledge. RBV also shows that externally sourced talent is often mobile and reproducible, limiting its capacity to generate sustainable competitive advantage (Rafid, 2023). The competitive technology markets that have aggressive staffing also result in the inflation of wages, which creates increasing staffing costs and internal compensation inequity. Such inflation may distort motivation designs and may disrupt the perceptions of distributive justice.</w:t>
      </w:r>
    </w:p>
    <w:p w14:paraId="08209266" w14:textId="7CBD890D" w:rsidR="006E5239" w:rsidRPr="006E5239" w:rsidRDefault="0055730F" w:rsidP="0055730F">
      <w:r>
        <w:t xml:space="preserve">Moreover, excessive utilization of external recruitment leads to high chances of </w:t>
      </w:r>
      <w:r w:rsidRPr="0055730F">
        <w:rPr>
          <w:b/>
          <w:bCs/>
          <w:i/>
          <w:iCs/>
        </w:rPr>
        <w:t>knowledge leakage</w:t>
      </w:r>
      <w:r>
        <w:t>. The portable skills and low organisational identification may be hired to meet the need of the professional skills shortage, contributing to voluntary turnover. This undermines continuity of innovation and shared learning. However, a pure internal (build-only) model is not completely unrestricted, particularly in the contexts when disruptive technologies require direct specialised knowledge that cannot be developed internally (Zhang and Liu, 2022). The question is not whether to develop or buy talent but how to find a balanced ecosystem. A sustainable advantage can be obtained with external recruitment enhanced with designed internal career paths, knowledge that is rare internalised into organisational practice and culture rather than a unilinear exchange process in the labour market</w:t>
      </w:r>
      <w:r w:rsidR="006E5239" w:rsidRPr="006E5239">
        <w:t>.</w:t>
      </w:r>
    </w:p>
    <w:p w14:paraId="0B2324E4" w14:textId="50D3EBDB" w:rsidR="001E461F" w:rsidRPr="001E461F" w:rsidRDefault="001E461F" w:rsidP="008942AE">
      <w:pPr>
        <w:pStyle w:val="Heading2"/>
      </w:pPr>
      <w:bookmarkStart w:id="6" w:name="_Toc221882902"/>
      <w:r w:rsidRPr="001E461F">
        <w:t>Proposed Build vs Buy Strategic Model</w:t>
      </w:r>
      <w:bookmarkEnd w:id="6"/>
    </w:p>
    <w:p w14:paraId="5E4B0077" w14:textId="6D0C1B2E" w:rsidR="001E461F" w:rsidRPr="001E461F" w:rsidRDefault="001E461F" w:rsidP="001E461F">
      <w:pPr>
        <w:rPr>
          <w:b/>
          <w:bCs/>
          <w:i/>
          <w:iCs/>
        </w:rPr>
      </w:pPr>
      <w:r w:rsidRPr="001E461F">
        <w:rPr>
          <w:b/>
          <w:bCs/>
          <w:i/>
          <w:iCs/>
        </w:rPr>
        <w:t>Build Strategy</w:t>
      </w:r>
    </w:p>
    <w:p w14:paraId="08921D9A" w14:textId="727863FD" w:rsidR="001E461F" w:rsidRPr="001E461F" w:rsidRDefault="0055730F" w:rsidP="001E461F">
      <w:r w:rsidRPr="0055730F">
        <w:t xml:space="preserve">The competitiveness of Aether will be long-term, founded on the human capital development of firms. A build plan is centered around the development of internal leadership pipeline, mentoring, lifelong learning and internal mobility channels. Succession planning also reduces strategic vulnerability as it identifies high-potential employees early and develops them into filling important positions (Medina Serrano et al., 2020). This plan aligns with the Resource-Based View, in which internally created capabilities are less susceptible to duplication by other companies. Mentorship systems institutionalize tacit knowledge transfer and reduce knowledge leakage and enhance social capital. Technical upskilling and cross-functional exposure are lifelong learning systems that increase market flexibility in fluid technologies. The organisational commitment also comes with internal mobility as it communicates the continuity of career development, reducing the risk of turnover associated with violation of the psychological contract (Khan and Yun, 2025). </w:t>
      </w:r>
      <w:r w:rsidRPr="0055730F">
        <w:lastRenderedPageBreak/>
        <w:t>Build strategies have long payoff and costly to initiate. The financial exposure will comprise the costs of development and loss of productivity through the training and the risk of losing the employees trained to the organisation. Poorly planned development programs may create an illusion of performance without rightfuls</w:t>
      </w:r>
      <w:r w:rsidR="001E461F" w:rsidRPr="001E461F">
        <w:t>.</w:t>
      </w:r>
    </w:p>
    <w:p w14:paraId="688642EF" w14:textId="008BA8E3" w:rsidR="001E461F" w:rsidRPr="001E461F" w:rsidRDefault="001E461F" w:rsidP="001E461F">
      <w:pPr>
        <w:rPr>
          <w:b/>
          <w:bCs/>
          <w:i/>
          <w:iCs/>
        </w:rPr>
      </w:pPr>
      <w:r w:rsidRPr="001E461F">
        <w:rPr>
          <w:b/>
          <w:bCs/>
          <w:i/>
          <w:iCs/>
        </w:rPr>
        <w:t>Buy Strategy</w:t>
      </w:r>
    </w:p>
    <w:p w14:paraId="23BAF95A" w14:textId="6D6D7F9E" w:rsidR="001E461F" w:rsidRPr="001E461F" w:rsidRDefault="0055730F" w:rsidP="001E461F">
      <w:r w:rsidRPr="0055730F">
        <w:t>A buy element is needed even in low level, urgently needed capabilities such as advanced AI architecture or cybersecurity compliance. External recruits may also inject some innovation and offer alternative thinking. Outsourcing experts facilitate rapid product development and timeliness to market. Overreliance on external recruiting increases wage inflation, internal pay gaps, and cultural fragmentation (Sundaramurthy et al., 2022). The problem of assimilation that can be experienced by external recruit leaders interferes with the psychological safety and cohesion. The benefit might not be sustainable because institutional knowledge might be lacking in mobile skills. The resulting outsourced recruitment may also cannibalise internal promotion programmes, send the message that there are only a small number of opportunities to climb up the hierarchy and even destroy organisational loyalty. Massive market hiring also introduces the cost of onboarding and differences to production acclimatization. Learning mechanisms Organized integration mechanisms are required to ensure that new employees can effectively transfer knowledge onto routine and collaboration networks</w:t>
      </w:r>
      <w:r w:rsidR="005E7F23" w:rsidRPr="005E7F23">
        <w:t>.</w:t>
      </w:r>
    </w:p>
    <w:p w14:paraId="56FCC936" w14:textId="403F922F" w:rsidR="001E461F" w:rsidRPr="001E461F" w:rsidRDefault="001E461F" w:rsidP="001E461F">
      <w:pPr>
        <w:rPr>
          <w:b/>
          <w:bCs/>
          <w:i/>
          <w:iCs/>
        </w:rPr>
      </w:pPr>
      <w:r w:rsidRPr="001E461F">
        <w:rPr>
          <w:b/>
          <w:bCs/>
          <w:i/>
          <w:iCs/>
        </w:rPr>
        <w:t>Balanced Ecosystem</w:t>
      </w:r>
    </w:p>
    <w:p w14:paraId="0E3E836D" w14:textId="17402EE4" w:rsidR="001E461F" w:rsidRPr="001E461F" w:rsidRDefault="00733EF3" w:rsidP="001E461F">
      <w:r w:rsidRPr="00733EF3">
        <w:t xml:space="preserve">To balance sustainability and agility, Aether should apply a </w:t>
      </w:r>
      <w:r w:rsidRPr="001E461F">
        <w:t>70% build / 30% buy model</w:t>
      </w:r>
      <w:r w:rsidRPr="00733EF3">
        <w:t xml:space="preserve">. Succession mapping should be done to identify key posts and recommend patterns of development, without risking that the position will remain vacant indefinitely. The executive KPIs should include retention factors like internal promotion ratios, high potential turnover rates, and engagement scores (AETHERGIC, 2026). The problems that can emerge during implementation are that managers are reluctant to external recruiting, lack times in high pressure settings, and fail to quantify indirect payoffs in capabilities. The culture of change to development must be led by the leadership and offer clear career ladders. The expenses of build strategies may be greater in the short term, yet the savings in retention and reduced recruitment expenses could pay off in the long term (Mittal, 2024). The strategic risk behind this is imbalance: excess of purchasing undermines embedded capabilities and excess of exclusive building contributes to technological obsolescence. </w:t>
      </w:r>
      <w:r w:rsidRPr="00733EF3">
        <w:lastRenderedPageBreak/>
        <w:t>Ecosystem governance, therefore, must be open-minded and always responsive to market shifts and breadth of capacity</w:t>
      </w:r>
      <w:r w:rsidR="001E461F" w:rsidRPr="001E461F">
        <w:t>.</w:t>
      </w:r>
    </w:p>
    <w:p w14:paraId="597B2B04" w14:textId="45B344C9" w:rsidR="001E461F" w:rsidRPr="001E461F" w:rsidRDefault="001E461F" w:rsidP="00EB1DB0">
      <w:pPr>
        <w:pStyle w:val="Heading2"/>
      </w:pPr>
      <w:bookmarkStart w:id="7" w:name="_Toc221882903"/>
      <w:r w:rsidRPr="001E461F">
        <w:t>Mentorship, Leadership Pathways &amp; Lifelong Learning</w:t>
      </w:r>
      <w:bookmarkEnd w:id="7"/>
    </w:p>
    <w:p w14:paraId="02F99B85" w14:textId="77777777" w:rsidR="006E1D10" w:rsidRDefault="006E1D10" w:rsidP="006E1D10">
      <w:r>
        <w:t xml:space="preserve">The integration of mentorship and formal leadership opportunities reinvent job design and culture. According to the </w:t>
      </w:r>
      <w:r w:rsidRPr="006E1D10">
        <w:rPr>
          <w:b/>
          <w:bCs/>
          <w:i/>
          <w:iCs/>
        </w:rPr>
        <w:t>Job Characteristics Model</w:t>
      </w:r>
      <w:r>
        <w:t xml:space="preserve">, an increased level of autonomy, skill variety, and task significance correlates with an increased level of intrinsic motivation. Aether can be used to decide developmental rotations and cross-functional innovation projects to increase meaningfulness and accountability, and these factors can affect engagement directly (Zhao et al., 2024). </w:t>
      </w:r>
      <w:r w:rsidRPr="006E1D10">
        <w:rPr>
          <w:b/>
          <w:bCs/>
          <w:i/>
          <w:iCs/>
        </w:rPr>
        <w:t>Kolb learning cycle</w:t>
      </w:r>
      <w:r>
        <w:t xml:space="preserve"> also promotes experiential development. The kind of transition that the innovation sprints employees undergo is concrete experience, reflective observation, conceptualisation and experimentation. This kind of repetitive learning improves problem solving, and adaptive learning, which is vital in technology environment.</w:t>
      </w:r>
    </w:p>
    <w:p w14:paraId="093C3FCB" w14:textId="29C7C4B5" w:rsidR="001E461F" w:rsidRPr="001E461F" w:rsidRDefault="006E1D10" w:rsidP="006E1D10">
      <w:r>
        <w:t xml:space="preserve">An </w:t>
      </w:r>
      <w:r w:rsidRPr="001E461F">
        <w:rPr>
          <w:b/>
          <w:bCs/>
          <w:i/>
          <w:iCs/>
        </w:rPr>
        <w:t>expansive workplace model</w:t>
      </w:r>
      <w:r w:rsidRPr="001E461F">
        <w:t xml:space="preserve"> </w:t>
      </w:r>
      <w:r>
        <w:t xml:space="preserve">would have learned more widely diffuse life across the departments and not become formal training. Cross-boundary promotion will enhance intelligence and reduce silo thinking. It is necessary to mention that innovation flourishes when there is a sense of </w:t>
      </w:r>
      <w:r w:rsidRPr="006E1D10">
        <w:rPr>
          <w:b/>
          <w:bCs/>
          <w:i/>
          <w:iCs/>
        </w:rPr>
        <w:t>psychological safety</w:t>
      </w:r>
      <w:r>
        <w:t>. The employees are also supposed to be free to submit new ideas without being punished. Proper development criteria and mentorship present confidence and reduce anxiety that comes with performance appraisal (Mukhtar et al., 2024). The combination of these practices will increase attendance as they can align development with personal ambitions and reduce the turnover due to perceived stagnation. Deep capacity enhances quality and responsiveness of products resulting in customer satisfaction. Innovation is not a genius, but the outcome of motivated, skilled and secure employees</w:t>
      </w:r>
      <w:r w:rsidR="001E461F" w:rsidRPr="001E461F">
        <w:t>.</w:t>
      </w:r>
    </w:p>
    <w:p w14:paraId="1B697F0C" w14:textId="2ADAA30D" w:rsidR="001E461F" w:rsidRPr="001E461F" w:rsidRDefault="001E461F" w:rsidP="002D5413">
      <w:pPr>
        <w:pStyle w:val="Heading2"/>
      </w:pPr>
      <w:bookmarkStart w:id="8" w:name="_Toc221882904"/>
      <w:r w:rsidRPr="001E461F">
        <w:t>Integrated HR Blueprint: Connecting to Performance Outcomes</w:t>
      </w:r>
      <w:bookmarkEnd w:id="8"/>
    </w:p>
    <w:p w14:paraId="40F3D121" w14:textId="0FDB7068" w:rsidR="001E461F" w:rsidRPr="001E461F" w:rsidRDefault="00087618" w:rsidP="001E461F">
      <w:r w:rsidRPr="00087618">
        <w:t xml:space="preserve">The proposed talent ecosystem brings together organisational performance and strategic HRM. In addition to the </w:t>
      </w:r>
      <w:r w:rsidRPr="00087618">
        <w:rPr>
          <w:b/>
          <w:bCs/>
          <w:i/>
          <w:iCs/>
        </w:rPr>
        <w:t>Guest model,</w:t>
      </w:r>
      <w:r w:rsidRPr="00087618">
        <w:t xml:space="preserve"> coherent HR practices elevate the level of commitment of employees, leading to improved quality and operational results. A build-buy model allows development of capabilities without compromising agility (Alam et al., 2024). Succession planning and learning infrastructure increase engagement, reduce turnover, and institutionalisation of innovation. Better product reliability and increased capacity to respond to increased innovation directly leads to customer satisfaction. Loyalty over the long term secures revenue and market share. Tactical </w:t>
      </w:r>
      <w:r w:rsidRPr="00087618">
        <w:lastRenderedPageBreak/>
        <w:t>fitment of human resources thus transforms people investment into measurable competitive edge. These practices have to be integrated into leadership accountability systems because the output of human capital should no longer be perceived as management data but strategic data (Valerio, 2024). Regular review of engagement statistics, development of innovations, and internal promotion rates will help improve the situation continuously. Business strategy reviews and HR analytics can enable Aether to ensure a capacity-workforce, customer value-generation and longer-term organisational resilience alignment</w:t>
      </w:r>
      <w:r w:rsidR="00D0085B" w:rsidRPr="00D0085B">
        <w:t>.</w:t>
      </w:r>
    </w:p>
    <w:p w14:paraId="64AAB082" w14:textId="47425160" w:rsidR="001E461F" w:rsidRPr="001E461F" w:rsidRDefault="001E461F" w:rsidP="002D5413">
      <w:pPr>
        <w:pStyle w:val="Heading2"/>
      </w:pPr>
      <w:bookmarkStart w:id="9" w:name="_Toc221882905"/>
      <w:r w:rsidRPr="001E461F">
        <w:t>Conclusion</w:t>
      </w:r>
      <w:bookmarkEnd w:id="9"/>
    </w:p>
    <w:p w14:paraId="1E7E3CFF" w14:textId="2A2B78AC" w:rsidR="00465ABD" w:rsidRDefault="00087618" w:rsidP="00251BC8">
      <w:r w:rsidRPr="00087618">
        <w:t>Such a metamorphosis should be a long-term executive investment, visible succession planning and quantifiable retention demonstrations in accordance to strategic goals. Aether can reduce dependence on turbulent external labour markets and strengthen firm specific capability by institutionally entrenching knowledge sharing and internal mobility mechanisms. The implementation of talent measurements on the organizational dashboard will encourage responsibility and continuous improvement of the ecosystem. Since people investment is also correlated with long-term innovation priorities, Aether can turn human capital into defensible competitive advantage and good organisational performance in the face of an ever-changing technology environment</w:t>
      </w:r>
      <w:r w:rsidR="00251BC8" w:rsidRPr="00251BC8">
        <w:t>.</w:t>
      </w:r>
      <w:r w:rsidR="00465ABD">
        <w:br w:type="page"/>
      </w:r>
    </w:p>
    <w:p w14:paraId="7001113A" w14:textId="5ED93E3E" w:rsidR="00261DE8" w:rsidRDefault="00465ABD" w:rsidP="00465ABD">
      <w:pPr>
        <w:pStyle w:val="Heading1"/>
      </w:pPr>
      <w:bookmarkStart w:id="10" w:name="_Toc221882906"/>
      <w:r>
        <w:lastRenderedPageBreak/>
        <w:t>P</w:t>
      </w:r>
      <w:r w:rsidRPr="00465ABD">
        <w:t>ART 2</w:t>
      </w:r>
      <w:r>
        <w:t xml:space="preserve">: </w:t>
      </w:r>
      <w:r w:rsidRPr="00465ABD">
        <w:t>REFLECTION</w:t>
      </w:r>
      <w:bookmarkEnd w:id="10"/>
    </w:p>
    <w:p w14:paraId="5684D3F9" w14:textId="7EC97AE9" w:rsidR="00465ABD" w:rsidRPr="00465ABD" w:rsidRDefault="00465ABD" w:rsidP="00954966">
      <w:pPr>
        <w:pStyle w:val="Heading2"/>
      </w:pPr>
      <w:bookmarkStart w:id="11" w:name="_Toc221882907"/>
      <w:r w:rsidRPr="00465ABD">
        <w:t>Reflective Learning Journey</w:t>
      </w:r>
      <w:bookmarkEnd w:id="11"/>
    </w:p>
    <w:p w14:paraId="5D7AF5CB" w14:textId="7B1B4D31" w:rsidR="00465ABD" w:rsidRPr="00465ABD" w:rsidRDefault="00087618" w:rsidP="00465ABD">
      <w:r w:rsidRPr="00087618">
        <w:t>The present reflection applies the Gibbs reflective cycle to the ways in which the Human Capital Management module has altered my understanding of strategic HRM, global talent dynamics and my future leadership and innovation potential</w:t>
      </w:r>
      <w:r w:rsidR="00465ABD" w:rsidRPr="00465ABD">
        <w:t>.</w:t>
      </w:r>
    </w:p>
    <w:p w14:paraId="5DB877D6" w14:textId="127D3BE0" w:rsidR="00465ABD" w:rsidRPr="00465ABD" w:rsidRDefault="00465ABD" w:rsidP="00465ABD">
      <w:pPr>
        <w:rPr>
          <w:b/>
          <w:bCs/>
          <w:i/>
          <w:iCs/>
        </w:rPr>
      </w:pPr>
      <w:r w:rsidRPr="00465ABD">
        <w:rPr>
          <w:b/>
          <w:bCs/>
          <w:i/>
          <w:iCs/>
        </w:rPr>
        <w:t>Description</w:t>
      </w:r>
    </w:p>
    <w:p w14:paraId="15BC2A31" w14:textId="1940CD98" w:rsidR="00465ABD" w:rsidRDefault="00087618" w:rsidP="00465ABD">
      <w:r w:rsidRPr="00087618">
        <w:t>This module helped me understand that HRM has gone miles beyond administrative people management to being performance driver of organisational performance. I was mentored to value the fact that Strategic HRM is not simply about HR policy but people practices can be aligned to competitive advantage. Another thing that I learned using the Guest model was the links between HR activities, commitment, and economic performance (Adeani, Febriani and Syafryadin, 2020). The module has also expanded my view regarding the Global HRM, that is, complexity of expatriate management, cultural diversity, and cross-border talent mobility. The direct influence of psychological safety, cross-cultural competence, and work-life conflict on performance in multinational organizations is something I had never considered. As a talent management researcher, I have begun to appreciate the implications of build versus buy and the danger of too much reliance on external recruitment over the long-run. The Resource-Based View redefined employees as non-operational strategic assets (Lubis, 2022). Finally, the discussion on the future of work/digital transformation also prompted me to reconsider the assumptions regarding the hybrid work, the introduction of AI and knowledge-based economies</w:t>
      </w:r>
      <w:r w:rsidR="00465ABD" w:rsidRPr="00465ABD">
        <w:t xml:space="preserve">. </w:t>
      </w:r>
    </w:p>
    <w:p w14:paraId="2B03DDB2" w14:textId="77777777" w:rsidR="00C67FBE" w:rsidRPr="00B767A0" w:rsidRDefault="00C67FBE" w:rsidP="00C67FBE">
      <w:pPr>
        <w:spacing w:after="0" w:line="240" w:lineRule="auto"/>
        <w:jc w:val="center"/>
        <w:rPr>
          <w:rFonts w:cs="Times New Roman"/>
        </w:rPr>
      </w:pPr>
      <w:r w:rsidRPr="00B767A0">
        <w:rPr>
          <w:rFonts w:cs="Times New Roman"/>
          <w:noProof/>
        </w:rPr>
        <w:lastRenderedPageBreak/>
        <w:drawing>
          <wp:inline distT="0" distB="0" distL="0" distR="0" wp14:anchorId="504DA71A" wp14:editId="4E1067BC">
            <wp:extent cx="5486400" cy="3200400"/>
            <wp:effectExtent l="0" t="57150" r="0" b="57150"/>
            <wp:docPr id="549368901"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4E5CBA4C" w14:textId="77777777" w:rsidR="00C67FBE" w:rsidRPr="00B767A0" w:rsidRDefault="00C67FBE" w:rsidP="00C67FBE">
      <w:pPr>
        <w:pStyle w:val="Heading4"/>
      </w:pPr>
      <w:bookmarkStart w:id="12" w:name="_Toc170229689"/>
      <w:bookmarkStart w:id="13" w:name="_Toc221882945"/>
      <w:r w:rsidRPr="00B767A0">
        <w:t>Figure 3: Gibbs Reflective Cycle</w:t>
      </w:r>
      <w:bookmarkEnd w:id="12"/>
      <w:bookmarkEnd w:id="13"/>
    </w:p>
    <w:p w14:paraId="5663DE22" w14:textId="77777777" w:rsidR="00C67FBE" w:rsidRPr="00B767A0" w:rsidRDefault="00C67FBE" w:rsidP="00C67FBE">
      <w:pPr>
        <w:spacing w:after="0" w:line="240" w:lineRule="auto"/>
        <w:jc w:val="center"/>
        <w:rPr>
          <w:rFonts w:cs="Times New Roman"/>
        </w:rPr>
      </w:pPr>
      <w:r w:rsidRPr="00B767A0">
        <w:rPr>
          <w:rFonts w:cs="Times New Roman"/>
        </w:rPr>
        <w:t>(Source: Self-Created)</w:t>
      </w:r>
    </w:p>
    <w:p w14:paraId="03B3FD2A" w14:textId="77777777" w:rsidR="00C67FBE" w:rsidRPr="00465ABD" w:rsidRDefault="00C67FBE" w:rsidP="00C67FBE">
      <w:pPr>
        <w:jc w:val="center"/>
      </w:pPr>
    </w:p>
    <w:p w14:paraId="3D1C6A54" w14:textId="57DADA84" w:rsidR="00465ABD" w:rsidRPr="00465ABD" w:rsidRDefault="00465ABD" w:rsidP="00465ABD">
      <w:pPr>
        <w:rPr>
          <w:b/>
          <w:bCs/>
          <w:i/>
          <w:iCs/>
        </w:rPr>
      </w:pPr>
      <w:r w:rsidRPr="00465ABD">
        <w:rPr>
          <w:b/>
          <w:bCs/>
          <w:i/>
          <w:iCs/>
        </w:rPr>
        <w:t>Feelings</w:t>
      </w:r>
    </w:p>
    <w:p w14:paraId="3F55A126" w14:textId="2C228A03" w:rsidR="00465ABD" w:rsidRPr="00465ABD" w:rsidRDefault="00087618" w:rsidP="00465ABD">
      <w:r w:rsidRPr="00087618">
        <w:t>My understanding of HR at the beginning of the module was very narrow in that I saw it as a support system, which handles recruitment and employee relations. I had imagined that performance issues were primarily managerial or operational problems as opposed to architectural failures of talent. Way along the line I was challenged. The perception of organisational strategy shifted due to the discovery that competitive advantage may be created or destroyed by the way HR is constructed (Papademetriou, Anastasiadou and Papalexandris, 2023). By the end of the module, I felt more certain that I could analyse organisational problems using strategic human capital lens. It made my thoughts less compartmentalised and more integrated</w:t>
      </w:r>
      <w:r w:rsidR="00465ABD" w:rsidRPr="00465ABD">
        <w:t>.</w:t>
      </w:r>
    </w:p>
    <w:p w14:paraId="5313F7DC" w14:textId="17ED4A12" w:rsidR="00465ABD" w:rsidRPr="00465ABD" w:rsidRDefault="00465ABD" w:rsidP="00465ABD">
      <w:pPr>
        <w:rPr>
          <w:b/>
          <w:bCs/>
          <w:i/>
          <w:iCs/>
        </w:rPr>
      </w:pPr>
      <w:r w:rsidRPr="00465ABD">
        <w:rPr>
          <w:b/>
          <w:bCs/>
          <w:i/>
          <w:iCs/>
        </w:rPr>
        <w:t>Evaluation</w:t>
      </w:r>
    </w:p>
    <w:p w14:paraId="096F7FEB" w14:textId="797CF626" w:rsidR="00465ABD" w:rsidRPr="00465ABD" w:rsidRDefault="00087618" w:rsidP="00465ABD">
      <w:r w:rsidRPr="00087618">
        <w:t xml:space="preserve">One of the strong aspects of my learning process has been my ability to connect theory and real business scenarios. I have now gained the capacity to evaluate critically whether HR initiatives are, in fact, value creating or they are simply activity generating. To prove it, I will be in a position to test the validity of creation of sustainable competitive advantage of buy-only talent strategy </w:t>
      </w:r>
      <w:r w:rsidRPr="00087618">
        <w:lastRenderedPageBreak/>
        <w:t>(Adeani, Febriani and Syafryadin, 2020). However, I know about my initial practice of targeting short-term solutions. I failed to consider the contribution of internal capability development and psychological contracts</w:t>
      </w:r>
      <w:r w:rsidR="00465ABD" w:rsidRPr="00465ABD">
        <w:t xml:space="preserve">. </w:t>
      </w:r>
    </w:p>
    <w:p w14:paraId="158D4DC1" w14:textId="246BA57E" w:rsidR="00465ABD" w:rsidRPr="00465ABD" w:rsidRDefault="00465ABD" w:rsidP="00465ABD">
      <w:pPr>
        <w:rPr>
          <w:b/>
          <w:bCs/>
          <w:i/>
          <w:iCs/>
        </w:rPr>
      </w:pPr>
      <w:r w:rsidRPr="00465ABD">
        <w:rPr>
          <w:b/>
          <w:bCs/>
          <w:i/>
          <w:iCs/>
        </w:rPr>
        <w:t>Analysis</w:t>
      </w:r>
    </w:p>
    <w:p w14:paraId="4003597B" w14:textId="38FAE015" w:rsidR="00465ABD" w:rsidRPr="00465ABD" w:rsidRDefault="00087618" w:rsidP="00465ABD">
      <w:r w:rsidRPr="00087618">
        <w:t>My management style has been altered by theories such as the Resource-Based View. Since then I have come to realise that human capital will only turn out to be strategic when its valuable, rare, difficult to replicate and embedded in organisational systems. This perspective causes me to be long-term mentally, rather than reactive (Lubis, 2022). The concept of psychological contract has also helped in understanding employee expectations and trust. I have been taught to see a turnover not only as a mere dissatisfaction but also as a potential breach of what can be considered as a mutual obligation. The notion of big and small work places has changed my perception of innovation. Innovation is not something that can be solved by just identifying individuals who are creative; job design, autonomy and learning culture are needed. Additionally, the debate on the future of work has made me open my eyes to how the adaptability, digital literacy, and lifelong learning are no longer luxury skills</w:t>
      </w:r>
      <w:r w:rsidR="00465ABD" w:rsidRPr="00465ABD">
        <w:t>.</w:t>
      </w:r>
      <w:r w:rsidR="0060434A">
        <w:t xml:space="preserve"> </w:t>
      </w:r>
    </w:p>
    <w:p w14:paraId="3C1C7402" w14:textId="5E5323AB" w:rsidR="00465ABD" w:rsidRPr="00465ABD" w:rsidRDefault="00465ABD" w:rsidP="00465ABD">
      <w:pPr>
        <w:rPr>
          <w:b/>
          <w:bCs/>
          <w:i/>
          <w:iCs/>
        </w:rPr>
      </w:pPr>
      <w:r w:rsidRPr="00465ABD">
        <w:rPr>
          <w:b/>
          <w:bCs/>
          <w:i/>
          <w:iCs/>
        </w:rPr>
        <w:t>Conclusion</w:t>
      </w:r>
    </w:p>
    <w:p w14:paraId="2A9B4506" w14:textId="05E4C54C" w:rsidR="00465ABD" w:rsidRPr="00465ABD" w:rsidRDefault="00087618" w:rsidP="00465ABD">
      <w:r w:rsidRPr="00087618">
        <w:t>I have most profoundly understood that sustainable performance needs coordinated talent ecosystems, rather than ad hoc HR action. Strategic plans, culture, learning and leadership must collaborate to generate sustainable competitive advantage</w:t>
      </w:r>
      <w:r w:rsidR="00465ABD" w:rsidRPr="00465ABD">
        <w:t>.</w:t>
      </w:r>
    </w:p>
    <w:p w14:paraId="0A36255E" w14:textId="77777777" w:rsidR="0060434A" w:rsidRDefault="00465ABD" w:rsidP="00465ABD">
      <w:pPr>
        <w:rPr>
          <w:b/>
          <w:bCs/>
          <w:i/>
          <w:iCs/>
        </w:rPr>
      </w:pPr>
      <w:r w:rsidRPr="00465ABD">
        <w:rPr>
          <w:b/>
          <w:bCs/>
          <w:i/>
          <w:iCs/>
        </w:rPr>
        <w:t>Action Plan</w:t>
      </w:r>
    </w:p>
    <w:p w14:paraId="6BE1222A" w14:textId="68798724" w:rsidR="00465ABD" w:rsidRPr="00465ABD" w:rsidRDefault="007D3DC8" w:rsidP="00465ABD">
      <w:pPr>
        <w:rPr>
          <w:b/>
          <w:bCs/>
          <w:i/>
          <w:iCs/>
        </w:rPr>
      </w:pPr>
      <w:r w:rsidRPr="007D3DC8">
        <w:t>A number of key areas will be where I will work to improve my professional capacity. To make evidence-based decisions, I will first enhance my workforce planning and HR analytics. Second, I will not use short-term performance indicators; I will build a long-term-capability-building leadership mentality (Elugbaju, Okeke and Alabi, 2024). My innovation potential, particularly when it comes to digital transformation and the application of AI in HR, will also be enriched by lifelong learning. Cultural intelligence will have to evolve as organisations become international. Finally, I will enhance my professional HR knowledge by not only ensuring that I am aware of the CIPD models, but also by practicing on a regular basis</w:t>
      </w:r>
      <w:r w:rsidR="00465ABD" w:rsidRPr="00465ABD">
        <w:t xml:space="preserve">. </w:t>
      </w:r>
    </w:p>
    <w:p w14:paraId="6FCB03C4" w14:textId="72BA181C" w:rsidR="005D3A98" w:rsidRPr="005D3A98" w:rsidRDefault="005D3A98" w:rsidP="0060434A">
      <w:pPr>
        <w:pStyle w:val="Heading2"/>
      </w:pPr>
      <w:bookmarkStart w:id="14" w:name="_Toc221882908"/>
      <w:r w:rsidRPr="005D3A98">
        <w:lastRenderedPageBreak/>
        <w:t>AI and Future Employability Reflection</w:t>
      </w:r>
      <w:bookmarkEnd w:id="14"/>
    </w:p>
    <w:p w14:paraId="37F98A19" w14:textId="77777777" w:rsidR="007D3DC8" w:rsidRDefault="007D3DC8" w:rsidP="007D3DC8">
      <w:r>
        <w:t>The increased application of artificial intelligence in HR practices has altered my personal understanding of future employability radically. I know that in contrast to the traditional workforce planning method, the workforce planning can be optimized with AI-based HR analytics that can better forecast turnover and performance trends (Alabi et al., 2024). Similarly, AI in recruitment (such as automated selection and algorithmic shortlisting) promotes efficiency and cost-saving in administration. But I know the dangers, too. The emergence of AI dependency has the unintention consequence of fostering bias, dehumanizing decision-making, and commodifying talent decisions.</w:t>
      </w:r>
    </w:p>
    <w:p w14:paraId="599A792F" w14:textId="08B3D723" w:rsidR="00EF030C" w:rsidRPr="001D7FBF" w:rsidRDefault="007D3DC8" w:rsidP="007D3DC8">
      <w:r>
        <w:t>Human Capital Theory directs it is possible; I can transform myself and become different, as what it means to be employable is an ongoing building of my skills base. I would embrace AI as a magnifier and not a replacement. Using AI to examine data will be an example, and I will need to spend energy on the interpretation of insights, learning organisational culture and morally responsible decisions (Rafid, 2023). They are settings, and require context sensitivity, empathy, and judgment that cannot be easily automated. By using the synergistic strategy of integrating technological fluency, emotional intelligence, and ethical awareness, I believe I could become not a mere AI competitor, but a professional who is conscious of adopting AI and ensuring that organisational value becomes the most productive, avoiding illegal practices and mindful of human humility (Mujtaba, 2025). I will also be interested in exploring new paradigms of AI governance to ensure that it is utilized responsibly and make lifelong education of digital ethics and strategic workforce analytics a priority</w:t>
      </w:r>
      <w:r w:rsidR="00D6158C" w:rsidRPr="001D7FBF">
        <w:t>.</w:t>
      </w:r>
    </w:p>
    <w:p w14:paraId="5EB1215C" w14:textId="77777777" w:rsidR="00EF030C" w:rsidRDefault="00EF030C">
      <w:pPr>
        <w:spacing w:line="278" w:lineRule="auto"/>
        <w:jc w:val="left"/>
      </w:pPr>
      <w:r>
        <w:br w:type="page"/>
      </w:r>
    </w:p>
    <w:p w14:paraId="6895D675" w14:textId="39587E0D" w:rsidR="005D3A98" w:rsidRPr="005D3A98" w:rsidRDefault="00EF030C" w:rsidP="00EF030C">
      <w:pPr>
        <w:pStyle w:val="Heading1"/>
      </w:pPr>
      <w:bookmarkStart w:id="15" w:name="_Toc221882909"/>
      <w:r>
        <w:lastRenderedPageBreak/>
        <w:t xml:space="preserve">REFERENCE </w:t>
      </w:r>
      <w:bookmarkEnd w:id="15"/>
    </w:p>
    <w:p w14:paraId="21EDCFE0" w14:textId="77777777" w:rsidR="004C69CE" w:rsidRDefault="004C69CE" w:rsidP="004C69CE">
      <w:r w:rsidRPr="001C59ED">
        <w:t>Adeani, I.S., Febriani, R.B. and Syafryadin, S., 2020. Using GIBBS’reflective cycle in making reflections of literary analysis. </w:t>
      </w:r>
      <w:r w:rsidRPr="001C59ED">
        <w:rPr>
          <w:i/>
          <w:iCs/>
        </w:rPr>
        <w:t>Indonesian EFL Journal</w:t>
      </w:r>
      <w:r w:rsidRPr="001C59ED">
        <w:t>, </w:t>
      </w:r>
      <w:r w:rsidRPr="001C59ED">
        <w:rPr>
          <w:i/>
          <w:iCs/>
        </w:rPr>
        <w:t>6</w:t>
      </w:r>
      <w:r w:rsidRPr="001C59ED">
        <w:t>(2), pp.139-148.</w:t>
      </w:r>
    </w:p>
    <w:p w14:paraId="3B4C95BF" w14:textId="77777777" w:rsidR="004C69CE" w:rsidRDefault="004C69CE" w:rsidP="004C69CE">
      <w:r w:rsidRPr="006E0698">
        <w:t>AETHERGIC</w:t>
      </w:r>
      <w:r>
        <w:t xml:space="preserve">, 2026. </w:t>
      </w:r>
      <w:r w:rsidRPr="00EA3F71">
        <w:rPr>
          <w:i/>
          <w:iCs/>
        </w:rPr>
        <w:t>‘Home’.</w:t>
      </w:r>
      <w:r>
        <w:t xml:space="preserve"> [Online]. Available at: </w:t>
      </w:r>
      <w:hyperlink r:id="rId15" w:history="1">
        <w:r w:rsidRPr="00CF1B7A">
          <w:rPr>
            <w:rStyle w:val="Hyperlink"/>
          </w:rPr>
          <w:t>https://www.aethergic.com/</w:t>
        </w:r>
      </w:hyperlink>
      <w:r>
        <w:t xml:space="preserve"> [Accessed on 13</w:t>
      </w:r>
      <w:r w:rsidRPr="006E0698">
        <w:rPr>
          <w:vertAlign w:val="superscript"/>
        </w:rPr>
        <w:t>th</w:t>
      </w:r>
      <w:r>
        <w:t xml:space="preserve"> February, 2026]. </w:t>
      </w:r>
    </w:p>
    <w:p w14:paraId="0419A445" w14:textId="77777777" w:rsidR="004C69CE" w:rsidRDefault="004C69CE" w:rsidP="004C69CE">
      <w:r w:rsidRPr="002F463B">
        <w:t>Alabi, K.O., Adedeji, A.A., Mahmuda, S. and Fowomo, S., 2024. Predictive analytics in HR: leveraging AI for data-driven decision making. </w:t>
      </w:r>
      <w:r w:rsidRPr="002F463B">
        <w:rPr>
          <w:i/>
          <w:iCs/>
        </w:rPr>
        <w:t>International Journal of Research in Engineering, Science and Management</w:t>
      </w:r>
      <w:r w:rsidRPr="002F463B">
        <w:t>, </w:t>
      </w:r>
      <w:r w:rsidRPr="002F463B">
        <w:rPr>
          <w:i/>
          <w:iCs/>
        </w:rPr>
        <w:t>7</w:t>
      </w:r>
      <w:r w:rsidRPr="002F463B">
        <w:t>(4), pp.137-143.</w:t>
      </w:r>
    </w:p>
    <w:p w14:paraId="66BFA369" w14:textId="77777777" w:rsidR="004C69CE" w:rsidRDefault="004C69CE" w:rsidP="004C69CE">
      <w:r w:rsidRPr="00C74876">
        <w:t>Alam, S., Jumady, E., Fajriah, Y., Halim, A. and Hatta, S., 2024. Integrating total quality management with strategic, operational, and human resource management: a qualitative exploration of synergies for enhanced organizational performance. </w:t>
      </w:r>
      <w:r w:rsidRPr="00C74876">
        <w:rPr>
          <w:i/>
          <w:iCs/>
        </w:rPr>
        <w:t>Golden Ratio of Marketing and Applied Psychology of Business</w:t>
      </w:r>
      <w:r w:rsidRPr="00C74876">
        <w:t>, </w:t>
      </w:r>
      <w:r w:rsidRPr="00C74876">
        <w:rPr>
          <w:i/>
          <w:iCs/>
        </w:rPr>
        <w:t>4</w:t>
      </w:r>
      <w:r w:rsidRPr="00C74876">
        <w:t>(2), pp.88-100.</w:t>
      </w:r>
    </w:p>
    <w:p w14:paraId="60ECE3C3" w14:textId="77777777" w:rsidR="004C69CE" w:rsidRDefault="004C69CE" w:rsidP="004C69CE">
      <w:r w:rsidRPr="00EE6B4F">
        <w:t>Elugbaju, W.K., Okeke, N.I. and Alabi, O.A., 2024. Human resource analytics as a strategic tool for workforce planning and succession management. </w:t>
      </w:r>
      <w:r w:rsidRPr="00EE6B4F">
        <w:rPr>
          <w:i/>
          <w:iCs/>
        </w:rPr>
        <w:t>International Journal of Engineering Research and Development</w:t>
      </w:r>
      <w:r w:rsidRPr="00EE6B4F">
        <w:t>, </w:t>
      </w:r>
      <w:r w:rsidRPr="00EE6B4F">
        <w:rPr>
          <w:i/>
          <w:iCs/>
        </w:rPr>
        <w:t>20</w:t>
      </w:r>
      <w:r w:rsidRPr="00EE6B4F">
        <w:t>(11), pp.744-756.</w:t>
      </w:r>
    </w:p>
    <w:p w14:paraId="7AEA89E6" w14:textId="77777777" w:rsidR="004C69CE" w:rsidRDefault="004C69CE" w:rsidP="004C69CE">
      <w:r w:rsidRPr="006D71C5">
        <w:t>Khan, S. and Yun, B.W., 2025. Rooted in crisis, growing solutions: economic impacts and adaptive pathways for Fiji’s climate-threatened sugarcane industry. </w:t>
      </w:r>
      <w:r w:rsidRPr="006D71C5">
        <w:rPr>
          <w:i/>
          <w:iCs/>
        </w:rPr>
        <w:t>Frontiers in Climate</w:t>
      </w:r>
      <w:r w:rsidRPr="006D71C5">
        <w:t>, </w:t>
      </w:r>
      <w:r w:rsidRPr="006D71C5">
        <w:rPr>
          <w:i/>
          <w:iCs/>
        </w:rPr>
        <w:t>7</w:t>
      </w:r>
      <w:r w:rsidRPr="006D71C5">
        <w:t>, p.1690723.</w:t>
      </w:r>
    </w:p>
    <w:p w14:paraId="12B9497F" w14:textId="77777777" w:rsidR="004C69CE" w:rsidRDefault="004C69CE" w:rsidP="004C69CE">
      <w:r w:rsidRPr="000C525E">
        <w:t>Lubis, N.W., 2022. Resource based view (RBV) in improving company strategic capacity. </w:t>
      </w:r>
      <w:r w:rsidRPr="000C525E">
        <w:rPr>
          <w:i/>
          <w:iCs/>
        </w:rPr>
        <w:t>Research Horizon</w:t>
      </w:r>
      <w:r w:rsidRPr="000C525E">
        <w:t>, </w:t>
      </w:r>
      <w:r w:rsidRPr="000C525E">
        <w:rPr>
          <w:i/>
          <w:iCs/>
        </w:rPr>
        <w:t>2</w:t>
      </w:r>
      <w:r w:rsidRPr="000C525E">
        <w:t>(6), pp.587-596.</w:t>
      </w:r>
    </w:p>
    <w:p w14:paraId="69455A3C" w14:textId="77777777" w:rsidR="004C69CE" w:rsidRDefault="004C69CE" w:rsidP="004C69CE">
      <w:r w:rsidRPr="001B13C5">
        <w:t>Medina Serrano, R., González Ramírez, R., Gasco Gasco, J. and Llopis Taverner, J., 2020. Strategic sourcing: Developing a progressive framework for make-or-buy decisions. </w:t>
      </w:r>
      <w:r w:rsidRPr="001B13C5">
        <w:rPr>
          <w:i/>
          <w:iCs/>
        </w:rPr>
        <w:t>Journal of Industrial Engineering and Management</w:t>
      </w:r>
      <w:r w:rsidRPr="001B13C5">
        <w:t>, </w:t>
      </w:r>
      <w:r w:rsidRPr="001B13C5">
        <w:rPr>
          <w:i/>
          <w:iCs/>
        </w:rPr>
        <w:t>13</w:t>
      </w:r>
      <w:r w:rsidRPr="001B13C5">
        <w:t>(1), pp.133-154.</w:t>
      </w:r>
    </w:p>
    <w:p w14:paraId="24A3AC7B" w14:textId="77777777" w:rsidR="004C69CE" w:rsidRDefault="004C69CE" w:rsidP="004C69CE">
      <w:r w:rsidRPr="00EA3F71">
        <w:t>Mittal, S., 2024. Optimizing Organizational Performance: The Critical Role of Headcount Budgeting in Strategic Alignment and Financial Stability. </w:t>
      </w:r>
      <w:r w:rsidRPr="00EA3F71">
        <w:rPr>
          <w:i/>
          <w:iCs/>
        </w:rPr>
        <w:t>International Journal of Economics and Management Engineering</w:t>
      </w:r>
      <w:r w:rsidRPr="00EA3F71">
        <w:t>, </w:t>
      </w:r>
      <w:r w:rsidRPr="00EA3F71">
        <w:rPr>
          <w:i/>
          <w:iCs/>
        </w:rPr>
        <w:t>18</w:t>
      </w:r>
      <w:r w:rsidRPr="00EA3F71">
        <w:t>(5), pp.276-280.</w:t>
      </w:r>
    </w:p>
    <w:p w14:paraId="361CA7C0" w14:textId="77777777" w:rsidR="004C69CE" w:rsidRDefault="004C69CE" w:rsidP="004C69CE">
      <w:r w:rsidRPr="002F463B">
        <w:lastRenderedPageBreak/>
        <w:t>Mujtaba, B.G., 2025. Human-AI Intersection: Understanding the Ethical Challenges, Opportunities, and Governance Protocols for a Changing Data-Driven Digital World. </w:t>
      </w:r>
      <w:r w:rsidRPr="002F463B">
        <w:rPr>
          <w:i/>
          <w:iCs/>
        </w:rPr>
        <w:t>Business Ethics and Leadership</w:t>
      </w:r>
      <w:r w:rsidRPr="002F463B">
        <w:t>, </w:t>
      </w:r>
      <w:r w:rsidRPr="002F463B">
        <w:rPr>
          <w:i/>
          <w:iCs/>
        </w:rPr>
        <w:t>9</w:t>
      </w:r>
      <w:r w:rsidRPr="002F463B">
        <w:t>(1), pp.109-126.</w:t>
      </w:r>
    </w:p>
    <w:p w14:paraId="045C4C04" w14:textId="77777777" w:rsidR="004C69CE" w:rsidRDefault="004C69CE" w:rsidP="004C69CE">
      <w:r w:rsidRPr="00107297">
        <w:t>Mukhtar, K., Mukhtar, M., Haider, S.A. and Iram, S., 2024. Mentor-Mentee relationship in Medicine: How to develop trust?. </w:t>
      </w:r>
      <w:r w:rsidRPr="00107297">
        <w:rPr>
          <w:i/>
          <w:iCs/>
        </w:rPr>
        <w:t>Pakistan Journal of Medical Sciences</w:t>
      </w:r>
      <w:r w:rsidRPr="00107297">
        <w:t>, </w:t>
      </w:r>
      <w:r w:rsidRPr="00107297">
        <w:rPr>
          <w:i/>
          <w:iCs/>
        </w:rPr>
        <w:t>40</w:t>
      </w:r>
      <w:r w:rsidRPr="00107297">
        <w:t>(11), p.2748.</w:t>
      </w:r>
    </w:p>
    <w:p w14:paraId="63DCF211" w14:textId="77777777" w:rsidR="004C69CE" w:rsidRDefault="004C69CE" w:rsidP="004C69CE">
      <w:r w:rsidRPr="005E1145">
        <w:t>Papademetriou, C., Anastasiadou, S. and Papalexandris, S., 2023. The effect of sustainable human resource management practices on customer satisfaction, service quality, and institutional performance in hotel businesses. </w:t>
      </w:r>
      <w:r w:rsidRPr="005E1145">
        <w:rPr>
          <w:i/>
          <w:iCs/>
        </w:rPr>
        <w:t>Sustainability</w:t>
      </w:r>
      <w:r w:rsidRPr="005E1145">
        <w:t>, </w:t>
      </w:r>
      <w:r w:rsidRPr="005E1145">
        <w:rPr>
          <w:i/>
          <w:iCs/>
        </w:rPr>
        <w:t>15</w:t>
      </w:r>
      <w:r w:rsidRPr="005E1145">
        <w:t>(10), p.8251.</w:t>
      </w:r>
    </w:p>
    <w:p w14:paraId="2E3F745B" w14:textId="77777777" w:rsidR="004C69CE" w:rsidRDefault="004C69CE" w:rsidP="004C69CE">
      <w:r w:rsidRPr="00DF0056">
        <w:t>Rafid, M., 2023. Relationship analysis and concept of human capital theory and education. </w:t>
      </w:r>
      <w:r w:rsidRPr="00DF0056">
        <w:rPr>
          <w:i/>
          <w:iCs/>
        </w:rPr>
        <w:t>EDUCATUM: Scientific Journal of Education</w:t>
      </w:r>
      <w:r w:rsidRPr="00DF0056">
        <w:t>, </w:t>
      </w:r>
      <w:r w:rsidRPr="00DF0056">
        <w:rPr>
          <w:i/>
          <w:iCs/>
        </w:rPr>
        <w:t>1</w:t>
      </w:r>
      <w:r w:rsidRPr="00DF0056">
        <w:t>(1), pp.26-31.</w:t>
      </w:r>
    </w:p>
    <w:p w14:paraId="535F9C67" w14:textId="77777777" w:rsidR="004C69CE" w:rsidRDefault="004C69CE" w:rsidP="004C69CE">
      <w:r w:rsidRPr="006D71C5">
        <w:t>Sundaramurthy, S.K., Ravichandran, N., Inaganti, A.C. and Muppalaneni, R., 2022. AI-powered operational resilience: Building secure, scalable, and intelligent enterprises. </w:t>
      </w:r>
      <w:r w:rsidRPr="006D71C5">
        <w:rPr>
          <w:i/>
          <w:iCs/>
        </w:rPr>
        <w:t>Artificial Intelligence and Machine Learning Review</w:t>
      </w:r>
      <w:r w:rsidRPr="006D71C5">
        <w:t>, </w:t>
      </w:r>
      <w:r w:rsidRPr="006D71C5">
        <w:rPr>
          <w:i/>
          <w:iCs/>
        </w:rPr>
        <w:t>3</w:t>
      </w:r>
      <w:r w:rsidRPr="006D71C5">
        <w:t>(1), pp.1-10.</w:t>
      </w:r>
    </w:p>
    <w:p w14:paraId="15FFF0FD" w14:textId="77777777" w:rsidR="004C69CE" w:rsidRDefault="004C69CE" w:rsidP="004C69CE">
      <w:r w:rsidRPr="001B5FC5">
        <w:t>Valerio, A., 2024. Enhancing Good Governance through Strategic Human Resource Management: A Case Study of Zamboanga City, Philippines. </w:t>
      </w:r>
      <w:r w:rsidRPr="001B5FC5">
        <w:rPr>
          <w:i/>
          <w:iCs/>
        </w:rPr>
        <w:t>Cognizance Journal of Multidisciplinary Studies</w:t>
      </w:r>
      <w:r w:rsidRPr="001B5FC5">
        <w:t>, </w:t>
      </w:r>
      <w:r w:rsidRPr="001B5FC5">
        <w:rPr>
          <w:i/>
          <w:iCs/>
        </w:rPr>
        <w:t>4</w:t>
      </w:r>
      <w:r w:rsidRPr="001B5FC5">
        <w:t>(6), pp.10-47760.</w:t>
      </w:r>
    </w:p>
    <w:p w14:paraId="16CCDE06" w14:textId="77777777" w:rsidR="004C69CE" w:rsidRDefault="004C69CE" w:rsidP="004C69CE">
      <w:r w:rsidRPr="00154976">
        <w:t>Zhang, W. and Liu, C., 2022. Research on the influence of talent ecosystem on firm innovation performance: based on the mediating role of collaborative innovation. </w:t>
      </w:r>
      <w:r w:rsidRPr="00154976">
        <w:rPr>
          <w:i/>
          <w:iCs/>
        </w:rPr>
        <w:t>Frontiers in Environmental Science</w:t>
      </w:r>
      <w:r w:rsidRPr="00154976">
        <w:t>, </w:t>
      </w:r>
      <w:r w:rsidRPr="00154976">
        <w:rPr>
          <w:i/>
          <w:iCs/>
        </w:rPr>
        <w:t>10</w:t>
      </w:r>
      <w:r w:rsidRPr="00154976">
        <w:t>, p.982368.</w:t>
      </w:r>
    </w:p>
    <w:p w14:paraId="4C6E43ED" w14:textId="77777777" w:rsidR="004C69CE" w:rsidRDefault="004C69CE" w:rsidP="004C69CE">
      <w:r w:rsidRPr="00107297">
        <w:t>Zhao, S., Ping, J., Zhu, H., Ji, W., Wang, Y. and Wang, Y., 2024. Job characteristics model-based study of the intrinsic motivations for primary care practitioners. </w:t>
      </w:r>
      <w:r w:rsidRPr="00107297">
        <w:rPr>
          <w:i/>
          <w:iCs/>
        </w:rPr>
        <w:t>Chinese General Practice Journal</w:t>
      </w:r>
      <w:r w:rsidRPr="00107297">
        <w:t>, </w:t>
      </w:r>
      <w:r w:rsidRPr="00107297">
        <w:rPr>
          <w:i/>
          <w:iCs/>
        </w:rPr>
        <w:t>1</w:t>
      </w:r>
      <w:r w:rsidRPr="00107297">
        <w:t>(1), pp.3-10.</w:t>
      </w:r>
    </w:p>
    <w:p w14:paraId="5A4B32A5" w14:textId="77777777" w:rsidR="00465ABD" w:rsidRPr="00465ABD" w:rsidRDefault="00465ABD" w:rsidP="00465ABD"/>
    <w:sectPr w:rsidR="00465ABD" w:rsidRPr="00465ABD" w:rsidSect="00267631">
      <w:footerReference w:type="default" r:id="rId16"/>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51CF43" w14:textId="77777777" w:rsidR="001870F8" w:rsidRDefault="001870F8" w:rsidP="00267631">
      <w:pPr>
        <w:spacing w:after="0" w:line="240" w:lineRule="auto"/>
      </w:pPr>
      <w:r>
        <w:separator/>
      </w:r>
    </w:p>
  </w:endnote>
  <w:endnote w:type="continuationSeparator" w:id="0">
    <w:p w14:paraId="2EF6DB96" w14:textId="77777777" w:rsidR="001870F8" w:rsidRDefault="001870F8" w:rsidP="002676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187636"/>
      <w:docPartObj>
        <w:docPartGallery w:val="Page Numbers (Bottom of Page)"/>
        <w:docPartUnique/>
      </w:docPartObj>
    </w:sdtPr>
    <w:sdtEndPr>
      <w:rPr>
        <w:noProof/>
        <w:sz w:val="20"/>
        <w:szCs w:val="20"/>
      </w:rPr>
    </w:sdtEndPr>
    <w:sdtContent>
      <w:p w14:paraId="5DFA8104" w14:textId="686EF99D" w:rsidR="00267631" w:rsidRPr="00267631" w:rsidRDefault="00267631">
        <w:pPr>
          <w:pStyle w:val="Footer"/>
          <w:jc w:val="right"/>
          <w:rPr>
            <w:sz w:val="20"/>
            <w:szCs w:val="20"/>
          </w:rPr>
        </w:pPr>
        <w:r w:rsidRPr="00267631">
          <w:rPr>
            <w:sz w:val="20"/>
            <w:szCs w:val="20"/>
          </w:rPr>
          <w:fldChar w:fldCharType="begin"/>
        </w:r>
        <w:r w:rsidRPr="00267631">
          <w:rPr>
            <w:sz w:val="20"/>
            <w:szCs w:val="20"/>
          </w:rPr>
          <w:instrText xml:space="preserve"> PAGE   \* MERGEFORMAT </w:instrText>
        </w:r>
        <w:r w:rsidRPr="00267631">
          <w:rPr>
            <w:sz w:val="20"/>
            <w:szCs w:val="20"/>
          </w:rPr>
          <w:fldChar w:fldCharType="separate"/>
        </w:r>
        <w:r w:rsidRPr="00267631">
          <w:rPr>
            <w:noProof/>
            <w:sz w:val="20"/>
            <w:szCs w:val="20"/>
          </w:rPr>
          <w:t>2</w:t>
        </w:r>
        <w:r w:rsidRPr="00267631">
          <w:rPr>
            <w:noProof/>
            <w:sz w:val="20"/>
            <w:szCs w:val="20"/>
          </w:rPr>
          <w:fldChar w:fldCharType="end"/>
        </w:r>
      </w:p>
    </w:sdtContent>
  </w:sdt>
  <w:p w14:paraId="32377217" w14:textId="77777777" w:rsidR="00267631" w:rsidRDefault="002676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A97CA" w14:textId="77777777" w:rsidR="001870F8" w:rsidRDefault="001870F8" w:rsidP="00267631">
      <w:pPr>
        <w:spacing w:after="0" w:line="240" w:lineRule="auto"/>
      </w:pPr>
      <w:r>
        <w:separator/>
      </w:r>
    </w:p>
  </w:footnote>
  <w:footnote w:type="continuationSeparator" w:id="0">
    <w:p w14:paraId="10AA6D7E" w14:textId="77777777" w:rsidR="001870F8" w:rsidRDefault="001870F8" w:rsidP="002676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210"/>
    <w:rsid w:val="00044140"/>
    <w:rsid w:val="00087618"/>
    <w:rsid w:val="000A7A03"/>
    <w:rsid w:val="00143140"/>
    <w:rsid w:val="00155210"/>
    <w:rsid w:val="001870F8"/>
    <w:rsid w:val="001D7FBF"/>
    <w:rsid w:val="001E461F"/>
    <w:rsid w:val="00205614"/>
    <w:rsid w:val="00207B1F"/>
    <w:rsid w:val="0023633E"/>
    <w:rsid w:val="00237019"/>
    <w:rsid w:val="00251BC8"/>
    <w:rsid w:val="00261DE8"/>
    <w:rsid w:val="00267631"/>
    <w:rsid w:val="002D5413"/>
    <w:rsid w:val="00300DF1"/>
    <w:rsid w:val="0031401F"/>
    <w:rsid w:val="003271C7"/>
    <w:rsid w:val="00332D66"/>
    <w:rsid w:val="003507CC"/>
    <w:rsid w:val="00372DFD"/>
    <w:rsid w:val="00381563"/>
    <w:rsid w:val="003A42C4"/>
    <w:rsid w:val="003C19D7"/>
    <w:rsid w:val="00417CED"/>
    <w:rsid w:val="004239EA"/>
    <w:rsid w:val="00465ABD"/>
    <w:rsid w:val="00485268"/>
    <w:rsid w:val="004B0175"/>
    <w:rsid w:val="004C69CE"/>
    <w:rsid w:val="004E18F9"/>
    <w:rsid w:val="004E7A06"/>
    <w:rsid w:val="00542AF6"/>
    <w:rsid w:val="0055730F"/>
    <w:rsid w:val="005C39F4"/>
    <w:rsid w:val="005D3A98"/>
    <w:rsid w:val="005E7F23"/>
    <w:rsid w:val="0060434A"/>
    <w:rsid w:val="00686E11"/>
    <w:rsid w:val="006E1D10"/>
    <w:rsid w:val="006E5239"/>
    <w:rsid w:val="006F6B90"/>
    <w:rsid w:val="007133F3"/>
    <w:rsid w:val="00733EF3"/>
    <w:rsid w:val="007C3B23"/>
    <w:rsid w:val="007D3DC8"/>
    <w:rsid w:val="007D593F"/>
    <w:rsid w:val="00803741"/>
    <w:rsid w:val="008942AE"/>
    <w:rsid w:val="008E24D1"/>
    <w:rsid w:val="00954966"/>
    <w:rsid w:val="009E5459"/>
    <w:rsid w:val="00A01140"/>
    <w:rsid w:val="00A07D4F"/>
    <w:rsid w:val="00A23B77"/>
    <w:rsid w:val="00A37B3D"/>
    <w:rsid w:val="00A64F0A"/>
    <w:rsid w:val="00AA064D"/>
    <w:rsid w:val="00AB3DFF"/>
    <w:rsid w:val="00AD3117"/>
    <w:rsid w:val="00B54001"/>
    <w:rsid w:val="00B95959"/>
    <w:rsid w:val="00BA1A40"/>
    <w:rsid w:val="00BC404E"/>
    <w:rsid w:val="00BD2D8A"/>
    <w:rsid w:val="00C67FBE"/>
    <w:rsid w:val="00C80C27"/>
    <w:rsid w:val="00C914BC"/>
    <w:rsid w:val="00D0085B"/>
    <w:rsid w:val="00D6158C"/>
    <w:rsid w:val="00D67314"/>
    <w:rsid w:val="00D72BA4"/>
    <w:rsid w:val="00D76DB4"/>
    <w:rsid w:val="00D81945"/>
    <w:rsid w:val="00DC0BE7"/>
    <w:rsid w:val="00E234A9"/>
    <w:rsid w:val="00EB1DB0"/>
    <w:rsid w:val="00EB40B1"/>
    <w:rsid w:val="00EB4F16"/>
    <w:rsid w:val="00EF030C"/>
    <w:rsid w:val="00F10049"/>
    <w:rsid w:val="00F67D3B"/>
    <w:rsid w:val="00F7785D"/>
    <w:rsid w:val="00F83894"/>
    <w:rsid w:val="00F93883"/>
    <w:rsid w:val="00FA7321"/>
    <w:rsid w:val="00FD77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BC18F"/>
  <w15:chartTrackingRefBased/>
  <w15:docId w15:val="{3D71110E-58C5-49C9-987E-89B308FDE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AF6"/>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BA1A40"/>
    <w:pPr>
      <w:keepNext/>
      <w:keepLines/>
      <w:spacing w:before="360" w:after="80"/>
      <w:outlineLvl w:val="0"/>
    </w:pPr>
    <w:rPr>
      <w:rFonts w:eastAsiaTheme="majorEastAsia" w:cstheme="majorBidi"/>
      <w:b/>
      <w:color w:val="auto"/>
      <w:sz w:val="28"/>
      <w:szCs w:val="40"/>
    </w:rPr>
  </w:style>
  <w:style w:type="paragraph" w:styleId="Heading2">
    <w:name w:val="heading 2"/>
    <w:basedOn w:val="Normal"/>
    <w:next w:val="Normal"/>
    <w:link w:val="Heading2Char"/>
    <w:autoRedefine/>
    <w:uiPriority w:val="9"/>
    <w:unhideWhenUsed/>
    <w:qFormat/>
    <w:rsid w:val="00F83894"/>
    <w:pPr>
      <w:keepNext/>
      <w:keepLines/>
      <w:spacing w:before="160" w:after="80"/>
      <w:outlineLvl w:val="1"/>
    </w:pPr>
    <w:rPr>
      <w:rFonts w:eastAsiaTheme="majorEastAsia" w:cstheme="majorBidi"/>
      <w:b/>
      <w:color w:val="auto"/>
      <w:szCs w:val="32"/>
    </w:rPr>
  </w:style>
  <w:style w:type="paragraph" w:styleId="Heading3">
    <w:name w:val="heading 3"/>
    <w:basedOn w:val="Normal"/>
    <w:next w:val="Normal"/>
    <w:link w:val="Heading3Char"/>
    <w:autoRedefine/>
    <w:uiPriority w:val="9"/>
    <w:unhideWhenUsed/>
    <w:qFormat/>
    <w:rsid w:val="00B54001"/>
    <w:pPr>
      <w:keepNext/>
      <w:keepLines/>
      <w:spacing w:before="160" w:after="80"/>
      <w:outlineLvl w:val="2"/>
    </w:pPr>
    <w:rPr>
      <w:rFonts w:eastAsiaTheme="majorEastAsia" w:cstheme="majorBidi"/>
      <w:b/>
      <w:color w:val="auto"/>
      <w:szCs w:val="28"/>
    </w:rPr>
  </w:style>
  <w:style w:type="paragraph" w:styleId="Heading4">
    <w:name w:val="heading 4"/>
    <w:basedOn w:val="Normal"/>
    <w:next w:val="Normal"/>
    <w:link w:val="Heading4Char"/>
    <w:autoRedefine/>
    <w:uiPriority w:val="9"/>
    <w:unhideWhenUsed/>
    <w:qFormat/>
    <w:rsid w:val="00205614"/>
    <w:pPr>
      <w:keepNext/>
      <w:keepLines/>
      <w:spacing w:before="80" w:after="40"/>
      <w:jc w:val="center"/>
      <w:outlineLvl w:val="3"/>
    </w:pPr>
    <w:rPr>
      <w:rFonts w:eastAsiaTheme="majorEastAsia" w:cstheme="majorBidi"/>
      <w:b/>
      <w:iCs/>
      <w:color w:val="auto"/>
    </w:rPr>
  </w:style>
  <w:style w:type="paragraph" w:styleId="Heading5">
    <w:name w:val="heading 5"/>
    <w:basedOn w:val="Normal"/>
    <w:next w:val="Normal"/>
    <w:link w:val="Heading5Char"/>
    <w:autoRedefine/>
    <w:uiPriority w:val="9"/>
    <w:unhideWhenUsed/>
    <w:qFormat/>
    <w:rsid w:val="00DC0BE7"/>
    <w:pPr>
      <w:keepNext/>
      <w:keepLines/>
      <w:spacing w:before="80" w:after="40"/>
      <w:jc w:val="center"/>
      <w:outlineLvl w:val="4"/>
    </w:pPr>
    <w:rPr>
      <w:rFonts w:eastAsiaTheme="majorEastAsia" w:cstheme="majorBidi"/>
      <w:b/>
      <w:color w:val="auto"/>
    </w:rPr>
  </w:style>
  <w:style w:type="paragraph" w:styleId="Heading6">
    <w:name w:val="heading 6"/>
    <w:basedOn w:val="Normal"/>
    <w:next w:val="Normal"/>
    <w:link w:val="Heading6Char"/>
    <w:uiPriority w:val="9"/>
    <w:semiHidden/>
    <w:unhideWhenUsed/>
    <w:qFormat/>
    <w:rsid w:val="0015521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5521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5521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5521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1A40"/>
    <w:rPr>
      <w:rFonts w:ascii="Times New Roman" w:eastAsiaTheme="majorEastAsia" w:hAnsi="Times New Roman" w:cstheme="majorBidi"/>
      <w:b/>
      <w:sz w:val="28"/>
      <w:szCs w:val="40"/>
    </w:rPr>
  </w:style>
  <w:style w:type="character" w:customStyle="1" w:styleId="Heading5Char">
    <w:name w:val="Heading 5 Char"/>
    <w:basedOn w:val="DefaultParagraphFont"/>
    <w:link w:val="Heading5"/>
    <w:uiPriority w:val="9"/>
    <w:rsid w:val="00DC0BE7"/>
    <w:rPr>
      <w:rFonts w:ascii="Times New Roman" w:eastAsiaTheme="majorEastAsia" w:hAnsi="Times New Roman" w:cstheme="majorBidi"/>
      <w:b/>
    </w:rPr>
  </w:style>
  <w:style w:type="character" w:customStyle="1" w:styleId="Heading2Char">
    <w:name w:val="Heading 2 Char"/>
    <w:basedOn w:val="DefaultParagraphFont"/>
    <w:link w:val="Heading2"/>
    <w:uiPriority w:val="9"/>
    <w:rsid w:val="00F83894"/>
    <w:rPr>
      <w:rFonts w:ascii="Times New Roman" w:eastAsiaTheme="majorEastAsia" w:hAnsi="Times New Roman" w:cstheme="majorBidi"/>
      <w:b/>
      <w:szCs w:val="32"/>
    </w:rPr>
  </w:style>
  <w:style w:type="character" w:customStyle="1" w:styleId="Heading4Char">
    <w:name w:val="Heading 4 Char"/>
    <w:basedOn w:val="DefaultParagraphFont"/>
    <w:link w:val="Heading4"/>
    <w:uiPriority w:val="9"/>
    <w:rsid w:val="00205614"/>
    <w:rPr>
      <w:rFonts w:ascii="Times New Roman" w:eastAsiaTheme="majorEastAsia" w:hAnsi="Times New Roman" w:cstheme="majorBidi"/>
      <w:b/>
      <w:iCs/>
    </w:rPr>
  </w:style>
  <w:style w:type="character" w:customStyle="1" w:styleId="Heading3Char">
    <w:name w:val="Heading 3 Char"/>
    <w:basedOn w:val="DefaultParagraphFont"/>
    <w:link w:val="Heading3"/>
    <w:uiPriority w:val="9"/>
    <w:rsid w:val="00B54001"/>
    <w:rPr>
      <w:rFonts w:ascii="Times New Roman" w:eastAsiaTheme="majorEastAsia" w:hAnsi="Times New Roman" w:cstheme="majorBidi"/>
      <w:b/>
      <w:szCs w:val="28"/>
    </w:rPr>
  </w:style>
  <w:style w:type="character" w:customStyle="1" w:styleId="Heading6Char">
    <w:name w:val="Heading 6 Char"/>
    <w:basedOn w:val="DefaultParagraphFont"/>
    <w:link w:val="Heading6"/>
    <w:uiPriority w:val="9"/>
    <w:semiHidden/>
    <w:rsid w:val="001552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2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2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210"/>
    <w:rPr>
      <w:rFonts w:eastAsiaTheme="majorEastAsia" w:cstheme="majorBidi"/>
      <w:color w:val="272727" w:themeColor="text1" w:themeTint="D8"/>
    </w:rPr>
  </w:style>
  <w:style w:type="paragraph" w:styleId="Title">
    <w:name w:val="Title"/>
    <w:basedOn w:val="Normal"/>
    <w:next w:val="Normal"/>
    <w:link w:val="TitleChar"/>
    <w:uiPriority w:val="10"/>
    <w:qFormat/>
    <w:rsid w:val="00155210"/>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552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21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2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210"/>
    <w:pPr>
      <w:spacing w:before="160"/>
      <w:jc w:val="center"/>
    </w:pPr>
    <w:rPr>
      <w:i/>
      <w:iCs/>
      <w:color w:val="404040" w:themeColor="text1" w:themeTint="BF"/>
    </w:rPr>
  </w:style>
  <w:style w:type="character" w:customStyle="1" w:styleId="QuoteChar">
    <w:name w:val="Quote Char"/>
    <w:basedOn w:val="DefaultParagraphFont"/>
    <w:link w:val="Quote"/>
    <w:uiPriority w:val="29"/>
    <w:rsid w:val="00155210"/>
    <w:rPr>
      <w:rFonts w:ascii="Times New Roman" w:hAnsi="Times New Roman"/>
      <w:i/>
      <w:iCs/>
      <w:color w:val="404040" w:themeColor="text1" w:themeTint="BF"/>
    </w:rPr>
  </w:style>
  <w:style w:type="paragraph" w:styleId="ListParagraph">
    <w:name w:val="List Paragraph"/>
    <w:basedOn w:val="Normal"/>
    <w:uiPriority w:val="34"/>
    <w:qFormat/>
    <w:rsid w:val="00155210"/>
    <w:pPr>
      <w:ind w:left="720"/>
      <w:contextualSpacing/>
    </w:pPr>
  </w:style>
  <w:style w:type="character" w:styleId="IntenseEmphasis">
    <w:name w:val="Intense Emphasis"/>
    <w:basedOn w:val="DefaultParagraphFont"/>
    <w:uiPriority w:val="21"/>
    <w:qFormat/>
    <w:rsid w:val="00155210"/>
    <w:rPr>
      <w:i/>
      <w:iCs/>
      <w:color w:val="2F5496" w:themeColor="accent1" w:themeShade="BF"/>
    </w:rPr>
  </w:style>
  <w:style w:type="paragraph" w:styleId="IntenseQuote">
    <w:name w:val="Intense Quote"/>
    <w:basedOn w:val="Normal"/>
    <w:next w:val="Normal"/>
    <w:link w:val="IntenseQuoteChar"/>
    <w:uiPriority w:val="30"/>
    <w:qFormat/>
    <w:rsid w:val="0015521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55210"/>
    <w:rPr>
      <w:rFonts w:ascii="Times New Roman" w:hAnsi="Times New Roman"/>
      <w:i/>
      <w:iCs/>
      <w:color w:val="2F5496" w:themeColor="accent1" w:themeShade="BF"/>
    </w:rPr>
  </w:style>
  <w:style w:type="character" w:styleId="IntenseReference">
    <w:name w:val="Intense Reference"/>
    <w:basedOn w:val="DefaultParagraphFont"/>
    <w:uiPriority w:val="32"/>
    <w:qFormat/>
    <w:rsid w:val="00155210"/>
    <w:rPr>
      <w:b/>
      <w:bCs/>
      <w:smallCaps/>
      <w:color w:val="2F5496" w:themeColor="accent1" w:themeShade="BF"/>
      <w:spacing w:val="5"/>
    </w:rPr>
  </w:style>
  <w:style w:type="paragraph" w:styleId="Header">
    <w:name w:val="header"/>
    <w:basedOn w:val="Normal"/>
    <w:link w:val="HeaderChar"/>
    <w:uiPriority w:val="99"/>
    <w:unhideWhenUsed/>
    <w:rsid w:val="002676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7631"/>
    <w:rPr>
      <w:rFonts w:ascii="Times New Roman" w:hAnsi="Times New Roman"/>
      <w:color w:val="000000" w:themeColor="text1"/>
    </w:rPr>
  </w:style>
  <w:style w:type="paragraph" w:styleId="Footer">
    <w:name w:val="footer"/>
    <w:basedOn w:val="Normal"/>
    <w:link w:val="FooterChar"/>
    <w:uiPriority w:val="99"/>
    <w:unhideWhenUsed/>
    <w:rsid w:val="002676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7631"/>
    <w:rPr>
      <w:rFonts w:ascii="Times New Roman" w:hAnsi="Times New Roman"/>
      <w:color w:val="000000" w:themeColor="text1"/>
    </w:rPr>
  </w:style>
  <w:style w:type="paragraph" w:styleId="NormalWeb">
    <w:name w:val="Normal (Web)"/>
    <w:basedOn w:val="Normal"/>
    <w:uiPriority w:val="99"/>
    <w:semiHidden/>
    <w:unhideWhenUsed/>
    <w:rsid w:val="00D0085B"/>
    <w:rPr>
      <w:rFonts w:cs="Times New Roman"/>
    </w:rPr>
  </w:style>
  <w:style w:type="character" w:styleId="Hyperlink">
    <w:name w:val="Hyperlink"/>
    <w:basedOn w:val="DefaultParagraphFont"/>
    <w:uiPriority w:val="99"/>
    <w:unhideWhenUsed/>
    <w:rsid w:val="004C69CE"/>
    <w:rPr>
      <w:color w:val="0563C1" w:themeColor="hyperlink"/>
      <w:u w:val="single"/>
    </w:rPr>
  </w:style>
  <w:style w:type="paragraph" w:styleId="TOCHeading">
    <w:name w:val="TOC Heading"/>
    <w:basedOn w:val="Heading1"/>
    <w:next w:val="Normal"/>
    <w:uiPriority w:val="39"/>
    <w:unhideWhenUsed/>
    <w:qFormat/>
    <w:rsid w:val="00381563"/>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81563"/>
    <w:pPr>
      <w:spacing w:after="100"/>
    </w:pPr>
  </w:style>
  <w:style w:type="paragraph" w:styleId="TOC2">
    <w:name w:val="toc 2"/>
    <w:basedOn w:val="Normal"/>
    <w:next w:val="Normal"/>
    <w:autoRedefine/>
    <w:uiPriority w:val="39"/>
    <w:unhideWhenUsed/>
    <w:rsid w:val="00381563"/>
    <w:pPr>
      <w:spacing w:after="100"/>
      <w:ind w:left="240"/>
    </w:pPr>
  </w:style>
  <w:style w:type="paragraph" w:styleId="TableofFigures">
    <w:name w:val="table of figures"/>
    <w:basedOn w:val="Normal"/>
    <w:next w:val="Normal"/>
    <w:uiPriority w:val="99"/>
    <w:unhideWhenUsed/>
    <w:rsid w:val="004E7A0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Layout" Target="diagrams/layout1.xml"/><Relationship Id="rId5" Type="http://schemas.openxmlformats.org/officeDocument/2006/relationships/footnotes" Target="footnotes.xml"/><Relationship Id="rId15" Type="http://schemas.openxmlformats.org/officeDocument/2006/relationships/hyperlink" Target="https://www.aethergic.com/" TargetMode="External"/><Relationship Id="rId10" Type="http://schemas.openxmlformats.org/officeDocument/2006/relationships/diagramData" Target="diagrams/data1.xml"/><Relationship Id="rId4" Type="http://schemas.openxmlformats.org/officeDocument/2006/relationships/webSettings" Target="webSettings.xml"/><Relationship Id="rId9" Type="http://schemas.openxmlformats.org/officeDocument/2006/relationships/image" Target="media/image3.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232F42E-6212-44E1-8CFF-6D08C7A0A804}" type="doc">
      <dgm:prSet loTypeId="urn:microsoft.com/office/officeart/2005/8/layout/radial4" loCatId="relationship" qsTypeId="urn:microsoft.com/office/officeart/2005/8/quickstyle/3d3" qsCatId="3D" csTypeId="urn:microsoft.com/office/officeart/2005/8/colors/colorful1" csCatId="colorful" phldr="1"/>
      <dgm:spPr/>
      <dgm:t>
        <a:bodyPr/>
        <a:lstStyle/>
        <a:p>
          <a:endParaRPr lang="en-US"/>
        </a:p>
      </dgm:t>
    </dgm:pt>
    <dgm:pt modelId="{0C9418CB-FC30-4D13-A5BC-7034907953D6}">
      <dgm:prSet phldrT="[Text]" custT="1"/>
      <dgm:spPr/>
      <dgm:t>
        <a:bodyPr/>
        <a:lstStyle/>
        <a:p>
          <a:r>
            <a:rPr lang="en-US" sz="1800" b="1" i="0">
              <a:solidFill>
                <a:srgbClr val="960000"/>
              </a:solidFill>
              <a:latin typeface="Times New Roman" panose="02020603050405020304" pitchFamily="18" charset="0"/>
              <a:cs typeface="Times New Roman" panose="02020603050405020304" pitchFamily="18" charset="0"/>
            </a:rPr>
            <a:t>Gibbs Reflective Cycle</a:t>
          </a:r>
        </a:p>
      </dgm:t>
    </dgm:pt>
    <dgm:pt modelId="{DFB06852-3874-463F-9F9A-1B5C21E3FD42}" type="parTrans" cxnId="{4DD680BE-DE03-442E-99D2-8AE55D6B498D}">
      <dgm:prSet/>
      <dgm:spPr/>
      <dgm:t>
        <a:bodyPr/>
        <a:lstStyle/>
        <a:p>
          <a:endParaRPr lang="en-US"/>
        </a:p>
      </dgm:t>
    </dgm:pt>
    <dgm:pt modelId="{402E68AA-0741-4D9A-A8CE-F8D26CAAD8C6}" type="sibTrans" cxnId="{4DD680BE-DE03-442E-99D2-8AE55D6B498D}">
      <dgm:prSet/>
      <dgm:spPr/>
      <dgm:t>
        <a:bodyPr/>
        <a:lstStyle/>
        <a:p>
          <a:endParaRPr lang="en-US"/>
        </a:p>
      </dgm:t>
    </dgm:pt>
    <dgm:pt modelId="{BB856E09-8F32-414B-B4ED-9C0F35D6AA97}">
      <dgm:prSet phldrT="[Text]"/>
      <dgm:spPr/>
      <dgm:t>
        <a:bodyPr/>
        <a:lstStyle/>
        <a:p>
          <a:pPr>
            <a:buFont typeface="Symbol" panose="05050102010706020507" pitchFamily="18" charset="2"/>
            <a:buChar char=""/>
          </a:pPr>
          <a:r>
            <a:rPr lang="en-US" b="1" i="1">
              <a:solidFill>
                <a:sysClr val="windowText" lastClr="000000"/>
              </a:solidFill>
              <a:latin typeface="Times New Roman" panose="02020603050405020304" pitchFamily="18" charset="0"/>
              <a:cs typeface="Times New Roman" panose="02020603050405020304" pitchFamily="18" charset="0"/>
            </a:rPr>
            <a:t>Description</a:t>
          </a:r>
        </a:p>
      </dgm:t>
    </dgm:pt>
    <dgm:pt modelId="{08017289-33D4-4523-8D6E-04A684B56D79}" type="parTrans" cxnId="{8306681C-88F2-4CAB-9961-C660E2970D42}">
      <dgm:prSet/>
      <dgm:spPr/>
      <dgm:t>
        <a:bodyPr/>
        <a:lstStyle/>
        <a:p>
          <a:endParaRPr lang="en-US"/>
        </a:p>
      </dgm:t>
    </dgm:pt>
    <dgm:pt modelId="{40B994FE-43C5-4487-AD3E-F31E55B69216}" type="sibTrans" cxnId="{8306681C-88F2-4CAB-9961-C660E2970D42}">
      <dgm:prSet/>
      <dgm:spPr/>
      <dgm:t>
        <a:bodyPr/>
        <a:lstStyle/>
        <a:p>
          <a:endParaRPr lang="en-US"/>
        </a:p>
      </dgm:t>
    </dgm:pt>
    <dgm:pt modelId="{1B005D9E-8020-4552-AA31-92D4F75787D5}">
      <dgm:prSet phldrT="[Text]"/>
      <dgm:spPr/>
      <dgm:t>
        <a:bodyPr/>
        <a:lstStyle/>
        <a:p>
          <a:endParaRPr lang="en-US"/>
        </a:p>
      </dgm:t>
    </dgm:pt>
    <dgm:pt modelId="{EE974686-6658-4488-B09B-574D646162BF}" type="parTrans" cxnId="{388A4714-B3FC-4FDF-A220-DD7EDA92C13A}">
      <dgm:prSet/>
      <dgm:spPr/>
      <dgm:t>
        <a:bodyPr/>
        <a:lstStyle/>
        <a:p>
          <a:endParaRPr lang="en-US"/>
        </a:p>
      </dgm:t>
    </dgm:pt>
    <dgm:pt modelId="{64313E0A-3605-4E75-823C-278F7A47BC56}" type="sibTrans" cxnId="{388A4714-B3FC-4FDF-A220-DD7EDA92C13A}">
      <dgm:prSet/>
      <dgm:spPr/>
      <dgm:t>
        <a:bodyPr/>
        <a:lstStyle/>
        <a:p>
          <a:endParaRPr lang="en-US"/>
        </a:p>
      </dgm:t>
    </dgm:pt>
    <dgm:pt modelId="{F21CD6D6-2CAA-4685-BE44-296784B97AEC}">
      <dgm:prSet/>
      <dgm:spPr/>
      <dgm:t>
        <a:bodyPr/>
        <a:lstStyle/>
        <a:p>
          <a:pPr>
            <a:buFont typeface="Symbol" panose="05050102010706020507" pitchFamily="18" charset="2"/>
            <a:buChar char=""/>
          </a:pPr>
          <a:r>
            <a:rPr lang="en-US" b="1" i="1">
              <a:solidFill>
                <a:sysClr val="windowText" lastClr="000000"/>
              </a:solidFill>
              <a:latin typeface="Times New Roman" panose="02020603050405020304" pitchFamily="18" charset="0"/>
              <a:cs typeface="Times New Roman" panose="02020603050405020304" pitchFamily="18" charset="0"/>
            </a:rPr>
            <a:t>Feelings</a:t>
          </a:r>
        </a:p>
      </dgm:t>
    </dgm:pt>
    <dgm:pt modelId="{74B47469-E760-42DF-A4FD-497207C15603}" type="parTrans" cxnId="{5755C7ED-FB8F-4778-B3B7-FA794A8FCAD4}">
      <dgm:prSet/>
      <dgm:spPr/>
      <dgm:t>
        <a:bodyPr/>
        <a:lstStyle/>
        <a:p>
          <a:endParaRPr lang="en-US"/>
        </a:p>
      </dgm:t>
    </dgm:pt>
    <dgm:pt modelId="{AEDD44B0-C140-440C-8BAF-C5A20C0312A1}" type="sibTrans" cxnId="{5755C7ED-FB8F-4778-B3B7-FA794A8FCAD4}">
      <dgm:prSet/>
      <dgm:spPr/>
      <dgm:t>
        <a:bodyPr/>
        <a:lstStyle/>
        <a:p>
          <a:endParaRPr lang="en-US"/>
        </a:p>
      </dgm:t>
    </dgm:pt>
    <dgm:pt modelId="{82794DDB-EB22-4258-BDDB-CD600D8FE602}">
      <dgm:prSet/>
      <dgm:spPr/>
      <dgm:t>
        <a:bodyPr/>
        <a:lstStyle/>
        <a:p>
          <a:pPr>
            <a:buFont typeface="Symbol" panose="05050102010706020507" pitchFamily="18" charset="2"/>
            <a:buChar char=""/>
          </a:pPr>
          <a:r>
            <a:rPr lang="en-US" b="1" i="1">
              <a:solidFill>
                <a:sysClr val="windowText" lastClr="000000"/>
              </a:solidFill>
              <a:latin typeface="Times New Roman" panose="02020603050405020304" pitchFamily="18" charset="0"/>
              <a:cs typeface="Times New Roman" panose="02020603050405020304" pitchFamily="18" charset="0"/>
            </a:rPr>
            <a:t>Evaluation</a:t>
          </a:r>
        </a:p>
      </dgm:t>
    </dgm:pt>
    <dgm:pt modelId="{6E0390FC-8B67-4DC2-A69E-B264139A77AB}" type="parTrans" cxnId="{DE3B13F3-BCB6-44C5-95EC-3B7263B4CFC0}">
      <dgm:prSet/>
      <dgm:spPr/>
      <dgm:t>
        <a:bodyPr/>
        <a:lstStyle/>
        <a:p>
          <a:endParaRPr lang="en-US"/>
        </a:p>
      </dgm:t>
    </dgm:pt>
    <dgm:pt modelId="{EAB806CF-3C9D-4D70-AEF7-D8B6766E57CF}" type="sibTrans" cxnId="{DE3B13F3-BCB6-44C5-95EC-3B7263B4CFC0}">
      <dgm:prSet/>
      <dgm:spPr/>
      <dgm:t>
        <a:bodyPr/>
        <a:lstStyle/>
        <a:p>
          <a:endParaRPr lang="en-US"/>
        </a:p>
      </dgm:t>
    </dgm:pt>
    <dgm:pt modelId="{DA123FE7-C040-45E8-9F69-DD433814C25C}">
      <dgm:prSet/>
      <dgm:spPr/>
      <dgm:t>
        <a:bodyPr/>
        <a:lstStyle/>
        <a:p>
          <a:pPr>
            <a:buFont typeface="Symbol" panose="05050102010706020507" pitchFamily="18" charset="2"/>
            <a:buChar char=""/>
          </a:pPr>
          <a:r>
            <a:rPr lang="en-US" b="1" i="1">
              <a:solidFill>
                <a:sysClr val="windowText" lastClr="000000"/>
              </a:solidFill>
              <a:latin typeface="Times New Roman" panose="02020603050405020304" pitchFamily="18" charset="0"/>
              <a:cs typeface="Times New Roman" panose="02020603050405020304" pitchFamily="18" charset="0"/>
            </a:rPr>
            <a:t>Analysis</a:t>
          </a:r>
        </a:p>
      </dgm:t>
    </dgm:pt>
    <dgm:pt modelId="{53F7EBEA-2FBF-413E-8CE7-2CE1B958A229}" type="parTrans" cxnId="{6EE0D88C-6460-474D-99D7-7DE7024A78BE}">
      <dgm:prSet/>
      <dgm:spPr/>
      <dgm:t>
        <a:bodyPr/>
        <a:lstStyle/>
        <a:p>
          <a:endParaRPr lang="en-US"/>
        </a:p>
      </dgm:t>
    </dgm:pt>
    <dgm:pt modelId="{332CA5B5-BE06-4EBF-805E-AA48BF2A3F91}" type="sibTrans" cxnId="{6EE0D88C-6460-474D-99D7-7DE7024A78BE}">
      <dgm:prSet/>
      <dgm:spPr/>
      <dgm:t>
        <a:bodyPr/>
        <a:lstStyle/>
        <a:p>
          <a:endParaRPr lang="en-US"/>
        </a:p>
      </dgm:t>
    </dgm:pt>
    <dgm:pt modelId="{02417350-D728-4FAC-B2D2-0938E6A5888C}">
      <dgm:prSet/>
      <dgm:spPr/>
      <dgm:t>
        <a:bodyPr/>
        <a:lstStyle/>
        <a:p>
          <a:pPr>
            <a:buFont typeface="Symbol" panose="05050102010706020507" pitchFamily="18" charset="2"/>
            <a:buChar char=""/>
          </a:pPr>
          <a:r>
            <a:rPr lang="en-US" b="1" i="1">
              <a:solidFill>
                <a:sysClr val="windowText" lastClr="000000"/>
              </a:solidFill>
              <a:latin typeface="Times New Roman" panose="02020603050405020304" pitchFamily="18" charset="0"/>
              <a:cs typeface="Times New Roman" panose="02020603050405020304" pitchFamily="18" charset="0"/>
            </a:rPr>
            <a:t>Conclusion</a:t>
          </a:r>
        </a:p>
      </dgm:t>
    </dgm:pt>
    <dgm:pt modelId="{F9F83B81-9CF1-44B0-B17B-9CC6EDE8B5E3}" type="parTrans" cxnId="{BED0A62D-E2AA-4686-A352-BFE72B5B5783}">
      <dgm:prSet/>
      <dgm:spPr/>
      <dgm:t>
        <a:bodyPr/>
        <a:lstStyle/>
        <a:p>
          <a:endParaRPr lang="en-US"/>
        </a:p>
      </dgm:t>
    </dgm:pt>
    <dgm:pt modelId="{05542E1E-66E1-4114-8D64-868B09B93BCC}" type="sibTrans" cxnId="{BED0A62D-E2AA-4686-A352-BFE72B5B5783}">
      <dgm:prSet/>
      <dgm:spPr/>
      <dgm:t>
        <a:bodyPr/>
        <a:lstStyle/>
        <a:p>
          <a:endParaRPr lang="en-US"/>
        </a:p>
      </dgm:t>
    </dgm:pt>
    <dgm:pt modelId="{3D168465-55A8-422E-A5D4-7DC50A3CF013}">
      <dgm:prSet/>
      <dgm:spPr/>
      <dgm:t>
        <a:bodyPr/>
        <a:lstStyle/>
        <a:p>
          <a:pPr>
            <a:buFont typeface="Symbol" panose="05050102010706020507" pitchFamily="18" charset="2"/>
            <a:buChar char=""/>
          </a:pPr>
          <a:r>
            <a:rPr lang="en-US" b="1" i="1">
              <a:solidFill>
                <a:sysClr val="windowText" lastClr="000000"/>
              </a:solidFill>
              <a:latin typeface="Times New Roman" panose="02020603050405020304" pitchFamily="18" charset="0"/>
              <a:cs typeface="Times New Roman" panose="02020603050405020304" pitchFamily="18" charset="0"/>
            </a:rPr>
            <a:t>Action Plan</a:t>
          </a:r>
        </a:p>
      </dgm:t>
    </dgm:pt>
    <dgm:pt modelId="{BF2F3CAA-7F84-4B0D-BC93-4D0DB0C3D4FB}" type="parTrans" cxnId="{10D7EF5E-B8B6-4588-A106-853EDFF688BE}">
      <dgm:prSet/>
      <dgm:spPr/>
      <dgm:t>
        <a:bodyPr/>
        <a:lstStyle/>
        <a:p>
          <a:endParaRPr lang="en-US"/>
        </a:p>
      </dgm:t>
    </dgm:pt>
    <dgm:pt modelId="{BB84A46E-9F6E-4E08-B604-59A02845C7C1}" type="sibTrans" cxnId="{10D7EF5E-B8B6-4588-A106-853EDFF688BE}">
      <dgm:prSet/>
      <dgm:spPr/>
      <dgm:t>
        <a:bodyPr/>
        <a:lstStyle/>
        <a:p>
          <a:endParaRPr lang="en-US"/>
        </a:p>
      </dgm:t>
    </dgm:pt>
    <dgm:pt modelId="{E7BB6188-8F37-4629-89AD-FCD21A7B5883}" type="pres">
      <dgm:prSet presAssocID="{6232F42E-6212-44E1-8CFF-6D08C7A0A804}" presName="cycle" presStyleCnt="0">
        <dgm:presLayoutVars>
          <dgm:chMax val="1"/>
          <dgm:dir/>
          <dgm:animLvl val="ctr"/>
          <dgm:resizeHandles val="exact"/>
        </dgm:presLayoutVars>
      </dgm:prSet>
      <dgm:spPr/>
    </dgm:pt>
    <dgm:pt modelId="{677EE358-9EA4-401D-8387-0669176F5872}" type="pres">
      <dgm:prSet presAssocID="{0C9418CB-FC30-4D13-A5BC-7034907953D6}" presName="centerShape" presStyleLbl="node0" presStyleIdx="0" presStyleCnt="1"/>
      <dgm:spPr/>
    </dgm:pt>
    <dgm:pt modelId="{72AF0E6A-5481-41C0-9310-11E2D097F354}" type="pres">
      <dgm:prSet presAssocID="{08017289-33D4-4523-8D6E-04A684B56D79}" presName="parTrans" presStyleLbl="bgSibTrans2D1" presStyleIdx="0" presStyleCnt="6"/>
      <dgm:spPr/>
    </dgm:pt>
    <dgm:pt modelId="{25426E40-67A5-44B4-8469-1D528AE8CFD5}" type="pres">
      <dgm:prSet presAssocID="{BB856E09-8F32-414B-B4ED-9C0F35D6AA97}" presName="node" presStyleLbl="node1" presStyleIdx="0" presStyleCnt="6">
        <dgm:presLayoutVars>
          <dgm:bulletEnabled val="1"/>
        </dgm:presLayoutVars>
      </dgm:prSet>
      <dgm:spPr/>
    </dgm:pt>
    <dgm:pt modelId="{622E62B2-5CC0-410C-84A4-E11EB69240AA}" type="pres">
      <dgm:prSet presAssocID="{74B47469-E760-42DF-A4FD-497207C15603}" presName="parTrans" presStyleLbl="bgSibTrans2D1" presStyleIdx="1" presStyleCnt="6"/>
      <dgm:spPr/>
    </dgm:pt>
    <dgm:pt modelId="{BBC34423-D5E3-470C-9667-77A04324135E}" type="pres">
      <dgm:prSet presAssocID="{F21CD6D6-2CAA-4685-BE44-296784B97AEC}" presName="node" presStyleLbl="node1" presStyleIdx="1" presStyleCnt="6">
        <dgm:presLayoutVars>
          <dgm:bulletEnabled val="1"/>
        </dgm:presLayoutVars>
      </dgm:prSet>
      <dgm:spPr/>
    </dgm:pt>
    <dgm:pt modelId="{F108029C-B631-40E7-885F-CAA514987593}" type="pres">
      <dgm:prSet presAssocID="{6E0390FC-8B67-4DC2-A69E-B264139A77AB}" presName="parTrans" presStyleLbl="bgSibTrans2D1" presStyleIdx="2" presStyleCnt="6"/>
      <dgm:spPr/>
    </dgm:pt>
    <dgm:pt modelId="{E9BBCF10-E589-4CB6-AD35-4054A9152846}" type="pres">
      <dgm:prSet presAssocID="{82794DDB-EB22-4258-BDDB-CD600D8FE602}" presName="node" presStyleLbl="node1" presStyleIdx="2" presStyleCnt="6">
        <dgm:presLayoutVars>
          <dgm:bulletEnabled val="1"/>
        </dgm:presLayoutVars>
      </dgm:prSet>
      <dgm:spPr/>
    </dgm:pt>
    <dgm:pt modelId="{AE4199A6-F3E5-40D2-B071-7E1039FAB7D7}" type="pres">
      <dgm:prSet presAssocID="{53F7EBEA-2FBF-413E-8CE7-2CE1B958A229}" presName="parTrans" presStyleLbl="bgSibTrans2D1" presStyleIdx="3" presStyleCnt="6"/>
      <dgm:spPr/>
    </dgm:pt>
    <dgm:pt modelId="{72F40848-5161-410D-8ACA-FD77A41E8AC7}" type="pres">
      <dgm:prSet presAssocID="{DA123FE7-C040-45E8-9F69-DD433814C25C}" presName="node" presStyleLbl="node1" presStyleIdx="3" presStyleCnt="6">
        <dgm:presLayoutVars>
          <dgm:bulletEnabled val="1"/>
        </dgm:presLayoutVars>
      </dgm:prSet>
      <dgm:spPr/>
    </dgm:pt>
    <dgm:pt modelId="{ED0B43BA-A9C7-4E06-8392-05CAB3BBAC0D}" type="pres">
      <dgm:prSet presAssocID="{F9F83B81-9CF1-44B0-B17B-9CC6EDE8B5E3}" presName="parTrans" presStyleLbl="bgSibTrans2D1" presStyleIdx="4" presStyleCnt="6"/>
      <dgm:spPr/>
    </dgm:pt>
    <dgm:pt modelId="{175E26B3-3757-4CF1-85C7-B3896049BC8A}" type="pres">
      <dgm:prSet presAssocID="{02417350-D728-4FAC-B2D2-0938E6A5888C}" presName="node" presStyleLbl="node1" presStyleIdx="4" presStyleCnt="6">
        <dgm:presLayoutVars>
          <dgm:bulletEnabled val="1"/>
        </dgm:presLayoutVars>
      </dgm:prSet>
      <dgm:spPr/>
    </dgm:pt>
    <dgm:pt modelId="{5FC3B0A2-096A-4896-84AC-F0ED26DBABDD}" type="pres">
      <dgm:prSet presAssocID="{BF2F3CAA-7F84-4B0D-BC93-4D0DB0C3D4FB}" presName="parTrans" presStyleLbl="bgSibTrans2D1" presStyleIdx="5" presStyleCnt="6"/>
      <dgm:spPr/>
    </dgm:pt>
    <dgm:pt modelId="{E9FBD21B-5D08-4BCC-B7BF-E14FF9DB4C2E}" type="pres">
      <dgm:prSet presAssocID="{3D168465-55A8-422E-A5D4-7DC50A3CF013}" presName="node" presStyleLbl="node1" presStyleIdx="5" presStyleCnt="6">
        <dgm:presLayoutVars>
          <dgm:bulletEnabled val="1"/>
        </dgm:presLayoutVars>
      </dgm:prSet>
      <dgm:spPr/>
    </dgm:pt>
  </dgm:ptLst>
  <dgm:cxnLst>
    <dgm:cxn modelId="{43905513-9D46-4C95-9B28-A4EF1767EF00}" type="presOf" srcId="{BB856E09-8F32-414B-B4ED-9C0F35D6AA97}" destId="{25426E40-67A5-44B4-8469-1D528AE8CFD5}" srcOrd="0" destOrd="0" presId="urn:microsoft.com/office/officeart/2005/8/layout/radial4"/>
    <dgm:cxn modelId="{388A4714-B3FC-4FDF-A220-DD7EDA92C13A}" srcId="{6232F42E-6212-44E1-8CFF-6D08C7A0A804}" destId="{1B005D9E-8020-4552-AA31-92D4F75787D5}" srcOrd="1" destOrd="0" parTransId="{EE974686-6658-4488-B09B-574D646162BF}" sibTransId="{64313E0A-3605-4E75-823C-278F7A47BC56}"/>
    <dgm:cxn modelId="{8306681C-88F2-4CAB-9961-C660E2970D42}" srcId="{0C9418CB-FC30-4D13-A5BC-7034907953D6}" destId="{BB856E09-8F32-414B-B4ED-9C0F35D6AA97}" srcOrd="0" destOrd="0" parTransId="{08017289-33D4-4523-8D6E-04A684B56D79}" sibTransId="{40B994FE-43C5-4487-AD3E-F31E55B69216}"/>
    <dgm:cxn modelId="{BED0A62D-E2AA-4686-A352-BFE72B5B5783}" srcId="{0C9418CB-FC30-4D13-A5BC-7034907953D6}" destId="{02417350-D728-4FAC-B2D2-0938E6A5888C}" srcOrd="4" destOrd="0" parTransId="{F9F83B81-9CF1-44B0-B17B-9CC6EDE8B5E3}" sibTransId="{05542E1E-66E1-4114-8D64-868B09B93BCC}"/>
    <dgm:cxn modelId="{10D7EF5E-B8B6-4588-A106-853EDFF688BE}" srcId="{0C9418CB-FC30-4D13-A5BC-7034907953D6}" destId="{3D168465-55A8-422E-A5D4-7DC50A3CF013}" srcOrd="5" destOrd="0" parTransId="{BF2F3CAA-7F84-4B0D-BC93-4D0DB0C3D4FB}" sibTransId="{BB84A46E-9F6E-4E08-B604-59A02845C7C1}"/>
    <dgm:cxn modelId="{E6301365-A143-4AA1-9334-D3C57ABB8CE6}" type="presOf" srcId="{BF2F3CAA-7F84-4B0D-BC93-4D0DB0C3D4FB}" destId="{5FC3B0A2-096A-4896-84AC-F0ED26DBABDD}" srcOrd="0" destOrd="0" presId="urn:microsoft.com/office/officeart/2005/8/layout/radial4"/>
    <dgm:cxn modelId="{50EEFB51-36DE-4EEA-AC3F-0DFCAE2CBCEC}" type="presOf" srcId="{0C9418CB-FC30-4D13-A5BC-7034907953D6}" destId="{677EE358-9EA4-401D-8387-0669176F5872}" srcOrd="0" destOrd="0" presId="urn:microsoft.com/office/officeart/2005/8/layout/radial4"/>
    <dgm:cxn modelId="{6AA69B7D-55F8-4B52-9283-4924E6C836B5}" type="presOf" srcId="{F9F83B81-9CF1-44B0-B17B-9CC6EDE8B5E3}" destId="{ED0B43BA-A9C7-4E06-8392-05CAB3BBAC0D}" srcOrd="0" destOrd="0" presId="urn:microsoft.com/office/officeart/2005/8/layout/radial4"/>
    <dgm:cxn modelId="{33576582-422A-4C9D-8845-A9EA569EA243}" type="presOf" srcId="{53F7EBEA-2FBF-413E-8CE7-2CE1B958A229}" destId="{AE4199A6-F3E5-40D2-B071-7E1039FAB7D7}" srcOrd="0" destOrd="0" presId="urn:microsoft.com/office/officeart/2005/8/layout/radial4"/>
    <dgm:cxn modelId="{B778AB8C-30B3-45A9-B0E5-D142BCEB0B9F}" type="presOf" srcId="{6232F42E-6212-44E1-8CFF-6D08C7A0A804}" destId="{E7BB6188-8F37-4629-89AD-FCD21A7B5883}" srcOrd="0" destOrd="0" presId="urn:microsoft.com/office/officeart/2005/8/layout/radial4"/>
    <dgm:cxn modelId="{6EE0D88C-6460-474D-99D7-7DE7024A78BE}" srcId="{0C9418CB-FC30-4D13-A5BC-7034907953D6}" destId="{DA123FE7-C040-45E8-9F69-DD433814C25C}" srcOrd="3" destOrd="0" parTransId="{53F7EBEA-2FBF-413E-8CE7-2CE1B958A229}" sibTransId="{332CA5B5-BE06-4EBF-805E-AA48BF2A3F91}"/>
    <dgm:cxn modelId="{37146EA6-3860-4A2B-B55D-DCDCC3ECD482}" type="presOf" srcId="{3D168465-55A8-422E-A5D4-7DC50A3CF013}" destId="{E9FBD21B-5D08-4BCC-B7BF-E14FF9DB4C2E}" srcOrd="0" destOrd="0" presId="urn:microsoft.com/office/officeart/2005/8/layout/radial4"/>
    <dgm:cxn modelId="{00795EAD-20AD-47D6-95DF-BA81324FD32B}" type="presOf" srcId="{F21CD6D6-2CAA-4685-BE44-296784B97AEC}" destId="{BBC34423-D5E3-470C-9667-77A04324135E}" srcOrd="0" destOrd="0" presId="urn:microsoft.com/office/officeart/2005/8/layout/radial4"/>
    <dgm:cxn modelId="{EC2730B3-A52C-4582-9A57-BEBC0107C990}" type="presOf" srcId="{02417350-D728-4FAC-B2D2-0938E6A5888C}" destId="{175E26B3-3757-4CF1-85C7-B3896049BC8A}" srcOrd="0" destOrd="0" presId="urn:microsoft.com/office/officeart/2005/8/layout/radial4"/>
    <dgm:cxn modelId="{E68E44B8-7F3B-4D90-8CFC-5CC6B0A511AF}" type="presOf" srcId="{82794DDB-EB22-4258-BDDB-CD600D8FE602}" destId="{E9BBCF10-E589-4CB6-AD35-4054A9152846}" srcOrd="0" destOrd="0" presId="urn:microsoft.com/office/officeart/2005/8/layout/radial4"/>
    <dgm:cxn modelId="{D68CF3BB-3B13-4F1A-93B2-A354D69D2F4E}" type="presOf" srcId="{08017289-33D4-4523-8D6E-04A684B56D79}" destId="{72AF0E6A-5481-41C0-9310-11E2D097F354}" srcOrd="0" destOrd="0" presId="urn:microsoft.com/office/officeart/2005/8/layout/radial4"/>
    <dgm:cxn modelId="{4DD680BE-DE03-442E-99D2-8AE55D6B498D}" srcId="{6232F42E-6212-44E1-8CFF-6D08C7A0A804}" destId="{0C9418CB-FC30-4D13-A5BC-7034907953D6}" srcOrd="0" destOrd="0" parTransId="{DFB06852-3874-463F-9F9A-1B5C21E3FD42}" sibTransId="{402E68AA-0741-4D9A-A8CE-F8D26CAAD8C6}"/>
    <dgm:cxn modelId="{23DB39C8-94A8-49F1-95AB-6B5F3CC807D7}" type="presOf" srcId="{6E0390FC-8B67-4DC2-A69E-B264139A77AB}" destId="{F108029C-B631-40E7-885F-CAA514987593}" srcOrd="0" destOrd="0" presId="urn:microsoft.com/office/officeart/2005/8/layout/radial4"/>
    <dgm:cxn modelId="{AC12D7CE-8DD2-452A-B2A2-9C775F6E49FB}" type="presOf" srcId="{DA123FE7-C040-45E8-9F69-DD433814C25C}" destId="{72F40848-5161-410D-8ACA-FD77A41E8AC7}" srcOrd="0" destOrd="0" presId="urn:microsoft.com/office/officeart/2005/8/layout/radial4"/>
    <dgm:cxn modelId="{5755C7ED-FB8F-4778-B3B7-FA794A8FCAD4}" srcId="{0C9418CB-FC30-4D13-A5BC-7034907953D6}" destId="{F21CD6D6-2CAA-4685-BE44-296784B97AEC}" srcOrd="1" destOrd="0" parTransId="{74B47469-E760-42DF-A4FD-497207C15603}" sibTransId="{AEDD44B0-C140-440C-8BAF-C5A20C0312A1}"/>
    <dgm:cxn modelId="{DE3B13F3-BCB6-44C5-95EC-3B7263B4CFC0}" srcId="{0C9418CB-FC30-4D13-A5BC-7034907953D6}" destId="{82794DDB-EB22-4258-BDDB-CD600D8FE602}" srcOrd="2" destOrd="0" parTransId="{6E0390FC-8B67-4DC2-A69E-B264139A77AB}" sibTransId="{EAB806CF-3C9D-4D70-AEF7-D8B6766E57CF}"/>
    <dgm:cxn modelId="{6082E3FE-55F6-46EB-8959-B775851A85A5}" type="presOf" srcId="{74B47469-E760-42DF-A4FD-497207C15603}" destId="{622E62B2-5CC0-410C-84A4-E11EB69240AA}" srcOrd="0" destOrd="0" presId="urn:microsoft.com/office/officeart/2005/8/layout/radial4"/>
    <dgm:cxn modelId="{8A8589B2-3320-4BD2-AE3B-0C6980D9C8B2}" type="presParOf" srcId="{E7BB6188-8F37-4629-89AD-FCD21A7B5883}" destId="{677EE358-9EA4-401D-8387-0669176F5872}" srcOrd="0" destOrd="0" presId="urn:microsoft.com/office/officeart/2005/8/layout/radial4"/>
    <dgm:cxn modelId="{9632E85A-4B41-4325-9E2D-DD3DC3F74D96}" type="presParOf" srcId="{E7BB6188-8F37-4629-89AD-FCD21A7B5883}" destId="{72AF0E6A-5481-41C0-9310-11E2D097F354}" srcOrd="1" destOrd="0" presId="urn:microsoft.com/office/officeart/2005/8/layout/radial4"/>
    <dgm:cxn modelId="{88243C5F-181E-428E-AFB1-E664BEEE67B5}" type="presParOf" srcId="{E7BB6188-8F37-4629-89AD-FCD21A7B5883}" destId="{25426E40-67A5-44B4-8469-1D528AE8CFD5}" srcOrd="2" destOrd="0" presId="urn:microsoft.com/office/officeart/2005/8/layout/radial4"/>
    <dgm:cxn modelId="{C1B5B235-C0BB-4911-A4A9-864C5D16BFE4}" type="presParOf" srcId="{E7BB6188-8F37-4629-89AD-FCD21A7B5883}" destId="{622E62B2-5CC0-410C-84A4-E11EB69240AA}" srcOrd="3" destOrd="0" presId="urn:microsoft.com/office/officeart/2005/8/layout/radial4"/>
    <dgm:cxn modelId="{7224C798-252C-4446-8B18-9374E1C96636}" type="presParOf" srcId="{E7BB6188-8F37-4629-89AD-FCD21A7B5883}" destId="{BBC34423-D5E3-470C-9667-77A04324135E}" srcOrd="4" destOrd="0" presId="urn:microsoft.com/office/officeart/2005/8/layout/radial4"/>
    <dgm:cxn modelId="{C6BE9787-5687-4FC4-919E-37AFEAA1EBB0}" type="presParOf" srcId="{E7BB6188-8F37-4629-89AD-FCD21A7B5883}" destId="{F108029C-B631-40E7-885F-CAA514987593}" srcOrd="5" destOrd="0" presId="urn:microsoft.com/office/officeart/2005/8/layout/radial4"/>
    <dgm:cxn modelId="{B909CA65-71DE-4ACB-92E8-29250BAE1074}" type="presParOf" srcId="{E7BB6188-8F37-4629-89AD-FCD21A7B5883}" destId="{E9BBCF10-E589-4CB6-AD35-4054A9152846}" srcOrd="6" destOrd="0" presId="urn:microsoft.com/office/officeart/2005/8/layout/radial4"/>
    <dgm:cxn modelId="{27737345-2BD9-4A54-8461-C853CC167527}" type="presParOf" srcId="{E7BB6188-8F37-4629-89AD-FCD21A7B5883}" destId="{AE4199A6-F3E5-40D2-B071-7E1039FAB7D7}" srcOrd="7" destOrd="0" presId="urn:microsoft.com/office/officeart/2005/8/layout/radial4"/>
    <dgm:cxn modelId="{47A13189-5057-410B-830D-2617510B2BC6}" type="presParOf" srcId="{E7BB6188-8F37-4629-89AD-FCD21A7B5883}" destId="{72F40848-5161-410D-8ACA-FD77A41E8AC7}" srcOrd="8" destOrd="0" presId="urn:microsoft.com/office/officeart/2005/8/layout/radial4"/>
    <dgm:cxn modelId="{313A5AE9-8468-4A9B-8E4F-3E4A3A18B011}" type="presParOf" srcId="{E7BB6188-8F37-4629-89AD-FCD21A7B5883}" destId="{ED0B43BA-A9C7-4E06-8392-05CAB3BBAC0D}" srcOrd="9" destOrd="0" presId="urn:microsoft.com/office/officeart/2005/8/layout/radial4"/>
    <dgm:cxn modelId="{63793644-DAD0-4086-8492-E9DB4B1EADB4}" type="presParOf" srcId="{E7BB6188-8F37-4629-89AD-FCD21A7B5883}" destId="{175E26B3-3757-4CF1-85C7-B3896049BC8A}" srcOrd="10" destOrd="0" presId="urn:microsoft.com/office/officeart/2005/8/layout/radial4"/>
    <dgm:cxn modelId="{E73AE369-30BE-4AB9-A74B-3552D5C6A1A1}" type="presParOf" srcId="{E7BB6188-8F37-4629-89AD-FCD21A7B5883}" destId="{5FC3B0A2-096A-4896-84AC-F0ED26DBABDD}" srcOrd="11" destOrd="0" presId="urn:microsoft.com/office/officeart/2005/8/layout/radial4"/>
    <dgm:cxn modelId="{5C85820D-39D8-436E-AFDE-3BD37F53AB37}" type="presParOf" srcId="{E7BB6188-8F37-4629-89AD-FCD21A7B5883}" destId="{E9FBD21B-5D08-4BCC-B7BF-E14FF9DB4C2E}" srcOrd="12" destOrd="0" presId="urn:microsoft.com/office/officeart/2005/8/layout/radial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7EE358-9EA4-401D-8387-0669176F5872}">
      <dsp:nvSpPr>
        <dsp:cNvPr id="0" name=""/>
        <dsp:cNvSpPr/>
      </dsp:nvSpPr>
      <dsp:spPr>
        <a:xfrm>
          <a:off x="2022788" y="1758953"/>
          <a:ext cx="1440822" cy="1440822"/>
        </a:xfrm>
        <a:prstGeom prst="ellipse">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US" sz="1800" b="1" i="0" kern="1200">
              <a:solidFill>
                <a:srgbClr val="960000"/>
              </a:solidFill>
              <a:latin typeface="Times New Roman" panose="02020603050405020304" pitchFamily="18" charset="0"/>
              <a:cs typeface="Times New Roman" panose="02020603050405020304" pitchFamily="18" charset="0"/>
            </a:rPr>
            <a:t>Gibbs Reflective Cycle</a:t>
          </a:r>
        </a:p>
      </dsp:txBody>
      <dsp:txXfrm>
        <a:off x="2233791" y="1969956"/>
        <a:ext cx="1018816" cy="1018816"/>
      </dsp:txXfrm>
    </dsp:sp>
    <dsp:sp modelId="{72AF0E6A-5481-41C0-9310-11E2D097F354}">
      <dsp:nvSpPr>
        <dsp:cNvPr id="0" name=""/>
        <dsp:cNvSpPr/>
      </dsp:nvSpPr>
      <dsp:spPr>
        <a:xfrm rot="10800000">
          <a:off x="561089" y="2274047"/>
          <a:ext cx="1381305" cy="410634"/>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5426E40-67A5-44B4-8469-1D528AE8CFD5}">
      <dsp:nvSpPr>
        <dsp:cNvPr id="0" name=""/>
        <dsp:cNvSpPr/>
      </dsp:nvSpPr>
      <dsp:spPr>
        <a:xfrm>
          <a:off x="56801" y="2075934"/>
          <a:ext cx="1008576" cy="806860"/>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US" sz="1400" b="1" i="1" kern="1200">
              <a:solidFill>
                <a:sysClr val="windowText" lastClr="000000"/>
              </a:solidFill>
              <a:latin typeface="Times New Roman" panose="02020603050405020304" pitchFamily="18" charset="0"/>
              <a:cs typeface="Times New Roman" panose="02020603050405020304" pitchFamily="18" charset="0"/>
            </a:rPr>
            <a:t>Description</a:t>
          </a:r>
        </a:p>
      </dsp:txBody>
      <dsp:txXfrm>
        <a:off x="80433" y="2099566"/>
        <a:ext cx="961312" cy="759596"/>
      </dsp:txXfrm>
    </dsp:sp>
    <dsp:sp modelId="{622E62B2-5CC0-410C-84A4-E11EB69240AA}">
      <dsp:nvSpPr>
        <dsp:cNvPr id="0" name=""/>
        <dsp:cNvSpPr/>
      </dsp:nvSpPr>
      <dsp:spPr>
        <a:xfrm rot="12960000">
          <a:off x="845932" y="1397390"/>
          <a:ext cx="1381305" cy="410634"/>
        </a:xfrm>
        <a:prstGeom prst="lef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BBC34423-D5E3-470C-9667-77A04324135E}">
      <dsp:nvSpPr>
        <dsp:cNvPr id="0" name=""/>
        <dsp:cNvSpPr/>
      </dsp:nvSpPr>
      <dsp:spPr>
        <a:xfrm>
          <a:off x="473547" y="793321"/>
          <a:ext cx="1008576" cy="806860"/>
        </a:xfrm>
        <a:prstGeom prst="roundRect">
          <a:avLst>
            <a:gd name="adj" fmla="val 1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US" sz="1400" b="1" i="1" kern="1200">
              <a:solidFill>
                <a:sysClr val="windowText" lastClr="000000"/>
              </a:solidFill>
              <a:latin typeface="Times New Roman" panose="02020603050405020304" pitchFamily="18" charset="0"/>
              <a:cs typeface="Times New Roman" panose="02020603050405020304" pitchFamily="18" charset="0"/>
            </a:rPr>
            <a:t>Feelings</a:t>
          </a:r>
        </a:p>
      </dsp:txBody>
      <dsp:txXfrm>
        <a:off x="497179" y="816953"/>
        <a:ext cx="961312" cy="759596"/>
      </dsp:txXfrm>
    </dsp:sp>
    <dsp:sp modelId="{F108029C-B631-40E7-885F-CAA514987593}">
      <dsp:nvSpPr>
        <dsp:cNvPr id="0" name=""/>
        <dsp:cNvSpPr/>
      </dsp:nvSpPr>
      <dsp:spPr>
        <a:xfrm rot="15120000">
          <a:off x="1591661" y="855586"/>
          <a:ext cx="1381305" cy="410634"/>
        </a:xfrm>
        <a:prstGeom prst="lef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E9BBCF10-E589-4CB6-AD35-4054A9152846}">
      <dsp:nvSpPr>
        <dsp:cNvPr id="0" name=""/>
        <dsp:cNvSpPr/>
      </dsp:nvSpPr>
      <dsp:spPr>
        <a:xfrm>
          <a:off x="1564602" y="623"/>
          <a:ext cx="1008576" cy="806860"/>
        </a:xfrm>
        <a:prstGeom prst="roundRect">
          <a:avLst>
            <a:gd name="adj" fmla="val 1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US" sz="1400" b="1" i="1" kern="1200">
              <a:solidFill>
                <a:sysClr val="windowText" lastClr="000000"/>
              </a:solidFill>
              <a:latin typeface="Times New Roman" panose="02020603050405020304" pitchFamily="18" charset="0"/>
              <a:cs typeface="Times New Roman" panose="02020603050405020304" pitchFamily="18" charset="0"/>
            </a:rPr>
            <a:t>Evaluation</a:t>
          </a:r>
        </a:p>
      </dsp:txBody>
      <dsp:txXfrm>
        <a:off x="1588234" y="24255"/>
        <a:ext cx="961312" cy="759596"/>
      </dsp:txXfrm>
    </dsp:sp>
    <dsp:sp modelId="{AE4199A6-F3E5-40D2-B071-7E1039FAB7D7}">
      <dsp:nvSpPr>
        <dsp:cNvPr id="0" name=""/>
        <dsp:cNvSpPr/>
      </dsp:nvSpPr>
      <dsp:spPr>
        <a:xfrm rot="17280000">
          <a:off x="2513432" y="855586"/>
          <a:ext cx="1381305" cy="410634"/>
        </a:xfrm>
        <a:prstGeom prst="leftArrow">
          <a:avLst>
            <a:gd name="adj1" fmla="val 60000"/>
            <a:gd name="adj2" fmla="val 5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72F40848-5161-410D-8ACA-FD77A41E8AC7}">
      <dsp:nvSpPr>
        <dsp:cNvPr id="0" name=""/>
        <dsp:cNvSpPr/>
      </dsp:nvSpPr>
      <dsp:spPr>
        <a:xfrm>
          <a:off x="2913221" y="623"/>
          <a:ext cx="1008576" cy="806860"/>
        </a:xfrm>
        <a:prstGeom prst="roundRect">
          <a:avLst>
            <a:gd name="adj" fmla="val 10000"/>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US" sz="1400" b="1" i="1" kern="1200">
              <a:solidFill>
                <a:sysClr val="windowText" lastClr="000000"/>
              </a:solidFill>
              <a:latin typeface="Times New Roman" panose="02020603050405020304" pitchFamily="18" charset="0"/>
              <a:cs typeface="Times New Roman" panose="02020603050405020304" pitchFamily="18" charset="0"/>
            </a:rPr>
            <a:t>Analysis</a:t>
          </a:r>
        </a:p>
      </dsp:txBody>
      <dsp:txXfrm>
        <a:off x="2936853" y="24255"/>
        <a:ext cx="961312" cy="759596"/>
      </dsp:txXfrm>
    </dsp:sp>
    <dsp:sp modelId="{ED0B43BA-A9C7-4E06-8392-05CAB3BBAC0D}">
      <dsp:nvSpPr>
        <dsp:cNvPr id="0" name=""/>
        <dsp:cNvSpPr/>
      </dsp:nvSpPr>
      <dsp:spPr>
        <a:xfrm rot="19440000">
          <a:off x="3259161" y="1397390"/>
          <a:ext cx="1381305" cy="410634"/>
        </a:xfrm>
        <a:prstGeom prst="leftArrow">
          <a:avLst>
            <a:gd name="adj1" fmla="val 60000"/>
            <a:gd name="adj2" fmla="val 5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75E26B3-3757-4CF1-85C7-B3896049BC8A}">
      <dsp:nvSpPr>
        <dsp:cNvPr id="0" name=""/>
        <dsp:cNvSpPr/>
      </dsp:nvSpPr>
      <dsp:spPr>
        <a:xfrm>
          <a:off x="4004276" y="793321"/>
          <a:ext cx="1008576" cy="806860"/>
        </a:xfrm>
        <a:prstGeom prst="roundRect">
          <a:avLst>
            <a:gd name="adj" fmla="val 10000"/>
          </a:avLst>
        </a:prstGeom>
        <a:solidFill>
          <a:schemeClr val="accent6">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US" sz="1400" b="1" i="1" kern="1200">
              <a:solidFill>
                <a:sysClr val="windowText" lastClr="000000"/>
              </a:solidFill>
              <a:latin typeface="Times New Roman" panose="02020603050405020304" pitchFamily="18" charset="0"/>
              <a:cs typeface="Times New Roman" panose="02020603050405020304" pitchFamily="18" charset="0"/>
            </a:rPr>
            <a:t>Conclusion</a:t>
          </a:r>
        </a:p>
      </dsp:txBody>
      <dsp:txXfrm>
        <a:off x="4027908" y="816953"/>
        <a:ext cx="961312" cy="759596"/>
      </dsp:txXfrm>
    </dsp:sp>
    <dsp:sp modelId="{5FC3B0A2-096A-4896-84AC-F0ED26DBABDD}">
      <dsp:nvSpPr>
        <dsp:cNvPr id="0" name=""/>
        <dsp:cNvSpPr/>
      </dsp:nvSpPr>
      <dsp:spPr>
        <a:xfrm>
          <a:off x="3544004" y="2274047"/>
          <a:ext cx="1381305" cy="410634"/>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E9FBD21B-5D08-4BCC-B7BF-E14FF9DB4C2E}">
      <dsp:nvSpPr>
        <dsp:cNvPr id="0" name=""/>
        <dsp:cNvSpPr/>
      </dsp:nvSpPr>
      <dsp:spPr>
        <a:xfrm>
          <a:off x="4421022" y="2075934"/>
          <a:ext cx="1008576" cy="806860"/>
        </a:xfrm>
        <a:prstGeom prst="roundRect">
          <a:avLst>
            <a:gd name="adj" fmla="val 1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Font typeface="Symbol" panose="05050102010706020507" pitchFamily="18" charset="2"/>
            <a:buNone/>
          </a:pPr>
          <a:r>
            <a:rPr lang="en-US" sz="1400" b="1" i="1" kern="1200">
              <a:solidFill>
                <a:sysClr val="windowText" lastClr="000000"/>
              </a:solidFill>
              <a:latin typeface="Times New Roman" panose="02020603050405020304" pitchFamily="18" charset="0"/>
              <a:cs typeface="Times New Roman" panose="02020603050405020304" pitchFamily="18" charset="0"/>
            </a:rPr>
            <a:t>Action Plan</a:t>
          </a:r>
        </a:p>
      </dsp:txBody>
      <dsp:txXfrm>
        <a:off x="4444654" y="2099566"/>
        <a:ext cx="961312" cy="759596"/>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4E6B8-8B83-4C4C-BCBC-005C5BC73A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3565</Words>
  <Characters>20327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Nabi Box</cp:lastModifiedBy>
  <cp:revision>4</cp:revision>
  <dcterms:created xsi:type="dcterms:W3CDTF">2026-02-13T16:42:00Z</dcterms:created>
  <dcterms:modified xsi:type="dcterms:W3CDTF">2026-02-18T11:55:00Z</dcterms:modified>
</cp:coreProperties>
</file>