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8CAA32" w14:textId="77777777" w:rsidR="00D1242F" w:rsidRDefault="00D1242F"/>
    <w:p w14:paraId="49BF0AEB" w14:textId="383C2EC3" w:rsidR="003711B3" w:rsidRPr="003711B3" w:rsidRDefault="003711B3" w:rsidP="003711B3">
      <w:pPr>
        <w:jc w:val="center"/>
        <w:rPr>
          <w:rFonts w:ascii="Times New Roman" w:hAnsi="Times New Roman" w:cs="Times New Roman"/>
          <w:sz w:val="28"/>
          <w:szCs w:val="28"/>
        </w:rPr>
      </w:pPr>
      <w:proofErr w:type="spellStart"/>
      <w:r w:rsidRPr="003711B3">
        <w:rPr>
          <w:rFonts w:ascii="Times New Roman" w:hAnsi="Times New Roman" w:cs="Times New Roman"/>
          <w:sz w:val="28"/>
          <w:szCs w:val="28"/>
        </w:rPr>
        <w:t>Nurshen</w:t>
      </w:r>
      <w:proofErr w:type="spellEnd"/>
      <w:r w:rsidRPr="003711B3">
        <w:rPr>
          <w:rFonts w:ascii="Times New Roman" w:hAnsi="Times New Roman" w:cs="Times New Roman"/>
          <w:sz w:val="28"/>
          <w:szCs w:val="28"/>
        </w:rPr>
        <w:t xml:space="preserve"> </w:t>
      </w:r>
      <w:proofErr w:type="spellStart"/>
      <w:r w:rsidRPr="003711B3">
        <w:rPr>
          <w:rFonts w:ascii="Times New Roman" w:hAnsi="Times New Roman" w:cs="Times New Roman"/>
          <w:sz w:val="28"/>
          <w:szCs w:val="28"/>
        </w:rPr>
        <w:t>Ackapinar</w:t>
      </w:r>
      <w:proofErr w:type="spellEnd"/>
      <w:r w:rsidRPr="003711B3">
        <w:rPr>
          <w:rFonts w:ascii="Times New Roman" w:hAnsi="Times New Roman" w:cs="Times New Roman"/>
          <w:sz w:val="28"/>
          <w:szCs w:val="28"/>
        </w:rPr>
        <w:t xml:space="preserve"> </w:t>
      </w:r>
    </w:p>
    <w:p w14:paraId="1C5AAF07" w14:textId="57D2A89C" w:rsidR="003711B3" w:rsidRPr="003711B3" w:rsidRDefault="003711B3" w:rsidP="003711B3">
      <w:pPr>
        <w:jc w:val="center"/>
        <w:rPr>
          <w:rFonts w:ascii="Times New Roman" w:hAnsi="Times New Roman" w:cs="Times New Roman"/>
          <w:sz w:val="28"/>
          <w:szCs w:val="28"/>
        </w:rPr>
      </w:pPr>
      <w:r w:rsidRPr="003711B3">
        <w:rPr>
          <w:rFonts w:ascii="Times New Roman" w:hAnsi="Times New Roman" w:cs="Times New Roman"/>
          <w:sz w:val="28"/>
          <w:szCs w:val="28"/>
        </w:rPr>
        <w:t xml:space="preserve">Writing for university </w:t>
      </w:r>
    </w:p>
    <w:p w14:paraId="2ED6F946" w14:textId="4CDDB009" w:rsidR="003711B3" w:rsidRPr="003711B3" w:rsidRDefault="003711B3" w:rsidP="003711B3">
      <w:pPr>
        <w:jc w:val="center"/>
        <w:rPr>
          <w:rFonts w:ascii="Times New Roman" w:hAnsi="Times New Roman" w:cs="Times New Roman"/>
          <w:sz w:val="28"/>
          <w:szCs w:val="28"/>
        </w:rPr>
      </w:pPr>
      <w:r w:rsidRPr="003711B3">
        <w:rPr>
          <w:rFonts w:ascii="Times New Roman" w:hAnsi="Times New Roman" w:cs="Times New Roman"/>
          <w:sz w:val="28"/>
          <w:szCs w:val="28"/>
        </w:rPr>
        <w:t xml:space="preserve">Task 1 </w:t>
      </w:r>
    </w:p>
    <w:p w14:paraId="60F2CD85" w14:textId="77777777" w:rsidR="003711B3" w:rsidRDefault="003711B3" w:rsidP="003711B3">
      <w:pPr>
        <w:jc w:val="center"/>
      </w:pPr>
    </w:p>
    <w:p w14:paraId="2BF9EFE7" w14:textId="77777777" w:rsidR="003711B3" w:rsidRDefault="003711B3" w:rsidP="003711B3">
      <w:pPr>
        <w:jc w:val="center"/>
      </w:pPr>
    </w:p>
    <w:p w14:paraId="6529417E" w14:textId="71FD3433" w:rsidR="003711B3" w:rsidRPr="003711B3" w:rsidRDefault="003711B3" w:rsidP="003711B3">
      <w:pPr>
        <w:jc w:val="center"/>
        <w:rPr>
          <w:rFonts w:ascii="Times New Roman" w:hAnsi="Times New Roman" w:cs="Times New Roman"/>
        </w:rPr>
      </w:pPr>
      <w:r w:rsidRPr="003711B3">
        <w:rPr>
          <w:rFonts w:ascii="Times New Roman" w:hAnsi="Times New Roman" w:cs="Times New Roman"/>
        </w:rPr>
        <w:t xml:space="preserve">Book review </w:t>
      </w:r>
    </w:p>
    <w:p w14:paraId="3AFBF93C" w14:textId="28518BDE" w:rsidR="003711B3" w:rsidRPr="003711B3" w:rsidRDefault="003711B3" w:rsidP="003711B3">
      <w:pPr>
        <w:jc w:val="center"/>
        <w:rPr>
          <w:rFonts w:ascii="Times New Roman" w:hAnsi="Times New Roman" w:cs="Times New Roman"/>
        </w:rPr>
      </w:pPr>
      <w:r w:rsidRPr="003711B3">
        <w:rPr>
          <w:rFonts w:ascii="Times New Roman" w:hAnsi="Times New Roman" w:cs="Times New Roman"/>
        </w:rPr>
        <w:t xml:space="preserve">“Under the Yoke “by Ivan </w:t>
      </w:r>
      <w:proofErr w:type="spellStart"/>
      <w:r w:rsidRPr="003711B3">
        <w:rPr>
          <w:rFonts w:ascii="Times New Roman" w:hAnsi="Times New Roman" w:cs="Times New Roman"/>
        </w:rPr>
        <w:t>Vazov</w:t>
      </w:r>
      <w:proofErr w:type="spellEnd"/>
    </w:p>
    <w:p w14:paraId="28187E7A" w14:textId="77777777" w:rsidR="00A83EBD" w:rsidRDefault="00A83EBD"/>
    <w:p w14:paraId="24A6F5FA" w14:textId="77777777" w:rsidR="00A83EBD" w:rsidRDefault="00A83EBD"/>
    <w:p w14:paraId="1D6B2330" w14:textId="77777777" w:rsidR="00A83EBD" w:rsidRDefault="00A83EBD" w:rsidP="00A83EBD">
      <w:pPr>
        <w:pStyle w:val="NormalWeb"/>
      </w:pPr>
      <w:r>
        <w:t xml:space="preserve">Ivan </w:t>
      </w:r>
      <w:proofErr w:type="spellStart"/>
      <w:r>
        <w:t>Vazov’s</w:t>
      </w:r>
      <w:proofErr w:type="spellEnd"/>
      <w:r>
        <w:t xml:space="preserve"> Under the Yoke (1894),</w:t>
      </w:r>
      <w:r>
        <w:t> </w:t>
      </w:r>
      <w:r>
        <w:t xml:space="preserve">widely considered Bulgaria’s national novel, is an important work of historical fiction covering the April Uprising of 1876 against Ottoman rule. Set in the imaginary village of </w:t>
      </w:r>
      <w:proofErr w:type="spellStart"/>
      <w:r>
        <w:t>Byala</w:t>
      </w:r>
      <w:proofErr w:type="spellEnd"/>
      <w:r>
        <w:t xml:space="preserve"> </w:t>
      </w:r>
      <w:proofErr w:type="spellStart"/>
      <w:r>
        <w:t>Cherkva</w:t>
      </w:r>
      <w:proofErr w:type="spellEnd"/>
      <w:r>
        <w:t>, the novel rises above</w:t>
      </w:r>
      <w:r>
        <w:t> </w:t>
      </w:r>
      <w:r>
        <w:t xml:space="preserve">its own historical account to address universal issues of resistance, identity and the human cost of liberation. In vivid characterisations, rich cultural detail and a narrative well-spring to both tragedy and hope, </w:t>
      </w:r>
      <w:proofErr w:type="spellStart"/>
      <w:r>
        <w:t>Vazov</w:t>
      </w:r>
      <w:proofErr w:type="spellEnd"/>
      <w:r>
        <w:t xml:space="preserve"> fashions as renewed a tribute to Bulgaria’s struggle for</w:t>
      </w:r>
      <w:r>
        <w:t> </w:t>
      </w:r>
      <w:r>
        <w:t>independence as it is also an abiding commentary on the dynamic of people working together and sacrificing for one another.</w:t>
      </w:r>
    </w:p>
    <w:p w14:paraId="32319B3D" w14:textId="77777777" w:rsidR="00A83EBD" w:rsidRDefault="00A83EBD" w:rsidP="00A83EBD">
      <w:pPr>
        <w:pStyle w:val="NormalWeb"/>
      </w:pPr>
      <w:r>
        <w:t>Historical Background and</w:t>
      </w:r>
      <w:r>
        <w:t> </w:t>
      </w:r>
      <w:r>
        <w:t>Narrative Architecture</w:t>
      </w:r>
    </w:p>
    <w:p w14:paraId="341D52D8" w14:textId="77777777" w:rsidR="00A83EBD" w:rsidRDefault="00A83EBD" w:rsidP="00A83EBD">
      <w:pPr>
        <w:pStyle w:val="NormalWeb"/>
      </w:pPr>
      <w:r>
        <w:t>Under the Yoke is set in the late 19th century, a time of rising</w:t>
      </w:r>
      <w:r>
        <w:t> </w:t>
      </w:r>
      <w:r>
        <w:t>nationalist movements throughout the Balkans. The waning control</w:t>
      </w:r>
      <w:r>
        <w:t> </w:t>
      </w:r>
      <w:r>
        <w:t>of the Ottoman Empire over its provinces presented a combustible context in which oppressed groups, such as the Bulgarians, aspired to recover their independence. A participant in liberation</w:t>
      </w:r>
      <w:r>
        <w:t> </w:t>
      </w:r>
      <w:r>
        <w:t xml:space="preserve">efforts, </w:t>
      </w:r>
      <w:proofErr w:type="spellStart"/>
      <w:r>
        <w:t>Vazov</w:t>
      </w:r>
      <w:proofErr w:type="spellEnd"/>
      <w:r>
        <w:t xml:space="preserve"> infuses the novel with firsthand experience and weaves historical events with fictionalised drama as it unfolds. The narrative focuses on </w:t>
      </w:r>
      <w:proofErr w:type="spellStart"/>
      <w:r>
        <w:t>Byala</w:t>
      </w:r>
      <w:proofErr w:type="spellEnd"/>
      <w:r>
        <w:t xml:space="preserve"> </w:t>
      </w:r>
      <w:proofErr w:type="spellStart"/>
      <w:r>
        <w:t>Cherkva</w:t>
      </w:r>
      <w:proofErr w:type="spellEnd"/>
      <w:r>
        <w:t>, a microcosm of the plight of Bulgarian</w:t>
      </w:r>
      <w:r>
        <w:t> </w:t>
      </w:r>
      <w:r>
        <w:t>society under Ottoman dominance. The villagers — peasants, teachers, merchants and clergy —reflected a range of resistance mindsets,</w:t>
      </w:r>
      <w:r>
        <w:t> </w:t>
      </w:r>
      <w:r>
        <w:t>from cautious pragmatism to fiery revolutionary zeal.</w:t>
      </w:r>
    </w:p>
    <w:p w14:paraId="64000095" w14:textId="77777777" w:rsidR="00A83EBD" w:rsidRDefault="00A83EBD" w:rsidP="00A83EBD">
      <w:pPr>
        <w:pStyle w:val="NormalWeb"/>
      </w:pPr>
      <w:r>
        <w:t>In the plot, Boicho Ognyanov, a charismatic revolutionary, breaks out of prison to lead the uprising, while Rada Gospozhina, a naive provincial schoolteacher, embodies the internal, intellectual and moral awakening of</w:t>
      </w:r>
      <w:r>
        <w:t> </w:t>
      </w:r>
      <w:r>
        <w:t>the mind of the people. Secondary characters, including the conflicted Ottoman collaborator</w:t>
      </w:r>
      <w:r>
        <w:t> </w:t>
      </w:r>
      <w:r>
        <w:t>Sokolov and the pragmatic merchant Marko, showcase the tension between survival and idealism. With individual versus collective struggles, with building towards the failed revolt and its bloody quell—a historical precursor to Bulgaria’s eventual liberation in 1878—</w:t>
      </w:r>
      <w:proofErr w:type="spellStart"/>
      <w:r>
        <w:t>Vazov</w:t>
      </w:r>
      <w:proofErr w:type="spellEnd"/>
      <w:r>
        <w:t xml:space="preserve"> mingles.</w:t>
      </w:r>
    </w:p>
    <w:p w14:paraId="6F234558" w14:textId="77777777" w:rsidR="00A83EBD" w:rsidRDefault="00A83EBD" w:rsidP="00A83EBD">
      <w:pPr>
        <w:pStyle w:val="NormalWeb"/>
      </w:pPr>
      <w:r>
        <w:t>Resilience</w:t>
      </w:r>
      <w:r>
        <w:t> </w:t>
      </w:r>
      <w:r>
        <w:t>and Solidarity Themes</w:t>
      </w:r>
    </w:p>
    <w:p w14:paraId="37282C6B" w14:textId="77777777" w:rsidR="00A83EBD" w:rsidRDefault="00A83EBD" w:rsidP="00A83EBD">
      <w:pPr>
        <w:pStyle w:val="NormalWeb"/>
      </w:pPr>
      <w:r>
        <w:lastRenderedPageBreak/>
        <w:t>Under the Yoke is, at its heart, a meditation on the psychological</w:t>
      </w:r>
      <w:r>
        <w:t> </w:t>
      </w:r>
      <w:r>
        <w:t>and moral implications of resistance. The name</w:t>
      </w:r>
      <w:r>
        <w:t> </w:t>
      </w:r>
      <w:r>
        <w:t xml:space="preserve">“yoke” functions as a memorable metaphor for Ottoman oppression, suggesting both corporeal bondage and cultural erasure. </w:t>
      </w:r>
      <w:proofErr w:type="spellStart"/>
      <w:r>
        <w:t>Vazov</w:t>
      </w:r>
      <w:proofErr w:type="spellEnd"/>
      <w:r>
        <w:t xml:space="preserve"> intersperses scenes of pastoral peace with acts of visceral violence, emphasising the precariousness of peace</w:t>
      </w:r>
      <w:r>
        <w:t> </w:t>
      </w:r>
      <w:r>
        <w:t>under occupation. The villagers’ clandestine gatherings, coded communications and acts of defiance underscore the fragility of rebellion, while their comradeship conveys a</w:t>
      </w:r>
      <w:r>
        <w:t> </w:t>
      </w:r>
      <w:r>
        <w:t>collective longing for dignity.</w:t>
      </w:r>
    </w:p>
    <w:p w14:paraId="1B3CCAA2" w14:textId="77777777" w:rsidR="00A83EBD" w:rsidRDefault="00A83EBD" w:rsidP="00A83EBD">
      <w:pPr>
        <w:pStyle w:val="NormalWeb"/>
      </w:pPr>
      <w:r>
        <w:t>Ognyanov</w:t>
      </w:r>
      <w:r>
        <w:t> </w:t>
      </w:r>
      <w:r>
        <w:t>appears as the prototypical revolutionary hero, motivated by an almost messianic faith in liberation. Its ethos of sacrifice</w:t>
      </w:r>
      <w:r>
        <w:t> </w:t>
      </w:r>
      <w:r>
        <w:t xml:space="preserve">is distilled in his proclamation, “Freedom is purchased with blood not with gold” (p. 142). However, </w:t>
      </w:r>
      <w:proofErr w:type="spellStart"/>
      <w:r>
        <w:t>Vazov</w:t>
      </w:r>
      <w:proofErr w:type="spellEnd"/>
      <w:r>
        <w:t xml:space="preserve"> </w:t>
      </w:r>
      <w:proofErr w:type="spellStart"/>
      <w:r>
        <w:t>doeromanticiseicizes</w:t>
      </w:r>
      <w:proofErr w:type="spellEnd"/>
      <w:r>
        <w:t> </w:t>
      </w:r>
      <w:r>
        <w:t>resistance; the uprising’s defeat and the subsequent barbarities — depicted graphically in scenes of village torches and mass executions —are a sobering reminder of the price of defiance. Rada’s character, by</w:t>
      </w:r>
      <w:r>
        <w:t> </w:t>
      </w:r>
      <w:r>
        <w:t>contrast, reflects stoic strength. The role she plays as an educator and the emotional support she gives the rebels show the need for cultural preservation and moral sustenance in continuing movements towards</w:t>
      </w:r>
      <w:r>
        <w:t> </w:t>
      </w:r>
      <w:r>
        <w:t>justice.</w:t>
      </w:r>
    </w:p>
    <w:p w14:paraId="06366074" w14:textId="77777777" w:rsidR="00A83EBD" w:rsidRDefault="00A83EBD" w:rsidP="00A83EBD">
      <w:pPr>
        <w:pStyle w:val="NormalWeb"/>
      </w:pPr>
      <w:r>
        <w:t>Cultural and Literary</w:t>
      </w:r>
      <w:r>
        <w:t> </w:t>
      </w:r>
      <w:r>
        <w:t>Importance</w:t>
      </w:r>
    </w:p>
    <w:p w14:paraId="6F1EED12" w14:textId="77777777" w:rsidR="00A83EBD" w:rsidRDefault="00A83EBD" w:rsidP="00A83EBD">
      <w:pPr>
        <w:pStyle w:val="NormalWeb"/>
      </w:pPr>
      <w:proofErr w:type="spellStart"/>
      <w:r>
        <w:t>Vazov’s</w:t>
      </w:r>
      <w:proofErr w:type="spellEnd"/>
      <w:r>
        <w:t xml:space="preserve"> prose dazzles with its lyrical descriptions of Bulgaria’s landscapes and traditions and their dual role of setting and</w:t>
      </w:r>
      <w:r>
        <w:t> </w:t>
      </w:r>
      <w:r>
        <w:t>symbol. The lush mountains and fertile</w:t>
      </w:r>
      <w:r>
        <w:t> </w:t>
      </w:r>
      <w:r>
        <w:t xml:space="preserve">valleys of </w:t>
      </w:r>
      <w:proofErr w:type="spellStart"/>
      <w:r>
        <w:t>Byala</w:t>
      </w:r>
      <w:proofErr w:type="spellEnd"/>
      <w:r>
        <w:t xml:space="preserve"> </w:t>
      </w:r>
      <w:proofErr w:type="spellStart"/>
      <w:r>
        <w:t>Cherkva</w:t>
      </w:r>
      <w:proofErr w:type="spellEnd"/>
      <w:r>
        <w:t xml:space="preserve"> serve as a metaphor for the homeland’s natural beauty and survival, whereas folk songs and Orthodox church rituals ground the narrative in a particular Bulgarian identity. These elements echo 19th-century Romantic nationalism, which romanticised rural life</w:t>
      </w:r>
      <w:r>
        <w:t> </w:t>
      </w:r>
      <w:r>
        <w:t>and communal heritage as a remedy to colonial erasure.)</w:t>
      </w:r>
    </w:p>
    <w:p w14:paraId="1079CED1" w14:textId="77777777" w:rsidR="00A83EBD" w:rsidRDefault="00A83EBD" w:rsidP="00A83EBD">
      <w:pPr>
        <w:pStyle w:val="NormalWeb"/>
      </w:pPr>
      <w:r>
        <w:t>Critics have questioned whether the novel’s idealised image of unity</w:t>
      </w:r>
      <w:r>
        <w:t> </w:t>
      </w:r>
      <w:r>
        <w:t xml:space="preserve">is accurate. If </w:t>
      </w:r>
      <w:proofErr w:type="spellStart"/>
      <w:r>
        <w:t>Vazov</w:t>
      </w:r>
      <w:proofErr w:type="spellEnd"/>
      <w:r>
        <w:t xml:space="preserve"> celebrates the villagers’ common purpose, he glosses over inner divisions, like class differences or</w:t>
      </w:r>
      <w:r>
        <w:t> </w:t>
      </w:r>
      <w:r>
        <w:t>generational rifts. Maria Todorova (1997, p. 89) notes that the monolithic nationalism of the</w:t>
      </w:r>
      <w:r>
        <w:t> </w:t>
      </w:r>
      <w:r>
        <w:t xml:space="preserve">novel risks oversimplifying the socio-political complexities of the era. Still, this idealism has a didactic aim: </w:t>
      </w:r>
      <w:proofErr w:type="spellStart"/>
      <w:r>
        <w:t>Vazov</w:t>
      </w:r>
      <w:proofErr w:type="spellEnd"/>
      <w:r>
        <w:t xml:space="preserve"> wrote Under the Yoke in the wake of Bulgaria’s liberation, during a period of nation building that used collective memory to forge a cohesive national</w:t>
      </w:r>
      <w:r>
        <w:t> </w:t>
      </w:r>
      <w:r>
        <w:t>identity.</w:t>
      </w:r>
    </w:p>
    <w:p w14:paraId="2BFFE465" w14:textId="77777777" w:rsidR="00A83EBD" w:rsidRDefault="00A83EBD" w:rsidP="00A83EBD">
      <w:pPr>
        <w:pStyle w:val="NormalWeb"/>
      </w:pPr>
      <w:r>
        <w:t>Legacy and Relevance</w:t>
      </w:r>
    </w:p>
    <w:p w14:paraId="12E9C093" w14:textId="77777777" w:rsidR="00A83EBD" w:rsidRDefault="00A83EBD" w:rsidP="00A83EBD">
      <w:pPr>
        <w:pStyle w:val="NormalWeb"/>
      </w:pPr>
      <w:r>
        <w:t>More</w:t>
      </w:r>
      <w:r>
        <w:t> </w:t>
      </w:r>
      <w:r>
        <w:t>than 100 years later, Under the Yoke is a seminal work of Bulgarian literature, studied in schools and embraced as a cultural touchstone. Its messages of resilience and self-determination resonate worldwide and invite comparisons with other</w:t>
      </w:r>
      <w:r>
        <w:t> </w:t>
      </w:r>
      <w:r>
        <w:t>anti-colonial narratives, from Ireland to India. Although the novel’s pacing dips</w:t>
      </w:r>
      <w:r>
        <w:t> </w:t>
      </w:r>
      <w:r>
        <w:t>occasionally, encumbered by its sprawling cast, its emotional intelligence and historical urgency make up for its structural flaws.</w:t>
      </w:r>
    </w:p>
    <w:p w14:paraId="2C8D7EA0" w14:textId="77777777" w:rsidR="00A83EBD" w:rsidRDefault="00A83EBD" w:rsidP="00A83EBD">
      <w:pPr>
        <w:pStyle w:val="NormalWeb"/>
      </w:pPr>
      <w:r>
        <w:t>Conclusion</w:t>
      </w:r>
    </w:p>
    <w:p w14:paraId="4B3F94F2" w14:textId="77777777" w:rsidR="00A83EBD" w:rsidRDefault="00A83EBD" w:rsidP="00A83EBD">
      <w:pPr>
        <w:pStyle w:val="NormalWeb"/>
      </w:pPr>
      <w:r>
        <w:t>Under the Yoke</w:t>
      </w:r>
      <w:r>
        <w:t> </w:t>
      </w:r>
      <w:r>
        <w:t>is not simply a historical novel; it is an affirmation of the indomitable human spirit in the face of oppression. Deftly intertwining personal dramatics with</w:t>
      </w:r>
      <w:r>
        <w:t> </w:t>
      </w:r>
      <w:r>
        <w:t xml:space="preserve">grand scale, </w:t>
      </w:r>
      <w:proofErr w:type="spellStart"/>
      <w:r>
        <w:t>Vazov</w:t>
      </w:r>
      <w:proofErr w:type="spellEnd"/>
      <w:r>
        <w:t xml:space="preserve"> gives readers both a gripping plot and an exploration of the price of freedom. Although its nationalist fervour may speak to the prejudices of</w:t>
      </w:r>
      <w:r>
        <w:t> </w:t>
      </w:r>
      <w:r>
        <w:t>its time, the novel’s themes of courage, solidarity and sacrifice are universally human. For historians, students of literature,</w:t>
      </w:r>
      <w:r>
        <w:t> </w:t>
      </w:r>
      <w:r>
        <w:lastRenderedPageBreak/>
        <w:t>or simply anyone interested in the still-mysterious struggles that forge nations, Under the Yoke is an essential book — an indelible reminder that the struggle for dignity is as much a feature of life as the meat in the stew, and, because of that, as timely as it is transformative.</w:t>
      </w:r>
    </w:p>
    <w:p w14:paraId="370DC795" w14:textId="77777777" w:rsidR="003711B3" w:rsidRPr="003711B3" w:rsidRDefault="003711B3" w:rsidP="003711B3">
      <w:pPr>
        <w:pStyle w:val="NormalWeb"/>
        <w:rPr>
          <w:color w:val="404040"/>
        </w:rPr>
      </w:pPr>
      <w:r w:rsidRPr="003711B3">
        <w:rPr>
          <w:rStyle w:val="Strong"/>
          <w:rFonts w:eastAsiaTheme="majorEastAsia"/>
          <w:color w:val="404040"/>
        </w:rPr>
        <w:t>References</w:t>
      </w:r>
    </w:p>
    <w:p w14:paraId="26AE6A35" w14:textId="77777777" w:rsidR="003711B3" w:rsidRPr="003711B3" w:rsidRDefault="003711B3" w:rsidP="003711B3">
      <w:pPr>
        <w:pStyle w:val="NormalWeb"/>
        <w:numPr>
          <w:ilvl w:val="0"/>
          <w:numId w:val="1"/>
        </w:numPr>
        <w:spacing w:before="0" w:beforeAutospacing="0" w:after="0" w:afterAutospacing="0"/>
        <w:rPr>
          <w:color w:val="404040"/>
        </w:rPr>
      </w:pPr>
      <w:r w:rsidRPr="003711B3">
        <w:rPr>
          <w:color w:val="404040"/>
        </w:rPr>
        <w:t>Todorova, M. (1997). </w:t>
      </w:r>
      <w:r w:rsidRPr="003711B3">
        <w:rPr>
          <w:rStyle w:val="Emphasis"/>
          <w:rFonts w:eastAsiaTheme="majorEastAsia"/>
          <w:color w:val="404040"/>
        </w:rPr>
        <w:t>Imagining the Balkans</w:t>
      </w:r>
      <w:r w:rsidRPr="003711B3">
        <w:rPr>
          <w:color w:val="404040"/>
        </w:rPr>
        <w:t>. Oxford University Press.</w:t>
      </w:r>
    </w:p>
    <w:p w14:paraId="0C2D4D3F" w14:textId="77777777" w:rsidR="003711B3" w:rsidRPr="003711B3" w:rsidRDefault="003711B3" w:rsidP="003711B3">
      <w:pPr>
        <w:pStyle w:val="NormalWeb"/>
        <w:numPr>
          <w:ilvl w:val="0"/>
          <w:numId w:val="1"/>
        </w:numPr>
        <w:spacing w:before="0" w:beforeAutospacing="0" w:after="0" w:afterAutospacing="0"/>
        <w:rPr>
          <w:color w:val="404040"/>
        </w:rPr>
      </w:pPr>
      <w:proofErr w:type="spellStart"/>
      <w:r w:rsidRPr="003711B3">
        <w:rPr>
          <w:color w:val="404040"/>
        </w:rPr>
        <w:t>Vazov</w:t>
      </w:r>
      <w:proofErr w:type="spellEnd"/>
      <w:r w:rsidRPr="003711B3">
        <w:rPr>
          <w:color w:val="404040"/>
        </w:rPr>
        <w:t>, I. (1894). </w:t>
      </w:r>
      <w:r w:rsidRPr="003711B3">
        <w:rPr>
          <w:rStyle w:val="Emphasis"/>
          <w:rFonts w:eastAsiaTheme="majorEastAsia"/>
          <w:color w:val="404040"/>
        </w:rPr>
        <w:t>Under the Yoke</w:t>
      </w:r>
      <w:r w:rsidRPr="003711B3">
        <w:rPr>
          <w:color w:val="404040"/>
        </w:rPr>
        <w:t xml:space="preserve">. (Trans. by William </w:t>
      </w:r>
      <w:proofErr w:type="spellStart"/>
      <w:r w:rsidRPr="003711B3">
        <w:rPr>
          <w:color w:val="404040"/>
        </w:rPr>
        <w:t>Morfill</w:t>
      </w:r>
      <w:proofErr w:type="spellEnd"/>
      <w:r w:rsidRPr="003711B3">
        <w:rPr>
          <w:color w:val="404040"/>
        </w:rPr>
        <w:t>, 1893).</w:t>
      </w:r>
    </w:p>
    <w:p w14:paraId="475B76CC" w14:textId="77777777" w:rsidR="00A83EBD" w:rsidRPr="003711B3" w:rsidRDefault="00A83EBD">
      <w:pPr>
        <w:rPr>
          <w:rFonts w:ascii="Times New Roman" w:hAnsi="Times New Roman" w:cs="Times New Roman"/>
        </w:rPr>
      </w:pPr>
    </w:p>
    <w:sectPr w:rsidR="00A83EBD" w:rsidRPr="003711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107A80"/>
    <w:multiLevelType w:val="multilevel"/>
    <w:tmpl w:val="C5D8A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119589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3EBD"/>
    <w:rsid w:val="003711B3"/>
    <w:rsid w:val="00A83EBD"/>
    <w:rsid w:val="00D1242F"/>
    <w:rsid w:val="00FF75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44929A"/>
  <w15:chartTrackingRefBased/>
  <w15:docId w15:val="{72BC263F-2926-4900-A8A3-B15F02FC6E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3E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3E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3E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3E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3E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3E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3E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3E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3E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3E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3E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3E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3E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3E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3E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3E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3E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3EBD"/>
    <w:rPr>
      <w:rFonts w:eastAsiaTheme="majorEastAsia" w:cstheme="majorBidi"/>
      <w:color w:val="272727" w:themeColor="text1" w:themeTint="D8"/>
    </w:rPr>
  </w:style>
  <w:style w:type="paragraph" w:styleId="Title">
    <w:name w:val="Title"/>
    <w:basedOn w:val="Normal"/>
    <w:next w:val="Normal"/>
    <w:link w:val="TitleChar"/>
    <w:uiPriority w:val="10"/>
    <w:qFormat/>
    <w:rsid w:val="00A83E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3E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3E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3E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3EBD"/>
    <w:pPr>
      <w:spacing w:before="160"/>
      <w:jc w:val="center"/>
    </w:pPr>
    <w:rPr>
      <w:i/>
      <w:iCs/>
      <w:color w:val="404040" w:themeColor="text1" w:themeTint="BF"/>
    </w:rPr>
  </w:style>
  <w:style w:type="character" w:customStyle="1" w:styleId="QuoteChar">
    <w:name w:val="Quote Char"/>
    <w:basedOn w:val="DefaultParagraphFont"/>
    <w:link w:val="Quote"/>
    <w:uiPriority w:val="29"/>
    <w:rsid w:val="00A83EBD"/>
    <w:rPr>
      <w:i/>
      <w:iCs/>
      <w:color w:val="404040" w:themeColor="text1" w:themeTint="BF"/>
    </w:rPr>
  </w:style>
  <w:style w:type="paragraph" w:styleId="ListParagraph">
    <w:name w:val="List Paragraph"/>
    <w:basedOn w:val="Normal"/>
    <w:uiPriority w:val="34"/>
    <w:qFormat/>
    <w:rsid w:val="00A83EBD"/>
    <w:pPr>
      <w:ind w:left="720"/>
      <w:contextualSpacing/>
    </w:pPr>
  </w:style>
  <w:style w:type="character" w:styleId="IntenseEmphasis">
    <w:name w:val="Intense Emphasis"/>
    <w:basedOn w:val="DefaultParagraphFont"/>
    <w:uiPriority w:val="21"/>
    <w:qFormat/>
    <w:rsid w:val="00A83EBD"/>
    <w:rPr>
      <w:i/>
      <w:iCs/>
      <w:color w:val="0F4761" w:themeColor="accent1" w:themeShade="BF"/>
    </w:rPr>
  </w:style>
  <w:style w:type="paragraph" w:styleId="IntenseQuote">
    <w:name w:val="Intense Quote"/>
    <w:basedOn w:val="Normal"/>
    <w:next w:val="Normal"/>
    <w:link w:val="IntenseQuoteChar"/>
    <w:uiPriority w:val="30"/>
    <w:qFormat/>
    <w:rsid w:val="00A83E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3EBD"/>
    <w:rPr>
      <w:i/>
      <w:iCs/>
      <w:color w:val="0F4761" w:themeColor="accent1" w:themeShade="BF"/>
    </w:rPr>
  </w:style>
  <w:style w:type="character" w:styleId="IntenseReference">
    <w:name w:val="Intense Reference"/>
    <w:basedOn w:val="DefaultParagraphFont"/>
    <w:uiPriority w:val="32"/>
    <w:qFormat/>
    <w:rsid w:val="00A83EBD"/>
    <w:rPr>
      <w:b/>
      <w:bCs/>
      <w:smallCaps/>
      <w:color w:val="0F4761" w:themeColor="accent1" w:themeShade="BF"/>
      <w:spacing w:val="5"/>
    </w:rPr>
  </w:style>
  <w:style w:type="paragraph" w:styleId="NormalWeb">
    <w:name w:val="Normal (Web)"/>
    <w:basedOn w:val="Normal"/>
    <w:uiPriority w:val="99"/>
    <w:semiHidden/>
    <w:unhideWhenUsed/>
    <w:rsid w:val="00A83EB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3711B3"/>
    <w:rPr>
      <w:b/>
      <w:bCs/>
    </w:rPr>
  </w:style>
  <w:style w:type="character" w:styleId="Emphasis">
    <w:name w:val="Emphasis"/>
    <w:basedOn w:val="DefaultParagraphFont"/>
    <w:uiPriority w:val="20"/>
    <w:qFormat/>
    <w:rsid w:val="003711B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8227414">
      <w:bodyDiv w:val="1"/>
      <w:marLeft w:val="0"/>
      <w:marRight w:val="0"/>
      <w:marTop w:val="0"/>
      <w:marBottom w:val="0"/>
      <w:divBdr>
        <w:top w:val="none" w:sz="0" w:space="0" w:color="auto"/>
        <w:left w:val="none" w:sz="0" w:space="0" w:color="auto"/>
        <w:bottom w:val="none" w:sz="0" w:space="0" w:color="auto"/>
        <w:right w:val="none" w:sz="0" w:space="0" w:color="auto"/>
      </w:divBdr>
    </w:div>
    <w:div w:id="8519181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TotalTime>
  <Pages>3</Pages>
  <Words>877</Words>
  <Characters>5001</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ROMAN</dc:creator>
  <cp:keywords/>
  <dc:description/>
  <cp:lastModifiedBy>ANDREI ROMAN</cp:lastModifiedBy>
  <cp:revision>1</cp:revision>
  <dcterms:created xsi:type="dcterms:W3CDTF">2025-03-02T08:33:00Z</dcterms:created>
  <dcterms:modified xsi:type="dcterms:W3CDTF">2025-03-02T08:57:00Z</dcterms:modified>
</cp:coreProperties>
</file>