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567E4" w14:textId="63D354FB" w:rsidR="00574097" w:rsidRDefault="4C1CF160" w:rsidP="11290DF3">
      <w:pPr>
        <w:rPr>
          <w:rFonts w:ascii="Arial" w:eastAsia="Arial" w:hAnsi="Arial" w:cs="Arial"/>
          <w:sz w:val="22"/>
          <w:szCs w:val="22"/>
        </w:rPr>
      </w:pPr>
      <w:r w:rsidRPr="11290DF3">
        <w:rPr>
          <w:rFonts w:ascii="Arial" w:eastAsia="Arial" w:hAnsi="Arial" w:cs="Arial"/>
          <w:sz w:val="22"/>
          <w:szCs w:val="22"/>
        </w:rPr>
        <w:t xml:space="preserve">Student Name: Lucie Balazova </w:t>
      </w:r>
    </w:p>
    <w:p w14:paraId="6965B946" w14:textId="702EE8FF" w:rsidR="00574097" w:rsidRDefault="4C1CF160" w:rsidP="11290DF3">
      <w:pPr>
        <w:rPr>
          <w:rFonts w:ascii="Arial" w:eastAsia="Arial" w:hAnsi="Arial" w:cs="Arial"/>
          <w:sz w:val="22"/>
          <w:szCs w:val="22"/>
        </w:rPr>
      </w:pPr>
      <w:r w:rsidRPr="11290DF3">
        <w:rPr>
          <w:rFonts w:ascii="Arial" w:eastAsia="Arial" w:hAnsi="Arial" w:cs="Arial"/>
          <w:sz w:val="22"/>
          <w:szCs w:val="22"/>
        </w:rPr>
        <w:t>Student Number: 2315843</w:t>
      </w:r>
    </w:p>
    <w:p w14:paraId="32302030" w14:textId="333DE4E0" w:rsidR="00574097" w:rsidRDefault="4C1CF160" w:rsidP="11290DF3">
      <w:pPr>
        <w:rPr>
          <w:rFonts w:ascii="Arial" w:eastAsia="Arial" w:hAnsi="Arial" w:cs="Arial"/>
          <w:sz w:val="22"/>
          <w:szCs w:val="22"/>
        </w:rPr>
      </w:pPr>
      <w:r w:rsidRPr="11290DF3">
        <w:rPr>
          <w:rFonts w:ascii="Arial" w:eastAsia="Arial" w:hAnsi="Arial" w:cs="Arial"/>
          <w:sz w:val="22"/>
          <w:szCs w:val="22"/>
        </w:rPr>
        <w:t xml:space="preserve">Module Code: LCLM 5006 </w:t>
      </w:r>
    </w:p>
    <w:p w14:paraId="23B09F2E" w14:textId="09124B9C" w:rsidR="00574097" w:rsidRDefault="4C1CF160" w:rsidP="11290DF3">
      <w:pPr>
        <w:spacing w:before="220" w:after="0" w:line="257" w:lineRule="auto"/>
        <w:ind w:left="4"/>
        <w:rPr>
          <w:rFonts w:ascii="Arial" w:eastAsia="Arial" w:hAnsi="Arial" w:cs="Arial"/>
          <w:color w:val="000000" w:themeColor="text1"/>
          <w:sz w:val="22"/>
          <w:szCs w:val="22"/>
        </w:rPr>
      </w:pPr>
      <w:r w:rsidRPr="11290DF3">
        <w:rPr>
          <w:rFonts w:ascii="Arial" w:eastAsia="Arial" w:hAnsi="Arial" w:cs="Arial"/>
          <w:sz w:val="22"/>
          <w:szCs w:val="22"/>
        </w:rPr>
        <w:t xml:space="preserve">Module Title: </w:t>
      </w:r>
      <w:r w:rsidRPr="11290DF3">
        <w:rPr>
          <w:rFonts w:ascii="Arial" w:eastAsia="Arial" w:hAnsi="Arial" w:cs="Arial"/>
          <w:color w:val="000000" w:themeColor="text1"/>
          <w:sz w:val="22"/>
          <w:szCs w:val="22"/>
        </w:rPr>
        <w:t xml:space="preserve">Component 2 - Individual written report </w:t>
      </w:r>
    </w:p>
    <w:p w14:paraId="57354DA9" w14:textId="7C1D7658" w:rsidR="00574097" w:rsidRDefault="4C1CF160" w:rsidP="11290DF3">
      <w:pPr>
        <w:spacing w:before="220" w:after="0" w:line="257" w:lineRule="auto"/>
        <w:ind w:left="4"/>
        <w:rPr>
          <w:rFonts w:ascii="Arial" w:eastAsia="Arial" w:hAnsi="Arial" w:cs="Arial"/>
          <w:sz w:val="22"/>
          <w:szCs w:val="22"/>
        </w:rPr>
      </w:pPr>
      <w:r w:rsidRPr="11290DF3">
        <w:rPr>
          <w:rFonts w:ascii="Arial" w:eastAsia="Arial" w:hAnsi="Arial" w:cs="Arial"/>
          <w:color w:val="000000" w:themeColor="text1"/>
          <w:sz w:val="22"/>
          <w:szCs w:val="22"/>
        </w:rPr>
        <w:t xml:space="preserve">Lecture Name: </w:t>
      </w:r>
      <w:r w:rsidRPr="11290DF3">
        <w:rPr>
          <w:rFonts w:ascii="Arial" w:eastAsia="Arial" w:hAnsi="Arial" w:cs="Arial"/>
          <w:sz w:val="22"/>
          <w:szCs w:val="22"/>
        </w:rPr>
        <w:t>Aso Abdullah</w:t>
      </w:r>
    </w:p>
    <w:p w14:paraId="390C64D9" w14:textId="580E8CBD" w:rsidR="00574097" w:rsidRDefault="00574097" w:rsidP="11290DF3">
      <w:pPr>
        <w:rPr>
          <w:rFonts w:ascii="Arial" w:eastAsia="Arial" w:hAnsi="Arial" w:cs="Arial"/>
          <w:sz w:val="22"/>
          <w:szCs w:val="22"/>
        </w:rPr>
      </w:pPr>
    </w:p>
    <w:p w14:paraId="0A67B27C" w14:textId="6F0987D3" w:rsidR="00574097" w:rsidRDefault="00574097" w:rsidP="11290DF3">
      <w:pPr>
        <w:rPr>
          <w:rFonts w:ascii="Arial" w:eastAsia="Arial" w:hAnsi="Arial" w:cs="Arial"/>
          <w:sz w:val="22"/>
          <w:szCs w:val="22"/>
        </w:rPr>
      </w:pPr>
    </w:p>
    <w:p w14:paraId="2D1688E2" w14:textId="16F4952C" w:rsidR="00574097" w:rsidRDefault="00574097" w:rsidP="11290DF3">
      <w:pPr>
        <w:rPr>
          <w:rFonts w:ascii="Arial" w:eastAsia="Arial" w:hAnsi="Arial" w:cs="Arial"/>
          <w:sz w:val="22"/>
          <w:szCs w:val="22"/>
        </w:rPr>
      </w:pPr>
    </w:p>
    <w:p w14:paraId="456B7FD7" w14:textId="48D6C5B3" w:rsidR="00574097" w:rsidRDefault="00574097" w:rsidP="11290DF3">
      <w:pPr>
        <w:rPr>
          <w:rFonts w:ascii="Arial" w:eastAsia="Arial" w:hAnsi="Arial" w:cs="Arial"/>
          <w:sz w:val="22"/>
          <w:szCs w:val="22"/>
        </w:rPr>
      </w:pPr>
    </w:p>
    <w:p w14:paraId="026B0DCB" w14:textId="554CAD4F" w:rsidR="00574097" w:rsidRDefault="00574097" w:rsidP="11290DF3">
      <w:pPr>
        <w:rPr>
          <w:rFonts w:ascii="Arial" w:eastAsia="Arial" w:hAnsi="Arial" w:cs="Arial"/>
          <w:sz w:val="22"/>
          <w:szCs w:val="22"/>
        </w:rPr>
      </w:pPr>
    </w:p>
    <w:p w14:paraId="6FF664EA" w14:textId="38D99F93" w:rsidR="00574097" w:rsidRDefault="00574097" w:rsidP="11290DF3">
      <w:pPr>
        <w:rPr>
          <w:rFonts w:ascii="Arial" w:eastAsia="Arial" w:hAnsi="Arial" w:cs="Arial"/>
          <w:sz w:val="22"/>
          <w:szCs w:val="22"/>
        </w:rPr>
      </w:pPr>
    </w:p>
    <w:p w14:paraId="09A37C84" w14:textId="399ED941" w:rsidR="00574097" w:rsidRDefault="00574097" w:rsidP="11290DF3">
      <w:pPr>
        <w:rPr>
          <w:rFonts w:ascii="Arial" w:eastAsia="Arial" w:hAnsi="Arial" w:cs="Arial"/>
          <w:sz w:val="22"/>
          <w:szCs w:val="22"/>
        </w:rPr>
      </w:pPr>
    </w:p>
    <w:p w14:paraId="777F1685" w14:textId="1FFC2595" w:rsidR="00574097" w:rsidRDefault="3940E5DB" w:rsidP="11290DF3">
      <w:pPr>
        <w:jc w:val="center"/>
        <w:rPr>
          <w:rFonts w:ascii="Arial" w:eastAsia="Arial" w:hAnsi="Arial" w:cs="Arial"/>
          <w:b/>
          <w:bCs/>
          <w:sz w:val="22"/>
          <w:szCs w:val="22"/>
        </w:rPr>
      </w:pPr>
      <w:r w:rsidRPr="11290DF3">
        <w:rPr>
          <w:rFonts w:ascii="Arial" w:eastAsia="Arial" w:hAnsi="Arial" w:cs="Arial"/>
          <w:b/>
          <w:bCs/>
          <w:sz w:val="22"/>
          <w:szCs w:val="22"/>
        </w:rPr>
        <w:t xml:space="preserve">Content of table </w:t>
      </w:r>
    </w:p>
    <w:p w14:paraId="3B07C740" w14:textId="245D69E9" w:rsidR="00574097" w:rsidRDefault="00574097" w:rsidP="11290DF3">
      <w:pPr>
        <w:rPr>
          <w:rFonts w:ascii="Arial" w:eastAsia="Arial" w:hAnsi="Arial" w:cs="Arial"/>
          <w:sz w:val="22"/>
          <w:szCs w:val="22"/>
        </w:rPr>
      </w:pPr>
    </w:p>
    <w:sdt>
      <w:sdtPr>
        <w:id w:val="1516559005"/>
        <w:docPartObj>
          <w:docPartGallery w:val="Table of Contents"/>
          <w:docPartUnique/>
        </w:docPartObj>
      </w:sdtPr>
      <w:sdtEndPr/>
      <w:sdtContent>
        <w:p w14:paraId="4A9DF40F" w14:textId="1541678D" w:rsidR="00574097" w:rsidRDefault="00F140E3" w:rsidP="11290DF3">
          <w:pPr>
            <w:pStyle w:val="TOC1"/>
            <w:tabs>
              <w:tab w:val="right" w:leader="dot" w:pos="9360"/>
            </w:tabs>
            <w:rPr>
              <w:rStyle w:val="Hyperlink"/>
            </w:rPr>
          </w:pPr>
          <w:r>
            <w:fldChar w:fldCharType="begin"/>
          </w:r>
          <w:r>
            <w:instrText>TOC \o \z \u \h</w:instrText>
          </w:r>
          <w:r>
            <w:fldChar w:fldCharType="separate"/>
          </w:r>
          <w:hyperlink w:anchor="_Toc1712351856">
            <w:r w:rsidR="11290DF3" w:rsidRPr="11290DF3">
              <w:rPr>
                <w:rStyle w:val="Hyperlink"/>
              </w:rPr>
              <w:t>Summary report</w:t>
            </w:r>
            <w:r>
              <w:tab/>
            </w:r>
            <w:r>
              <w:fldChar w:fldCharType="begin"/>
            </w:r>
            <w:r>
              <w:instrText>PAGEREF _Toc1712351856 \h</w:instrText>
            </w:r>
            <w:r>
              <w:fldChar w:fldCharType="separate"/>
            </w:r>
            <w:r w:rsidR="11290DF3" w:rsidRPr="11290DF3">
              <w:rPr>
                <w:rStyle w:val="Hyperlink"/>
              </w:rPr>
              <w:t>2</w:t>
            </w:r>
            <w:r>
              <w:fldChar w:fldCharType="end"/>
            </w:r>
          </w:hyperlink>
        </w:p>
        <w:p w14:paraId="16AF5304" w14:textId="70024B74" w:rsidR="00574097" w:rsidRDefault="11290DF3" w:rsidP="11290DF3">
          <w:pPr>
            <w:pStyle w:val="TOC1"/>
            <w:tabs>
              <w:tab w:val="right" w:leader="dot" w:pos="9360"/>
            </w:tabs>
            <w:rPr>
              <w:rStyle w:val="Hyperlink"/>
            </w:rPr>
          </w:pPr>
          <w:hyperlink w:anchor="_Toc225072750">
            <w:r w:rsidRPr="11290DF3">
              <w:rPr>
                <w:rStyle w:val="Hyperlink"/>
              </w:rPr>
              <w:t>Introduction</w:t>
            </w:r>
            <w:r w:rsidR="00F140E3">
              <w:tab/>
            </w:r>
            <w:r w:rsidR="00F140E3">
              <w:fldChar w:fldCharType="begin"/>
            </w:r>
            <w:r w:rsidR="00F140E3">
              <w:instrText>PAGEREF _Toc225072750 \h</w:instrText>
            </w:r>
            <w:r w:rsidR="00F140E3">
              <w:fldChar w:fldCharType="separate"/>
            </w:r>
            <w:r w:rsidRPr="11290DF3">
              <w:rPr>
                <w:rStyle w:val="Hyperlink"/>
              </w:rPr>
              <w:t>2</w:t>
            </w:r>
            <w:r w:rsidR="00F140E3">
              <w:fldChar w:fldCharType="end"/>
            </w:r>
          </w:hyperlink>
        </w:p>
        <w:p w14:paraId="31A3C138" w14:textId="6A56A787" w:rsidR="00574097" w:rsidRDefault="11290DF3" w:rsidP="11290DF3">
          <w:pPr>
            <w:pStyle w:val="TOC1"/>
            <w:tabs>
              <w:tab w:val="right" w:leader="dot" w:pos="9360"/>
            </w:tabs>
            <w:rPr>
              <w:rStyle w:val="Hyperlink"/>
            </w:rPr>
          </w:pPr>
          <w:hyperlink w:anchor="_Toc673056186">
            <w:r w:rsidRPr="11290DF3">
              <w:rPr>
                <w:rStyle w:val="Hyperlink"/>
              </w:rPr>
              <w:t>Critical Evaluation of Emotional Intelligence Components in the Workplace</w:t>
            </w:r>
            <w:r w:rsidR="00F140E3">
              <w:tab/>
            </w:r>
            <w:r w:rsidR="00F140E3">
              <w:fldChar w:fldCharType="begin"/>
            </w:r>
            <w:r w:rsidR="00F140E3">
              <w:instrText>PAGEREF _Toc673056186 \h</w:instrText>
            </w:r>
            <w:r w:rsidR="00F140E3">
              <w:fldChar w:fldCharType="separate"/>
            </w:r>
            <w:r w:rsidRPr="11290DF3">
              <w:rPr>
                <w:rStyle w:val="Hyperlink"/>
              </w:rPr>
              <w:t>2</w:t>
            </w:r>
            <w:r w:rsidR="00F140E3">
              <w:fldChar w:fldCharType="end"/>
            </w:r>
          </w:hyperlink>
        </w:p>
        <w:p w14:paraId="62718F47" w14:textId="3CA02F02" w:rsidR="00574097" w:rsidRDefault="11290DF3" w:rsidP="11290DF3">
          <w:pPr>
            <w:pStyle w:val="TOC1"/>
            <w:tabs>
              <w:tab w:val="right" w:leader="dot" w:pos="9360"/>
            </w:tabs>
            <w:rPr>
              <w:rStyle w:val="Hyperlink"/>
            </w:rPr>
          </w:pPr>
          <w:hyperlink w:anchor="_Toc1855708525">
            <w:r w:rsidRPr="11290DF3">
              <w:rPr>
                <w:rStyle w:val="Hyperlink"/>
              </w:rPr>
              <w:t>Recruitment and Generational Characteristics in the Work Environment</w:t>
            </w:r>
            <w:r w:rsidR="00F140E3">
              <w:tab/>
            </w:r>
            <w:r w:rsidR="00F140E3">
              <w:fldChar w:fldCharType="begin"/>
            </w:r>
            <w:r w:rsidR="00F140E3">
              <w:instrText>PAGEREF _Toc1855708525 \h</w:instrText>
            </w:r>
            <w:r w:rsidR="00F140E3">
              <w:fldChar w:fldCharType="separate"/>
            </w:r>
            <w:r w:rsidRPr="11290DF3">
              <w:rPr>
                <w:rStyle w:val="Hyperlink"/>
              </w:rPr>
              <w:t>5</w:t>
            </w:r>
            <w:r w:rsidR="00F140E3">
              <w:fldChar w:fldCharType="end"/>
            </w:r>
          </w:hyperlink>
        </w:p>
        <w:p w14:paraId="6A7A894D" w14:textId="062748B2" w:rsidR="00574097" w:rsidRDefault="11290DF3" w:rsidP="11290DF3">
          <w:pPr>
            <w:pStyle w:val="TOC1"/>
            <w:tabs>
              <w:tab w:val="right" w:leader="dot" w:pos="9360"/>
            </w:tabs>
            <w:rPr>
              <w:rStyle w:val="Hyperlink"/>
            </w:rPr>
          </w:pPr>
          <w:hyperlink w:anchor="_Toc1541741226">
            <w:r w:rsidRPr="11290DF3">
              <w:rPr>
                <w:rStyle w:val="Hyperlink"/>
              </w:rPr>
              <w:t>Recommendations for the Senior Management Team</w:t>
            </w:r>
            <w:r w:rsidR="00F140E3">
              <w:tab/>
            </w:r>
            <w:r w:rsidR="00F140E3">
              <w:fldChar w:fldCharType="begin"/>
            </w:r>
            <w:r w:rsidR="00F140E3">
              <w:instrText>PAGEREF _Toc1541741226 \h</w:instrText>
            </w:r>
            <w:r w:rsidR="00F140E3">
              <w:fldChar w:fldCharType="separate"/>
            </w:r>
            <w:r w:rsidRPr="11290DF3">
              <w:rPr>
                <w:rStyle w:val="Hyperlink"/>
              </w:rPr>
              <w:t>6</w:t>
            </w:r>
            <w:r w:rsidR="00F140E3">
              <w:fldChar w:fldCharType="end"/>
            </w:r>
          </w:hyperlink>
        </w:p>
        <w:p w14:paraId="299D30D8" w14:textId="1D330042" w:rsidR="00574097" w:rsidRDefault="11290DF3" w:rsidP="11290DF3">
          <w:pPr>
            <w:pStyle w:val="TOC1"/>
            <w:tabs>
              <w:tab w:val="right" w:leader="dot" w:pos="9360"/>
            </w:tabs>
            <w:rPr>
              <w:rStyle w:val="Hyperlink"/>
            </w:rPr>
          </w:pPr>
          <w:hyperlink w:anchor="_Toc663379379">
            <w:r w:rsidRPr="11290DF3">
              <w:rPr>
                <w:rStyle w:val="Hyperlink"/>
              </w:rPr>
              <w:t>Conclusion</w:t>
            </w:r>
            <w:r w:rsidR="00F140E3">
              <w:tab/>
            </w:r>
            <w:r w:rsidR="00F140E3">
              <w:fldChar w:fldCharType="begin"/>
            </w:r>
            <w:r w:rsidR="00F140E3">
              <w:instrText>PAGEREF _Toc663379379 \h</w:instrText>
            </w:r>
            <w:r w:rsidR="00F140E3">
              <w:fldChar w:fldCharType="separate"/>
            </w:r>
            <w:r w:rsidRPr="11290DF3">
              <w:rPr>
                <w:rStyle w:val="Hyperlink"/>
              </w:rPr>
              <w:t>7</w:t>
            </w:r>
            <w:r w:rsidR="00F140E3">
              <w:fldChar w:fldCharType="end"/>
            </w:r>
          </w:hyperlink>
        </w:p>
        <w:p w14:paraId="3E3F816B" w14:textId="0196EFD6" w:rsidR="00574097" w:rsidRDefault="11290DF3" w:rsidP="11290DF3">
          <w:pPr>
            <w:pStyle w:val="TOC1"/>
            <w:tabs>
              <w:tab w:val="right" w:leader="dot" w:pos="9360"/>
            </w:tabs>
            <w:rPr>
              <w:rStyle w:val="Hyperlink"/>
            </w:rPr>
          </w:pPr>
          <w:hyperlink w:anchor="_Toc1186625069">
            <w:r w:rsidRPr="11290DF3">
              <w:rPr>
                <w:rStyle w:val="Hyperlink"/>
              </w:rPr>
              <w:t>Referencing</w:t>
            </w:r>
            <w:r w:rsidR="00F140E3">
              <w:tab/>
            </w:r>
            <w:r w:rsidR="00F140E3">
              <w:fldChar w:fldCharType="begin"/>
            </w:r>
            <w:r w:rsidR="00F140E3">
              <w:instrText>PAGEREF _Toc1186625069 \h</w:instrText>
            </w:r>
            <w:r w:rsidR="00F140E3">
              <w:fldChar w:fldCharType="separate"/>
            </w:r>
            <w:r w:rsidRPr="11290DF3">
              <w:rPr>
                <w:rStyle w:val="Hyperlink"/>
              </w:rPr>
              <w:t>8</w:t>
            </w:r>
            <w:r w:rsidR="00F140E3">
              <w:fldChar w:fldCharType="end"/>
            </w:r>
          </w:hyperlink>
          <w:r w:rsidR="00F140E3">
            <w:fldChar w:fldCharType="end"/>
          </w:r>
        </w:p>
      </w:sdtContent>
    </w:sdt>
    <w:p w14:paraId="299B0A50" w14:textId="481CD771" w:rsidR="00574097" w:rsidRDefault="00574097" w:rsidP="11290DF3">
      <w:pPr>
        <w:rPr>
          <w:rFonts w:ascii="Arial" w:eastAsia="Arial" w:hAnsi="Arial" w:cs="Arial"/>
          <w:sz w:val="22"/>
          <w:szCs w:val="22"/>
        </w:rPr>
      </w:pPr>
    </w:p>
    <w:p w14:paraId="0AD61AF6" w14:textId="6CF3DAC0" w:rsidR="00574097" w:rsidRDefault="00574097" w:rsidP="11290DF3">
      <w:pPr>
        <w:pStyle w:val="Heading1"/>
        <w:rPr>
          <w:rFonts w:ascii="Arial" w:eastAsia="Arial" w:hAnsi="Arial" w:cs="Arial"/>
          <w:b/>
          <w:bCs/>
          <w:sz w:val="22"/>
          <w:szCs w:val="22"/>
        </w:rPr>
      </w:pPr>
    </w:p>
    <w:p w14:paraId="02A4596A" w14:textId="6ED1E38F" w:rsidR="00574097" w:rsidRDefault="00574097" w:rsidP="11290DF3"/>
    <w:p w14:paraId="07063DB9" w14:textId="564CC28B" w:rsidR="00574097" w:rsidRDefault="00574097" w:rsidP="11290DF3"/>
    <w:p w14:paraId="094337B1" w14:textId="1B9D4D0F" w:rsidR="00574097" w:rsidRDefault="00574097" w:rsidP="11290DF3">
      <w:pPr>
        <w:pStyle w:val="Heading1"/>
        <w:rPr>
          <w:rFonts w:ascii="Arial" w:eastAsia="Arial" w:hAnsi="Arial" w:cs="Arial"/>
          <w:b/>
          <w:bCs/>
          <w:sz w:val="22"/>
          <w:szCs w:val="22"/>
        </w:rPr>
      </w:pPr>
    </w:p>
    <w:p w14:paraId="2C078E63" w14:textId="7A34391A" w:rsidR="00574097" w:rsidRDefault="53F83A8E" w:rsidP="11290DF3">
      <w:pPr>
        <w:pStyle w:val="Heading1"/>
        <w:rPr>
          <w:rFonts w:ascii="Arial" w:eastAsia="Arial" w:hAnsi="Arial" w:cs="Arial"/>
          <w:b/>
          <w:bCs/>
          <w:sz w:val="22"/>
          <w:szCs w:val="22"/>
        </w:rPr>
      </w:pPr>
      <w:bookmarkStart w:id="0" w:name="_Toc1712351856"/>
      <w:r w:rsidRPr="11290DF3">
        <w:rPr>
          <w:rFonts w:ascii="Arial" w:eastAsia="Arial" w:hAnsi="Arial" w:cs="Arial"/>
          <w:b/>
          <w:bCs/>
          <w:sz w:val="22"/>
          <w:szCs w:val="22"/>
        </w:rPr>
        <w:t>Summary report</w:t>
      </w:r>
      <w:bookmarkEnd w:id="0"/>
      <w:r w:rsidRPr="11290DF3">
        <w:rPr>
          <w:rFonts w:ascii="Arial" w:eastAsia="Arial" w:hAnsi="Arial" w:cs="Arial"/>
          <w:b/>
          <w:bCs/>
          <w:sz w:val="22"/>
          <w:szCs w:val="22"/>
        </w:rPr>
        <w:t xml:space="preserve"> </w:t>
      </w:r>
    </w:p>
    <w:p w14:paraId="262F5294" w14:textId="53E25A10" w:rsidR="53F83A8E" w:rsidRDefault="53F83A8E"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This report offers an in-depth look at how Emotional Intelligence (EQ) and mindfulness play crucial roles in organizational settings, specifically for the Senior Management Team (SMT). As the global business landscape grows more intricate, the importance of "soft skills" like emotional regulation and interpersonal awareness has shifted from being optional to becoming vital leadership qualities. The document examines Daniel Goleman’s five-component model and the Mayer-Salovey-Caruso framework, while also considering the unique recruitment challenges presented by the characteristics of Generations X, Y, and Z. </w:t>
      </w:r>
    </w:p>
    <w:p w14:paraId="36437344" w14:textId="4E270C22" w:rsidR="11290DF3" w:rsidRDefault="11290DF3" w:rsidP="11290DF3">
      <w:pPr>
        <w:rPr>
          <w:rFonts w:ascii="Arial" w:eastAsia="Arial" w:hAnsi="Arial" w:cs="Arial"/>
          <w:color w:val="000000" w:themeColor="text1"/>
          <w:sz w:val="22"/>
          <w:szCs w:val="22"/>
        </w:rPr>
      </w:pPr>
    </w:p>
    <w:p w14:paraId="5219DE0F" w14:textId="1597006D" w:rsidR="53F83A8E" w:rsidRDefault="53F83A8E" w:rsidP="11290DF3">
      <w:pPr>
        <w:pStyle w:val="Heading1"/>
        <w:rPr>
          <w:rFonts w:ascii="Arial" w:eastAsia="Arial" w:hAnsi="Arial" w:cs="Arial"/>
          <w:b/>
          <w:bCs/>
          <w:color w:val="000000" w:themeColor="text1"/>
          <w:sz w:val="22"/>
          <w:szCs w:val="22"/>
        </w:rPr>
      </w:pPr>
      <w:bookmarkStart w:id="1" w:name="_Toc225072750"/>
      <w:r w:rsidRPr="11290DF3">
        <w:rPr>
          <w:rFonts w:ascii="Arial" w:eastAsia="Arial" w:hAnsi="Arial" w:cs="Arial"/>
          <w:b/>
          <w:bCs/>
          <w:sz w:val="22"/>
          <w:szCs w:val="22"/>
        </w:rPr>
        <w:t>Introduction</w:t>
      </w:r>
      <w:bookmarkEnd w:id="1"/>
      <w:r w:rsidRPr="11290DF3">
        <w:rPr>
          <w:rFonts w:ascii="Arial" w:eastAsia="Arial" w:hAnsi="Arial" w:cs="Arial"/>
          <w:b/>
          <w:bCs/>
          <w:sz w:val="22"/>
          <w:szCs w:val="22"/>
        </w:rPr>
        <w:t xml:space="preserve"> </w:t>
      </w:r>
    </w:p>
    <w:p w14:paraId="33344A68" w14:textId="1E9D3C8D" w:rsidR="55FD572D" w:rsidRDefault="55FD572D"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The modern business world is experiencing a significant transformation, where technical skills and intelligence alone are not enough for success. According to Daniel Goleman's research, emotional skills are crucial for effectively applying other professional abilities; without them, even the smartest individuals may find it hard to thrive in a team. Emotional Intelligence involves recognizing and managing our own emotions while also understanding and influencing the emotions of others. As we approach 2026, it's essential for the Senior Management Team to acknowledge that while IQ may help in getting hired, EQ is what leads to promotions, highlighting the importance of human-centered leadership.</w:t>
      </w:r>
    </w:p>
    <w:p w14:paraId="0F9FFD7A" w14:textId="04AB300F" w:rsidR="55FD572D" w:rsidRDefault="55FD572D"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 For the Senior Management Team, creating an atmosphere of emotional agility where individuals can handle their feelings in a constructive manner is vital for keeping teams performing well and minimizing the high costs associated with employee turnover. This agility relies on a strong emotional framework that helps prevent impulsive reactions during crises. Additionally, incorporating mindfulness in the workplace goes beyond just promoting wellness; it serves as a strategic method for improving focus and decision-making. By training employees to be aware of their thoughts and emotions, they can enhance their overall awareness, which is linked to better productivity and resilience. As we prepare for the July 2026 meeting, grasping these concepts is crucial for maintaining a competitive edge.</w:t>
      </w:r>
    </w:p>
    <w:p w14:paraId="1604AE0E" w14:textId="01AFCCC0" w:rsidR="09712959" w:rsidRDefault="09712959" w:rsidP="11290DF3">
      <w:pPr>
        <w:pStyle w:val="Heading1"/>
        <w:rPr>
          <w:rFonts w:ascii="Arial" w:eastAsia="Arial" w:hAnsi="Arial" w:cs="Arial"/>
          <w:b/>
          <w:bCs/>
          <w:sz w:val="22"/>
          <w:szCs w:val="22"/>
        </w:rPr>
      </w:pPr>
      <w:bookmarkStart w:id="2" w:name="_Toc673056186"/>
      <w:r w:rsidRPr="11290DF3">
        <w:rPr>
          <w:rFonts w:ascii="Arial" w:eastAsia="Arial" w:hAnsi="Arial" w:cs="Arial"/>
          <w:b/>
          <w:bCs/>
          <w:sz w:val="22"/>
          <w:szCs w:val="22"/>
        </w:rPr>
        <w:t>Critical Evaluation of Emotional Intelligence Components in the Workplace</w:t>
      </w:r>
      <w:bookmarkEnd w:id="2"/>
    </w:p>
    <w:p w14:paraId="588AD920" w14:textId="33AA90B9" w:rsidR="09712959" w:rsidRDefault="09712959"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To thoroughly assess how employees apply emotional intelligence (EI) in the workplace, we need to examine two main theoretical models: the Mixed Model, which was popularized by Daniel Goleman, and the Ability Model, created by Mayer, Salovey, and Caruso. The Mixed Model emphasizes a range of personality traits and social skills, while the Ability Model views EI as a specific cognitive skill that enables individuals to understand and manage emotional information effectively.</w:t>
      </w:r>
    </w:p>
    <w:p w14:paraId="1E184E77" w14:textId="2DC448D2" w:rsidR="11290DF3" w:rsidRDefault="11290DF3" w:rsidP="11290DF3">
      <w:pPr>
        <w:pStyle w:val="Title"/>
        <w:rPr>
          <w:rFonts w:ascii="Arial" w:eastAsia="Arial" w:hAnsi="Arial" w:cs="Arial"/>
          <w:b/>
          <w:bCs/>
          <w:sz w:val="22"/>
          <w:szCs w:val="22"/>
        </w:rPr>
      </w:pPr>
    </w:p>
    <w:p w14:paraId="271BE5A5" w14:textId="2896A244" w:rsidR="11290DF3" w:rsidRDefault="11290DF3" w:rsidP="11290DF3">
      <w:pPr>
        <w:pStyle w:val="Title"/>
        <w:rPr>
          <w:rFonts w:ascii="Arial" w:eastAsia="Arial" w:hAnsi="Arial" w:cs="Arial"/>
          <w:b/>
          <w:bCs/>
          <w:sz w:val="22"/>
          <w:szCs w:val="22"/>
        </w:rPr>
      </w:pPr>
    </w:p>
    <w:p w14:paraId="337BF24D" w14:textId="3A28A94C" w:rsidR="09712959" w:rsidRDefault="09712959" w:rsidP="11290DF3">
      <w:pPr>
        <w:pStyle w:val="Title"/>
        <w:rPr>
          <w:rFonts w:ascii="Arial" w:eastAsia="Arial" w:hAnsi="Arial" w:cs="Arial"/>
          <w:b/>
          <w:bCs/>
          <w:sz w:val="22"/>
          <w:szCs w:val="22"/>
        </w:rPr>
      </w:pPr>
      <w:r w:rsidRPr="11290DF3">
        <w:rPr>
          <w:rFonts w:ascii="Arial" w:eastAsia="Arial" w:hAnsi="Arial" w:cs="Arial"/>
          <w:b/>
          <w:bCs/>
          <w:sz w:val="22"/>
          <w:szCs w:val="22"/>
        </w:rPr>
        <w:t>1. Self-Awareness: The Foundation of Professional Efficacy</w:t>
      </w:r>
    </w:p>
    <w:p w14:paraId="42A16619" w14:textId="2BA7331F" w:rsidR="7A0121AC" w:rsidRDefault="7A0121AC" w:rsidP="11290DF3">
      <w:pPr>
        <w:rPr>
          <w:rFonts w:ascii="Arial" w:eastAsia="Arial" w:hAnsi="Arial" w:cs="Arial"/>
          <w:sz w:val="22"/>
          <w:szCs w:val="22"/>
        </w:rPr>
      </w:pPr>
      <w:r w:rsidRPr="11290DF3">
        <w:rPr>
          <w:rFonts w:ascii="Arial" w:eastAsia="Arial" w:hAnsi="Arial" w:cs="Arial"/>
          <w:color w:val="000000" w:themeColor="text1"/>
          <w:sz w:val="22"/>
          <w:szCs w:val="22"/>
        </w:rPr>
        <w:lastRenderedPageBreak/>
        <w:t>Self-awareness refers to the ability to identify and understand your emotions as they happen, which is crucial for functioning effectively in a workplace setting. Daniel Goleman emphasizes that self-awareness is a key component of emotional intelligence; without it, individuals may find themselves overwhelmed by their feelings. Employees who are highly self-aware can pick up on their internal signals, such as physical sensations that indicate an emotional response. For example, a project manager might notice a tightening in their chest during a tense conversation. By recognizing this sensation as a sign of anger, they can engage in meta-awareness, which allows them to step back and observe their thoughts rather than react impulsively. This level of awareness is vital in preventing what is known as an amygdala hijack, where strong emotional reactions can lead to unprofessional behavior or poor decision-making.</w:t>
      </w:r>
    </w:p>
    <w:p w14:paraId="60BEFD8F" w14:textId="1A8D792F" w:rsidR="11290DF3" w:rsidRDefault="11290DF3" w:rsidP="11290DF3">
      <w:pPr>
        <w:pStyle w:val="Title"/>
        <w:rPr>
          <w:rFonts w:ascii="Arial" w:eastAsia="Arial" w:hAnsi="Arial" w:cs="Arial"/>
          <w:b/>
          <w:bCs/>
          <w:sz w:val="22"/>
          <w:szCs w:val="22"/>
        </w:rPr>
      </w:pPr>
    </w:p>
    <w:p w14:paraId="659FC99D" w14:textId="79582AAD" w:rsidR="09712959" w:rsidRDefault="09712959" w:rsidP="11290DF3">
      <w:pPr>
        <w:pStyle w:val="Title"/>
        <w:rPr>
          <w:rFonts w:ascii="Arial" w:eastAsia="Arial" w:hAnsi="Arial" w:cs="Arial"/>
          <w:b/>
          <w:bCs/>
          <w:sz w:val="22"/>
          <w:szCs w:val="22"/>
        </w:rPr>
      </w:pPr>
      <w:r w:rsidRPr="11290DF3">
        <w:rPr>
          <w:rFonts w:ascii="Arial" w:eastAsia="Arial" w:hAnsi="Arial" w:cs="Arial"/>
          <w:b/>
          <w:bCs/>
          <w:sz w:val="22"/>
          <w:szCs w:val="22"/>
        </w:rPr>
        <w:t>2. Self-Regulation and the Management of Distressing Emotions</w:t>
      </w:r>
    </w:p>
    <w:p w14:paraId="5486F09B" w14:textId="279C7589" w:rsidR="5CD7EE99" w:rsidRDefault="5CD7EE99"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Self-regulation is essential for developing self-awareness, as it allows individuals to manage or redirect their disruptive emotions and impulses effectively. In the fast-paced environment of a corporate workplace, the ability to pause and reflect before responding is a hallmark of emotional maturity. Goleman points out that emotions do not always accurately represent reality; through self-regulation, employees can acknowledge their frustrations without letting those feelings interfere with their decision-making. </w:t>
      </w:r>
    </w:p>
    <w:p w14:paraId="67AECED1" w14:textId="7097C618" w:rsidR="5CD7EE99" w:rsidRDefault="5CD7EE99" w:rsidP="11290DF3">
      <w:pPr>
        <w:rPr>
          <w:rFonts w:ascii="Arial" w:eastAsia="Arial" w:hAnsi="Arial" w:cs="Arial"/>
          <w:sz w:val="22"/>
          <w:szCs w:val="22"/>
        </w:rPr>
      </w:pPr>
      <w:r w:rsidRPr="11290DF3">
        <w:rPr>
          <w:rFonts w:ascii="Arial" w:eastAsia="Arial" w:hAnsi="Arial" w:cs="Arial"/>
          <w:color w:val="000000" w:themeColor="text1"/>
          <w:sz w:val="22"/>
          <w:szCs w:val="22"/>
        </w:rPr>
        <w:t xml:space="preserve">Furthermore, self-regulation is a finite resource, much like a muscle that can become fatigued from excessive stress or strain. In his book, Focus: The Hidden Driver of Excellence, Goleman notes that individuals who are conscious of their mental workload can handle their emotions more adeptly, thereby avoiding costly errors during high-pressure situations. This feeling of being overwhelmed stands in stark contrast to the state of flow, where individuals </w:t>
      </w:r>
      <w:proofErr w:type="gramStart"/>
      <w:r w:rsidRPr="11290DF3">
        <w:rPr>
          <w:rFonts w:ascii="Arial" w:eastAsia="Arial" w:hAnsi="Arial" w:cs="Arial"/>
          <w:color w:val="000000" w:themeColor="text1"/>
          <w:sz w:val="22"/>
          <w:szCs w:val="22"/>
        </w:rPr>
        <w:t>are able to</w:t>
      </w:r>
      <w:proofErr w:type="gramEnd"/>
      <w:r w:rsidRPr="11290DF3">
        <w:rPr>
          <w:rFonts w:ascii="Arial" w:eastAsia="Arial" w:hAnsi="Arial" w:cs="Arial"/>
          <w:color w:val="000000" w:themeColor="text1"/>
          <w:sz w:val="22"/>
          <w:szCs w:val="22"/>
        </w:rPr>
        <w:t xml:space="preserve"> perform at their peak.</w:t>
      </w:r>
    </w:p>
    <w:p w14:paraId="2893CA4B" w14:textId="03F591D6" w:rsidR="11290DF3" w:rsidRDefault="11290DF3" w:rsidP="11290DF3">
      <w:pPr>
        <w:pStyle w:val="Title"/>
        <w:rPr>
          <w:rFonts w:ascii="Arial" w:eastAsia="Arial" w:hAnsi="Arial" w:cs="Arial"/>
          <w:b/>
          <w:bCs/>
          <w:sz w:val="22"/>
          <w:szCs w:val="22"/>
        </w:rPr>
      </w:pPr>
    </w:p>
    <w:p w14:paraId="0520A5A0" w14:textId="417193DE" w:rsidR="6B979C2F" w:rsidRDefault="6B979C2F" w:rsidP="11290DF3">
      <w:pPr>
        <w:pStyle w:val="Title"/>
        <w:rPr>
          <w:rFonts w:ascii="Arial" w:eastAsia="Arial" w:hAnsi="Arial" w:cs="Arial"/>
          <w:b/>
          <w:bCs/>
          <w:sz w:val="22"/>
          <w:szCs w:val="22"/>
        </w:rPr>
      </w:pPr>
      <w:r w:rsidRPr="11290DF3">
        <w:rPr>
          <w:rFonts w:ascii="Arial" w:eastAsia="Arial" w:hAnsi="Arial" w:cs="Arial"/>
          <w:b/>
          <w:bCs/>
          <w:sz w:val="22"/>
          <w:szCs w:val="22"/>
        </w:rPr>
        <w:t>3. Internal Motivation: Beyond External Rewards</w:t>
      </w:r>
    </w:p>
    <w:p w14:paraId="5439A060" w14:textId="688BC896" w:rsidR="73D145E3" w:rsidRDefault="73D145E3"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While many workers are motivated by external factors such as paychecks or job titles, those with high emotional intelligence (EI) tend to be fueled by intrinsic motivation. This type of motivation is characterized by a genuine passion for their work that transcends financial rewards or social recognition. It reflects a desire to grow and a strong dedication to the goals of their organization. This intrinsic drive is particularly important for resilience in the face of challenges. When a project does not go as planned, an employee with high EI is able to leverage their emotional skills to maintain a sense of hope, which is defined as the belief that they possess both </w:t>
      </w:r>
      <w:proofErr w:type="gramStart"/>
      <w:r w:rsidRPr="11290DF3">
        <w:rPr>
          <w:rFonts w:ascii="Arial" w:eastAsia="Arial" w:hAnsi="Arial" w:cs="Arial"/>
          <w:color w:val="000000" w:themeColor="text1"/>
          <w:sz w:val="22"/>
          <w:szCs w:val="22"/>
        </w:rPr>
        <w:t>the determination</w:t>
      </w:r>
      <w:proofErr w:type="gramEnd"/>
      <w:r w:rsidRPr="11290DF3">
        <w:rPr>
          <w:rFonts w:ascii="Arial" w:eastAsia="Arial" w:hAnsi="Arial" w:cs="Arial"/>
          <w:color w:val="000000" w:themeColor="text1"/>
          <w:sz w:val="22"/>
          <w:szCs w:val="22"/>
        </w:rPr>
        <w:t xml:space="preserve"> and the means to achieve their objectives. They are more likely to see failures as valuable lessons rather than personal failures, which is a crucial mindset for sustaining a successful career in the unpredictable job market of 2026.</w:t>
      </w:r>
    </w:p>
    <w:p w14:paraId="69262E16" w14:textId="7B039818" w:rsidR="11290DF3" w:rsidRDefault="11290DF3" w:rsidP="11290DF3">
      <w:pPr>
        <w:pStyle w:val="Title"/>
        <w:rPr>
          <w:rFonts w:ascii="Arial" w:eastAsia="Arial" w:hAnsi="Arial" w:cs="Arial"/>
          <w:b/>
          <w:bCs/>
          <w:sz w:val="22"/>
          <w:szCs w:val="22"/>
        </w:rPr>
      </w:pPr>
    </w:p>
    <w:p w14:paraId="0796C8DD" w14:textId="6BB94F62" w:rsidR="73D145E3" w:rsidRDefault="73D145E3" w:rsidP="11290DF3">
      <w:pPr>
        <w:pStyle w:val="Title"/>
        <w:rPr>
          <w:rFonts w:ascii="Arial" w:eastAsia="Arial" w:hAnsi="Arial" w:cs="Arial"/>
          <w:b/>
          <w:bCs/>
          <w:sz w:val="22"/>
          <w:szCs w:val="22"/>
        </w:rPr>
      </w:pPr>
      <w:r w:rsidRPr="11290DF3">
        <w:rPr>
          <w:rFonts w:ascii="Arial" w:eastAsia="Arial" w:hAnsi="Arial" w:cs="Arial"/>
          <w:b/>
          <w:bCs/>
          <w:sz w:val="22"/>
          <w:szCs w:val="22"/>
        </w:rPr>
        <w:t>4. Empathy: The "Social Radar" of the Modern Office</w:t>
      </w:r>
    </w:p>
    <w:p w14:paraId="54449731" w14:textId="5ED8E06B" w:rsidR="654A8F7F" w:rsidRDefault="654A8F7F"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Empathy refers to the capacity to comprehend the emotional states of others and respond appropriately to their feelings. According to Goleman, there are three key types of empathy that play a crucial role in the workplace. </w:t>
      </w:r>
    </w:p>
    <w:p w14:paraId="4904F490" w14:textId="280297D8" w:rsidR="654A8F7F" w:rsidRDefault="654A8F7F" w:rsidP="11290DF3">
      <w:pPr>
        <w:pStyle w:val="ListParagraph"/>
        <w:numPr>
          <w:ilvl w:val="0"/>
          <w:numId w:val="3"/>
        </w:numPr>
        <w:rPr>
          <w:rFonts w:ascii="Arial" w:eastAsia="Arial" w:hAnsi="Arial" w:cs="Arial"/>
          <w:sz w:val="22"/>
          <w:szCs w:val="22"/>
        </w:rPr>
      </w:pPr>
      <w:r w:rsidRPr="11290DF3">
        <w:rPr>
          <w:rFonts w:ascii="Arial" w:eastAsia="Arial" w:hAnsi="Arial" w:cs="Arial"/>
          <w:color w:val="000000" w:themeColor="text1"/>
          <w:sz w:val="22"/>
          <w:szCs w:val="22"/>
        </w:rPr>
        <w:lastRenderedPageBreak/>
        <w:t>The first is cognitive empathy, which involves grasping another person's viewpoint. This skill is essential for effective negotiations and management, as it enables leaders to anticipate how their team may react to changes in policies or procedures.</w:t>
      </w:r>
    </w:p>
    <w:p w14:paraId="02F96A9B" w14:textId="14902B98" w:rsidR="654A8F7F" w:rsidRDefault="654A8F7F" w:rsidP="11290DF3">
      <w:pPr>
        <w:pStyle w:val="ListParagraph"/>
        <w:numPr>
          <w:ilvl w:val="0"/>
          <w:numId w:val="3"/>
        </w:numPr>
        <w:rPr>
          <w:rFonts w:ascii="Arial" w:eastAsia="Arial" w:hAnsi="Arial" w:cs="Arial"/>
          <w:sz w:val="22"/>
          <w:szCs w:val="22"/>
        </w:rPr>
      </w:pPr>
      <w:r w:rsidRPr="11290DF3">
        <w:rPr>
          <w:rFonts w:ascii="Arial" w:eastAsia="Arial" w:hAnsi="Arial" w:cs="Arial"/>
          <w:color w:val="000000" w:themeColor="text1"/>
          <w:sz w:val="22"/>
          <w:szCs w:val="22"/>
        </w:rPr>
        <w:t xml:space="preserve"> The second type is emotional empathy, which creates a connection that allows one to experience the emotions of another person. This form of empathy fosters strong relationships and trust among colleagues. </w:t>
      </w:r>
    </w:p>
    <w:p w14:paraId="2EEDBB2E" w14:textId="0737A45A" w:rsidR="654A8F7F" w:rsidRDefault="654A8F7F" w:rsidP="11290DF3">
      <w:pPr>
        <w:pStyle w:val="ListParagraph"/>
        <w:numPr>
          <w:ilvl w:val="0"/>
          <w:numId w:val="3"/>
        </w:numPr>
        <w:rPr>
          <w:rFonts w:ascii="Arial" w:eastAsia="Arial" w:hAnsi="Arial" w:cs="Arial"/>
          <w:sz w:val="22"/>
          <w:szCs w:val="22"/>
        </w:rPr>
      </w:pPr>
      <w:r w:rsidRPr="11290DF3">
        <w:rPr>
          <w:rFonts w:ascii="Arial" w:eastAsia="Arial" w:hAnsi="Arial" w:cs="Arial"/>
          <w:color w:val="000000" w:themeColor="text1"/>
          <w:sz w:val="22"/>
          <w:szCs w:val="22"/>
        </w:rPr>
        <w:t xml:space="preserve">Lastly, empathic concern, or compassion, extends beyond mere understanding and feeling; it encompasses the genuine desire to assist others. In a team environment, this can be seen when a member supports a colleague facing personal challenges or professional obstacles. </w:t>
      </w:r>
    </w:p>
    <w:p w14:paraId="72CDD9E4" w14:textId="5B2E9781" w:rsidR="654A8F7F" w:rsidRDefault="654A8F7F"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When empathy is lacking, it can result in "dissonant" leadership, where a manager becomes disconnected from the emotional dynamics of their team, leading to disengagement and increased turnover rates. Research indicates that if individuals are not in tune with their own emotions, they will struggle to recognize and interpret the emotions of those around them.</w:t>
      </w:r>
    </w:p>
    <w:p w14:paraId="29BCC712" w14:textId="2E02CA9B" w:rsidR="4A6E3DA4" w:rsidRDefault="4A6E3DA4" w:rsidP="11290DF3">
      <w:pPr>
        <w:pStyle w:val="Title"/>
        <w:rPr>
          <w:rFonts w:ascii="Arial" w:eastAsia="Arial" w:hAnsi="Arial" w:cs="Arial"/>
          <w:b/>
          <w:bCs/>
          <w:sz w:val="22"/>
          <w:szCs w:val="22"/>
        </w:rPr>
      </w:pPr>
      <w:r w:rsidRPr="11290DF3">
        <w:rPr>
          <w:rFonts w:ascii="Arial" w:eastAsia="Arial" w:hAnsi="Arial" w:cs="Arial"/>
          <w:b/>
          <w:bCs/>
          <w:sz w:val="22"/>
          <w:szCs w:val="22"/>
        </w:rPr>
        <w:t>5. Social Skills and Relationship Management</w:t>
      </w:r>
    </w:p>
    <w:p w14:paraId="2D1446EA" w14:textId="11D9CC6C" w:rsidR="5958BA90" w:rsidRDefault="5958BA90"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Social skills represent the integration of four essential components, embodying the idea of "friendliness with a purpose" essentially guiding others toward a desired outcome. In a workplace setting, this translates into several key areas.</w:t>
      </w:r>
    </w:p>
    <w:p w14:paraId="7805C1E2" w14:textId="323F30E1" w:rsidR="5958BA90" w:rsidRDefault="5958BA90" w:rsidP="11290DF3">
      <w:pPr>
        <w:pStyle w:val="ListParagraph"/>
        <w:numPr>
          <w:ilvl w:val="0"/>
          <w:numId w:val="2"/>
        </w:numPr>
        <w:rPr>
          <w:rFonts w:ascii="Arial" w:eastAsia="Arial" w:hAnsi="Arial" w:cs="Arial"/>
          <w:sz w:val="22"/>
          <w:szCs w:val="22"/>
        </w:rPr>
      </w:pPr>
      <w:r w:rsidRPr="11290DF3">
        <w:rPr>
          <w:rFonts w:ascii="Arial" w:eastAsia="Arial" w:hAnsi="Arial" w:cs="Arial"/>
          <w:color w:val="000000" w:themeColor="text1"/>
          <w:sz w:val="22"/>
          <w:szCs w:val="22"/>
        </w:rPr>
        <w:t xml:space="preserve"> First, influence plays a crucial role, as it involves employing effective persuasion techniques to sway opinions and actions. </w:t>
      </w:r>
    </w:p>
    <w:p w14:paraId="3E334D31" w14:textId="2D12EE31" w:rsidR="5958BA90" w:rsidRDefault="5958BA90" w:rsidP="11290DF3">
      <w:pPr>
        <w:pStyle w:val="ListParagraph"/>
        <w:numPr>
          <w:ilvl w:val="0"/>
          <w:numId w:val="2"/>
        </w:numPr>
        <w:rPr>
          <w:rFonts w:ascii="Arial" w:eastAsia="Arial" w:hAnsi="Arial" w:cs="Arial"/>
          <w:sz w:val="22"/>
          <w:szCs w:val="22"/>
        </w:rPr>
      </w:pPr>
      <w:r w:rsidRPr="11290DF3">
        <w:rPr>
          <w:rFonts w:ascii="Arial" w:eastAsia="Arial" w:hAnsi="Arial" w:cs="Arial"/>
          <w:color w:val="000000" w:themeColor="text1"/>
          <w:sz w:val="22"/>
          <w:szCs w:val="22"/>
        </w:rPr>
        <w:t xml:space="preserve"> </w:t>
      </w:r>
      <w:r w:rsidR="68783037" w:rsidRPr="11290DF3">
        <w:rPr>
          <w:rFonts w:ascii="Arial" w:eastAsia="Arial" w:hAnsi="Arial" w:cs="Arial"/>
          <w:color w:val="000000" w:themeColor="text1"/>
          <w:sz w:val="22"/>
          <w:szCs w:val="22"/>
        </w:rPr>
        <w:t>Conflict</w:t>
      </w:r>
      <w:r w:rsidRPr="11290DF3">
        <w:rPr>
          <w:rFonts w:ascii="Arial" w:eastAsia="Arial" w:hAnsi="Arial" w:cs="Arial"/>
          <w:color w:val="000000" w:themeColor="text1"/>
          <w:sz w:val="22"/>
          <w:szCs w:val="22"/>
        </w:rPr>
        <w:t xml:space="preserve"> management is vital; it requires the ability to negotiate and resolve disagreements in a way that maintains relationships and fosters collaboration. </w:t>
      </w:r>
    </w:p>
    <w:p w14:paraId="376A15B4" w14:textId="200C05B0" w:rsidR="6C949304" w:rsidRDefault="6C949304" w:rsidP="11290DF3">
      <w:pPr>
        <w:pStyle w:val="ListParagraph"/>
        <w:numPr>
          <w:ilvl w:val="0"/>
          <w:numId w:val="2"/>
        </w:numPr>
        <w:rPr>
          <w:rFonts w:ascii="Arial" w:eastAsia="Arial" w:hAnsi="Arial" w:cs="Arial"/>
          <w:sz w:val="22"/>
          <w:szCs w:val="22"/>
        </w:rPr>
      </w:pPr>
      <w:r w:rsidRPr="11290DF3">
        <w:rPr>
          <w:rFonts w:ascii="Arial" w:eastAsia="Arial" w:hAnsi="Arial" w:cs="Arial"/>
          <w:color w:val="000000" w:themeColor="text1"/>
          <w:sz w:val="22"/>
          <w:szCs w:val="22"/>
        </w:rPr>
        <w:t>T</w:t>
      </w:r>
      <w:r w:rsidR="5958BA90" w:rsidRPr="11290DF3">
        <w:rPr>
          <w:rFonts w:ascii="Arial" w:eastAsia="Arial" w:hAnsi="Arial" w:cs="Arial"/>
          <w:color w:val="000000" w:themeColor="text1"/>
          <w:sz w:val="22"/>
          <w:szCs w:val="22"/>
        </w:rPr>
        <w:t xml:space="preserve">eam capabilities are important, as they focus on creating a sense of synergy among group members, enabling them to work together effectively toward shared objectives. </w:t>
      </w:r>
    </w:p>
    <w:p w14:paraId="74CB0592" w14:textId="2EC1888B" w:rsidR="5958BA90" w:rsidRDefault="5958BA90"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According to the Mayer-Salovey-Caruso model, this aspect of social skills falls under the "Managing Emotions" category, where individuals skillfully incorporate emotional intelligence into their interactions to achieve favorable results. This distinction is significant, as it highlights the difference between a manager who simply demands compliance and one who actively seeks to build consensus and cooperation</w:t>
      </w:r>
    </w:p>
    <w:p w14:paraId="5B645267" w14:textId="73714A93" w:rsidR="7C4BD1A9" w:rsidRDefault="7C4BD1A9" w:rsidP="11290DF3">
      <w:pPr>
        <w:pStyle w:val="Title"/>
        <w:rPr>
          <w:rFonts w:ascii="Arial" w:eastAsia="Arial" w:hAnsi="Arial" w:cs="Arial"/>
          <w:b/>
          <w:bCs/>
          <w:sz w:val="22"/>
          <w:szCs w:val="22"/>
        </w:rPr>
      </w:pPr>
      <w:r w:rsidRPr="11290DF3">
        <w:rPr>
          <w:rFonts w:ascii="Arial" w:eastAsia="Arial" w:hAnsi="Arial" w:cs="Arial"/>
          <w:b/>
          <w:bCs/>
          <w:sz w:val="22"/>
          <w:szCs w:val="22"/>
        </w:rPr>
        <w:t>6. The "Ability" Perspective: Data Processing of Affect</w:t>
      </w:r>
    </w:p>
    <w:p w14:paraId="5237C927" w14:textId="16E0E4E7" w:rsidR="7CA35189" w:rsidRDefault="7CA35189"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Goleman’s model of emotional intelligence (EI) is commonly referenced in human resources, but the Mayer-Salovey-Caruso Emotional Intelligence Test (MSCEIT) offers a more clinical perspective on the concept. According to </w:t>
      </w:r>
      <w:r w:rsidR="4221A539" w:rsidRPr="11290DF3">
        <w:rPr>
          <w:rFonts w:ascii="Arial" w:eastAsia="Arial" w:hAnsi="Arial" w:cs="Arial"/>
          <w:color w:val="000000" w:themeColor="text1"/>
          <w:sz w:val="22"/>
          <w:szCs w:val="22"/>
        </w:rPr>
        <w:t>MSCEIT</w:t>
      </w:r>
      <w:r w:rsidRPr="11290DF3">
        <w:rPr>
          <w:rFonts w:ascii="Arial" w:eastAsia="Arial" w:hAnsi="Arial" w:cs="Arial"/>
          <w:color w:val="000000" w:themeColor="text1"/>
          <w:sz w:val="22"/>
          <w:szCs w:val="22"/>
        </w:rPr>
        <w:t xml:space="preserve">, emotional intelligence comprises four key cognitive abilities: perceiving, using, understanding, and managing emotions. In a workplace setting, the ability to perceive emotions is foundational; it involves recognizing feelings in facial expressions, artwork, and narratives. For instance, if an employee fails to notice that a client is growing frustrated, they risk jeopardizing the business relationship. The second ability, using emotions to facilitate thought, entails harnessing specific emotional states to enhance performance on tasks. For example, an employee might tap into a somber or serious mood to conduct a detailed audit, where precision is crucial. This sophisticated application of emotional </w:t>
      </w:r>
      <w:r w:rsidRPr="11290DF3">
        <w:rPr>
          <w:rFonts w:ascii="Arial" w:eastAsia="Arial" w:hAnsi="Arial" w:cs="Arial"/>
          <w:color w:val="000000" w:themeColor="text1"/>
          <w:sz w:val="22"/>
          <w:szCs w:val="22"/>
        </w:rPr>
        <w:lastRenderedPageBreak/>
        <w:t xml:space="preserve">intelligence illustrates that it extends beyond mere kindness; it involves leveraging the brain's emotional centers as advanced tools for processing information and making informed decisions. </w:t>
      </w:r>
    </w:p>
    <w:p w14:paraId="0452521F" w14:textId="5CAA8B71" w:rsidR="2A904451" w:rsidRDefault="2A904451" w:rsidP="11290DF3">
      <w:pPr>
        <w:pStyle w:val="Heading1"/>
        <w:rPr>
          <w:rFonts w:ascii="Arial" w:eastAsia="Arial" w:hAnsi="Arial" w:cs="Arial"/>
          <w:b/>
          <w:bCs/>
          <w:sz w:val="22"/>
          <w:szCs w:val="22"/>
        </w:rPr>
      </w:pPr>
      <w:bookmarkStart w:id="3" w:name="_Toc1855708525"/>
      <w:r w:rsidRPr="11290DF3">
        <w:rPr>
          <w:rFonts w:ascii="Arial" w:eastAsia="Arial" w:hAnsi="Arial" w:cs="Arial"/>
          <w:b/>
          <w:bCs/>
          <w:sz w:val="22"/>
          <w:szCs w:val="22"/>
        </w:rPr>
        <w:t>Recruitment and Generational Characteristics in the Work Environment</w:t>
      </w:r>
      <w:bookmarkEnd w:id="3"/>
    </w:p>
    <w:p w14:paraId="762680A7" w14:textId="3C88751F" w:rsidR="49EE81EA" w:rsidRDefault="49EE81EA"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To successfully recruit and keep a talented workforce in 2026, companies need to go beyond just evaluating technical skills. They must understand the generational differences and the emotional intelligence (EQ) traits that come with each age group. As workplaces become more automated and influenced by AI, how different generations perceive and respond to emotions will be crucial for success. Managers should be aware that Generations X, Y, and Z each have unique expectations and attitudes shaped by the social and technological changes they experienced growing up.</w:t>
      </w:r>
    </w:p>
    <w:p w14:paraId="141AD7EE" w14:textId="32CA031C" w:rsidR="49EE81EA" w:rsidRDefault="49EE81EA" w:rsidP="11290DF3">
      <w:pPr>
        <w:pStyle w:val="Title"/>
        <w:rPr>
          <w:rFonts w:ascii="Arial" w:eastAsia="Arial" w:hAnsi="Arial" w:cs="Arial"/>
          <w:b/>
          <w:bCs/>
          <w:sz w:val="22"/>
          <w:szCs w:val="22"/>
        </w:rPr>
      </w:pPr>
      <w:r w:rsidRPr="11290DF3">
        <w:rPr>
          <w:rFonts w:ascii="Arial" w:eastAsia="Arial" w:hAnsi="Arial" w:cs="Arial"/>
          <w:b/>
          <w:bCs/>
          <w:sz w:val="22"/>
          <w:szCs w:val="22"/>
        </w:rPr>
        <w:t>Generation X: The Independent Pragmatists (Born c. 1965–1980)</w:t>
      </w:r>
    </w:p>
    <w:p w14:paraId="59D51410" w14:textId="17CBA975" w:rsidR="41F9D784" w:rsidRDefault="41F9D784"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Generation X entered the workforce during a period marked by corporate downsizing and economic instability, which significantly influenced their development of independence and a healthy skepticism towards conventional authority figures. When considering job opportunities, Gen X candidates prioritize autonomy and emotional intelligence, often demonstrating exceptional self-management skills by effectively separating their personal emotions from their professional duties. This ability aligns with the adult ego state in transactional analysis, highlighting their maturity in the workplace. Recruiters should look for individuals who possess a strong internal focus, enabling them to make decisions based on their values and instincts rather than seeking constant validation from others. As many members of Generation X occupy senior management roles, their emotional intelligence plays a vital role in navigating complex organizational dynamics. </w:t>
      </w:r>
    </w:p>
    <w:p w14:paraId="01FE95DA" w14:textId="638CA992" w:rsidR="41F9D784" w:rsidRDefault="41F9D784" w:rsidP="11290DF3">
      <w:pPr>
        <w:rPr>
          <w:rFonts w:ascii="Arial" w:eastAsia="Arial" w:hAnsi="Arial" w:cs="Arial"/>
          <w:sz w:val="22"/>
          <w:szCs w:val="22"/>
        </w:rPr>
      </w:pPr>
      <w:r w:rsidRPr="11290DF3">
        <w:rPr>
          <w:rFonts w:ascii="Arial" w:eastAsia="Arial" w:hAnsi="Arial" w:cs="Arial"/>
          <w:color w:val="000000" w:themeColor="text1"/>
          <w:sz w:val="22"/>
          <w:szCs w:val="22"/>
        </w:rPr>
        <w:t>They perceive work-life balance not merely as a perk but as a fundamental aspect of their emotional health. Consequently, recruitment strategies should emphasize the meaningful impact of their contributions and provide them with the autonomy to lead without the constraints of micromanagement.</w:t>
      </w:r>
    </w:p>
    <w:p w14:paraId="0BBE37A8" w14:textId="0DE35922" w:rsidR="5DF4D1E9" w:rsidRDefault="5DF4D1E9" w:rsidP="11290DF3">
      <w:pPr>
        <w:pStyle w:val="Title"/>
        <w:rPr>
          <w:rFonts w:ascii="Arial" w:eastAsia="Arial" w:hAnsi="Arial" w:cs="Arial"/>
          <w:b/>
          <w:bCs/>
          <w:sz w:val="22"/>
          <w:szCs w:val="22"/>
        </w:rPr>
      </w:pPr>
      <w:r w:rsidRPr="11290DF3">
        <w:rPr>
          <w:rFonts w:ascii="Arial" w:eastAsia="Arial" w:hAnsi="Arial" w:cs="Arial"/>
          <w:b/>
          <w:bCs/>
          <w:sz w:val="22"/>
          <w:szCs w:val="22"/>
        </w:rPr>
        <w:t>Generation Y / Millennials: The Purpose-Driven Collaborators (Born c. 1981–1996)</w:t>
      </w:r>
    </w:p>
    <w:p w14:paraId="52EE9FEF" w14:textId="409C6F79" w:rsidR="663E0C57" w:rsidRDefault="663E0C57"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Millennials have transformed the workplace by emphasizing that employment should offer more than just a salary; they seek a sense of purpose and emotional connection in their jobs. This generation was one of the first to be introduced to the concept of Emotional Intelligence early in their professional lives, which has shaped their expectations for leaders to demonstrate social awareness and empathy.</w:t>
      </w:r>
    </w:p>
    <w:p w14:paraId="5C2C3BEF" w14:textId="4DE1A63F" w:rsidR="663E0C57" w:rsidRDefault="663E0C57" w:rsidP="11290DF3">
      <w:pPr>
        <w:rPr>
          <w:rFonts w:ascii="Arial" w:eastAsia="Arial" w:hAnsi="Arial" w:cs="Arial"/>
          <w:sz w:val="22"/>
          <w:szCs w:val="22"/>
        </w:rPr>
      </w:pPr>
      <w:r w:rsidRPr="11290DF3">
        <w:rPr>
          <w:rFonts w:ascii="Arial" w:eastAsia="Arial" w:hAnsi="Arial" w:cs="Arial"/>
          <w:color w:val="000000" w:themeColor="text1"/>
          <w:sz w:val="22"/>
          <w:szCs w:val="22"/>
        </w:rPr>
        <w:t xml:space="preserve"> In the recruitment process, companies must highlight their visionary and supportive leadership styles, as Millennials are drawn to work environments that prioritize emotional bonds over rigid hierarchies. During interviews, Millennials evaluate the emotional intelligence of recruiters just as thoroughly as recruiters assess their qualifications. They are on the lookout for opportunities that promote personal development while aligning with the organization’s objectives. To maintain the engagement of Millennial employees, managers should focus on active listening and provide consistent, meaningful feedback. As emphasized in the book Primal Leadership, </w:t>
      </w:r>
      <w:r w:rsidRPr="11290DF3">
        <w:rPr>
          <w:rFonts w:ascii="Arial" w:eastAsia="Arial" w:hAnsi="Arial" w:cs="Arial"/>
          <w:color w:val="000000" w:themeColor="text1"/>
          <w:sz w:val="22"/>
          <w:szCs w:val="22"/>
        </w:rPr>
        <w:lastRenderedPageBreak/>
        <w:t>Millennials thrive in workplaces where leaders foster a positive environment that encourages everyone to excel.</w:t>
      </w:r>
    </w:p>
    <w:p w14:paraId="05BD73F0" w14:textId="3908B0B0" w:rsidR="11290DF3" w:rsidRDefault="11290DF3" w:rsidP="11290DF3">
      <w:pPr>
        <w:pStyle w:val="Title"/>
        <w:rPr>
          <w:rFonts w:ascii="Arial" w:eastAsia="Arial" w:hAnsi="Arial" w:cs="Arial"/>
          <w:b/>
          <w:bCs/>
          <w:sz w:val="22"/>
          <w:szCs w:val="22"/>
        </w:rPr>
      </w:pPr>
    </w:p>
    <w:p w14:paraId="391222AA" w14:textId="52586C80" w:rsidR="11290DF3" w:rsidRDefault="11290DF3" w:rsidP="11290DF3">
      <w:pPr>
        <w:pStyle w:val="Title"/>
        <w:rPr>
          <w:rFonts w:ascii="Arial" w:eastAsia="Arial" w:hAnsi="Arial" w:cs="Arial"/>
          <w:b/>
          <w:bCs/>
          <w:sz w:val="22"/>
          <w:szCs w:val="22"/>
        </w:rPr>
      </w:pPr>
    </w:p>
    <w:p w14:paraId="4BEDA282" w14:textId="37338BDF" w:rsidR="11290DF3" w:rsidRDefault="11290DF3" w:rsidP="11290DF3">
      <w:pPr>
        <w:pStyle w:val="Title"/>
        <w:rPr>
          <w:rFonts w:ascii="Arial" w:eastAsia="Arial" w:hAnsi="Arial" w:cs="Arial"/>
          <w:b/>
          <w:bCs/>
          <w:sz w:val="22"/>
          <w:szCs w:val="22"/>
        </w:rPr>
      </w:pPr>
    </w:p>
    <w:p w14:paraId="01203434" w14:textId="71EFBDDB" w:rsidR="59D1B395" w:rsidRDefault="59D1B395" w:rsidP="11290DF3">
      <w:pPr>
        <w:pStyle w:val="Title"/>
        <w:rPr>
          <w:rFonts w:ascii="Arial" w:eastAsia="Arial" w:hAnsi="Arial" w:cs="Arial"/>
          <w:b/>
          <w:bCs/>
          <w:sz w:val="22"/>
          <w:szCs w:val="22"/>
        </w:rPr>
      </w:pPr>
      <w:r w:rsidRPr="11290DF3">
        <w:rPr>
          <w:rFonts w:ascii="Arial" w:eastAsia="Arial" w:hAnsi="Arial" w:cs="Arial"/>
          <w:b/>
          <w:bCs/>
          <w:sz w:val="22"/>
          <w:szCs w:val="22"/>
        </w:rPr>
        <w:t>Generation Z: The Digital Natives and Social Conscious (Born c. 1997–2012)</w:t>
      </w:r>
    </w:p>
    <w:p w14:paraId="00B6A72F" w14:textId="0028A95F" w:rsidR="0010195D" w:rsidRDefault="0010195D"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Generation Z stands out as the most diverse and tech-savvy group to join the workforce, yet they also face significant emotional challenges stemming from the demands of a hyper-connected, social media-centric environment. For this generation, possessing Emotional Intelligence is not merely a desirable quality in leaders; it is essential for fostering a sense of psychological safety within the workplace. As organizations seek to attract Gen Z talent, they must clearly demonstrate their dedication to mental health, mindfulness, and social justice initiatives. </w:t>
      </w:r>
    </w:p>
    <w:p w14:paraId="64F605BB" w14:textId="50C7CC19" w:rsidR="0010195D" w:rsidRDefault="0010195D"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This generation is particularly sensitive to how companies influence the broader global landscape and societal issues. However, their social interactions have largely taken place through digital platforms, which can result in difficulties with interpreting subtle non-verbal cues and handling in-person conflicts. Therefore, recruitment strategies should prioritize candidates who exhibit meta-awareness, or the ability to recognize their own thoughts and emotions in real-time. Gen Z also prefers a democratic leadership style where their opinions are valued, regardless of their experience level. It is crucial for managers to understand that authenticity is paramount for this generation; any perceived deficiency in Emotional Intelligence among leadership can quickly lead to disengagement and a phenomenon known as quiet quitting.</w:t>
      </w:r>
    </w:p>
    <w:p w14:paraId="4548E203" w14:textId="7C360D1D" w:rsidR="0010195D" w:rsidRDefault="0010195D" w:rsidP="11290DF3">
      <w:pPr>
        <w:pStyle w:val="Title"/>
        <w:rPr>
          <w:rFonts w:ascii="Arial" w:eastAsia="Arial" w:hAnsi="Arial" w:cs="Arial"/>
          <w:b/>
          <w:bCs/>
          <w:sz w:val="22"/>
          <w:szCs w:val="22"/>
        </w:rPr>
      </w:pPr>
      <w:r w:rsidRPr="11290DF3">
        <w:rPr>
          <w:rFonts w:ascii="Arial" w:eastAsia="Arial" w:hAnsi="Arial" w:cs="Arial"/>
          <w:b/>
          <w:bCs/>
          <w:sz w:val="22"/>
          <w:szCs w:val="22"/>
        </w:rPr>
        <w:t xml:space="preserve">Strategic Integration: Managing </w:t>
      </w:r>
      <w:proofErr w:type="gramStart"/>
      <w:r w:rsidRPr="11290DF3">
        <w:rPr>
          <w:rFonts w:ascii="Arial" w:eastAsia="Arial" w:hAnsi="Arial" w:cs="Arial"/>
          <w:b/>
          <w:bCs/>
          <w:sz w:val="22"/>
          <w:szCs w:val="22"/>
        </w:rPr>
        <w:t>the Generational</w:t>
      </w:r>
      <w:proofErr w:type="gramEnd"/>
      <w:r w:rsidRPr="11290DF3">
        <w:rPr>
          <w:rFonts w:ascii="Arial" w:eastAsia="Arial" w:hAnsi="Arial" w:cs="Arial"/>
          <w:b/>
          <w:bCs/>
          <w:sz w:val="22"/>
          <w:szCs w:val="22"/>
        </w:rPr>
        <w:t xml:space="preserve"> Synergy</w:t>
      </w:r>
    </w:p>
    <w:p w14:paraId="13AA278D" w14:textId="0423229B" w:rsidR="05847049" w:rsidRDefault="05847049"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The most successful work environments in 2026 will be those that harness the emotional connections that span across different generations. Managers with high emotional intelligence understand that stress can impair our decision-making abilities, and while a fast-paced leadership approach may resonate with Generation X, it can overwhelm Generation Z, stifling their creativity. Therefore, recruitment efforts should aim to create high-performing teams where the emotional strengths of each generation enhance one another. For instance, the self-discipline and resilience characteristic of Gen X can serve as a grounding influence for the energetic and purpose-driven Millennials, as well as the socially aware Gen Z. In turn, the younger generations' keen social awareness can assist older managers in staying attuned to shifting cultural trends and the evolving needs of employees. By emphasizing emotional intelligence in the hiring process for all three generations, organizations can ensure they remain adaptable and capable of navigating change with both resilience and empathy.</w:t>
      </w:r>
    </w:p>
    <w:p w14:paraId="19C15B3D" w14:textId="4E665953" w:rsidR="6275AF97" w:rsidRDefault="6275AF97" w:rsidP="11290DF3">
      <w:pPr>
        <w:pStyle w:val="Heading1"/>
        <w:rPr>
          <w:rFonts w:ascii="Arial" w:eastAsia="Arial" w:hAnsi="Arial" w:cs="Arial"/>
          <w:b/>
          <w:bCs/>
          <w:sz w:val="22"/>
          <w:szCs w:val="22"/>
        </w:rPr>
      </w:pPr>
      <w:bookmarkStart w:id="4" w:name="_Toc1541741226"/>
      <w:r w:rsidRPr="11290DF3">
        <w:rPr>
          <w:rFonts w:ascii="Arial" w:eastAsia="Arial" w:hAnsi="Arial" w:cs="Arial"/>
          <w:b/>
          <w:bCs/>
          <w:sz w:val="22"/>
          <w:szCs w:val="22"/>
        </w:rPr>
        <w:t>Recommendations for the Senior Management Team</w:t>
      </w:r>
      <w:bookmarkEnd w:id="4"/>
    </w:p>
    <w:p w14:paraId="3FE115DE" w14:textId="6954FF37" w:rsidR="0D3CDABE" w:rsidRDefault="0D3CDABE"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To ensure that the Senior Management Team (SMT) effectively weaves Emotional Intelligence (EQ) and mindfulness into the organization by July 2026, several strategic recommendations are put forward. These strategies aim to create a workplace culture that values emotional awareness and present-moment focus, ultimately enhancing overall team performance and employee well-being.</w:t>
      </w:r>
    </w:p>
    <w:p w14:paraId="5D04A382" w14:textId="3EA9DF26" w:rsidR="089A2BD6" w:rsidRDefault="089A2BD6" w:rsidP="11290DF3">
      <w:pPr>
        <w:rPr>
          <w:rFonts w:ascii="Arial" w:eastAsia="Arial" w:hAnsi="Arial" w:cs="Arial"/>
          <w:color w:val="000000" w:themeColor="text1"/>
          <w:sz w:val="22"/>
          <w:szCs w:val="22"/>
        </w:rPr>
      </w:pPr>
      <w:r w:rsidRPr="11290DF3">
        <w:rPr>
          <w:rFonts w:ascii="Arial" w:eastAsia="Arial" w:hAnsi="Arial" w:cs="Arial"/>
          <w:b/>
          <w:bCs/>
          <w:color w:val="000000" w:themeColor="text1"/>
          <w:sz w:val="22"/>
          <w:szCs w:val="22"/>
        </w:rPr>
        <w:lastRenderedPageBreak/>
        <w:t>1</w:t>
      </w:r>
      <w:r w:rsidRPr="11290DF3">
        <w:rPr>
          <w:rFonts w:ascii="Arial" w:eastAsia="Arial" w:hAnsi="Arial" w:cs="Arial"/>
          <w:color w:val="000000" w:themeColor="text1"/>
          <w:sz w:val="22"/>
          <w:szCs w:val="22"/>
        </w:rPr>
        <w:t>. To make mindfulness a key skill, the SMT should support Attention Restoration programs. As Goleman points out, our ability to focus is limited and often challenged. By introducing ten-minute daily mindfulness sessions, the organization can help employees develop meta-awareness, which is the ability to recognize when their thoughts drift or when they are about to be overwhelmed by emotions. This practice encourages a shift from a reactive mindset to a more proactive and engaged approach to leadership.</w:t>
      </w:r>
    </w:p>
    <w:p w14:paraId="108E13D3" w14:textId="4B6D5B31" w:rsidR="4477854E" w:rsidRDefault="4477854E" w:rsidP="11290DF3">
      <w:pPr>
        <w:rPr>
          <w:rFonts w:ascii="Arial" w:eastAsia="Arial" w:hAnsi="Arial" w:cs="Arial"/>
          <w:color w:val="000000" w:themeColor="text1"/>
          <w:sz w:val="22"/>
          <w:szCs w:val="22"/>
        </w:rPr>
      </w:pPr>
      <w:r w:rsidRPr="11290DF3">
        <w:rPr>
          <w:rFonts w:ascii="Arial" w:eastAsia="Arial" w:hAnsi="Arial" w:cs="Arial"/>
          <w:b/>
          <w:bCs/>
          <w:color w:val="000000" w:themeColor="text1"/>
          <w:sz w:val="22"/>
          <w:szCs w:val="22"/>
        </w:rPr>
        <w:t>2.</w:t>
      </w:r>
      <w:r w:rsidRPr="11290DF3">
        <w:rPr>
          <w:rFonts w:ascii="Arial" w:eastAsia="Arial" w:hAnsi="Arial" w:cs="Arial"/>
          <w:color w:val="000000" w:themeColor="text1"/>
          <w:sz w:val="22"/>
          <w:szCs w:val="22"/>
        </w:rPr>
        <w:t xml:space="preserve"> To modernize recruitment and onboarding, organizations should move away from merely assessing basic skills and instead focus on the four key components of emotional intelligence: self-awareness, self-management, social awareness, and relationship management. By employing behavioral interview techniques and using validated tools like </w:t>
      </w:r>
      <w:proofErr w:type="gramStart"/>
      <w:r w:rsidRPr="11290DF3">
        <w:rPr>
          <w:rFonts w:ascii="Arial" w:eastAsia="Arial" w:hAnsi="Arial" w:cs="Arial"/>
          <w:color w:val="000000" w:themeColor="text1"/>
          <w:sz w:val="22"/>
          <w:szCs w:val="22"/>
        </w:rPr>
        <w:t>the MSCEIT</w:t>
      </w:r>
      <w:proofErr w:type="gramEnd"/>
      <w:r w:rsidRPr="11290DF3">
        <w:rPr>
          <w:rFonts w:ascii="Arial" w:eastAsia="Arial" w:hAnsi="Arial" w:cs="Arial"/>
          <w:color w:val="000000" w:themeColor="text1"/>
          <w:sz w:val="22"/>
          <w:szCs w:val="22"/>
        </w:rPr>
        <w:t>, employers can better identify candidates who have the social skills necessary for effective teamwork and collaboration. This approach not only enhances the hiring process but also fosters a more harmonious workplace environment.</w:t>
      </w:r>
    </w:p>
    <w:p w14:paraId="37D0751C" w14:textId="5FB652F5" w:rsidR="0E71A46B" w:rsidRDefault="0E71A46B" w:rsidP="11290DF3">
      <w:pPr>
        <w:rPr>
          <w:rFonts w:ascii="Arial" w:eastAsia="Arial" w:hAnsi="Arial" w:cs="Arial"/>
          <w:color w:val="000000" w:themeColor="text1"/>
          <w:sz w:val="22"/>
          <w:szCs w:val="22"/>
        </w:rPr>
      </w:pPr>
      <w:r w:rsidRPr="11290DF3">
        <w:rPr>
          <w:rFonts w:ascii="Arial" w:eastAsia="Arial" w:hAnsi="Arial" w:cs="Arial"/>
          <w:b/>
          <w:bCs/>
          <w:color w:val="000000" w:themeColor="text1"/>
          <w:sz w:val="22"/>
          <w:szCs w:val="22"/>
        </w:rPr>
        <w:t>3.</w:t>
      </w:r>
      <w:r w:rsidRPr="11290DF3">
        <w:rPr>
          <w:rFonts w:ascii="Arial" w:eastAsia="Arial" w:hAnsi="Arial" w:cs="Arial"/>
          <w:color w:val="000000" w:themeColor="text1"/>
          <w:sz w:val="22"/>
          <w:szCs w:val="22"/>
        </w:rPr>
        <w:t xml:space="preserve"> To bridge the gap between Generations X, Y, and Z, the SMT should adopt a Mixed Generation Mentoring framework. This approach allows Generation X leaders to share their expertise in navigating complex organizational structures, while Generation Z can provide valuable insights through reverse mentoring, focusing on digital empathy, and a broader global perspective. By fostering this collaborative environment, the organization can create a culture that appreciates the unique emotional strengths of each generation.</w:t>
      </w:r>
    </w:p>
    <w:p w14:paraId="03F70702" w14:textId="7FF4E104" w:rsidR="18602FBF" w:rsidRDefault="18602FBF" w:rsidP="11290DF3">
      <w:pPr>
        <w:rPr>
          <w:rFonts w:ascii="Arial" w:eastAsia="Arial" w:hAnsi="Arial" w:cs="Arial"/>
          <w:color w:val="000000" w:themeColor="text1"/>
          <w:sz w:val="22"/>
          <w:szCs w:val="22"/>
        </w:rPr>
      </w:pPr>
      <w:r w:rsidRPr="11290DF3">
        <w:rPr>
          <w:rFonts w:ascii="Arial" w:eastAsia="Arial" w:hAnsi="Arial" w:cs="Arial"/>
          <w:b/>
          <w:bCs/>
          <w:color w:val="000000" w:themeColor="text1"/>
          <w:sz w:val="22"/>
          <w:szCs w:val="22"/>
        </w:rPr>
        <w:t>4.</w:t>
      </w:r>
      <w:r w:rsidRPr="11290DF3">
        <w:rPr>
          <w:rFonts w:ascii="Arial" w:eastAsia="Arial" w:hAnsi="Arial" w:cs="Arial"/>
          <w:color w:val="000000" w:themeColor="text1"/>
          <w:sz w:val="22"/>
          <w:szCs w:val="22"/>
        </w:rPr>
        <w:t xml:space="preserve"> Cultivate Emotionally Adaptive Leadership Training for leaders should focus on adaptability. Managers need to learn how to switch between different leadership styles Visionary, Coaching, Affiliative, Democratic, Pacesetting, and Commanding based on the emotional demands of each situation. By emphasizing empathy and understanding over just intellectual awareness, leaders can foster a strong sense of trust within their teams, helping them navigate through challenging times and organizational changes.</w:t>
      </w:r>
    </w:p>
    <w:p w14:paraId="2FE03A0D" w14:textId="17ED9684" w:rsidR="3B7A4D7B" w:rsidRDefault="3B7A4D7B" w:rsidP="11290DF3">
      <w:pPr>
        <w:pStyle w:val="Heading1"/>
        <w:rPr>
          <w:rFonts w:ascii="Arial" w:eastAsia="Arial" w:hAnsi="Arial" w:cs="Arial"/>
          <w:b/>
          <w:bCs/>
          <w:color w:val="000000" w:themeColor="text1"/>
          <w:sz w:val="22"/>
          <w:szCs w:val="22"/>
        </w:rPr>
      </w:pPr>
      <w:bookmarkStart w:id="5" w:name="_Toc663379379"/>
      <w:r w:rsidRPr="11290DF3">
        <w:rPr>
          <w:rFonts w:ascii="Arial" w:eastAsia="Arial" w:hAnsi="Arial" w:cs="Arial"/>
          <w:b/>
          <w:bCs/>
          <w:sz w:val="22"/>
          <w:szCs w:val="22"/>
        </w:rPr>
        <w:t>Conclusion</w:t>
      </w:r>
      <w:bookmarkEnd w:id="5"/>
      <w:r w:rsidRPr="11290DF3">
        <w:rPr>
          <w:rFonts w:ascii="Arial" w:eastAsia="Arial" w:hAnsi="Arial" w:cs="Arial"/>
          <w:b/>
          <w:bCs/>
          <w:sz w:val="22"/>
          <w:szCs w:val="22"/>
        </w:rPr>
        <w:t xml:space="preserve"> </w:t>
      </w:r>
    </w:p>
    <w:p w14:paraId="44C5F26A" w14:textId="5EC68C57" w:rsidR="3B7A4D7B" w:rsidRDefault="3B7A4D7B"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In the rapidly changing organizational environment of 2026, it has become clear that Emotional Intelligence (EQ) and mindfulness are essential skills that drive sustainable competitive advantage rather than just being additional soft skills. Research by Daniel Goleman highlights that as individuals ascend the corporate ladder, the importance of emotional intelligence increases significantly; in fact, for those in senior leadership roles, emotional competencies can account for nearly 90% of the distinction between average performers and top achievers. This report emphasizes that being aware of one’s own emotions is crucial for effectively understanding others, resolving conflicts, and nurturing a psychologically safe workplace. Without this self-awareness, leaders risk experiencing an amygdala hijack, where </w:t>
      </w:r>
      <w:proofErr w:type="gramStart"/>
      <w:r w:rsidRPr="11290DF3">
        <w:rPr>
          <w:rFonts w:ascii="Arial" w:eastAsia="Arial" w:hAnsi="Arial" w:cs="Arial"/>
          <w:color w:val="000000" w:themeColor="text1"/>
          <w:sz w:val="22"/>
          <w:szCs w:val="22"/>
        </w:rPr>
        <w:t>stress</w:t>
      </w:r>
      <w:proofErr w:type="gramEnd"/>
      <w:r w:rsidRPr="11290DF3">
        <w:rPr>
          <w:rFonts w:ascii="Arial" w:eastAsia="Arial" w:hAnsi="Arial" w:cs="Arial"/>
          <w:color w:val="000000" w:themeColor="text1"/>
          <w:sz w:val="22"/>
          <w:szCs w:val="22"/>
        </w:rPr>
        <w:t xml:space="preserve"> responses take over rational thinking, resulting in poor decisions and damaged professional relationships. </w:t>
      </w:r>
    </w:p>
    <w:p w14:paraId="4C72CCCC" w14:textId="0E87365C" w:rsidR="3B7A4D7B" w:rsidRDefault="3B7A4D7B" w:rsidP="11290DF3">
      <w:pPr>
        <w:rPr>
          <w:rFonts w:ascii="Arial" w:eastAsia="Arial" w:hAnsi="Arial" w:cs="Arial"/>
          <w:color w:val="000000" w:themeColor="text1"/>
          <w:sz w:val="22"/>
          <w:szCs w:val="22"/>
        </w:rPr>
      </w:pPr>
      <w:r w:rsidRPr="11290DF3">
        <w:rPr>
          <w:rFonts w:ascii="Arial" w:eastAsia="Arial" w:hAnsi="Arial" w:cs="Arial"/>
          <w:color w:val="000000" w:themeColor="text1"/>
          <w:sz w:val="22"/>
          <w:szCs w:val="22"/>
        </w:rPr>
        <w:t xml:space="preserve">Moreover, successfully integrating Generations X, Y, and Z into a unified team demands a refined approach to social awareness. Recruitment and retention strategies need to evolve from generic methods to a more tailored understanding of the distinct values of each generation. For </w:t>
      </w:r>
      <w:r w:rsidRPr="11290DF3">
        <w:rPr>
          <w:rFonts w:ascii="Arial" w:eastAsia="Arial" w:hAnsi="Arial" w:cs="Arial"/>
          <w:color w:val="000000" w:themeColor="text1"/>
          <w:sz w:val="22"/>
          <w:szCs w:val="22"/>
        </w:rPr>
        <w:lastRenderedPageBreak/>
        <w:t>instance, Gen X values autonomy, Millennials seek purpose in their work, and Gen Z emphasizes mental well-being and the importance of digital boundaries. By cultivating resonant leadership, senior management teams can ensure that the organization operates not just mechanically but also thrives on an emotional level, fostering a positive atmosphere that empowers employees to deliver their best work.</w:t>
      </w:r>
    </w:p>
    <w:p w14:paraId="0F9E06EE" w14:textId="4CCD804A" w:rsidR="548F9B48" w:rsidRDefault="548F9B48" w:rsidP="11290DF3">
      <w:pPr>
        <w:rPr>
          <w:rFonts w:ascii="Arial" w:eastAsia="Arial" w:hAnsi="Arial" w:cs="Arial"/>
          <w:sz w:val="22"/>
          <w:szCs w:val="22"/>
        </w:rPr>
      </w:pPr>
      <w:r w:rsidRPr="11290DF3">
        <w:rPr>
          <w:rFonts w:ascii="Arial" w:eastAsia="Arial" w:hAnsi="Arial" w:cs="Arial"/>
          <w:color w:val="000000" w:themeColor="text1"/>
          <w:sz w:val="22"/>
          <w:szCs w:val="22"/>
        </w:rPr>
        <w:t xml:space="preserve">The landscape of work is evolving, and the criteria by which we are evaluated are shifting significantly. It's no longer sufficient to rely solely on our intelligence or technical skills; our ability to manage our emotions and interact positively with others is now equally important. For organizations to foster an emotionally intelligent workplace, it is essential for senior management teams to exemplify these behaviors, setting a standard for everyone to follow. By prioritizing the emotional well-being of employees, companies can enhance their current performance while also cultivating the resilience needed to thrive in an increasingly complex global market. As we approach the meeting scheduled for July 2026, the adoption of the forthcoming recommendations will act as a strategic guide for this essential transformation. </w:t>
      </w:r>
    </w:p>
    <w:p w14:paraId="157CCB4A" w14:textId="2EE8F87D" w:rsidR="11290DF3" w:rsidRDefault="11290DF3" w:rsidP="11290DF3">
      <w:pPr>
        <w:rPr>
          <w:rFonts w:ascii="Arial" w:eastAsia="Arial" w:hAnsi="Arial" w:cs="Arial"/>
          <w:color w:val="000000" w:themeColor="text1"/>
          <w:sz w:val="22"/>
          <w:szCs w:val="22"/>
        </w:rPr>
      </w:pPr>
    </w:p>
    <w:p w14:paraId="2F99C24F" w14:textId="68ECD459" w:rsidR="11290DF3" w:rsidRDefault="11290DF3" w:rsidP="11290DF3">
      <w:pPr>
        <w:rPr>
          <w:rFonts w:ascii="Arial" w:eastAsia="Arial" w:hAnsi="Arial" w:cs="Arial"/>
          <w:color w:val="000000" w:themeColor="text1"/>
          <w:sz w:val="22"/>
          <w:szCs w:val="22"/>
        </w:rPr>
      </w:pPr>
    </w:p>
    <w:p w14:paraId="032D16E5" w14:textId="6AEF81C0" w:rsidR="2F885642" w:rsidRDefault="2F885642" w:rsidP="11290DF3">
      <w:pPr>
        <w:pStyle w:val="Heading1"/>
        <w:rPr>
          <w:rFonts w:ascii="Arial" w:eastAsia="Arial" w:hAnsi="Arial" w:cs="Arial"/>
          <w:b/>
          <w:bCs/>
          <w:sz w:val="22"/>
          <w:szCs w:val="22"/>
        </w:rPr>
      </w:pPr>
      <w:bookmarkStart w:id="6" w:name="_Toc1186625069"/>
      <w:r w:rsidRPr="11290DF3">
        <w:rPr>
          <w:rFonts w:ascii="Arial" w:eastAsia="Arial" w:hAnsi="Arial" w:cs="Arial"/>
          <w:b/>
          <w:bCs/>
          <w:sz w:val="22"/>
          <w:szCs w:val="22"/>
        </w:rPr>
        <w:t>Referencing</w:t>
      </w:r>
      <w:bookmarkEnd w:id="6"/>
      <w:r w:rsidRPr="11290DF3">
        <w:rPr>
          <w:rFonts w:ascii="Arial" w:eastAsia="Arial" w:hAnsi="Arial" w:cs="Arial"/>
          <w:b/>
          <w:bCs/>
          <w:sz w:val="22"/>
          <w:szCs w:val="22"/>
        </w:rPr>
        <w:t xml:space="preserve"> </w:t>
      </w:r>
    </w:p>
    <w:p w14:paraId="144BD637" w14:textId="40411BAB" w:rsidR="2F885642" w:rsidRDefault="2F885642" w:rsidP="11290DF3">
      <w:pPr>
        <w:pStyle w:val="ListParagraph"/>
        <w:numPr>
          <w:ilvl w:val="0"/>
          <w:numId w:val="1"/>
        </w:numPr>
        <w:rPr>
          <w:rFonts w:ascii="Arial" w:eastAsia="Arial" w:hAnsi="Arial" w:cs="Arial"/>
          <w:color w:val="2C3E50"/>
          <w:sz w:val="22"/>
          <w:szCs w:val="22"/>
        </w:rPr>
      </w:pPr>
      <w:r w:rsidRPr="11290DF3">
        <w:rPr>
          <w:rFonts w:ascii="Arial" w:eastAsia="Arial" w:hAnsi="Arial" w:cs="Arial"/>
          <w:color w:val="2C3E50"/>
          <w:sz w:val="22"/>
          <w:szCs w:val="22"/>
        </w:rPr>
        <w:t xml:space="preserve">Goleman, D. (2005). </w:t>
      </w:r>
      <w:r w:rsidRPr="11290DF3">
        <w:rPr>
          <w:rFonts w:ascii="Arial" w:eastAsia="Arial" w:hAnsi="Arial" w:cs="Arial"/>
          <w:i/>
          <w:iCs/>
          <w:color w:val="2C3E50"/>
          <w:sz w:val="22"/>
          <w:szCs w:val="22"/>
        </w:rPr>
        <w:t>Emotional Intelligence: Why It Can Matter More Than IQ</w:t>
      </w:r>
      <w:r w:rsidRPr="11290DF3">
        <w:rPr>
          <w:rFonts w:ascii="Arial" w:eastAsia="Arial" w:hAnsi="Arial" w:cs="Arial"/>
          <w:color w:val="2C3E50"/>
          <w:sz w:val="22"/>
          <w:szCs w:val="22"/>
        </w:rPr>
        <w:t xml:space="preserve">. New York: Bantam Books. </w:t>
      </w:r>
    </w:p>
    <w:p w14:paraId="7E2C13F8" w14:textId="73CE1808" w:rsidR="2F885642" w:rsidRDefault="2F885642" w:rsidP="11290DF3">
      <w:pPr>
        <w:pStyle w:val="ListParagraph"/>
        <w:numPr>
          <w:ilvl w:val="0"/>
          <w:numId w:val="1"/>
        </w:numPr>
        <w:rPr>
          <w:rFonts w:ascii="Arial" w:eastAsia="Arial" w:hAnsi="Arial" w:cs="Arial"/>
          <w:color w:val="2C3E50"/>
          <w:sz w:val="22"/>
          <w:szCs w:val="22"/>
        </w:rPr>
      </w:pPr>
      <w:r w:rsidRPr="11290DF3">
        <w:rPr>
          <w:rFonts w:ascii="Arial" w:eastAsia="Arial" w:hAnsi="Arial" w:cs="Arial"/>
          <w:color w:val="2C3E50"/>
          <w:sz w:val="22"/>
          <w:szCs w:val="22"/>
        </w:rPr>
        <w:t xml:space="preserve">Goleman, D. (1998). </w:t>
      </w:r>
      <w:r w:rsidRPr="11290DF3">
        <w:rPr>
          <w:rFonts w:ascii="Arial" w:eastAsia="Arial" w:hAnsi="Arial" w:cs="Arial"/>
          <w:i/>
          <w:iCs/>
          <w:color w:val="2C3E50"/>
          <w:sz w:val="22"/>
          <w:szCs w:val="22"/>
        </w:rPr>
        <w:t>Working with emotional intelligence</w:t>
      </w:r>
      <w:r w:rsidRPr="11290DF3">
        <w:rPr>
          <w:rFonts w:ascii="Arial" w:eastAsia="Arial" w:hAnsi="Arial" w:cs="Arial"/>
          <w:color w:val="2C3E50"/>
          <w:sz w:val="22"/>
          <w:szCs w:val="22"/>
        </w:rPr>
        <w:t>. New York: Bantam Books.</w:t>
      </w:r>
    </w:p>
    <w:p w14:paraId="0CD07E8C" w14:textId="44139CD9" w:rsidR="2F885642" w:rsidRDefault="2F885642"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Goleman, D. (1998). The Emotional Intelligence of Leaders. </w:t>
      </w:r>
      <w:r w:rsidRPr="11290DF3">
        <w:rPr>
          <w:rFonts w:ascii="Arial" w:eastAsia="Arial" w:hAnsi="Arial" w:cs="Arial"/>
          <w:i/>
          <w:iCs/>
          <w:color w:val="2C3E50"/>
          <w:sz w:val="22"/>
          <w:szCs w:val="22"/>
        </w:rPr>
        <w:t>Leader to Leader</w:t>
      </w:r>
      <w:r w:rsidRPr="11290DF3">
        <w:rPr>
          <w:rFonts w:ascii="Arial" w:eastAsia="Arial" w:hAnsi="Arial" w:cs="Arial"/>
          <w:color w:val="2C3E50"/>
          <w:sz w:val="22"/>
          <w:szCs w:val="22"/>
        </w:rPr>
        <w:t xml:space="preserve">, 1998(10), pp.20–26. </w:t>
      </w:r>
      <w:proofErr w:type="gramStart"/>
      <w:r w:rsidRPr="11290DF3">
        <w:rPr>
          <w:rFonts w:ascii="Arial" w:eastAsia="Arial" w:hAnsi="Arial" w:cs="Arial"/>
          <w:color w:val="2C3E50"/>
          <w:sz w:val="22"/>
          <w:szCs w:val="22"/>
        </w:rPr>
        <w:t>doi:https://doi.org/10.1002/ltl.40619981008</w:t>
      </w:r>
      <w:proofErr w:type="gramEnd"/>
      <w:r w:rsidRPr="11290DF3">
        <w:rPr>
          <w:rFonts w:ascii="Arial" w:eastAsia="Arial" w:hAnsi="Arial" w:cs="Arial"/>
          <w:color w:val="2C3E50"/>
          <w:sz w:val="22"/>
          <w:szCs w:val="22"/>
        </w:rPr>
        <w:t>.</w:t>
      </w:r>
    </w:p>
    <w:p w14:paraId="6C0651A3" w14:textId="6FBC8E36" w:rsidR="2F885642" w:rsidRDefault="2F885642"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Mayer, J.D., Caruso, D.R. and Salovey, P. (1999). Emotional intelligence meets traditional standards for </w:t>
      </w:r>
      <w:proofErr w:type="gramStart"/>
      <w:r w:rsidRPr="11290DF3">
        <w:rPr>
          <w:rFonts w:ascii="Arial" w:eastAsia="Arial" w:hAnsi="Arial" w:cs="Arial"/>
          <w:color w:val="2C3E50"/>
          <w:sz w:val="22"/>
          <w:szCs w:val="22"/>
        </w:rPr>
        <w:t>an intelligence</w:t>
      </w:r>
      <w:proofErr w:type="gramEnd"/>
      <w:r w:rsidRPr="11290DF3">
        <w:rPr>
          <w:rFonts w:ascii="Arial" w:eastAsia="Arial" w:hAnsi="Arial" w:cs="Arial"/>
          <w:color w:val="2C3E50"/>
          <w:sz w:val="22"/>
          <w:szCs w:val="22"/>
        </w:rPr>
        <w:t xml:space="preserve">. </w:t>
      </w:r>
      <w:r w:rsidRPr="11290DF3">
        <w:rPr>
          <w:rFonts w:ascii="Arial" w:eastAsia="Arial" w:hAnsi="Arial" w:cs="Arial"/>
          <w:i/>
          <w:iCs/>
          <w:color w:val="2C3E50"/>
          <w:sz w:val="22"/>
          <w:szCs w:val="22"/>
        </w:rPr>
        <w:t>Intelligence</w:t>
      </w:r>
      <w:r w:rsidRPr="11290DF3">
        <w:rPr>
          <w:rFonts w:ascii="Arial" w:eastAsia="Arial" w:hAnsi="Arial" w:cs="Arial"/>
          <w:color w:val="2C3E50"/>
          <w:sz w:val="22"/>
          <w:szCs w:val="22"/>
        </w:rPr>
        <w:t xml:space="preserve">, 27(4), pp.267–298. </w:t>
      </w:r>
      <w:proofErr w:type="gramStart"/>
      <w:r w:rsidRPr="11290DF3">
        <w:rPr>
          <w:rFonts w:ascii="Arial" w:eastAsia="Arial" w:hAnsi="Arial" w:cs="Arial"/>
          <w:color w:val="2C3E50"/>
          <w:sz w:val="22"/>
          <w:szCs w:val="22"/>
        </w:rPr>
        <w:t>doi:https://doi.org/10.1016/S0160-2896(99)00016-1</w:t>
      </w:r>
      <w:proofErr w:type="gramEnd"/>
      <w:r w:rsidRPr="11290DF3">
        <w:rPr>
          <w:rFonts w:ascii="Arial" w:eastAsia="Arial" w:hAnsi="Arial" w:cs="Arial"/>
          <w:color w:val="2C3E50"/>
          <w:sz w:val="22"/>
          <w:szCs w:val="22"/>
        </w:rPr>
        <w:t>.</w:t>
      </w:r>
    </w:p>
    <w:p w14:paraId="440D2E45" w14:textId="475E1BA7"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Lancaster, L.C. and Stillman, D. (2011). The ‘M Factor - How the Millennial Generation is Rocking the Workpkace’. </w:t>
      </w:r>
      <w:r w:rsidRPr="11290DF3">
        <w:rPr>
          <w:rFonts w:ascii="Arial" w:eastAsia="Arial" w:hAnsi="Arial" w:cs="Arial"/>
          <w:i/>
          <w:iCs/>
          <w:color w:val="2C3E50"/>
          <w:sz w:val="22"/>
          <w:szCs w:val="22"/>
        </w:rPr>
        <w:t>NHRD Network Journal</w:t>
      </w:r>
      <w:r w:rsidRPr="11290DF3">
        <w:rPr>
          <w:rFonts w:ascii="Arial" w:eastAsia="Arial" w:hAnsi="Arial" w:cs="Arial"/>
          <w:color w:val="2C3E50"/>
          <w:sz w:val="22"/>
          <w:szCs w:val="22"/>
        </w:rPr>
        <w:t xml:space="preserve">, 4(4), pp.154–155. </w:t>
      </w:r>
      <w:proofErr w:type="gramStart"/>
      <w:r w:rsidRPr="11290DF3">
        <w:rPr>
          <w:rFonts w:ascii="Arial" w:eastAsia="Arial" w:hAnsi="Arial" w:cs="Arial"/>
          <w:color w:val="2C3E50"/>
          <w:sz w:val="22"/>
          <w:szCs w:val="22"/>
        </w:rPr>
        <w:t>doi:https://doi.org/10.1177/0974173920110428</w:t>
      </w:r>
      <w:proofErr w:type="gramEnd"/>
      <w:r w:rsidRPr="11290DF3">
        <w:rPr>
          <w:rFonts w:ascii="Arial" w:eastAsia="Arial" w:hAnsi="Arial" w:cs="Arial"/>
          <w:color w:val="2C3E50"/>
          <w:sz w:val="22"/>
          <w:szCs w:val="22"/>
        </w:rPr>
        <w:t>.</w:t>
      </w:r>
    </w:p>
    <w:p w14:paraId="0E512EDC" w14:textId="23CE0A81"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Goleman, Daniel, Boyatzis, </w:t>
      </w:r>
      <w:proofErr w:type="gramStart"/>
      <w:r w:rsidRPr="11290DF3">
        <w:rPr>
          <w:rFonts w:ascii="Arial" w:eastAsia="Arial" w:hAnsi="Arial" w:cs="Arial"/>
          <w:color w:val="2C3E50"/>
          <w:sz w:val="22"/>
          <w:szCs w:val="22"/>
        </w:rPr>
        <w:t>Richard, and</w:t>
      </w:r>
      <w:proofErr w:type="gramEnd"/>
      <w:r w:rsidRPr="11290DF3">
        <w:rPr>
          <w:rFonts w:ascii="Arial" w:eastAsia="Arial" w:hAnsi="Arial" w:cs="Arial"/>
          <w:color w:val="2C3E50"/>
          <w:sz w:val="22"/>
          <w:szCs w:val="22"/>
        </w:rPr>
        <w:t xml:space="preserve"> McKee, Annie. Primal Leadership: Unleashing the Power of Emotional Intelligence. Harvard Business Review Press.</w:t>
      </w:r>
    </w:p>
    <w:p w14:paraId="4B93FE58" w14:textId="0F028DDE"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Harvard Business Review. HBR's 10 Must Reads on Emotional Intelligence. Harvard Business Review Press.</w:t>
      </w:r>
    </w:p>
    <w:p w14:paraId="7943432C" w14:textId="16E3E259"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Stillman, D. and Stillman, J. (2017). </w:t>
      </w:r>
      <w:r w:rsidRPr="11290DF3">
        <w:rPr>
          <w:rFonts w:ascii="Arial" w:eastAsia="Arial" w:hAnsi="Arial" w:cs="Arial"/>
          <w:i/>
          <w:iCs/>
          <w:color w:val="2C3E50"/>
          <w:sz w:val="22"/>
          <w:szCs w:val="22"/>
        </w:rPr>
        <w:t xml:space="preserve">Gen </w:t>
      </w:r>
      <w:proofErr w:type="gramStart"/>
      <w:r w:rsidRPr="11290DF3">
        <w:rPr>
          <w:rFonts w:ascii="Arial" w:eastAsia="Arial" w:hAnsi="Arial" w:cs="Arial"/>
          <w:i/>
          <w:iCs/>
          <w:color w:val="2C3E50"/>
          <w:sz w:val="22"/>
          <w:szCs w:val="22"/>
        </w:rPr>
        <w:t>Z @</w:t>
      </w:r>
      <w:proofErr w:type="gramEnd"/>
      <w:r w:rsidRPr="11290DF3">
        <w:rPr>
          <w:rFonts w:ascii="Arial" w:eastAsia="Arial" w:hAnsi="Arial" w:cs="Arial"/>
          <w:i/>
          <w:iCs/>
          <w:color w:val="2C3E50"/>
          <w:sz w:val="22"/>
          <w:szCs w:val="22"/>
        </w:rPr>
        <w:t xml:space="preserve"> Work</w:t>
      </w:r>
      <w:r w:rsidRPr="11290DF3">
        <w:rPr>
          <w:rFonts w:ascii="Arial" w:eastAsia="Arial" w:hAnsi="Arial" w:cs="Arial"/>
          <w:color w:val="2C3E50"/>
          <w:sz w:val="22"/>
          <w:szCs w:val="22"/>
        </w:rPr>
        <w:t>. HarperCollins.</w:t>
      </w:r>
    </w:p>
    <w:p w14:paraId="6AD53EB6" w14:textId="0219F65A"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Goleman, Daniel. The Brain and Emotional Intelligence: New Insights. More Than Sound LLC.</w:t>
      </w:r>
    </w:p>
    <w:p w14:paraId="1CB36534" w14:textId="5F2013BF" w:rsidR="7A531548" w:rsidRDefault="7A531548" w:rsidP="11290DF3">
      <w:pPr>
        <w:pStyle w:val="ListParagraph"/>
        <w:numPr>
          <w:ilvl w:val="0"/>
          <w:numId w:val="1"/>
        </w:numPr>
        <w:rPr>
          <w:rFonts w:ascii="Arial" w:eastAsia="Arial" w:hAnsi="Arial" w:cs="Arial"/>
          <w:sz w:val="22"/>
          <w:szCs w:val="22"/>
        </w:rPr>
      </w:pPr>
      <w:r w:rsidRPr="11290DF3">
        <w:rPr>
          <w:rFonts w:ascii="Arial" w:eastAsia="Arial" w:hAnsi="Arial" w:cs="Arial"/>
          <w:color w:val="2C3E50"/>
          <w:sz w:val="22"/>
          <w:szCs w:val="22"/>
        </w:rPr>
        <w:t xml:space="preserve">Higgs, M. (n.d.). </w:t>
      </w:r>
      <w:r w:rsidRPr="11290DF3">
        <w:rPr>
          <w:rFonts w:ascii="Arial" w:eastAsia="Arial" w:hAnsi="Arial" w:cs="Arial"/>
          <w:i/>
          <w:iCs/>
          <w:color w:val="2C3E50"/>
          <w:sz w:val="22"/>
          <w:szCs w:val="22"/>
        </w:rPr>
        <w:t>Leading with Emotional Intelligence</w:t>
      </w:r>
      <w:r w:rsidRPr="11290DF3">
        <w:rPr>
          <w:rFonts w:ascii="Arial" w:eastAsia="Arial" w:hAnsi="Arial" w:cs="Arial"/>
          <w:color w:val="2C3E50"/>
          <w:sz w:val="22"/>
          <w:szCs w:val="22"/>
        </w:rPr>
        <w:t>. Springer Nature.</w:t>
      </w:r>
    </w:p>
    <w:p w14:paraId="603FB117" w14:textId="0604F81D" w:rsidR="11290DF3" w:rsidRDefault="11290DF3" w:rsidP="11290DF3"/>
    <w:p w14:paraId="08B11029" w14:textId="3C46083B" w:rsidR="11290DF3" w:rsidRDefault="11290DF3" w:rsidP="11290DF3">
      <w:pPr>
        <w:rPr>
          <w:rFonts w:ascii="Calibri" w:eastAsia="Calibri" w:hAnsi="Calibri" w:cs="Calibri"/>
          <w:color w:val="2C3E50"/>
          <w:sz w:val="27"/>
          <w:szCs w:val="27"/>
        </w:rPr>
      </w:pPr>
    </w:p>
    <w:sectPr w:rsidR="11290D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3FE36"/>
    <w:multiLevelType w:val="hybridMultilevel"/>
    <w:tmpl w:val="E6866844"/>
    <w:lvl w:ilvl="0" w:tplc="5234260A">
      <w:start w:val="1"/>
      <w:numFmt w:val="bullet"/>
      <w:lvlText w:val=""/>
      <w:lvlJc w:val="left"/>
      <w:pPr>
        <w:ind w:left="720" w:hanging="360"/>
      </w:pPr>
      <w:rPr>
        <w:rFonts w:ascii="Symbol" w:hAnsi="Symbol" w:hint="default"/>
      </w:rPr>
    </w:lvl>
    <w:lvl w:ilvl="1" w:tplc="B038D636">
      <w:start w:val="1"/>
      <w:numFmt w:val="bullet"/>
      <w:lvlText w:val="o"/>
      <w:lvlJc w:val="left"/>
      <w:pPr>
        <w:ind w:left="1440" w:hanging="360"/>
      </w:pPr>
      <w:rPr>
        <w:rFonts w:ascii="Courier New" w:hAnsi="Courier New" w:hint="default"/>
      </w:rPr>
    </w:lvl>
    <w:lvl w:ilvl="2" w:tplc="729AD82A">
      <w:start w:val="1"/>
      <w:numFmt w:val="bullet"/>
      <w:lvlText w:val=""/>
      <w:lvlJc w:val="left"/>
      <w:pPr>
        <w:ind w:left="2160" w:hanging="360"/>
      </w:pPr>
      <w:rPr>
        <w:rFonts w:ascii="Wingdings" w:hAnsi="Wingdings" w:hint="default"/>
      </w:rPr>
    </w:lvl>
    <w:lvl w:ilvl="3" w:tplc="52FC0294">
      <w:start w:val="1"/>
      <w:numFmt w:val="bullet"/>
      <w:lvlText w:val=""/>
      <w:lvlJc w:val="left"/>
      <w:pPr>
        <w:ind w:left="2880" w:hanging="360"/>
      </w:pPr>
      <w:rPr>
        <w:rFonts w:ascii="Symbol" w:hAnsi="Symbol" w:hint="default"/>
      </w:rPr>
    </w:lvl>
    <w:lvl w:ilvl="4" w:tplc="53EA94D4">
      <w:start w:val="1"/>
      <w:numFmt w:val="bullet"/>
      <w:lvlText w:val="o"/>
      <w:lvlJc w:val="left"/>
      <w:pPr>
        <w:ind w:left="3600" w:hanging="360"/>
      </w:pPr>
      <w:rPr>
        <w:rFonts w:ascii="Courier New" w:hAnsi="Courier New" w:hint="default"/>
      </w:rPr>
    </w:lvl>
    <w:lvl w:ilvl="5" w:tplc="068EE698">
      <w:start w:val="1"/>
      <w:numFmt w:val="bullet"/>
      <w:lvlText w:val=""/>
      <w:lvlJc w:val="left"/>
      <w:pPr>
        <w:ind w:left="4320" w:hanging="360"/>
      </w:pPr>
      <w:rPr>
        <w:rFonts w:ascii="Wingdings" w:hAnsi="Wingdings" w:hint="default"/>
      </w:rPr>
    </w:lvl>
    <w:lvl w:ilvl="6" w:tplc="FC62CCF8">
      <w:start w:val="1"/>
      <w:numFmt w:val="bullet"/>
      <w:lvlText w:val=""/>
      <w:lvlJc w:val="left"/>
      <w:pPr>
        <w:ind w:left="5040" w:hanging="360"/>
      </w:pPr>
      <w:rPr>
        <w:rFonts w:ascii="Symbol" w:hAnsi="Symbol" w:hint="default"/>
      </w:rPr>
    </w:lvl>
    <w:lvl w:ilvl="7" w:tplc="DF90578A">
      <w:start w:val="1"/>
      <w:numFmt w:val="bullet"/>
      <w:lvlText w:val="o"/>
      <w:lvlJc w:val="left"/>
      <w:pPr>
        <w:ind w:left="5760" w:hanging="360"/>
      </w:pPr>
      <w:rPr>
        <w:rFonts w:ascii="Courier New" w:hAnsi="Courier New" w:hint="default"/>
      </w:rPr>
    </w:lvl>
    <w:lvl w:ilvl="8" w:tplc="AB0CA078">
      <w:start w:val="1"/>
      <w:numFmt w:val="bullet"/>
      <w:lvlText w:val=""/>
      <w:lvlJc w:val="left"/>
      <w:pPr>
        <w:ind w:left="6480" w:hanging="360"/>
      </w:pPr>
      <w:rPr>
        <w:rFonts w:ascii="Wingdings" w:hAnsi="Wingdings" w:hint="default"/>
      </w:rPr>
    </w:lvl>
  </w:abstractNum>
  <w:abstractNum w:abstractNumId="1" w15:restartNumberingAfterBreak="0">
    <w:nsid w:val="75618431"/>
    <w:multiLevelType w:val="hybridMultilevel"/>
    <w:tmpl w:val="E1C28286"/>
    <w:lvl w:ilvl="0" w:tplc="C10EBBEC">
      <w:start w:val="1"/>
      <w:numFmt w:val="decimal"/>
      <w:lvlText w:val="%1."/>
      <w:lvlJc w:val="left"/>
      <w:pPr>
        <w:ind w:left="720" w:hanging="360"/>
      </w:pPr>
    </w:lvl>
    <w:lvl w:ilvl="1" w:tplc="E3E674E8">
      <w:start w:val="1"/>
      <w:numFmt w:val="lowerLetter"/>
      <w:lvlText w:val="%2."/>
      <w:lvlJc w:val="left"/>
      <w:pPr>
        <w:ind w:left="1440" w:hanging="360"/>
      </w:pPr>
    </w:lvl>
    <w:lvl w:ilvl="2" w:tplc="817A9B76">
      <w:start w:val="1"/>
      <w:numFmt w:val="lowerRoman"/>
      <w:lvlText w:val="%3."/>
      <w:lvlJc w:val="right"/>
      <w:pPr>
        <w:ind w:left="2160" w:hanging="180"/>
      </w:pPr>
    </w:lvl>
    <w:lvl w:ilvl="3" w:tplc="65A61E9A">
      <w:start w:val="1"/>
      <w:numFmt w:val="decimal"/>
      <w:lvlText w:val="%4."/>
      <w:lvlJc w:val="left"/>
      <w:pPr>
        <w:ind w:left="2880" w:hanging="360"/>
      </w:pPr>
    </w:lvl>
    <w:lvl w:ilvl="4" w:tplc="6D3288FC">
      <w:start w:val="1"/>
      <w:numFmt w:val="lowerLetter"/>
      <w:lvlText w:val="%5."/>
      <w:lvlJc w:val="left"/>
      <w:pPr>
        <w:ind w:left="3600" w:hanging="360"/>
      </w:pPr>
    </w:lvl>
    <w:lvl w:ilvl="5" w:tplc="CD5CB666">
      <w:start w:val="1"/>
      <w:numFmt w:val="lowerRoman"/>
      <w:lvlText w:val="%6."/>
      <w:lvlJc w:val="right"/>
      <w:pPr>
        <w:ind w:left="4320" w:hanging="180"/>
      </w:pPr>
    </w:lvl>
    <w:lvl w:ilvl="6" w:tplc="F72C024A">
      <w:start w:val="1"/>
      <w:numFmt w:val="decimal"/>
      <w:lvlText w:val="%7."/>
      <w:lvlJc w:val="left"/>
      <w:pPr>
        <w:ind w:left="5040" w:hanging="360"/>
      </w:pPr>
    </w:lvl>
    <w:lvl w:ilvl="7" w:tplc="5144F852">
      <w:start w:val="1"/>
      <w:numFmt w:val="lowerLetter"/>
      <w:lvlText w:val="%8."/>
      <w:lvlJc w:val="left"/>
      <w:pPr>
        <w:ind w:left="5760" w:hanging="360"/>
      </w:pPr>
    </w:lvl>
    <w:lvl w:ilvl="8" w:tplc="0D1A154A">
      <w:start w:val="1"/>
      <w:numFmt w:val="lowerRoman"/>
      <w:lvlText w:val="%9."/>
      <w:lvlJc w:val="right"/>
      <w:pPr>
        <w:ind w:left="6480" w:hanging="180"/>
      </w:pPr>
    </w:lvl>
  </w:abstractNum>
  <w:abstractNum w:abstractNumId="2" w15:restartNumberingAfterBreak="0">
    <w:nsid w:val="7ED4C675"/>
    <w:multiLevelType w:val="hybridMultilevel"/>
    <w:tmpl w:val="1BD2C350"/>
    <w:lvl w:ilvl="0" w:tplc="7960E0AC">
      <w:start w:val="1"/>
      <w:numFmt w:val="decimal"/>
      <w:lvlText w:val="%1."/>
      <w:lvlJc w:val="left"/>
      <w:pPr>
        <w:ind w:left="720" w:hanging="360"/>
      </w:pPr>
    </w:lvl>
    <w:lvl w:ilvl="1" w:tplc="A62C4FA4">
      <w:start w:val="1"/>
      <w:numFmt w:val="lowerLetter"/>
      <w:lvlText w:val="%2."/>
      <w:lvlJc w:val="left"/>
      <w:pPr>
        <w:ind w:left="1440" w:hanging="360"/>
      </w:pPr>
    </w:lvl>
    <w:lvl w:ilvl="2" w:tplc="BA502F48">
      <w:start w:val="1"/>
      <w:numFmt w:val="lowerRoman"/>
      <w:lvlText w:val="%3."/>
      <w:lvlJc w:val="right"/>
      <w:pPr>
        <w:ind w:left="2160" w:hanging="180"/>
      </w:pPr>
    </w:lvl>
    <w:lvl w:ilvl="3" w:tplc="37981340">
      <w:start w:val="1"/>
      <w:numFmt w:val="decimal"/>
      <w:lvlText w:val="%4."/>
      <w:lvlJc w:val="left"/>
      <w:pPr>
        <w:ind w:left="2880" w:hanging="360"/>
      </w:pPr>
    </w:lvl>
    <w:lvl w:ilvl="4" w:tplc="F0046094">
      <w:start w:val="1"/>
      <w:numFmt w:val="lowerLetter"/>
      <w:lvlText w:val="%5."/>
      <w:lvlJc w:val="left"/>
      <w:pPr>
        <w:ind w:left="3600" w:hanging="360"/>
      </w:pPr>
    </w:lvl>
    <w:lvl w:ilvl="5" w:tplc="9A7AAC2C">
      <w:start w:val="1"/>
      <w:numFmt w:val="lowerRoman"/>
      <w:lvlText w:val="%6."/>
      <w:lvlJc w:val="right"/>
      <w:pPr>
        <w:ind w:left="4320" w:hanging="180"/>
      </w:pPr>
    </w:lvl>
    <w:lvl w:ilvl="6" w:tplc="C77A500C">
      <w:start w:val="1"/>
      <w:numFmt w:val="decimal"/>
      <w:lvlText w:val="%7."/>
      <w:lvlJc w:val="left"/>
      <w:pPr>
        <w:ind w:left="5040" w:hanging="360"/>
      </w:pPr>
    </w:lvl>
    <w:lvl w:ilvl="7" w:tplc="54664872">
      <w:start w:val="1"/>
      <w:numFmt w:val="lowerLetter"/>
      <w:lvlText w:val="%8."/>
      <w:lvlJc w:val="left"/>
      <w:pPr>
        <w:ind w:left="5760" w:hanging="360"/>
      </w:pPr>
    </w:lvl>
    <w:lvl w:ilvl="8" w:tplc="B8D67262">
      <w:start w:val="1"/>
      <w:numFmt w:val="lowerRoman"/>
      <w:lvlText w:val="%9."/>
      <w:lvlJc w:val="right"/>
      <w:pPr>
        <w:ind w:left="6480" w:hanging="180"/>
      </w:pPr>
    </w:lvl>
  </w:abstractNum>
  <w:num w:numId="1" w16cid:durableId="1364591882">
    <w:abstractNumId w:val="2"/>
  </w:num>
  <w:num w:numId="2" w16cid:durableId="24335091">
    <w:abstractNumId w:val="0"/>
  </w:num>
  <w:num w:numId="3" w16cid:durableId="11464380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836FC3"/>
    <w:rsid w:val="0010195D"/>
    <w:rsid w:val="00456D95"/>
    <w:rsid w:val="005049B8"/>
    <w:rsid w:val="00574097"/>
    <w:rsid w:val="006404D2"/>
    <w:rsid w:val="02B68A36"/>
    <w:rsid w:val="0377C37D"/>
    <w:rsid w:val="05847049"/>
    <w:rsid w:val="059CFADF"/>
    <w:rsid w:val="089A2BD6"/>
    <w:rsid w:val="09712959"/>
    <w:rsid w:val="0D3CDABE"/>
    <w:rsid w:val="0E71A46B"/>
    <w:rsid w:val="103928CB"/>
    <w:rsid w:val="1099FB98"/>
    <w:rsid w:val="11290DF3"/>
    <w:rsid w:val="117ACDE6"/>
    <w:rsid w:val="1510FA29"/>
    <w:rsid w:val="18602FBF"/>
    <w:rsid w:val="18718573"/>
    <w:rsid w:val="1BC2716A"/>
    <w:rsid w:val="1E006CA1"/>
    <w:rsid w:val="1E1E5D1D"/>
    <w:rsid w:val="1F836FC3"/>
    <w:rsid w:val="21CB6BF9"/>
    <w:rsid w:val="220A5F15"/>
    <w:rsid w:val="2308927A"/>
    <w:rsid w:val="24CA6E2C"/>
    <w:rsid w:val="28C3324B"/>
    <w:rsid w:val="2A904451"/>
    <w:rsid w:val="2BAFD64B"/>
    <w:rsid w:val="2D42F86E"/>
    <w:rsid w:val="2DA7A7DD"/>
    <w:rsid w:val="2F885642"/>
    <w:rsid w:val="3090BD01"/>
    <w:rsid w:val="34838332"/>
    <w:rsid w:val="354A0054"/>
    <w:rsid w:val="3632CD28"/>
    <w:rsid w:val="366DAE81"/>
    <w:rsid w:val="36D73928"/>
    <w:rsid w:val="387D007B"/>
    <w:rsid w:val="3940E5DB"/>
    <w:rsid w:val="39CDF10B"/>
    <w:rsid w:val="3B728F53"/>
    <w:rsid w:val="3B7A4D7B"/>
    <w:rsid w:val="3D946D94"/>
    <w:rsid w:val="3DF815FA"/>
    <w:rsid w:val="3F88CCEC"/>
    <w:rsid w:val="41AA0ED7"/>
    <w:rsid w:val="41BED7DA"/>
    <w:rsid w:val="41C5BFCA"/>
    <w:rsid w:val="41F9D784"/>
    <w:rsid w:val="4221A539"/>
    <w:rsid w:val="42EA9884"/>
    <w:rsid w:val="43CFCAC7"/>
    <w:rsid w:val="4477854E"/>
    <w:rsid w:val="47355ABF"/>
    <w:rsid w:val="47C61072"/>
    <w:rsid w:val="49EE81EA"/>
    <w:rsid w:val="4A6E3DA4"/>
    <w:rsid w:val="4B3B2C39"/>
    <w:rsid w:val="4C1CF160"/>
    <w:rsid w:val="4C783F99"/>
    <w:rsid w:val="4E2668EA"/>
    <w:rsid w:val="4EBAE48B"/>
    <w:rsid w:val="5144DBF9"/>
    <w:rsid w:val="51DB7B9E"/>
    <w:rsid w:val="53F83A8E"/>
    <w:rsid w:val="548F9B48"/>
    <w:rsid w:val="55FD572D"/>
    <w:rsid w:val="56A661E4"/>
    <w:rsid w:val="58D0FB4F"/>
    <w:rsid w:val="58F1EC50"/>
    <w:rsid w:val="5958BA90"/>
    <w:rsid w:val="59D1B395"/>
    <w:rsid w:val="5A07DECD"/>
    <w:rsid w:val="5A278257"/>
    <w:rsid w:val="5CD7EE99"/>
    <w:rsid w:val="5DC3832E"/>
    <w:rsid w:val="5DF4D1E9"/>
    <w:rsid w:val="5DFB1AE3"/>
    <w:rsid w:val="5FBB9668"/>
    <w:rsid w:val="6226C2C3"/>
    <w:rsid w:val="6275AF97"/>
    <w:rsid w:val="62CDF292"/>
    <w:rsid w:val="654A8F7F"/>
    <w:rsid w:val="663E0C57"/>
    <w:rsid w:val="66783DF9"/>
    <w:rsid w:val="67946B41"/>
    <w:rsid w:val="68783037"/>
    <w:rsid w:val="687C98D5"/>
    <w:rsid w:val="68AE689A"/>
    <w:rsid w:val="68EA0FA2"/>
    <w:rsid w:val="69A50F6B"/>
    <w:rsid w:val="6A845488"/>
    <w:rsid w:val="6B944683"/>
    <w:rsid w:val="6B979C2F"/>
    <w:rsid w:val="6C69E9F0"/>
    <w:rsid w:val="6C949304"/>
    <w:rsid w:val="70F19BCC"/>
    <w:rsid w:val="7211E4FA"/>
    <w:rsid w:val="72FDF760"/>
    <w:rsid w:val="73D145E3"/>
    <w:rsid w:val="76AC1A69"/>
    <w:rsid w:val="76CDE9FB"/>
    <w:rsid w:val="76F885CD"/>
    <w:rsid w:val="78BC58DD"/>
    <w:rsid w:val="7A0121AC"/>
    <w:rsid w:val="7A531548"/>
    <w:rsid w:val="7C4BD1A9"/>
    <w:rsid w:val="7CA35189"/>
    <w:rsid w:val="7D4C55FD"/>
    <w:rsid w:val="7DCF161F"/>
    <w:rsid w:val="7E91DD52"/>
    <w:rsid w:val="7F8C4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5D13A"/>
  <w15:chartTrackingRefBased/>
  <w15:docId w15:val="{C54EC664-5C52-4C33-B6F3-DC7DD0122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1290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1290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1290DF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1290DF3"/>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11290DF3"/>
    <w:pPr>
      <w:ind w:left="720"/>
      <w:contextualSpacing/>
    </w:pPr>
  </w:style>
  <w:style w:type="character" w:styleId="Hyperlink">
    <w:name w:val="Hyperlink"/>
    <w:basedOn w:val="DefaultParagraphFont"/>
    <w:uiPriority w:val="99"/>
    <w:unhideWhenUsed/>
    <w:rsid w:val="11290DF3"/>
    <w:rPr>
      <w:color w:val="467886"/>
      <w:u w:val="single"/>
    </w:rPr>
  </w:style>
  <w:style w:type="paragraph" w:styleId="TOC1">
    <w:name w:val="toc 1"/>
    <w:basedOn w:val="Normal"/>
    <w:next w:val="Normal"/>
    <w:uiPriority w:val="39"/>
    <w:unhideWhenUsed/>
    <w:rsid w:val="11290D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3346</Words>
  <Characters>19074</Characters>
  <Application>Microsoft Office Word</Application>
  <DocSecurity>0</DocSecurity>
  <Lines>158</Lines>
  <Paragraphs>44</Paragraphs>
  <ScaleCrop>false</ScaleCrop>
  <Company/>
  <LinksUpToDate>false</LinksUpToDate>
  <CharactersWithSpaces>22376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Balazova (2315843)</dc:creator>
  <cp:keywords/>
  <dc:description/>
  <cp:lastModifiedBy>Lucie Balazova</cp:lastModifiedBy>
  <cp:revision>2</cp:revision>
  <dcterms:created xsi:type="dcterms:W3CDTF">2026-03-15T18:34:00Z</dcterms:created>
  <dcterms:modified xsi:type="dcterms:W3CDTF">2026-03-15T18:34:00Z</dcterms:modified>
</cp:coreProperties>
</file>