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9F2CC" w14:textId="6995CE43" w:rsidR="00474C20" w:rsidRPr="00474C20" w:rsidRDefault="00474C20" w:rsidP="00474C20">
      <w:r>
        <w:rPr>
          <w:noProof/>
        </w:rPr>
        <mc:AlternateContent>
          <mc:Choice Requires="wps">
            <w:drawing>
              <wp:anchor distT="0" distB="0" distL="114300" distR="114300" simplePos="0" relativeHeight="251659264" behindDoc="0" locked="0" layoutInCell="1" allowOverlap="1" wp14:anchorId="3316C7E4" wp14:editId="4DD53BDD">
                <wp:simplePos x="0" y="0"/>
                <wp:positionH relativeFrom="column">
                  <wp:posOffset>-1028700</wp:posOffset>
                </wp:positionH>
                <wp:positionV relativeFrom="paragraph">
                  <wp:posOffset>-939800</wp:posOffset>
                </wp:positionV>
                <wp:extent cx="609600" cy="10744200"/>
                <wp:effectExtent l="0" t="0" r="12700" b="12700"/>
                <wp:wrapNone/>
                <wp:docPr id="2" name="Rectangle 2"/>
                <wp:cNvGraphicFramePr/>
                <a:graphic xmlns:a="http://schemas.openxmlformats.org/drawingml/2006/main">
                  <a:graphicData uri="http://schemas.microsoft.com/office/word/2010/wordprocessingShape">
                    <wps:wsp>
                      <wps:cNvSpPr/>
                      <wps:spPr>
                        <a:xfrm>
                          <a:off x="0" y="0"/>
                          <a:ext cx="609600" cy="107442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D87AA9" id="Rectangle 2" o:spid="_x0000_s1026" style="position:absolute;margin-left:-81pt;margin-top:-74pt;width:48pt;height:84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" fillcolor="black [3200]" strokecolor="black [1600]" strokeweight="1pt"/>
            </w:pict>
          </mc:Fallback>
        </mc:AlternateContent>
      </w:r>
      <w:r w:rsidRPr="00474C20">
        <w:fldChar w:fldCharType="begin"/>
      </w:r>
      <w:r w:rsidRPr="00474C20">
        <w:instrText xml:space="preserve"> INCLUDEPICTURE "https://emedia1.nhs.wales/NWISWalesNHSUK/cache/file/D50B00C7-6D28-4675-BBCC5435147EF6A2_carouselimage.png" \* MERGEFORMATINET </w:instrText>
      </w:r>
      <w:r w:rsidRPr="00474C20">
        <w:fldChar w:fldCharType="separate"/>
      </w:r>
      <w:r w:rsidRPr="00474C20">
        <w:rPr>
          <w:noProof/>
        </w:rPr>
        <w:drawing>
          <wp:inline distT="0" distB="0" distL="0" distR="0" wp14:anchorId="181E268F" wp14:editId="4B1DF1E7">
            <wp:extent cx="2578100" cy="877948"/>
            <wp:effectExtent l="0" t="0" r="0" b="0"/>
            <wp:docPr id="1"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9307" t="15915" r="8708" b="17241"/>
                    <a:stretch/>
                  </pic:blipFill>
                  <pic:spPr bwMode="auto">
                    <a:xfrm>
                      <a:off x="0" y="0"/>
                      <a:ext cx="2615310" cy="890619"/>
                    </a:xfrm>
                    <a:prstGeom prst="rect">
                      <a:avLst/>
                    </a:prstGeom>
                    <a:noFill/>
                    <a:ln>
                      <a:noFill/>
                    </a:ln>
                    <a:extLst>
                      <a:ext uri="{53640926-AAD7-44D8-BBD7-CCE9431645EC}">
                        <a14:shadowObscured xmlns:a14="http://schemas.microsoft.com/office/drawing/2010/main"/>
                      </a:ext>
                    </a:extLst>
                  </pic:spPr>
                </pic:pic>
              </a:graphicData>
            </a:graphic>
          </wp:inline>
        </w:drawing>
      </w:r>
      <w:r w:rsidRPr="00474C20">
        <w:fldChar w:fldCharType="end"/>
      </w:r>
    </w:p>
    <w:p w14:paraId="0180F3E1" w14:textId="77777777" w:rsidR="00474C20" w:rsidRDefault="00474C20" w:rsidP="00474C20">
      <w:pPr>
        <w:spacing w:line="480" w:lineRule="auto"/>
        <w:jc w:val="center"/>
        <w:rPr>
          <w:b/>
          <w:bCs/>
          <w:sz w:val="40"/>
          <w:szCs w:val="40"/>
        </w:rPr>
      </w:pPr>
    </w:p>
    <w:p w14:paraId="0DA4D7B8" w14:textId="77777777" w:rsidR="00474C20" w:rsidRDefault="00474C20" w:rsidP="00474C20">
      <w:pPr>
        <w:spacing w:line="480" w:lineRule="auto"/>
        <w:jc w:val="center"/>
        <w:rPr>
          <w:b/>
          <w:bCs/>
          <w:sz w:val="40"/>
          <w:szCs w:val="40"/>
        </w:rPr>
      </w:pPr>
    </w:p>
    <w:p w14:paraId="2E818A88" w14:textId="490ED6C8" w:rsidR="00BF3177" w:rsidRPr="00474C20" w:rsidRDefault="00474C20" w:rsidP="00474C20">
      <w:pPr>
        <w:spacing w:line="480" w:lineRule="auto"/>
        <w:jc w:val="center"/>
        <w:rPr>
          <w:b/>
          <w:bCs/>
          <w:sz w:val="40"/>
          <w:szCs w:val="40"/>
        </w:rPr>
      </w:pPr>
      <w:r w:rsidRPr="00474C20">
        <w:rPr>
          <w:b/>
          <w:bCs/>
          <w:sz w:val="40"/>
          <w:szCs w:val="40"/>
        </w:rPr>
        <w:t>Student Name:</w:t>
      </w:r>
      <w:r>
        <w:rPr>
          <w:b/>
          <w:bCs/>
          <w:sz w:val="40"/>
          <w:szCs w:val="40"/>
        </w:rPr>
        <w:t xml:space="preserve"> Andreea </w:t>
      </w:r>
      <w:proofErr w:type="spellStart"/>
      <w:r>
        <w:rPr>
          <w:b/>
          <w:bCs/>
          <w:sz w:val="40"/>
          <w:szCs w:val="40"/>
        </w:rPr>
        <w:t>Rotariu</w:t>
      </w:r>
      <w:proofErr w:type="spellEnd"/>
    </w:p>
    <w:p w14:paraId="2A9F603A" w14:textId="6FDC9A0C" w:rsidR="00474C20" w:rsidRPr="00474C20" w:rsidRDefault="00474C20" w:rsidP="00474C20">
      <w:pPr>
        <w:spacing w:line="480" w:lineRule="auto"/>
        <w:jc w:val="center"/>
        <w:rPr>
          <w:b/>
          <w:bCs/>
          <w:sz w:val="40"/>
          <w:szCs w:val="40"/>
        </w:rPr>
      </w:pPr>
      <w:r w:rsidRPr="00474C20">
        <w:rPr>
          <w:b/>
          <w:bCs/>
          <w:sz w:val="40"/>
          <w:szCs w:val="40"/>
        </w:rPr>
        <w:t>Student ID:</w:t>
      </w:r>
      <w:r>
        <w:rPr>
          <w:b/>
          <w:bCs/>
          <w:sz w:val="40"/>
          <w:szCs w:val="40"/>
        </w:rPr>
        <w:t xml:space="preserve"> 2107119</w:t>
      </w:r>
    </w:p>
    <w:p w14:paraId="439D4518" w14:textId="2FCA7735" w:rsidR="00474C20" w:rsidRDefault="00474C20" w:rsidP="00474C20">
      <w:pPr>
        <w:jc w:val="center"/>
        <w:rPr>
          <w:sz w:val="40"/>
          <w:szCs w:val="40"/>
        </w:rPr>
      </w:pPr>
      <w:r w:rsidRPr="00474C20">
        <w:rPr>
          <w:b/>
          <w:bCs/>
          <w:sz w:val="40"/>
          <w:szCs w:val="40"/>
        </w:rPr>
        <w:t>Module Name:</w:t>
      </w:r>
      <w:r>
        <w:rPr>
          <w:b/>
          <w:bCs/>
          <w:sz w:val="40"/>
          <w:szCs w:val="40"/>
        </w:rPr>
        <w:t xml:space="preserve"> </w:t>
      </w:r>
      <w:r>
        <w:rPr>
          <w:sz w:val="40"/>
          <w:szCs w:val="40"/>
        </w:rPr>
        <w:t>Developing Relationships and Workplace Achievement</w:t>
      </w:r>
    </w:p>
    <w:p w14:paraId="054BEE6B" w14:textId="77777777" w:rsidR="00474C20" w:rsidRPr="00474C20" w:rsidRDefault="00474C20" w:rsidP="00474C20">
      <w:pPr>
        <w:jc w:val="center"/>
        <w:rPr>
          <w:sz w:val="40"/>
          <w:szCs w:val="40"/>
        </w:rPr>
      </w:pPr>
    </w:p>
    <w:p w14:paraId="5871EAC5" w14:textId="4D064142" w:rsidR="00474C20" w:rsidRDefault="00474C20" w:rsidP="00474C20">
      <w:pPr>
        <w:spacing w:line="480" w:lineRule="auto"/>
        <w:jc w:val="center"/>
        <w:rPr>
          <w:b/>
          <w:bCs/>
          <w:sz w:val="40"/>
          <w:szCs w:val="40"/>
        </w:rPr>
      </w:pPr>
      <w:r w:rsidRPr="00474C20">
        <w:rPr>
          <w:b/>
          <w:bCs/>
          <w:sz w:val="40"/>
          <w:szCs w:val="40"/>
        </w:rPr>
        <w:t>Assignment Two: Individual Report</w:t>
      </w:r>
    </w:p>
    <w:p w14:paraId="04025846" w14:textId="690119FE" w:rsidR="00474C20" w:rsidRDefault="00474C20" w:rsidP="00474C20">
      <w:pPr>
        <w:spacing w:line="480" w:lineRule="auto"/>
        <w:jc w:val="center"/>
        <w:rPr>
          <w:b/>
          <w:bCs/>
          <w:sz w:val="40"/>
          <w:szCs w:val="40"/>
        </w:rPr>
      </w:pPr>
    </w:p>
    <w:p w14:paraId="6A4F17B0" w14:textId="774CA2C9" w:rsidR="00474C20" w:rsidRDefault="00474C20" w:rsidP="00474C20">
      <w:pPr>
        <w:spacing w:line="480" w:lineRule="auto"/>
        <w:jc w:val="center"/>
        <w:rPr>
          <w:b/>
          <w:bCs/>
          <w:sz w:val="40"/>
          <w:szCs w:val="40"/>
        </w:rPr>
      </w:pPr>
    </w:p>
    <w:p w14:paraId="520DEFC8" w14:textId="7BB4A1BF" w:rsidR="00474C20" w:rsidRDefault="00474C20" w:rsidP="00474C20">
      <w:pPr>
        <w:spacing w:line="480" w:lineRule="auto"/>
        <w:jc w:val="center"/>
        <w:rPr>
          <w:b/>
          <w:bCs/>
          <w:sz w:val="40"/>
          <w:szCs w:val="40"/>
        </w:rPr>
      </w:pPr>
    </w:p>
    <w:p w14:paraId="5BAE1146" w14:textId="3FD9920E" w:rsidR="00474C20" w:rsidRDefault="00474C20" w:rsidP="00474C20">
      <w:pPr>
        <w:spacing w:line="480" w:lineRule="auto"/>
        <w:jc w:val="center"/>
        <w:rPr>
          <w:b/>
          <w:bCs/>
          <w:sz w:val="40"/>
          <w:szCs w:val="40"/>
        </w:rPr>
      </w:pPr>
    </w:p>
    <w:p w14:paraId="18C504F2" w14:textId="595B73EE" w:rsidR="00474C20" w:rsidRDefault="00474C20" w:rsidP="00474C20">
      <w:pPr>
        <w:spacing w:line="480" w:lineRule="auto"/>
        <w:jc w:val="center"/>
        <w:rPr>
          <w:b/>
          <w:bCs/>
          <w:sz w:val="40"/>
          <w:szCs w:val="40"/>
        </w:rPr>
      </w:pPr>
    </w:p>
    <w:p w14:paraId="247B5E42" w14:textId="49962EF1" w:rsidR="00474C20" w:rsidRDefault="00474C20" w:rsidP="00474C20">
      <w:pPr>
        <w:spacing w:line="480" w:lineRule="auto"/>
        <w:jc w:val="center"/>
        <w:rPr>
          <w:b/>
          <w:bCs/>
          <w:sz w:val="40"/>
          <w:szCs w:val="40"/>
        </w:rPr>
      </w:pPr>
    </w:p>
    <w:p w14:paraId="2193A11B" w14:textId="37983C36" w:rsidR="00474C20" w:rsidRDefault="00474C20" w:rsidP="00474C20">
      <w:pPr>
        <w:spacing w:line="480" w:lineRule="auto"/>
        <w:jc w:val="center"/>
        <w:rPr>
          <w:b/>
          <w:bCs/>
          <w:sz w:val="40"/>
          <w:szCs w:val="40"/>
        </w:rPr>
      </w:pPr>
    </w:p>
    <w:sdt>
      <w:sdtPr>
        <w:id w:val="1831483398"/>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29E08038" w14:textId="0C97CCB8" w:rsidR="00474C20" w:rsidRDefault="00474C20">
          <w:pPr>
            <w:pStyle w:val="TOCHeading"/>
          </w:pPr>
          <w:r>
            <w:t>Table of Contents</w:t>
          </w:r>
        </w:p>
        <w:p w14:paraId="1C9ABC34" w14:textId="1BB3285E" w:rsidR="00474C20" w:rsidRDefault="00474C20">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31327001" w:history="1">
            <w:r w:rsidRPr="000305E7">
              <w:rPr>
                <w:rStyle w:val="Hyperlink"/>
                <w:noProof/>
              </w:rPr>
              <w:t>Introduction</w:t>
            </w:r>
            <w:r>
              <w:rPr>
                <w:noProof/>
                <w:webHidden/>
              </w:rPr>
              <w:tab/>
            </w:r>
            <w:r>
              <w:rPr>
                <w:noProof/>
                <w:webHidden/>
              </w:rPr>
              <w:fldChar w:fldCharType="begin"/>
            </w:r>
            <w:r>
              <w:rPr>
                <w:noProof/>
                <w:webHidden/>
              </w:rPr>
              <w:instrText xml:space="preserve"> PAGEREF _Toc131327001 \h </w:instrText>
            </w:r>
            <w:r>
              <w:rPr>
                <w:noProof/>
                <w:webHidden/>
              </w:rPr>
            </w:r>
            <w:r>
              <w:rPr>
                <w:noProof/>
                <w:webHidden/>
              </w:rPr>
              <w:fldChar w:fldCharType="separate"/>
            </w:r>
            <w:r>
              <w:rPr>
                <w:noProof/>
                <w:webHidden/>
              </w:rPr>
              <w:t>2</w:t>
            </w:r>
            <w:r>
              <w:rPr>
                <w:noProof/>
                <w:webHidden/>
              </w:rPr>
              <w:fldChar w:fldCharType="end"/>
            </w:r>
          </w:hyperlink>
        </w:p>
        <w:p w14:paraId="7732E26A" w14:textId="4D6E0A85" w:rsidR="00474C20" w:rsidRDefault="00474C20">
          <w:pPr>
            <w:pStyle w:val="TOC1"/>
            <w:tabs>
              <w:tab w:val="right" w:leader="dot" w:pos="9016"/>
            </w:tabs>
            <w:rPr>
              <w:noProof/>
            </w:rPr>
          </w:pPr>
          <w:hyperlink w:anchor="_Toc131327002" w:history="1">
            <w:r w:rsidRPr="000305E7">
              <w:rPr>
                <w:rStyle w:val="Hyperlink"/>
                <w:noProof/>
              </w:rPr>
              <w:t>Section One: National Analysis</w:t>
            </w:r>
            <w:r>
              <w:rPr>
                <w:noProof/>
                <w:webHidden/>
              </w:rPr>
              <w:tab/>
            </w:r>
            <w:r>
              <w:rPr>
                <w:noProof/>
                <w:webHidden/>
              </w:rPr>
              <w:fldChar w:fldCharType="begin"/>
            </w:r>
            <w:r>
              <w:rPr>
                <w:noProof/>
                <w:webHidden/>
              </w:rPr>
              <w:instrText xml:space="preserve"> PAGEREF _Toc131327002 \h </w:instrText>
            </w:r>
            <w:r>
              <w:rPr>
                <w:noProof/>
                <w:webHidden/>
              </w:rPr>
            </w:r>
            <w:r>
              <w:rPr>
                <w:noProof/>
                <w:webHidden/>
              </w:rPr>
              <w:fldChar w:fldCharType="separate"/>
            </w:r>
            <w:r>
              <w:rPr>
                <w:noProof/>
                <w:webHidden/>
              </w:rPr>
              <w:t>2</w:t>
            </w:r>
            <w:r>
              <w:rPr>
                <w:noProof/>
                <w:webHidden/>
              </w:rPr>
              <w:fldChar w:fldCharType="end"/>
            </w:r>
          </w:hyperlink>
        </w:p>
        <w:p w14:paraId="7625004E" w14:textId="66E05A64" w:rsidR="00474C20" w:rsidRDefault="00474C20">
          <w:pPr>
            <w:pStyle w:val="TOC1"/>
            <w:tabs>
              <w:tab w:val="right" w:leader="dot" w:pos="9016"/>
            </w:tabs>
            <w:rPr>
              <w:noProof/>
            </w:rPr>
          </w:pPr>
          <w:hyperlink w:anchor="_Toc131327003" w:history="1">
            <w:r w:rsidRPr="000305E7">
              <w:rPr>
                <w:rStyle w:val="Hyperlink"/>
                <w:noProof/>
              </w:rPr>
              <w:t>Part One: Cultural Analysis of Russia and China</w:t>
            </w:r>
            <w:r>
              <w:rPr>
                <w:noProof/>
                <w:webHidden/>
              </w:rPr>
              <w:tab/>
            </w:r>
            <w:r>
              <w:rPr>
                <w:noProof/>
                <w:webHidden/>
              </w:rPr>
              <w:fldChar w:fldCharType="begin"/>
            </w:r>
            <w:r>
              <w:rPr>
                <w:noProof/>
                <w:webHidden/>
              </w:rPr>
              <w:instrText xml:space="preserve"> PAGEREF _Toc131327003 \h </w:instrText>
            </w:r>
            <w:r>
              <w:rPr>
                <w:noProof/>
                <w:webHidden/>
              </w:rPr>
            </w:r>
            <w:r>
              <w:rPr>
                <w:noProof/>
                <w:webHidden/>
              </w:rPr>
              <w:fldChar w:fldCharType="separate"/>
            </w:r>
            <w:r>
              <w:rPr>
                <w:noProof/>
                <w:webHidden/>
              </w:rPr>
              <w:t>2</w:t>
            </w:r>
            <w:r>
              <w:rPr>
                <w:noProof/>
                <w:webHidden/>
              </w:rPr>
              <w:fldChar w:fldCharType="end"/>
            </w:r>
          </w:hyperlink>
        </w:p>
        <w:p w14:paraId="04899DA9" w14:textId="6121595F" w:rsidR="00474C20" w:rsidRDefault="00474C20">
          <w:pPr>
            <w:pStyle w:val="TOC1"/>
            <w:tabs>
              <w:tab w:val="right" w:leader="dot" w:pos="9016"/>
            </w:tabs>
            <w:rPr>
              <w:noProof/>
            </w:rPr>
          </w:pPr>
          <w:hyperlink w:anchor="_Toc131327004" w:history="1">
            <w:r w:rsidRPr="000305E7">
              <w:rPr>
                <w:rStyle w:val="Hyperlink"/>
                <w:noProof/>
              </w:rPr>
              <w:t>Part Two: Institutional analysis of Russia and China</w:t>
            </w:r>
            <w:r>
              <w:rPr>
                <w:noProof/>
                <w:webHidden/>
              </w:rPr>
              <w:tab/>
            </w:r>
            <w:r>
              <w:rPr>
                <w:noProof/>
                <w:webHidden/>
              </w:rPr>
              <w:fldChar w:fldCharType="begin"/>
            </w:r>
            <w:r>
              <w:rPr>
                <w:noProof/>
                <w:webHidden/>
              </w:rPr>
              <w:instrText xml:space="preserve"> PAGEREF _Toc131327004 \h </w:instrText>
            </w:r>
            <w:r>
              <w:rPr>
                <w:noProof/>
                <w:webHidden/>
              </w:rPr>
            </w:r>
            <w:r>
              <w:rPr>
                <w:noProof/>
                <w:webHidden/>
              </w:rPr>
              <w:fldChar w:fldCharType="separate"/>
            </w:r>
            <w:r>
              <w:rPr>
                <w:noProof/>
                <w:webHidden/>
              </w:rPr>
              <w:t>4</w:t>
            </w:r>
            <w:r>
              <w:rPr>
                <w:noProof/>
                <w:webHidden/>
              </w:rPr>
              <w:fldChar w:fldCharType="end"/>
            </w:r>
          </w:hyperlink>
        </w:p>
        <w:p w14:paraId="2E721079" w14:textId="063CDBE8" w:rsidR="00474C20" w:rsidRDefault="00474C20">
          <w:pPr>
            <w:pStyle w:val="TOC1"/>
            <w:tabs>
              <w:tab w:val="right" w:leader="dot" w:pos="9016"/>
            </w:tabs>
            <w:rPr>
              <w:noProof/>
            </w:rPr>
          </w:pPr>
          <w:hyperlink w:anchor="_Toc131327005" w:history="1">
            <w:r w:rsidRPr="000305E7">
              <w:rPr>
                <w:rStyle w:val="Hyperlink"/>
                <w:noProof/>
              </w:rPr>
              <w:t>Section Two: Organisational Analysis</w:t>
            </w:r>
            <w:r>
              <w:rPr>
                <w:noProof/>
                <w:webHidden/>
              </w:rPr>
              <w:tab/>
            </w:r>
            <w:r>
              <w:rPr>
                <w:noProof/>
                <w:webHidden/>
              </w:rPr>
              <w:fldChar w:fldCharType="begin"/>
            </w:r>
            <w:r>
              <w:rPr>
                <w:noProof/>
                <w:webHidden/>
              </w:rPr>
              <w:instrText xml:space="preserve"> PAGEREF _Toc131327005 \h </w:instrText>
            </w:r>
            <w:r>
              <w:rPr>
                <w:noProof/>
                <w:webHidden/>
              </w:rPr>
            </w:r>
            <w:r>
              <w:rPr>
                <w:noProof/>
                <w:webHidden/>
              </w:rPr>
              <w:fldChar w:fldCharType="separate"/>
            </w:r>
            <w:r>
              <w:rPr>
                <w:noProof/>
                <w:webHidden/>
              </w:rPr>
              <w:t>5</w:t>
            </w:r>
            <w:r>
              <w:rPr>
                <w:noProof/>
                <w:webHidden/>
              </w:rPr>
              <w:fldChar w:fldCharType="end"/>
            </w:r>
          </w:hyperlink>
        </w:p>
        <w:p w14:paraId="68EEAEA6" w14:textId="378B9B8A" w:rsidR="00474C20" w:rsidRDefault="00474C20">
          <w:pPr>
            <w:pStyle w:val="TOC1"/>
            <w:tabs>
              <w:tab w:val="right" w:leader="dot" w:pos="9016"/>
            </w:tabs>
            <w:rPr>
              <w:noProof/>
            </w:rPr>
          </w:pPr>
          <w:hyperlink w:anchor="_Toc131327006" w:history="1">
            <w:r w:rsidRPr="000305E7">
              <w:rPr>
                <w:rStyle w:val="Hyperlink"/>
                <w:noProof/>
              </w:rPr>
              <w:t>Part One: M&amp;A Rationale and Integration Strategy</w:t>
            </w:r>
            <w:r>
              <w:rPr>
                <w:noProof/>
                <w:webHidden/>
              </w:rPr>
              <w:tab/>
            </w:r>
            <w:r>
              <w:rPr>
                <w:noProof/>
                <w:webHidden/>
              </w:rPr>
              <w:fldChar w:fldCharType="begin"/>
            </w:r>
            <w:r>
              <w:rPr>
                <w:noProof/>
                <w:webHidden/>
              </w:rPr>
              <w:instrText xml:space="preserve"> PAGEREF _Toc131327006 \h </w:instrText>
            </w:r>
            <w:r>
              <w:rPr>
                <w:noProof/>
                <w:webHidden/>
              </w:rPr>
            </w:r>
            <w:r>
              <w:rPr>
                <w:noProof/>
                <w:webHidden/>
              </w:rPr>
              <w:fldChar w:fldCharType="separate"/>
            </w:r>
            <w:r>
              <w:rPr>
                <w:noProof/>
                <w:webHidden/>
              </w:rPr>
              <w:t>5</w:t>
            </w:r>
            <w:r>
              <w:rPr>
                <w:noProof/>
                <w:webHidden/>
              </w:rPr>
              <w:fldChar w:fldCharType="end"/>
            </w:r>
          </w:hyperlink>
        </w:p>
        <w:p w14:paraId="27AEF517" w14:textId="2336099A" w:rsidR="00474C20" w:rsidRDefault="00474C20">
          <w:pPr>
            <w:pStyle w:val="TOC1"/>
            <w:tabs>
              <w:tab w:val="right" w:leader="dot" w:pos="9016"/>
            </w:tabs>
            <w:rPr>
              <w:noProof/>
            </w:rPr>
          </w:pPr>
          <w:hyperlink w:anchor="_Toc131327007" w:history="1">
            <w:r w:rsidRPr="000305E7">
              <w:rPr>
                <w:rStyle w:val="Hyperlink"/>
                <w:noProof/>
              </w:rPr>
              <w:t>Part Two: Role of IHRM in implementing effective M&amp;A</w:t>
            </w:r>
            <w:r>
              <w:rPr>
                <w:noProof/>
                <w:webHidden/>
              </w:rPr>
              <w:tab/>
            </w:r>
            <w:r>
              <w:rPr>
                <w:noProof/>
                <w:webHidden/>
              </w:rPr>
              <w:fldChar w:fldCharType="begin"/>
            </w:r>
            <w:r>
              <w:rPr>
                <w:noProof/>
                <w:webHidden/>
              </w:rPr>
              <w:instrText xml:space="preserve"> PAGEREF _Toc131327007 \h </w:instrText>
            </w:r>
            <w:r>
              <w:rPr>
                <w:noProof/>
                <w:webHidden/>
              </w:rPr>
            </w:r>
            <w:r>
              <w:rPr>
                <w:noProof/>
                <w:webHidden/>
              </w:rPr>
              <w:fldChar w:fldCharType="separate"/>
            </w:r>
            <w:r>
              <w:rPr>
                <w:noProof/>
                <w:webHidden/>
              </w:rPr>
              <w:t>6</w:t>
            </w:r>
            <w:r>
              <w:rPr>
                <w:noProof/>
                <w:webHidden/>
              </w:rPr>
              <w:fldChar w:fldCharType="end"/>
            </w:r>
          </w:hyperlink>
        </w:p>
        <w:p w14:paraId="7DFD4493" w14:textId="38F32DD9" w:rsidR="00474C20" w:rsidRDefault="00474C20">
          <w:pPr>
            <w:pStyle w:val="TOC1"/>
            <w:tabs>
              <w:tab w:val="right" w:leader="dot" w:pos="9016"/>
            </w:tabs>
            <w:rPr>
              <w:noProof/>
            </w:rPr>
          </w:pPr>
          <w:hyperlink w:anchor="_Toc131327008" w:history="1">
            <w:r w:rsidRPr="000305E7">
              <w:rPr>
                <w:rStyle w:val="Hyperlink"/>
                <w:noProof/>
              </w:rPr>
              <w:t>Conclusion</w:t>
            </w:r>
            <w:r>
              <w:rPr>
                <w:noProof/>
                <w:webHidden/>
              </w:rPr>
              <w:tab/>
            </w:r>
            <w:r>
              <w:rPr>
                <w:noProof/>
                <w:webHidden/>
              </w:rPr>
              <w:fldChar w:fldCharType="begin"/>
            </w:r>
            <w:r>
              <w:rPr>
                <w:noProof/>
                <w:webHidden/>
              </w:rPr>
              <w:instrText xml:space="preserve"> PAGEREF _Toc131327008 \h </w:instrText>
            </w:r>
            <w:r>
              <w:rPr>
                <w:noProof/>
                <w:webHidden/>
              </w:rPr>
            </w:r>
            <w:r>
              <w:rPr>
                <w:noProof/>
                <w:webHidden/>
              </w:rPr>
              <w:fldChar w:fldCharType="separate"/>
            </w:r>
            <w:r>
              <w:rPr>
                <w:noProof/>
                <w:webHidden/>
              </w:rPr>
              <w:t>7</w:t>
            </w:r>
            <w:r>
              <w:rPr>
                <w:noProof/>
                <w:webHidden/>
              </w:rPr>
              <w:fldChar w:fldCharType="end"/>
            </w:r>
          </w:hyperlink>
        </w:p>
        <w:p w14:paraId="783CB7B5" w14:textId="7A960F6E" w:rsidR="00474C20" w:rsidRDefault="00474C20">
          <w:pPr>
            <w:pStyle w:val="TOC1"/>
            <w:tabs>
              <w:tab w:val="right" w:leader="dot" w:pos="9016"/>
            </w:tabs>
            <w:rPr>
              <w:noProof/>
            </w:rPr>
          </w:pPr>
          <w:hyperlink w:anchor="_Toc131327009" w:history="1">
            <w:r w:rsidRPr="000305E7">
              <w:rPr>
                <w:rStyle w:val="Hyperlink"/>
                <w:noProof/>
              </w:rPr>
              <w:t>List of References</w:t>
            </w:r>
            <w:r>
              <w:rPr>
                <w:noProof/>
                <w:webHidden/>
              </w:rPr>
              <w:tab/>
            </w:r>
            <w:r>
              <w:rPr>
                <w:noProof/>
                <w:webHidden/>
              </w:rPr>
              <w:fldChar w:fldCharType="begin"/>
            </w:r>
            <w:r>
              <w:rPr>
                <w:noProof/>
                <w:webHidden/>
              </w:rPr>
              <w:instrText xml:space="preserve"> PAGEREF _Toc131327009 \h </w:instrText>
            </w:r>
            <w:r>
              <w:rPr>
                <w:noProof/>
                <w:webHidden/>
              </w:rPr>
            </w:r>
            <w:r>
              <w:rPr>
                <w:noProof/>
                <w:webHidden/>
              </w:rPr>
              <w:fldChar w:fldCharType="separate"/>
            </w:r>
            <w:r>
              <w:rPr>
                <w:noProof/>
                <w:webHidden/>
              </w:rPr>
              <w:t>7</w:t>
            </w:r>
            <w:r>
              <w:rPr>
                <w:noProof/>
                <w:webHidden/>
              </w:rPr>
              <w:fldChar w:fldCharType="end"/>
            </w:r>
          </w:hyperlink>
        </w:p>
        <w:p w14:paraId="24A39B31" w14:textId="69DADE87" w:rsidR="00474C20" w:rsidRDefault="00474C20">
          <w:r>
            <w:rPr>
              <w:b/>
              <w:bCs/>
              <w:noProof/>
            </w:rPr>
            <w:fldChar w:fldCharType="end"/>
          </w:r>
        </w:p>
      </w:sdtContent>
    </w:sdt>
    <w:p w14:paraId="664AAE52" w14:textId="505D0246" w:rsidR="00474C20" w:rsidRDefault="00474C20" w:rsidP="00474C20">
      <w:pPr>
        <w:spacing w:line="480" w:lineRule="auto"/>
        <w:jc w:val="center"/>
        <w:rPr>
          <w:b/>
          <w:bCs/>
          <w:sz w:val="40"/>
          <w:szCs w:val="40"/>
        </w:rPr>
      </w:pPr>
    </w:p>
    <w:p w14:paraId="1B2D0907" w14:textId="29C023F7" w:rsidR="00474C20" w:rsidRDefault="00474C20" w:rsidP="00474C20">
      <w:pPr>
        <w:spacing w:line="480" w:lineRule="auto"/>
        <w:jc w:val="center"/>
        <w:rPr>
          <w:b/>
          <w:bCs/>
          <w:sz w:val="40"/>
          <w:szCs w:val="40"/>
        </w:rPr>
      </w:pPr>
    </w:p>
    <w:p w14:paraId="4B308D14" w14:textId="44B8DE2D" w:rsidR="00474C20" w:rsidRDefault="00474C20" w:rsidP="00474C20">
      <w:pPr>
        <w:spacing w:line="480" w:lineRule="auto"/>
        <w:jc w:val="center"/>
        <w:rPr>
          <w:b/>
          <w:bCs/>
          <w:sz w:val="40"/>
          <w:szCs w:val="40"/>
        </w:rPr>
      </w:pPr>
    </w:p>
    <w:p w14:paraId="033036FF" w14:textId="5BA5F613" w:rsidR="00474C20" w:rsidRDefault="00474C20" w:rsidP="00474C20">
      <w:pPr>
        <w:spacing w:line="480" w:lineRule="auto"/>
        <w:jc w:val="center"/>
        <w:rPr>
          <w:b/>
          <w:bCs/>
          <w:sz w:val="40"/>
          <w:szCs w:val="40"/>
        </w:rPr>
      </w:pPr>
    </w:p>
    <w:p w14:paraId="08DE18D6" w14:textId="1863D536" w:rsidR="00474C20" w:rsidRDefault="00474C20" w:rsidP="00474C20">
      <w:pPr>
        <w:spacing w:line="480" w:lineRule="auto"/>
        <w:jc w:val="center"/>
        <w:rPr>
          <w:b/>
          <w:bCs/>
          <w:sz w:val="40"/>
          <w:szCs w:val="40"/>
        </w:rPr>
      </w:pPr>
    </w:p>
    <w:p w14:paraId="48F747AB" w14:textId="12EF22B1" w:rsidR="00474C20" w:rsidRDefault="00474C20" w:rsidP="00474C20">
      <w:pPr>
        <w:spacing w:line="480" w:lineRule="auto"/>
        <w:jc w:val="center"/>
        <w:rPr>
          <w:b/>
          <w:bCs/>
          <w:sz w:val="40"/>
          <w:szCs w:val="40"/>
        </w:rPr>
      </w:pPr>
    </w:p>
    <w:p w14:paraId="7B128E14" w14:textId="676086D1" w:rsidR="00474C20" w:rsidRDefault="00474C20" w:rsidP="00474C20">
      <w:pPr>
        <w:spacing w:line="480" w:lineRule="auto"/>
        <w:jc w:val="center"/>
        <w:rPr>
          <w:b/>
          <w:bCs/>
          <w:sz w:val="40"/>
          <w:szCs w:val="40"/>
        </w:rPr>
      </w:pPr>
    </w:p>
    <w:p w14:paraId="7D20E8E6" w14:textId="38B5E576" w:rsidR="00474C20" w:rsidRDefault="00474C20" w:rsidP="00474C20">
      <w:pPr>
        <w:spacing w:line="480" w:lineRule="auto"/>
        <w:jc w:val="center"/>
        <w:rPr>
          <w:b/>
          <w:bCs/>
          <w:sz w:val="40"/>
          <w:szCs w:val="40"/>
        </w:rPr>
      </w:pPr>
    </w:p>
    <w:p w14:paraId="3530C41F" w14:textId="47D4D052" w:rsidR="00474C20" w:rsidRDefault="00474C20" w:rsidP="00474C20">
      <w:pPr>
        <w:spacing w:line="480" w:lineRule="auto"/>
        <w:jc w:val="center"/>
        <w:rPr>
          <w:b/>
          <w:bCs/>
          <w:sz w:val="40"/>
          <w:szCs w:val="40"/>
        </w:rPr>
      </w:pPr>
    </w:p>
    <w:p w14:paraId="4A48AEC2" w14:textId="77777777" w:rsidR="00474C20" w:rsidRDefault="00474C20" w:rsidP="00474C20">
      <w:pPr>
        <w:spacing w:line="480" w:lineRule="auto"/>
        <w:jc w:val="center"/>
        <w:rPr>
          <w:b/>
          <w:bCs/>
          <w:sz w:val="40"/>
          <w:szCs w:val="40"/>
        </w:rPr>
      </w:pPr>
    </w:p>
    <w:p w14:paraId="6C3EF006" w14:textId="7A363AC8" w:rsidR="00474C20" w:rsidRDefault="00474C20" w:rsidP="00474C20">
      <w:pPr>
        <w:pStyle w:val="Heading1"/>
        <w:rPr>
          <w:b/>
          <w:bCs/>
        </w:rPr>
      </w:pPr>
      <w:bookmarkStart w:id="0" w:name="_Toc131327001"/>
      <w:r w:rsidRPr="00474C20">
        <w:rPr>
          <w:b/>
          <w:bCs/>
        </w:rPr>
        <w:lastRenderedPageBreak/>
        <w:t>Introductio</w:t>
      </w:r>
      <w:r>
        <w:rPr>
          <w:b/>
          <w:bCs/>
        </w:rPr>
        <w:t>n</w:t>
      </w:r>
      <w:bookmarkEnd w:id="0"/>
    </w:p>
    <w:p w14:paraId="0D7A0CD0" w14:textId="1E4A33D9" w:rsidR="00474C20" w:rsidRDefault="00474C20" w:rsidP="00474C20"/>
    <w:p w14:paraId="1FB3CCB9" w14:textId="337D7404" w:rsidR="00474C20" w:rsidRPr="00474C20" w:rsidRDefault="00474C20" w:rsidP="00474C20">
      <w:pPr>
        <w:spacing w:line="360" w:lineRule="auto"/>
        <w:jc w:val="both"/>
        <w:rPr>
          <w:rFonts w:ascii="Arial" w:hAnsi="Arial" w:cs="Arial"/>
          <w:sz w:val="22"/>
          <w:szCs w:val="22"/>
        </w:rPr>
      </w:pPr>
      <w:r w:rsidRPr="00474C20">
        <w:rPr>
          <w:rFonts w:ascii="Arial" w:hAnsi="Arial" w:cs="Arial"/>
          <w:sz w:val="22"/>
          <w:szCs w:val="22"/>
        </w:rPr>
        <w:t>The following assignment is developed for the current module studied entitled as “Developing Relationships and Workplace Achievement” with the main purpose of examining the strategic fit between the two companies from national an organisational perspective, as well as cultural and institutional HRM terms.</w:t>
      </w:r>
    </w:p>
    <w:p w14:paraId="6ED8841C" w14:textId="0351196A" w:rsidR="00474C20" w:rsidRPr="00474C20" w:rsidRDefault="00474C20" w:rsidP="00474C20">
      <w:pPr>
        <w:spacing w:line="360" w:lineRule="auto"/>
        <w:jc w:val="both"/>
        <w:rPr>
          <w:rFonts w:ascii="Arial" w:hAnsi="Arial" w:cs="Arial"/>
          <w:sz w:val="22"/>
          <w:szCs w:val="22"/>
        </w:rPr>
      </w:pPr>
    </w:p>
    <w:p w14:paraId="78293A7D" w14:textId="77777777" w:rsidR="00474C20" w:rsidRPr="00474C20" w:rsidRDefault="00474C20" w:rsidP="00474C20">
      <w:pPr>
        <w:spacing w:line="360" w:lineRule="auto"/>
        <w:jc w:val="both"/>
        <w:rPr>
          <w:rFonts w:ascii="Arial" w:hAnsi="Arial" w:cs="Arial"/>
          <w:sz w:val="22"/>
          <w:szCs w:val="22"/>
        </w:rPr>
      </w:pPr>
      <w:r w:rsidRPr="00474C20">
        <w:rPr>
          <w:rFonts w:ascii="Arial" w:hAnsi="Arial" w:cs="Arial"/>
          <w:sz w:val="22"/>
          <w:szCs w:val="22"/>
        </w:rPr>
        <w:t xml:space="preserve">The two companies that have been selected include Lukoil from Russia and </w:t>
      </w:r>
      <w:proofErr w:type="spellStart"/>
      <w:r w:rsidRPr="00474C20">
        <w:rPr>
          <w:rFonts w:ascii="Arial" w:hAnsi="Arial" w:cs="Arial"/>
          <w:sz w:val="22"/>
          <w:szCs w:val="22"/>
        </w:rPr>
        <w:t>Hengli</w:t>
      </w:r>
      <w:proofErr w:type="spellEnd"/>
      <w:r w:rsidRPr="00474C20">
        <w:rPr>
          <w:rFonts w:ascii="Arial" w:hAnsi="Arial" w:cs="Arial"/>
          <w:sz w:val="22"/>
          <w:szCs w:val="22"/>
        </w:rPr>
        <w:t xml:space="preserve"> from China. Based on these two companies that have been selected, key elements will be investigated and represented throughout the report. </w:t>
      </w:r>
    </w:p>
    <w:p w14:paraId="3A0DECD0" w14:textId="77777777" w:rsidR="00474C20" w:rsidRPr="00474C20" w:rsidRDefault="00474C20" w:rsidP="00474C20">
      <w:pPr>
        <w:spacing w:line="360" w:lineRule="auto"/>
        <w:jc w:val="both"/>
        <w:rPr>
          <w:rFonts w:ascii="Arial" w:hAnsi="Arial" w:cs="Arial"/>
          <w:sz w:val="22"/>
          <w:szCs w:val="22"/>
        </w:rPr>
      </w:pPr>
    </w:p>
    <w:p w14:paraId="11980DA7" w14:textId="78281F29" w:rsidR="00474C20" w:rsidRPr="00474C20" w:rsidRDefault="00474C20" w:rsidP="00474C20">
      <w:pPr>
        <w:spacing w:line="360" w:lineRule="auto"/>
        <w:jc w:val="both"/>
        <w:rPr>
          <w:rFonts w:ascii="Arial" w:hAnsi="Arial" w:cs="Arial"/>
          <w:sz w:val="22"/>
          <w:szCs w:val="22"/>
        </w:rPr>
      </w:pPr>
      <w:r w:rsidRPr="00474C20">
        <w:rPr>
          <w:rFonts w:ascii="Arial" w:hAnsi="Arial" w:cs="Arial"/>
          <w:sz w:val="22"/>
          <w:szCs w:val="22"/>
        </w:rPr>
        <w:t xml:space="preserve">Before moving into the main body, it is important to familiarize with the companies that have been selected. For example, Lukoil is known to be the largest oil provider that is also private in Russia. Different sources outline that this company has approximately 100k employees that work around multiple regions of Russia making sure that all tasks and activities are completed effectively and on time. Moving towards </w:t>
      </w:r>
      <w:proofErr w:type="spellStart"/>
      <w:r w:rsidRPr="00474C20">
        <w:rPr>
          <w:rFonts w:ascii="Arial" w:hAnsi="Arial" w:cs="Arial"/>
          <w:sz w:val="22"/>
          <w:szCs w:val="22"/>
        </w:rPr>
        <w:t>Hengli</w:t>
      </w:r>
      <w:proofErr w:type="spellEnd"/>
      <w:r w:rsidRPr="00474C20">
        <w:rPr>
          <w:rFonts w:ascii="Arial" w:hAnsi="Arial" w:cs="Arial"/>
          <w:sz w:val="22"/>
          <w:szCs w:val="22"/>
        </w:rPr>
        <w:t xml:space="preserve">, this company is also private formed in China. This company is specialising in the production of fibbers from oil with advanced technologies. This company formed in China has less employees that Lukoil, sources identifying approximately 26k employees. </w:t>
      </w:r>
    </w:p>
    <w:p w14:paraId="669B2DA8" w14:textId="5F1CBA36" w:rsidR="00474C20" w:rsidRDefault="00474C20" w:rsidP="00474C20">
      <w:pPr>
        <w:pStyle w:val="Heading1"/>
      </w:pPr>
      <w:bookmarkStart w:id="1" w:name="_Toc131327002"/>
      <w:r w:rsidRPr="00474C20">
        <w:rPr>
          <w:b/>
          <w:bCs/>
        </w:rPr>
        <w:t>Section</w:t>
      </w:r>
      <w:r>
        <w:t xml:space="preserve"> </w:t>
      </w:r>
      <w:r w:rsidRPr="00474C20">
        <w:rPr>
          <w:b/>
          <w:bCs/>
        </w:rPr>
        <w:t>One</w:t>
      </w:r>
      <w:r>
        <w:t xml:space="preserve">: </w:t>
      </w:r>
      <w:r w:rsidRPr="00474C20">
        <w:rPr>
          <w:b/>
          <w:bCs/>
        </w:rPr>
        <w:t>National</w:t>
      </w:r>
      <w:r>
        <w:t xml:space="preserve"> </w:t>
      </w:r>
      <w:r w:rsidRPr="00474C20">
        <w:rPr>
          <w:b/>
          <w:bCs/>
        </w:rPr>
        <w:t>Analysis</w:t>
      </w:r>
      <w:bookmarkEnd w:id="1"/>
      <w:r>
        <w:t xml:space="preserve"> </w:t>
      </w:r>
    </w:p>
    <w:p w14:paraId="55444262" w14:textId="7CB6A4DF" w:rsidR="00474C20" w:rsidRDefault="00474C20" w:rsidP="00474C20">
      <w:pPr>
        <w:pStyle w:val="Heading1"/>
      </w:pPr>
      <w:bookmarkStart w:id="2" w:name="_Toc131327003"/>
      <w:r>
        <w:t>Part One: Cultural Analysis of Russia and China</w:t>
      </w:r>
      <w:bookmarkEnd w:id="2"/>
    </w:p>
    <w:p w14:paraId="05DFEAB0" w14:textId="77777777" w:rsidR="00474C20" w:rsidRPr="00474C20" w:rsidRDefault="00474C20" w:rsidP="00474C20">
      <w:pPr>
        <w:rPr>
          <w:sz w:val="11"/>
          <w:szCs w:val="11"/>
        </w:rPr>
      </w:pPr>
    </w:p>
    <w:p w14:paraId="36DB8B9E" w14:textId="2D4B0382" w:rsidR="00474C20" w:rsidRPr="00474C20" w:rsidRDefault="00474C20" w:rsidP="00474C20">
      <w:pPr>
        <w:spacing w:line="360" w:lineRule="auto"/>
        <w:jc w:val="both"/>
        <w:rPr>
          <w:rFonts w:ascii="Arial" w:hAnsi="Arial" w:cs="Arial"/>
          <w:sz w:val="22"/>
          <w:szCs w:val="22"/>
        </w:rPr>
      </w:pPr>
      <w:proofErr w:type="gramStart"/>
      <w:r w:rsidRPr="00474C20">
        <w:rPr>
          <w:rFonts w:ascii="Arial" w:hAnsi="Arial" w:cs="Arial"/>
          <w:sz w:val="22"/>
          <w:szCs w:val="22"/>
        </w:rPr>
        <w:t>In order to</w:t>
      </w:r>
      <w:proofErr w:type="gramEnd"/>
      <w:r w:rsidRPr="00474C20">
        <w:rPr>
          <w:rFonts w:ascii="Arial" w:hAnsi="Arial" w:cs="Arial"/>
          <w:sz w:val="22"/>
          <w:szCs w:val="22"/>
        </w:rPr>
        <w:t xml:space="preserve"> undertake a cultural analysis, the Hofstede Cultural Dimensions</w:t>
      </w:r>
      <w:r>
        <w:rPr>
          <w:rFonts w:ascii="Arial" w:hAnsi="Arial" w:cs="Arial"/>
          <w:sz w:val="22"/>
          <w:szCs w:val="22"/>
        </w:rPr>
        <w:t xml:space="preserve"> (Cohn &amp; Russell, 2015)</w:t>
      </w:r>
      <w:r w:rsidRPr="00474C20">
        <w:rPr>
          <w:rFonts w:ascii="Arial" w:hAnsi="Arial" w:cs="Arial"/>
          <w:sz w:val="22"/>
          <w:szCs w:val="22"/>
        </w:rPr>
        <w:t xml:space="preserve"> are going to be applied. Starting with </w:t>
      </w:r>
      <w:r w:rsidRPr="00474C20">
        <w:rPr>
          <w:rFonts w:ascii="Arial" w:hAnsi="Arial" w:cs="Arial"/>
          <w:b/>
          <w:bCs/>
          <w:sz w:val="22"/>
          <w:szCs w:val="22"/>
        </w:rPr>
        <w:t>Russia</w:t>
      </w:r>
      <w:r w:rsidRPr="00474C20">
        <w:rPr>
          <w:rFonts w:ascii="Arial" w:hAnsi="Arial" w:cs="Arial"/>
          <w:sz w:val="22"/>
          <w:szCs w:val="22"/>
        </w:rPr>
        <w:t xml:space="preserve">, this model applies as it follows: </w:t>
      </w:r>
    </w:p>
    <w:p w14:paraId="1FB0BE7B" w14:textId="5499A026" w:rsidR="00474C20" w:rsidRDefault="00474C20" w:rsidP="00474C20">
      <w:pPr>
        <w:pStyle w:val="ListParagraph"/>
        <w:numPr>
          <w:ilvl w:val="0"/>
          <w:numId w:val="1"/>
        </w:numPr>
        <w:spacing w:line="360" w:lineRule="auto"/>
        <w:jc w:val="both"/>
        <w:rPr>
          <w:rFonts w:ascii="Arial" w:hAnsi="Arial" w:cs="Arial"/>
          <w:sz w:val="22"/>
          <w:szCs w:val="22"/>
        </w:rPr>
      </w:pPr>
      <w:r w:rsidRPr="00474C20">
        <w:rPr>
          <w:rFonts w:ascii="Arial" w:hAnsi="Arial" w:cs="Arial"/>
          <w:b/>
          <w:bCs/>
          <w:sz w:val="22"/>
          <w:szCs w:val="22"/>
        </w:rPr>
        <w:t xml:space="preserve">POWER DISTANCE: </w:t>
      </w:r>
      <w:r w:rsidRPr="00474C20">
        <w:rPr>
          <w:rFonts w:ascii="Arial" w:hAnsi="Arial" w:cs="Arial"/>
          <w:sz w:val="22"/>
          <w:szCs w:val="22"/>
        </w:rPr>
        <w:t>Russia, with a score of 93, is a society where those in power are very distant. The fact that the world's largest country is highly centralized shows that:</w:t>
      </w:r>
      <w:r w:rsidRPr="00474C20">
        <w:rPr>
          <w:rFonts w:ascii="Arial" w:hAnsi="Arial" w:cs="Arial"/>
          <w:sz w:val="22"/>
          <w:szCs w:val="22"/>
        </w:rPr>
        <w:t xml:space="preserve"> </w:t>
      </w:r>
      <w:r w:rsidRPr="00474C20">
        <w:rPr>
          <w:rFonts w:ascii="Arial" w:hAnsi="Arial" w:cs="Arial"/>
          <w:sz w:val="22"/>
          <w:szCs w:val="22"/>
        </w:rPr>
        <w:t>Moscow is home to two-thirds of all foreign investment and 80% of its financial potential is concentrated. Status symbols are very important</w:t>
      </w:r>
      <w:r>
        <w:rPr>
          <w:rFonts w:ascii="Arial" w:hAnsi="Arial" w:cs="Arial"/>
          <w:sz w:val="22"/>
          <w:szCs w:val="22"/>
        </w:rPr>
        <w:t xml:space="preserve"> (Hofstede Insights, 2022)</w:t>
      </w:r>
      <w:r w:rsidRPr="00474C20">
        <w:rPr>
          <w:rFonts w:ascii="Arial" w:hAnsi="Arial" w:cs="Arial"/>
          <w:sz w:val="22"/>
          <w:szCs w:val="22"/>
        </w:rPr>
        <w:t xml:space="preserve">. </w:t>
      </w:r>
    </w:p>
    <w:p w14:paraId="47CE13E3" w14:textId="636139A1" w:rsidR="00474C20" w:rsidRDefault="00474C20" w:rsidP="00474C20">
      <w:pPr>
        <w:pStyle w:val="ListParagraph"/>
        <w:numPr>
          <w:ilvl w:val="0"/>
          <w:numId w:val="1"/>
        </w:numPr>
        <w:spacing w:line="360" w:lineRule="auto"/>
        <w:jc w:val="both"/>
        <w:rPr>
          <w:rFonts w:ascii="Arial" w:hAnsi="Arial" w:cs="Arial"/>
          <w:sz w:val="22"/>
          <w:szCs w:val="22"/>
        </w:rPr>
      </w:pPr>
      <w:r>
        <w:rPr>
          <w:rFonts w:ascii="Arial" w:hAnsi="Arial" w:cs="Arial"/>
          <w:b/>
          <w:bCs/>
          <w:sz w:val="22"/>
          <w:szCs w:val="22"/>
        </w:rPr>
        <w:t>INDIVIDUALISM:</w:t>
      </w:r>
      <w:r>
        <w:rPr>
          <w:rFonts w:ascii="Arial" w:hAnsi="Arial" w:cs="Arial"/>
          <w:sz w:val="22"/>
          <w:szCs w:val="22"/>
        </w:rPr>
        <w:t xml:space="preserve"> </w:t>
      </w:r>
      <w:r w:rsidRPr="00474C20">
        <w:rPr>
          <w:rFonts w:ascii="Arial" w:hAnsi="Arial" w:cs="Arial"/>
          <w:sz w:val="22"/>
          <w:szCs w:val="22"/>
        </w:rPr>
        <w:t xml:space="preserve">Instead of saying "me and my friends" when planning a night out with friends, Russians literally said "us and friends". This language scores as low as 39 because when you talk about siblings, you may </w:t>
      </w:r>
      <w:r w:rsidRPr="00474C20">
        <w:rPr>
          <w:rFonts w:ascii="Arial" w:hAnsi="Arial" w:cs="Arial"/>
          <w:sz w:val="22"/>
          <w:szCs w:val="22"/>
        </w:rPr>
        <w:t>be</w:t>
      </w:r>
      <w:r w:rsidRPr="00474C20">
        <w:rPr>
          <w:rFonts w:ascii="Arial" w:hAnsi="Arial" w:cs="Arial"/>
          <w:sz w:val="22"/>
          <w:szCs w:val="22"/>
        </w:rPr>
        <w:t xml:space="preserve"> talking about cousins. Family, peers, and often the environment are important in coping with the challenges of everyday life. Information, referrals, and successful negotiations all depend on relationships. </w:t>
      </w:r>
    </w:p>
    <w:p w14:paraId="69A4BF94" w14:textId="3864F6F3" w:rsidR="00474C20" w:rsidRDefault="00474C20" w:rsidP="00474C20">
      <w:pPr>
        <w:pStyle w:val="ListParagraph"/>
        <w:numPr>
          <w:ilvl w:val="0"/>
          <w:numId w:val="1"/>
        </w:numPr>
        <w:spacing w:line="360" w:lineRule="auto"/>
        <w:jc w:val="both"/>
        <w:rPr>
          <w:rFonts w:ascii="Arial" w:hAnsi="Arial" w:cs="Arial"/>
          <w:sz w:val="22"/>
          <w:szCs w:val="22"/>
        </w:rPr>
      </w:pPr>
      <w:r>
        <w:rPr>
          <w:rFonts w:ascii="Arial" w:hAnsi="Arial" w:cs="Arial"/>
          <w:b/>
          <w:bCs/>
          <w:sz w:val="22"/>
          <w:szCs w:val="22"/>
        </w:rPr>
        <w:t>MASCULINITY:</w:t>
      </w:r>
      <w:r>
        <w:rPr>
          <w:rFonts w:ascii="Arial" w:hAnsi="Arial" w:cs="Arial"/>
          <w:sz w:val="22"/>
          <w:szCs w:val="22"/>
        </w:rPr>
        <w:t xml:space="preserve"> </w:t>
      </w:r>
      <w:r w:rsidRPr="00474C20">
        <w:rPr>
          <w:rFonts w:ascii="Arial" w:hAnsi="Arial" w:cs="Arial"/>
          <w:sz w:val="22"/>
          <w:szCs w:val="22"/>
        </w:rPr>
        <w:t xml:space="preserve">Russia's penchant for status symbols may come as a surprise given its relatively low score of 36, which is due to Russia's greater distances of power. At first glance, </w:t>
      </w:r>
      <w:r w:rsidRPr="00474C20">
        <w:rPr>
          <w:rFonts w:ascii="Arial" w:hAnsi="Arial" w:cs="Arial"/>
          <w:sz w:val="22"/>
          <w:szCs w:val="22"/>
        </w:rPr>
        <w:t>Russians</w:t>
      </w:r>
      <w:r w:rsidRPr="00474C20">
        <w:rPr>
          <w:rFonts w:ascii="Arial" w:hAnsi="Arial" w:cs="Arial"/>
          <w:sz w:val="22"/>
          <w:szCs w:val="22"/>
        </w:rPr>
        <w:t xml:space="preserve"> tend to underestimate individual achievements, </w:t>
      </w:r>
      <w:r w:rsidRPr="00474C20">
        <w:rPr>
          <w:rFonts w:ascii="Arial" w:hAnsi="Arial" w:cs="Arial"/>
          <w:sz w:val="22"/>
          <w:szCs w:val="22"/>
        </w:rPr>
        <w:t>contributions,</w:t>
      </w:r>
      <w:r w:rsidRPr="00474C20">
        <w:rPr>
          <w:rFonts w:ascii="Arial" w:hAnsi="Arial" w:cs="Arial"/>
          <w:sz w:val="22"/>
          <w:szCs w:val="22"/>
        </w:rPr>
        <w:t xml:space="preserve"> and </w:t>
      </w:r>
      <w:r w:rsidRPr="00474C20">
        <w:rPr>
          <w:rFonts w:ascii="Arial" w:hAnsi="Arial" w:cs="Arial"/>
          <w:sz w:val="22"/>
          <w:szCs w:val="22"/>
        </w:rPr>
        <w:lastRenderedPageBreak/>
        <w:t>abilities, both at work and in social situations. Scientists, researchers, and doctors are often expected to live at a very low standard of living and speak modestly about themselves</w:t>
      </w:r>
      <w:r>
        <w:rPr>
          <w:rFonts w:ascii="Arial" w:hAnsi="Arial" w:cs="Arial"/>
          <w:sz w:val="22"/>
          <w:szCs w:val="22"/>
        </w:rPr>
        <w:t>.</w:t>
      </w:r>
    </w:p>
    <w:p w14:paraId="0D311B51" w14:textId="0FA07765" w:rsidR="00474C20" w:rsidRDefault="00474C20" w:rsidP="00474C20">
      <w:pPr>
        <w:pStyle w:val="ListParagraph"/>
        <w:numPr>
          <w:ilvl w:val="0"/>
          <w:numId w:val="1"/>
        </w:numPr>
        <w:spacing w:line="360" w:lineRule="auto"/>
        <w:jc w:val="both"/>
        <w:rPr>
          <w:rFonts w:ascii="Arial" w:hAnsi="Arial" w:cs="Arial"/>
          <w:sz w:val="22"/>
          <w:szCs w:val="22"/>
        </w:rPr>
      </w:pPr>
      <w:r>
        <w:rPr>
          <w:rFonts w:ascii="Arial" w:hAnsi="Arial" w:cs="Arial"/>
          <w:b/>
          <w:bCs/>
          <w:sz w:val="22"/>
          <w:szCs w:val="22"/>
        </w:rPr>
        <w:t xml:space="preserve">UNCERTAINTY AVOIDANCE: </w:t>
      </w:r>
      <w:r w:rsidRPr="00474C20">
        <w:rPr>
          <w:rFonts w:ascii="Arial" w:hAnsi="Arial" w:cs="Arial"/>
          <w:sz w:val="22"/>
          <w:szCs w:val="22"/>
        </w:rPr>
        <w:t xml:space="preserve">Not only have Russians built one of the most complex bureaucracies in the world, but they also believe that ambiguity poses a grave threat to them. For example, when negotiations are underway and the focus is on building relationships, the presentation is either poorly prepared or very detailed. Additionally, extensive planning and guidance is common. Russians value background and contextual information. </w:t>
      </w:r>
    </w:p>
    <w:p w14:paraId="1A111212" w14:textId="171CA346" w:rsidR="00474C20" w:rsidRPr="00474C20" w:rsidRDefault="00474C20" w:rsidP="00474C20">
      <w:pPr>
        <w:pStyle w:val="ListParagraph"/>
        <w:numPr>
          <w:ilvl w:val="0"/>
          <w:numId w:val="1"/>
        </w:numPr>
        <w:spacing w:line="360" w:lineRule="auto"/>
        <w:jc w:val="both"/>
        <w:rPr>
          <w:rFonts w:ascii="Arial" w:hAnsi="Arial" w:cs="Arial"/>
          <w:sz w:val="22"/>
          <w:szCs w:val="22"/>
        </w:rPr>
      </w:pPr>
      <w:r>
        <w:rPr>
          <w:rFonts w:ascii="Arial" w:hAnsi="Arial" w:cs="Arial"/>
          <w:b/>
          <w:bCs/>
          <w:sz w:val="22"/>
          <w:szCs w:val="22"/>
        </w:rPr>
        <w:t xml:space="preserve">LONG TERM ORIENTATION: </w:t>
      </w:r>
      <w:r w:rsidRPr="00474C20">
        <w:rPr>
          <w:rFonts w:ascii="Arial" w:hAnsi="Arial" w:cs="Arial"/>
          <w:sz w:val="22"/>
          <w:szCs w:val="22"/>
        </w:rPr>
        <w:t>With a very high score of 81, Russia is certainly a country with logical prospects. People in pragmatic societies believe that circumstance, context, and time strongly influence truth. They show a strong tendency to save and invest, and an ability to easily adapt traditions to changing circumstances. Frugality and consistency to achieve results.</w:t>
      </w:r>
      <w:r w:rsidRPr="00474C20">
        <w:rPr>
          <w:rFonts w:ascii="Arial" w:hAnsi="Arial" w:cs="Arial"/>
          <w:b/>
          <w:bCs/>
          <w:sz w:val="22"/>
          <w:szCs w:val="22"/>
        </w:rPr>
        <w:t> </w:t>
      </w:r>
    </w:p>
    <w:p w14:paraId="40B08248" w14:textId="3F135D85" w:rsidR="00474C20" w:rsidRDefault="00474C20" w:rsidP="00474C20">
      <w:pPr>
        <w:pStyle w:val="ListParagraph"/>
        <w:numPr>
          <w:ilvl w:val="0"/>
          <w:numId w:val="1"/>
        </w:numPr>
        <w:spacing w:line="360" w:lineRule="auto"/>
        <w:jc w:val="both"/>
        <w:rPr>
          <w:rFonts w:ascii="Arial" w:hAnsi="Arial" w:cs="Arial"/>
          <w:sz w:val="22"/>
          <w:szCs w:val="22"/>
        </w:rPr>
      </w:pPr>
      <w:r>
        <w:rPr>
          <w:rFonts w:ascii="Arial" w:hAnsi="Arial" w:cs="Arial"/>
          <w:b/>
          <w:bCs/>
          <w:sz w:val="22"/>
          <w:szCs w:val="22"/>
        </w:rPr>
        <w:t>INDULGENCE:</w:t>
      </w:r>
      <w:r>
        <w:rPr>
          <w:rFonts w:ascii="Arial" w:hAnsi="Arial" w:cs="Arial"/>
          <w:sz w:val="22"/>
          <w:szCs w:val="22"/>
        </w:rPr>
        <w:t xml:space="preserve"> </w:t>
      </w:r>
      <w:r w:rsidRPr="00474C20">
        <w:rPr>
          <w:rFonts w:ascii="Arial" w:hAnsi="Arial" w:cs="Arial"/>
          <w:sz w:val="22"/>
          <w:szCs w:val="22"/>
        </w:rPr>
        <w:t>A controlled perception of Russian culture is effectively reflected in a very low score of 20 on this dimension. Societies that score low on this indicator tend to be pessimistic and cynical. Furthermore, in contrast to an extravagant society, a restrained society places little value on leisure and controls how desires are satisfied. and we believe that tolerance is not fully acceptable. </w:t>
      </w:r>
    </w:p>
    <w:p w14:paraId="64F77AC0" w14:textId="77777777" w:rsidR="00474C20" w:rsidRPr="00474C20" w:rsidRDefault="00474C20" w:rsidP="00474C20">
      <w:pPr>
        <w:pStyle w:val="ListParagraph"/>
        <w:spacing w:line="360" w:lineRule="auto"/>
        <w:jc w:val="both"/>
        <w:rPr>
          <w:rFonts w:ascii="Arial" w:hAnsi="Arial" w:cs="Arial"/>
          <w:sz w:val="21"/>
          <w:szCs w:val="21"/>
        </w:rPr>
      </w:pPr>
    </w:p>
    <w:p w14:paraId="3949CBD0" w14:textId="7D8E26F4" w:rsidR="00474C20" w:rsidRDefault="00474C20" w:rsidP="00474C20">
      <w:pPr>
        <w:rPr>
          <w:rFonts w:ascii="Arial" w:hAnsi="Arial" w:cs="Arial"/>
          <w:sz w:val="22"/>
          <w:szCs w:val="22"/>
        </w:rPr>
      </w:pPr>
      <w:r w:rsidRPr="00474C20">
        <w:rPr>
          <w:rFonts w:ascii="Arial" w:hAnsi="Arial" w:cs="Arial"/>
          <w:sz w:val="22"/>
          <w:szCs w:val="22"/>
        </w:rPr>
        <w:t xml:space="preserve">Moving towards the analysis of China, the Hofstede model applies as it follows: </w:t>
      </w:r>
    </w:p>
    <w:p w14:paraId="51794810" w14:textId="77777777" w:rsidR="00474C20" w:rsidRPr="00474C20" w:rsidRDefault="00474C20" w:rsidP="00474C20">
      <w:pPr>
        <w:rPr>
          <w:rFonts w:ascii="Arial" w:hAnsi="Arial" w:cs="Arial"/>
          <w:sz w:val="22"/>
          <w:szCs w:val="22"/>
        </w:rPr>
      </w:pPr>
    </w:p>
    <w:p w14:paraId="2AFA5FF9" w14:textId="64E73B9D" w:rsidR="00474C20" w:rsidRPr="00474C20" w:rsidRDefault="00474C20" w:rsidP="00474C20">
      <w:pPr>
        <w:pStyle w:val="ListParagraph"/>
        <w:numPr>
          <w:ilvl w:val="0"/>
          <w:numId w:val="1"/>
        </w:numPr>
        <w:spacing w:line="360" w:lineRule="auto"/>
        <w:jc w:val="both"/>
        <w:rPr>
          <w:rFonts w:ascii="Arial" w:hAnsi="Arial" w:cs="Arial"/>
          <w:sz w:val="22"/>
          <w:szCs w:val="22"/>
        </w:rPr>
      </w:pPr>
      <w:r w:rsidRPr="00474C20">
        <w:rPr>
          <w:rFonts w:ascii="Arial" w:hAnsi="Arial" w:cs="Arial"/>
          <w:b/>
          <w:bCs/>
          <w:sz w:val="22"/>
          <w:szCs w:val="22"/>
        </w:rPr>
        <w:t xml:space="preserve">POWER DISTANCE: </w:t>
      </w:r>
      <w:r w:rsidRPr="00474C20">
        <w:rPr>
          <w:rFonts w:ascii="Arial" w:hAnsi="Arial" w:cs="Arial"/>
          <w:sz w:val="22"/>
          <w:szCs w:val="22"/>
        </w:rPr>
        <w:t>China has the highest PDI score of 80, indicating a society that embraces racial and ethnic differences. The relationship between superiors and subordinates tends to be restrictive and provides no protection from abuse of power by superiors. Formal powers and sanctions affect people, and people generally believe they can take the initiative and lead.</w:t>
      </w:r>
      <w:r w:rsidRPr="00474C20">
        <w:rPr>
          <w:rFonts w:ascii="Arial" w:hAnsi="Arial" w:cs="Arial"/>
          <w:b/>
          <w:bCs/>
          <w:sz w:val="22"/>
          <w:szCs w:val="22"/>
        </w:rPr>
        <w:t> </w:t>
      </w:r>
    </w:p>
    <w:p w14:paraId="15E6D08D" w14:textId="72FC5873" w:rsidR="00474C20" w:rsidRPr="00474C20" w:rsidRDefault="00474C20" w:rsidP="00474C20">
      <w:pPr>
        <w:pStyle w:val="ListParagraph"/>
        <w:numPr>
          <w:ilvl w:val="0"/>
          <w:numId w:val="1"/>
        </w:numPr>
        <w:spacing w:line="360" w:lineRule="auto"/>
        <w:jc w:val="both"/>
        <w:rPr>
          <w:rFonts w:ascii="Arial" w:hAnsi="Arial" w:cs="Arial"/>
          <w:sz w:val="22"/>
          <w:szCs w:val="22"/>
        </w:rPr>
      </w:pPr>
      <w:r w:rsidRPr="00474C20">
        <w:rPr>
          <w:rFonts w:ascii="Arial" w:hAnsi="Arial" w:cs="Arial"/>
          <w:b/>
          <w:bCs/>
          <w:sz w:val="22"/>
          <w:szCs w:val="22"/>
        </w:rPr>
        <w:t xml:space="preserve">INDIVIUALISM: </w:t>
      </w:r>
      <w:r w:rsidRPr="00474C20">
        <w:rPr>
          <w:rFonts w:ascii="Arial" w:hAnsi="Arial" w:cs="Arial"/>
          <w:sz w:val="22"/>
          <w:szCs w:val="22"/>
        </w:rPr>
        <w:t>At a score of 20, China is a highly collectivist culture, where individuals act not necessarily in their own interest but in the interest of the group. When close groups (family, etc.) are given preferential treatment, group consideration affects hiring and promotion. The organization has low employee engagement, not necessarily the people who work there. </w:t>
      </w:r>
    </w:p>
    <w:p w14:paraId="55DA1C3A" w14:textId="1658FE85" w:rsidR="00474C20" w:rsidRPr="00474C20" w:rsidRDefault="00474C20" w:rsidP="00474C20">
      <w:pPr>
        <w:pStyle w:val="ListParagraph"/>
        <w:numPr>
          <w:ilvl w:val="0"/>
          <w:numId w:val="1"/>
        </w:numPr>
        <w:spacing w:line="360" w:lineRule="auto"/>
        <w:jc w:val="both"/>
        <w:rPr>
          <w:rFonts w:ascii="Arial" w:hAnsi="Arial" w:cs="Arial"/>
          <w:sz w:val="22"/>
          <w:szCs w:val="22"/>
        </w:rPr>
      </w:pPr>
      <w:r w:rsidRPr="00474C20">
        <w:rPr>
          <w:rFonts w:ascii="Arial" w:hAnsi="Arial" w:cs="Arial"/>
          <w:b/>
          <w:bCs/>
          <w:sz w:val="22"/>
          <w:szCs w:val="22"/>
        </w:rPr>
        <w:t>MASCULINITY:</w:t>
      </w:r>
      <w:r w:rsidRPr="00474C20">
        <w:rPr>
          <w:rFonts w:ascii="Arial" w:hAnsi="Arial" w:cs="Arial"/>
          <w:sz w:val="22"/>
          <w:szCs w:val="22"/>
        </w:rPr>
        <w:t xml:space="preserve"> </w:t>
      </w:r>
      <w:r w:rsidRPr="00474C20">
        <w:rPr>
          <w:rFonts w:ascii="Arial" w:hAnsi="Arial" w:cs="Arial"/>
          <w:sz w:val="22"/>
          <w:szCs w:val="22"/>
        </w:rPr>
        <w:t>At 66, China is a male-dominated, achievement-</w:t>
      </w:r>
      <w:proofErr w:type="gramStart"/>
      <w:r w:rsidRPr="00474C20">
        <w:rPr>
          <w:rFonts w:ascii="Arial" w:hAnsi="Arial" w:cs="Arial"/>
          <w:sz w:val="22"/>
          <w:szCs w:val="22"/>
        </w:rPr>
        <w:t>oriented</w:t>
      </w:r>
      <w:proofErr w:type="gramEnd"/>
      <w:r w:rsidRPr="00474C20">
        <w:rPr>
          <w:rFonts w:ascii="Arial" w:hAnsi="Arial" w:cs="Arial"/>
          <w:sz w:val="22"/>
          <w:szCs w:val="22"/>
        </w:rPr>
        <w:t xml:space="preserve"> and ambitious man. The fact that many Chinese prioritize work over family and leisure time highlights the need to ensure success. For example, hairdressers offer their services until late at night. Free time is not so important. </w:t>
      </w:r>
    </w:p>
    <w:p w14:paraId="056AF316" w14:textId="385CC040" w:rsidR="00474C20" w:rsidRPr="00474C20" w:rsidRDefault="00474C20" w:rsidP="00474C20">
      <w:pPr>
        <w:pStyle w:val="ListParagraph"/>
        <w:numPr>
          <w:ilvl w:val="0"/>
          <w:numId w:val="1"/>
        </w:numPr>
        <w:spacing w:line="360" w:lineRule="auto"/>
        <w:jc w:val="both"/>
        <w:rPr>
          <w:rFonts w:ascii="Arial" w:hAnsi="Arial" w:cs="Arial"/>
          <w:sz w:val="22"/>
          <w:szCs w:val="22"/>
        </w:rPr>
      </w:pPr>
      <w:r w:rsidRPr="00474C20">
        <w:rPr>
          <w:rFonts w:ascii="Arial" w:hAnsi="Arial" w:cs="Arial"/>
          <w:b/>
          <w:bCs/>
          <w:sz w:val="22"/>
          <w:szCs w:val="22"/>
        </w:rPr>
        <w:lastRenderedPageBreak/>
        <w:t xml:space="preserve">UNCERTAINTY AVOIDANCE: </w:t>
      </w:r>
      <w:r w:rsidRPr="00474C20">
        <w:rPr>
          <w:rFonts w:ascii="Arial" w:hAnsi="Arial" w:cs="Arial"/>
          <w:sz w:val="22"/>
          <w:szCs w:val="22"/>
        </w:rPr>
        <w:t>China's uncertainty avoidance score is low at 30. Local social circles are concerned with truth, and there are many rules (not necessarily laws), but truth can be relative. Still, pragmatism is real, and laws and regulations can be adapted to real-life situations.</w:t>
      </w:r>
      <w:r w:rsidRPr="00474C20">
        <w:rPr>
          <w:rFonts w:ascii="Arial" w:hAnsi="Arial" w:cs="Arial"/>
          <w:b/>
          <w:bCs/>
          <w:sz w:val="22"/>
          <w:szCs w:val="22"/>
        </w:rPr>
        <w:t> </w:t>
      </w:r>
    </w:p>
    <w:p w14:paraId="594839B4" w14:textId="16655851" w:rsidR="00474C20" w:rsidRPr="00474C20" w:rsidRDefault="00474C20" w:rsidP="00474C20">
      <w:pPr>
        <w:pStyle w:val="ListParagraph"/>
        <w:numPr>
          <w:ilvl w:val="0"/>
          <w:numId w:val="1"/>
        </w:numPr>
        <w:spacing w:line="360" w:lineRule="auto"/>
        <w:jc w:val="both"/>
        <w:rPr>
          <w:rFonts w:ascii="Arial" w:hAnsi="Arial" w:cs="Arial"/>
          <w:sz w:val="22"/>
          <w:szCs w:val="22"/>
        </w:rPr>
      </w:pPr>
      <w:r w:rsidRPr="00474C20">
        <w:rPr>
          <w:rFonts w:ascii="Arial" w:hAnsi="Arial" w:cs="Arial"/>
          <w:b/>
          <w:bCs/>
          <w:sz w:val="22"/>
          <w:szCs w:val="22"/>
        </w:rPr>
        <w:t>LONG-TERM ORIENTATION:</w:t>
      </w:r>
      <w:r w:rsidRPr="00474C20">
        <w:rPr>
          <w:rFonts w:ascii="Arial" w:hAnsi="Arial" w:cs="Arial"/>
          <w:sz w:val="22"/>
          <w:szCs w:val="22"/>
        </w:rPr>
        <w:t xml:space="preserve"> </w:t>
      </w:r>
      <w:r w:rsidRPr="00474C20">
        <w:rPr>
          <w:rFonts w:ascii="Arial" w:hAnsi="Arial" w:cs="Arial"/>
          <w:sz w:val="22"/>
          <w:szCs w:val="22"/>
        </w:rPr>
        <w:t>China scores 87 on this scale, indicating a very pragmatic culture. People in pragmatic societies believe that circumstance, context, and time strongly influence truth. They display a propensity for saving and investing, prudence and perseverance in achieving results, and the ability to easily adapt traditions to changing circumstances. </w:t>
      </w:r>
    </w:p>
    <w:p w14:paraId="48F9D545" w14:textId="1DBD2DAE" w:rsidR="00474C20" w:rsidRPr="00474C20" w:rsidRDefault="00474C20" w:rsidP="00474C20">
      <w:pPr>
        <w:pStyle w:val="ListParagraph"/>
        <w:numPr>
          <w:ilvl w:val="0"/>
          <w:numId w:val="1"/>
        </w:numPr>
        <w:spacing w:line="360" w:lineRule="auto"/>
        <w:jc w:val="both"/>
        <w:rPr>
          <w:rFonts w:ascii="Arial" w:hAnsi="Arial" w:cs="Arial"/>
          <w:sz w:val="22"/>
          <w:szCs w:val="22"/>
        </w:rPr>
      </w:pPr>
      <w:r w:rsidRPr="00474C20">
        <w:rPr>
          <w:rFonts w:ascii="Arial" w:hAnsi="Arial" w:cs="Arial"/>
          <w:b/>
          <w:bCs/>
          <w:sz w:val="22"/>
          <w:szCs w:val="22"/>
        </w:rPr>
        <w:t>INDULGENCE:</w:t>
      </w:r>
      <w:r w:rsidRPr="00474C20">
        <w:rPr>
          <w:rFonts w:ascii="Arial" w:hAnsi="Arial" w:cs="Arial"/>
          <w:sz w:val="22"/>
          <w:szCs w:val="22"/>
        </w:rPr>
        <w:t xml:space="preserve"> </w:t>
      </w:r>
      <w:r w:rsidRPr="00474C20">
        <w:rPr>
          <w:rFonts w:ascii="Arial" w:hAnsi="Arial" w:cs="Arial"/>
          <w:sz w:val="22"/>
          <w:szCs w:val="22"/>
        </w:rPr>
        <w:t>China's low score of 24 in this regard indicates that China is a reticent society. Societies that score low on this indicator tend to be pessimistic and cynical. Furthermore, in contrast to an extravagant society, a restrained society places little value on leisure and controls how desires are satisfied. </w:t>
      </w:r>
    </w:p>
    <w:p w14:paraId="26B66A29" w14:textId="77777777" w:rsidR="00474C20" w:rsidRPr="00474C20" w:rsidRDefault="00474C20" w:rsidP="00474C20"/>
    <w:p w14:paraId="75DA0577" w14:textId="09B60E1C" w:rsidR="00474C20" w:rsidRDefault="00474C20" w:rsidP="00474C20">
      <w:pPr>
        <w:pStyle w:val="Heading1"/>
      </w:pPr>
      <w:bookmarkStart w:id="3" w:name="_Toc131327004"/>
      <w:r>
        <w:t>Part Two: Institutional analysis of Russia and China</w:t>
      </w:r>
      <w:bookmarkEnd w:id="3"/>
    </w:p>
    <w:p w14:paraId="07A5EEC4" w14:textId="2483BB0A" w:rsidR="00474C20" w:rsidRPr="00474C20" w:rsidRDefault="00474C20" w:rsidP="00474C20">
      <w:pPr>
        <w:spacing w:line="360" w:lineRule="auto"/>
        <w:jc w:val="both"/>
        <w:rPr>
          <w:rFonts w:ascii="Arial" w:hAnsi="Arial" w:cs="Arial"/>
          <w:sz w:val="22"/>
          <w:szCs w:val="22"/>
          <w:lang w:eastAsia="en-US"/>
        </w:rPr>
      </w:pPr>
      <w:r w:rsidRPr="00474C20">
        <w:rPr>
          <w:rFonts w:ascii="Arial" w:hAnsi="Arial" w:cs="Arial"/>
          <w:sz w:val="22"/>
          <w:szCs w:val="22"/>
          <w:lang w:eastAsia="en-US"/>
        </w:rPr>
        <w:t xml:space="preserve">China and Russia have </w:t>
      </w:r>
      <w:r w:rsidRPr="00474C20">
        <w:rPr>
          <w:rFonts w:ascii="Arial" w:hAnsi="Arial" w:cs="Arial"/>
          <w:sz w:val="22"/>
          <w:szCs w:val="22"/>
          <w:lang w:eastAsia="en-US"/>
        </w:rPr>
        <w:t>long,</w:t>
      </w:r>
      <w:r w:rsidRPr="00474C20">
        <w:rPr>
          <w:rFonts w:ascii="Arial" w:hAnsi="Arial" w:cs="Arial"/>
          <w:sz w:val="22"/>
          <w:szCs w:val="22"/>
          <w:lang w:eastAsia="en-US"/>
        </w:rPr>
        <w:t xml:space="preserve"> and complicated histories marked by periods of bravery and conflict. Relations between </w:t>
      </w:r>
      <w:r w:rsidRPr="00474C20">
        <w:rPr>
          <w:rFonts w:ascii="Arial" w:hAnsi="Arial" w:cs="Arial"/>
          <w:sz w:val="22"/>
          <w:szCs w:val="22"/>
          <w:lang w:eastAsia="en-US"/>
        </w:rPr>
        <w:t>neighbouring</w:t>
      </w:r>
      <w:r w:rsidRPr="00474C20">
        <w:rPr>
          <w:rFonts w:ascii="Arial" w:hAnsi="Arial" w:cs="Arial"/>
          <w:sz w:val="22"/>
          <w:szCs w:val="22"/>
          <w:lang w:eastAsia="en-US"/>
        </w:rPr>
        <w:t xml:space="preserve"> countries have strengthened over the past decade, but some experts question their inherent organizational depth. According to them, countries' ties are determined more by their competition with the United States than by their innate ties.</w:t>
      </w:r>
    </w:p>
    <w:p w14:paraId="03C59CB0" w14:textId="77777777" w:rsidR="00474C20" w:rsidRPr="00474C20" w:rsidRDefault="00474C20" w:rsidP="00474C20">
      <w:pPr>
        <w:spacing w:line="360" w:lineRule="auto"/>
        <w:jc w:val="both"/>
        <w:rPr>
          <w:rFonts w:ascii="Arial" w:hAnsi="Arial" w:cs="Arial"/>
          <w:sz w:val="22"/>
          <w:szCs w:val="22"/>
          <w:lang w:eastAsia="en-US"/>
        </w:rPr>
      </w:pPr>
    </w:p>
    <w:p w14:paraId="4F18CA5A" w14:textId="199F5818" w:rsidR="00474C20" w:rsidRPr="00474C20" w:rsidRDefault="00474C20" w:rsidP="00474C20">
      <w:pPr>
        <w:spacing w:line="360" w:lineRule="auto"/>
        <w:jc w:val="both"/>
        <w:rPr>
          <w:rFonts w:ascii="Arial" w:hAnsi="Arial" w:cs="Arial"/>
          <w:sz w:val="22"/>
          <w:szCs w:val="22"/>
          <w:lang w:eastAsia="en-US"/>
        </w:rPr>
      </w:pPr>
      <w:r w:rsidRPr="00474C20">
        <w:rPr>
          <w:rFonts w:ascii="Arial" w:hAnsi="Arial" w:cs="Arial"/>
          <w:sz w:val="22"/>
          <w:szCs w:val="22"/>
          <w:lang w:eastAsia="en-US"/>
        </w:rPr>
        <w:t xml:space="preserve">The COVID-19 pandemic, its broad shared borders, and communist doctrine have all </w:t>
      </w:r>
      <w:proofErr w:type="spellStart"/>
      <w:r w:rsidRPr="00474C20">
        <w:rPr>
          <w:rFonts w:ascii="Arial" w:hAnsi="Arial" w:cs="Arial"/>
          <w:sz w:val="22"/>
          <w:szCs w:val="22"/>
          <w:lang w:eastAsia="en-US"/>
        </w:rPr>
        <w:t>fueled</w:t>
      </w:r>
      <w:proofErr w:type="spellEnd"/>
      <w:r w:rsidRPr="00474C20">
        <w:rPr>
          <w:rFonts w:ascii="Arial" w:hAnsi="Arial" w:cs="Arial"/>
          <w:sz w:val="22"/>
          <w:szCs w:val="22"/>
          <w:lang w:eastAsia="en-US"/>
        </w:rPr>
        <w:t xml:space="preserve"> tensions in the past. Despite official declarations of cooperation, to this day relations remain </w:t>
      </w:r>
      <w:r w:rsidRPr="00474C20">
        <w:rPr>
          <w:rFonts w:ascii="Arial" w:hAnsi="Arial" w:cs="Arial"/>
          <w:sz w:val="22"/>
          <w:szCs w:val="22"/>
          <w:lang w:eastAsia="en-US"/>
        </w:rPr>
        <w:t>tenuous,</w:t>
      </w:r>
      <w:r w:rsidRPr="00474C20">
        <w:rPr>
          <w:rFonts w:ascii="Arial" w:hAnsi="Arial" w:cs="Arial"/>
          <w:sz w:val="22"/>
          <w:szCs w:val="22"/>
          <w:lang w:eastAsia="en-US"/>
        </w:rPr>
        <w:t xml:space="preserve"> and officials distrust each other. According to many foreign policy experts, Russia's invasion of Ukraine in 2022 will mark a turning point in bilateral relations, and its developments are likely to have a major impact on the international order.</w:t>
      </w:r>
    </w:p>
    <w:p w14:paraId="0517C44D" w14:textId="15B86A3C" w:rsidR="00474C20" w:rsidRPr="00474C20" w:rsidRDefault="00474C20" w:rsidP="00474C20">
      <w:pPr>
        <w:spacing w:line="360" w:lineRule="auto"/>
        <w:jc w:val="both"/>
        <w:rPr>
          <w:rFonts w:ascii="Arial" w:hAnsi="Arial" w:cs="Arial"/>
          <w:sz w:val="22"/>
          <w:szCs w:val="22"/>
          <w:lang w:eastAsia="en-US"/>
        </w:rPr>
      </w:pPr>
      <w:r w:rsidRPr="00474C20">
        <w:rPr>
          <w:rFonts w:ascii="Arial" w:hAnsi="Arial" w:cs="Arial"/>
          <w:sz w:val="22"/>
          <w:szCs w:val="22"/>
          <w:lang w:eastAsia="en-US"/>
        </w:rPr>
        <w:t xml:space="preserve">Russia is currently China's largest energy importer and second largest crude oil importer. Gazprom announced that the Power of Siberia pipeline's daily natural gas exports to China will set a </w:t>
      </w:r>
      <w:r w:rsidRPr="00474C20">
        <w:rPr>
          <w:rFonts w:ascii="Arial" w:hAnsi="Arial" w:cs="Arial"/>
          <w:sz w:val="22"/>
          <w:szCs w:val="22"/>
          <w:lang w:eastAsia="en-US"/>
        </w:rPr>
        <w:t>record</w:t>
      </w:r>
      <w:r w:rsidRPr="00474C20">
        <w:rPr>
          <w:rFonts w:ascii="Arial" w:hAnsi="Arial" w:cs="Arial"/>
          <w:sz w:val="22"/>
          <w:szCs w:val="22"/>
          <w:lang w:eastAsia="en-US"/>
        </w:rPr>
        <w:t xml:space="preserve"> in his 2023. Since January 1, his daily volume of goods for the organization has reached and exceeded levels expected in the 2023 agreement. Despite its economic benefits, Sino-Russian cooperation in the oil and gas industry has enormous political implications, especially despite Western recognition. This reflects the deepening ties that exist between our two countries and our determination to work together for the benefit of both countries. In fact, the partnership has been so fruitful that other states are interested in adopting it as a cooperation model</w:t>
      </w:r>
      <w:r>
        <w:rPr>
          <w:rFonts w:ascii="Arial" w:hAnsi="Arial" w:cs="Arial"/>
          <w:sz w:val="22"/>
          <w:szCs w:val="22"/>
          <w:lang w:eastAsia="en-US"/>
        </w:rPr>
        <w:t xml:space="preserve"> (</w:t>
      </w:r>
      <w:proofErr w:type="spellStart"/>
      <w:r>
        <w:rPr>
          <w:rFonts w:ascii="Arial" w:hAnsi="Arial" w:cs="Arial"/>
          <w:sz w:val="22"/>
          <w:szCs w:val="22"/>
          <w:lang w:eastAsia="en-US"/>
        </w:rPr>
        <w:t>Duesterberg</w:t>
      </w:r>
      <w:proofErr w:type="spellEnd"/>
      <w:r>
        <w:rPr>
          <w:rFonts w:ascii="Arial" w:hAnsi="Arial" w:cs="Arial"/>
          <w:sz w:val="22"/>
          <w:szCs w:val="22"/>
          <w:lang w:eastAsia="en-US"/>
        </w:rPr>
        <w:t>, 2022)</w:t>
      </w:r>
      <w:r w:rsidRPr="00474C20">
        <w:rPr>
          <w:rFonts w:ascii="Arial" w:hAnsi="Arial" w:cs="Arial"/>
          <w:sz w:val="22"/>
          <w:szCs w:val="22"/>
          <w:lang w:eastAsia="en-US"/>
        </w:rPr>
        <w:t>.</w:t>
      </w:r>
    </w:p>
    <w:p w14:paraId="7BD27D22" w14:textId="77777777" w:rsidR="00474C20" w:rsidRPr="00474C20" w:rsidRDefault="00474C20" w:rsidP="00474C20">
      <w:pPr>
        <w:spacing w:line="360" w:lineRule="auto"/>
        <w:jc w:val="both"/>
        <w:rPr>
          <w:rFonts w:ascii="Arial" w:hAnsi="Arial" w:cs="Arial"/>
          <w:sz w:val="22"/>
          <w:szCs w:val="22"/>
          <w:lang w:eastAsia="en-US"/>
        </w:rPr>
      </w:pPr>
    </w:p>
    <w:p w14:paraId="28480DC8" w14:textId="55178646" w:rsidR="00474C20" w:rsidRPr="00474C20" w:rsidRDefault="00474C20" w:rsidP="00474C20">
      <w:pPr>
        <w:spacing w:line="360" w:lineRule="auto"/>
        <w:jc w:val="both"/>
        <w:rPr>
          <w:rFonts w:ascii="Arial" w:hAnsi="Arial" w:cs="Arial"/>
          <w:sz w:val="22"/>
          <w:szCs w:val="22"/>
          <w:lang w:eastAsia="en-US"/>
        </w:rPr>
      </w:pPr>
      <w:r w:rsidRPr="00474C20">
        <w:rPr>
          <w:rFonts w:ascii="Arial" w:hAnsi="Arial" w:cs="Arial"/>
          <w:sz w:val="22"/>
          <w:szCs w:val="22"/>
          <w:lang w:eastAsia="en-US"/>
        </w:rPr>
        <w:lastRenderedPageBreak/>
        <w:t>The expansion of energy cooperation between Moscow and Beijing was noted by many experts. According to measurements provided by the General Administration of Customs of China on January 20, 2023, Russia's shipments of condensed combustible gas (LNG) to China in 2022 will increase by 43.9% to reach 6.5 million tons, while oil It increased by 8.3% to reach 86.25 million tons. Since early 2022, energy trade between Russia and China has increased by 64% in value terms and 10% in physical terms. </w:t>
      </w:r>
    </w:p>
    <w:p w14:paraId="419CE458" w14:textId="5AA1429C" w:rsidR="00474C20" w:rsidRDefault="00474C20" w:rsidP="00474C20">
      <w:pPr>
        <w:pStyle w:val="Heading1"/>
      </w:pPr>
      <w:bookmarkStart w:id="4" w:name="_Toc131327005"/>
      <w:r w:rsidRPr="00474C20">
        <w:rPr>
          <w:b/>
          <w:bCs/>
        </w:rPr>
        <w:t>Section</w:t>
      </w:r>
      <w:r>
        <w:t xml:space="preserve"> </w:t>
      </w:r>
      <w:r w:rsidRPr="00474C20">
        <w:rPr>
          <w:b/>
          <w:bCs/>
        </w:rPr>
        <w:t>Two</w:t>
      </w:r>
      <w:r>
        <w:t xml:space="preserve">: </w:t>
      </w:r>
      <w:r w:rsidRPr="00474C20">
        <w:rPr>
          <w:b/>
          <w:bCs/>
        </w:rPr>
        <w:t>Organisational</w:t>
      </w:r>
      <w:r>
        <w:t xml:space="preserve"> </w:t>
      </w:r>
      <w:r w:rsidRPr="00474C20">
        <w:rPr>
          <w:b/>
          <w:bCs/>
        </w:rPr>
        <w:t>Analysis</w:t>
      </w:r>
      <w:bookmarkEnd w:id="4"/>
    </w:p>
    <w:p w14:paraId="77854059" w14:textId="24E03526" w:rsidR="00474C20" w:rsidRDefault="00474C20" w:rsidP="00474C20">
      <w:pPr>
        <w:pStyle w:val="Heading1"/>
      </w:pPr>
      <w:bookmarkStart w:id="5" w:name="_Toc131327006"/>
      <w:r>
        <w:t>Part One: M&amp;A Rationale and Integration Strategy</w:t>
      </w:r>
      <w:bookmarkEnd w:id="5"/>
    </w:p>
    <w:p w14:paraId="64A00D19" w14:textId="56A612E5" w:rsidR="00474C20" w:rsidRDefault="00474C20" w:rsidP="00474C20">
      <w:pPr>
        <w:spacing w:line="360" w:lineRule="auto"/>
        <w:jc w:val="both"/>
        <w:rPr>
          <w:rFonts w:ascii="Arial" w:hAnsi="Arial" w:cs="Arial"/>
          <w:sz w:val="22"/>
          <w:szCs w:val="22"/>
        </w:rPr>
      </w:pPr>
      <w:r w:rsidRPr="00474C20">
        <w:rPr>
          <w:rFonts w:ascii="Arial" w:hAnsi="Arial" w:cs="Arial"/>
          <w:sz w:val="22"/>
          <w:szCs w:val="22"/>
        </w:rPr>
        <w:t xml:space="preserve">All businesses in the global economy are subject to various </w:t>
      </w:r>
      <w:r w:rsidRPr="00474C20">
        <w:rPr>
          <w:rFonts w:ascii="Arial" w:hAnsi="Arial" w:cs="Arial"/>
          <w:sz w:val="22"/>
          <w:szCs w:val="22"/>
        </w:rPr>
        <w:t>labour</w:t>
      </w:r>
      <w:r w:rsidRPr="00474C20">
        <w:rPr>
          <w:rFonts w:ascii="Arial" w:hAnsi="Arial" w:cs="Arial"/>
          <w:sz w:val="22"/>
          <w:szCs w:val="22"/>
        </w:rPr>
        <w:t xml:space="preserve"> laws and industrial relations in the countries in which they operate, yet </w:t>
      </w:r>
      <w:r w:rsidRPr="00474C20">
        <w:rPr>
          <w:rFonts w:ascii="Arial" w:hAnsi="Arial" w:cs="Arial"/>
          <w:sz w:val="22"/>
          <w:szCs w:val="22"/>
        </w:rPr>
        <w:t>labour</w:t>
      </w:r>
      <w:r w:rsidRPr="00474C20">
        <w:rPr>
          <w:rFonts w:ascii="Arial" w:hAnsi="Arial" w:cs="Arial"/>
          <w:sz w:val="22"/>
          <w:szCs w:val="22"/>
        </w:rPr>
        <w:t xml:space="preserve"> regulations are largely undeveloped around the world. Familiarity with local laws and practices may differ significantly from those in other countries</w:t>
      </w:r>
      <w:r>
        <w:rPr>
          <w:rFonts w:ascii="Arial" w:hAnsi="Arial" w:cs="Arial"/>
          <w:sz w:val="22"/>
          <w:szCs w:val="22"/>
        </w:rPr>
        <w:t xml:space="preserve"> (Jones, 2014)</w:t>
      </w:r>
      <w:r w:rsidRPr="00474C20">
        <w:rPr>
          <w:rFonts w:ascii="Arial" w:hAnsi="Arial" w:cs="Arial"/>
          <w:sz w:val="22"/>
          <w:szCs w:val="22"/>
        </w:rPr>
        <w:t>.</w:t>
      </w:r>
    </w:p>
    <w:p w14:paraId="45445077" w14:textId="028F665A" w:rsidR="00474C20" w:rsidRDefault="00474C20" w:rsidP="00474C20">
      <w:r>
        <w:fldChar w:fldCharType="begin"/>
      </w:r>
      <w:r>
        <w:instrText xml:space="preserve"> INCLUDEPICTURE "https://assets.ey.com/content/dam/ey-sites/ey-com/en_gl/topics/mergers-acquisitions/ey-mergers-acquisitions-integration-methodology.jpg" \* MERGEFORMATINET </w:instrText>
      </w:r>
      <w:r>
        <w:fldChar w:fldCharType="separate"/>
      </w:r>
      <w:r>
        <w:rPr>
          <w:noProof/>
        </w:rPr>
        <w:drawing>
          <wp:inline distT="0" distB="0" distL="0" distR="0" wp14:anchorId="0B4A87B1" wp14:editId="6452B9C6">
            <wp:extent cx="5219700" cy="3633434"/>
            <wp:effectExtent l="0" t="0" r="0" b="0"/>
            <wp:docPr id="3" name="Picture 3" descr="EY mergers &amp; acquisitions integration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Y mergers &amp; acquisitions integration methodolog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30001" cy="3640604"/>
                    </a:xfrm>
                    <a:prstGeom prst="rect">
                      <a:avLst/>
                    </a:prstGeom>
                    <a:noFill/>
                    <a:ln>
                      <a:noFill/>
                    </a:ln>
                  </pic:spPr>
                </pic:pic>
              </a:graphicData>
            </a:graphic>
          </wp:inline>
        </w:drawing>
      </w:r>
      <w:r>
        <w:fldChar w:fldCharType="end"/>
      </w:r>
    </w:p>
    <w:p w14:paraId="1B0B9230" w14:textId="77777777" w:rsidR="00474C20" w:rsidRPr="00474C20" w:rsidRDefault="00474C20" w:rsidP="00474C20">
      <w:pPr>
        <w:spacing w:line="360" w:lineRule="auto"/>
        <w:jc w:val="both"/>
        <w:rPr>
          <w:rFonts w:ascii="Arial" w:hAnsi="Arial" w:cs="Arial"/>
          <w:sz w:val="22"/>
          <w:szCs w:val="22"/>
        </w:rPr>
      </w:pPr>
    </w:p>
    <w:p w14:paraId="61660573" w14:textId="008D5D4E" w:rsidR="00474C20" w:rsidRPr="00474C20" w:rsidRDefault="00474C20" w:rsidP="00474C20">
      <w:pPr>
        <w:spacing w:line="360" w:lineRule="auto"/>
        <w:jc w:val="both"/>
        <w:rPr>
          <w:rFonts w:ascii="Arial" w:hAnsi="Arial" w:cs="Arial"/>
          <w:sz w:val="22"/>
          <w:szCs w:val="22"/>
        </w:rPr>
      </w:pPr>
      <w:r w:rsidRPr="00474C20">
        <w:rPr>
          <w:rFonts w:ascii="Arial" w:hAnsi="Arial" w:cs="Arial"/>
          <w:sz w:val="22"/>
          <w:szCs w:val="22"/>
        </w:rPr>
        <w:t>According to Chapman (2003) workers are not just constituents. Rather, considerable power can be wielded through organized unions, sometimes across borders. Given the importance of this control function performed by HR, it is surprising that union issues are rarely discussed in previous research on HRM in M&amp;A. The process of integrating buyers and sellers to the extent necessary to realize the expected benefits of a merger or acquisition is known as "acquisition integration". Goals, priorities, success metrics, non-negotiable factors, and scope of integration are all outlined in an M&amp;A integration strategy</w:t>
      </w:r>
      <w:r>
        <w:rPr>
          <w:rFonts w:ascii="Arial" w:hAnsi="Arial" w:cs="Arial"/>
          <w:sz w:val="22"/>
          <w:szCs w:val="22"/>
        </w:rPr>
        <w:t xml:space="preserve"> (</w:t>
      </w:r>
      <w:proofErr w:type="spellStart"/>
      <w:r>
        <w:rPr>
          <w:rFonts w:ascii="Arial" w:hAnsi="Arial" w:cs="Arial"/>
          <w:sz w:val="22"/>
          <w:szCs w:val="22"/>
        </w:rPr>
        <w:t>Dringoli</w:t>
      </w:r>
      <w:proofErr w:type="spellEnd"/>
      <w:r>
        <w:rPr>
          <w:rFonts w:ascii="Arial" w:hAnsi="Arial" w:cs="Arial"/>
          <w:sz w:val="22"/>
          <w:szCs w:val="22"/>
        </w:rPr>
        <w:t>, 2016)</w:t>
      </w:r>
      <w:r w:rsidRPr="00474C20">
        <w:rPr>
          <w:rFonts w:ascii="Arial" w:hAnsi="Arial" w:cs="Arial"/>
          <w:sz w:val="22"/>
          <w:szCs w:val="22"/>
        </w:rPr>
        <w:t>.</w:t>
      </w:r>
    </w:p>
    <w:p w14:paraId="21EBE6D8" w14:textId="77777777" w:rsidR="00474C20" w:rsidRPr="00474C20" w:rsidRDefault="00474C20" w:rsidP="00474C20">
      <w:pPr>
        <w:spacing w:line="360" w:lineRule="auto"/>
        <w:jc w:val="both"/>
        <w:rPr>
          <w:rFonts w:ascii="Arial" w:hAnsi="Arial" w:cs="Arial"/>
          <w:sz w:val="22"/>
          <w:szCs w:val="22"/>
        </w:rPr>
      </w:pPr>
    </w:p>
    <w:p w14:paraId="7203ACAE" w14:textId="77777777" w:rsidR="00474C20" w:rsidRPr="00474C20" w:rsidRDefault="00474C20" w:rsidP="00474C20">
      <w:pPr>
        <w:spacing w:line="360" w:lineRule="auto"/>
        <w:jc w:val="both"/>
        <w:rPr>
          <w:rFonts w:ascii="Arial" w:hAnsi="Arial" w:cs="Arial"/>
          <w:sz w:val="22"/>
          <w:szCs w:val="22"/>
        </w:rPr>
      </w:pPr>
      <w:r w:rsidRPr="00474C20">
        <w:rPr>
          <w:rFonts w:ascii="Arial" w:hAnsi="Arial" w:cs="Arial"/>
          <w:sz w:val="22"/>
          <w:szCs w:val="22"/>
        </w:rPr>
        <w:t>The most important phase of M&amp;A coordination is reaching an agreement with your boss on how the acquisition will be conducted. It should be clarified at least 2-3 months before signing the contract.</w:t>
      </w:r>
    </w:p>
    <w:p w14:paraId="1204829B" w14:textId="77777777" w:rsidR="00474C20" w:rsidRPr="00474C20" w:rsidRDefault="00474C20" w:rsidP="00474C20">
      <w:pPr>
        <w:spacing w:line="360" w:lineRule="auto"/>
        <w:jc w:val="both"/>
        <w:rPr>
          <w:rFonts w:ascii="Arial" w:hAnsi="Arial" w:cs="Arial"/>
          <w:sz w:val="22"/>
          <w:szCs w:val="22"/>
        </w:rPr>
      </w:pPr>
    </w:p>
    <w:p w14:paraId="52131D4B" w14:textId="4F0A5A72" w:rsidR="00474C20" w:rsidRPr="00474C20" w:rsidRDefault="00474C20" w:rsidP="00474C20">
      <w:pPr>
        <w:spacing w:line="360" w:lineRule="auto"/>
        <w:jc w:val="both"/>
        <w:rPr>
          <w:rFonts w:ascii="Arial" w:hAnsi="Arial" w:cs="Arial"/>
          <w:sz w:val="22"/>
          <w:szCs w:val="22"/>
        </w:rPr>
      </w:pPr>
      <w:r w:rsidRPr="00474C20">
        <w:rPr>
          <w:rFonts w:ascii="Arial" w:hAnsi="Arial" w:cs="Arial"/>
          <w:sz w:val="22"/>
          <w:szCs w:val="22"/>
        </w:rPr>
        <w:t>Without clarity from management, M&amp;A integration teams are more likely to make false assumptions, false plans, and derailment. A clear goal is required from a higher authority before the group can begin. This will help you move in the right direction and drive a compelling plan forward. In addition, management must agree to a set of acquisition integration guidelines that serve as the basis for decision-making and ensure that the integration team acts accordingly</w:t>
      </w:r>
      <w:r>
        <w:rPr>
          <w:rFonts w:ascii="Arial" w:hAnsi="Arial" w:cs="Arial"/>
          <w:sz w:val="22"/>
          <w:szCs w:val="22"/>
        </w:rPr>
        <w:t xml:space="preserve"> (</w:t>
      </w:r>
      <w:proofErr w:type="spellStart"/>
      <w:r>
        <w:rPr>
          <w:rFonts w:ascii="Arial" w:hAnsi="Arial" w:cs="Arial"/>
          <w:sz w:val="22"/>
          <w:szCs w:val="22"/>
        </w:rPr>
        <w:t>Walis</w:t>
      </w:r>
      <w:proofErr w:type="spellEnd"/>
      <w:r>
        <w:rPr>
          <w:rFonts w:ascii="Arial" w:hAnsi="Arial" w:cs="Arial"/>
          <w:sz w:val="22"/>
          <w:szCs w:val="22"/>
        </w:rPr>
        <w:t>, 2018)</w:t>
      </w:r>
      <w:r w:rsidRPr="00474C20">
        <w:rPr>
          <w:rFonts w:ascii="Arial" w:hAnsi="Arial" w:cs="Arial"/>
          <w:sz w:val="22"/>
          <w:szCs w:val="22"/>
        </w:rPr>
        <w:t>.</w:t>
      </w:r>
    </w:p>
    <w:p w14:paraId="4863A6A8" w14:textId="4257ADCC" w:rsidR="00474C20" w:rsidRPr="00474C20" w:rsidRDefault="00474C20" w:rsidP="00474C20">
      <w:pPr>
        <w:spacing w:line="360" w:lineRule="auto"/>
        <w:jc w:val="both"/>
        <w:rPr>
          <w:rFonts w:ascii="Arial" w:hAnsi="Arial" w:cs="Arial"/>
          <w:sz w:val="22"/>
          <w:szCs w:val="22"/>
        </w:rPr>
      </w:pPr>
      <w:r w:rsidRPr="00474C20">
        <w:rPr>
          <w:rFonts w:ascii="Arial" w:hAnsi="Arial" w:cs="Arial"/>
          <w:sz w:val="22"/>
          <w:szCs w:val="22"/>
        </w:rPr>
        <w:t>Mergers and acquisitions (M&amp;A) are long, risky, and fast-moving events. M&amp;A combinations are often highly disjointed due to the level of interdependence across associations, and fruitful combinations may not be integrated into the association's core working model. It requires its own set of assets and capabilities. Organizations can maximize the value of mergers and acquisitions (M&amp;A) integrations by appointing executives with the necessary skills to manage the fast-paced and complex process. </w:t>
      </w:r>
    </w:p>
    <w:p w14:paraId="45DA8DEA" w14:textId="08DD99E7" w:rsidR="00474C20" w:rsidRDefault="00474C20" w:rsidP="00474C20">
      <w:pPr>
        <w:pStyle w:val="Heading1"/>
      </w:pPr>
      <w:bookmarkStart w:id="6" w:name="_Toc131327007"/>
      <w:r>
        <w:t>Part Two: Role of IHRM in implementing effective M&amp;A</w:t>
      </w:r>
      <w:bookmarkEnd w:id="6"/>
      <w:r>
        <w:t xml:space="preserve"> </w:t>
      </w:r>
    </w:p>
    <w:p w14:paraId="39ABD233" w14:textId="77777777" w:rsidR="00474C20" w:rsidRPr="00474C20" w:rsidRDefault="00474C20" w:rsidP="00474C20">
      <w:pPr>
        <w:spacing w:line="360" w:lineRule="auto"/>
        <w:jc w:val="both"/>
        <w:rPr>
          <w:rFonts w:ascii="Arial" w:hAnsi="Arial" w:cs="Arial"/>
          <w:sz w:val="22"/>
          <w:szCs w:val="22"/>
        </w:rPr>
      </w:pPr>
      <w:r w:rsidRPr="00474C20">
        <w:rPr>
          <w:rFonts w:ascii="Arial" w:hAnsi="Arial" w:cs="Arial"/>
          <w:sz w:val="22"/>
          <w:szCs w:val="22"/>
        </w:rPr>
        <w:t xml:space="preserve">Four HR roles exist throughout the merger or acquisition process. </w:t>
      </w:r>
      <w:proofErr w:type="spellStart"/>
      <w:r w:rsidRPr="00474C20">
        <w:rPr>
          <w:rFonts w:ascii="Arial" w:hAnsi="Arial" w:cs="Arial"/>
          <w:sz w:val="22"/>
          <w:szCs w:val="22"/>
        </w:rPr>
        <w:t>Antila</w:t>
      </w:r>
      <w:proofErr w:type="spellEnd"/>
      <w:r w:rsidRPr="00474C20">
        <w:rPr>
          <w:rFonts w:ascii="Arial" w:hAnsi="Arial" w:cs="Arial"/>
          <w:sz w:val="22"/>
          <w:szCs w:val="22"/>
        </w:rPr>
        <w:t xml:space="preserve"> (2005) states that there are several HR themes in the IM&amp;A process that emphasize the roles of strategic partner, management expert, employee advocate, and change agent. The four roles played by HR managers in IM&amp;As proposed by Schuler and Jackson (2001)</w:t>
      </w:r>
      <w:r>
        <w:rPr>
          <w:rFonts w:ascii="Arial" w:hAnsi="Arial" w:cs="Arial"/>
          <w:sz w:val="22"/>
          <w:szCs w:val="22"/>
        </w:rPr>
        <w:t>.</w:t>
      </w:r>
    </w:p>
    <w:p w14:paraId="0FABB783" w14:textId="2525645C" w:rsidR="00474C20" w:rsidRPr="00474C20" w:rsidRDefault="00474C20" w:rsidP="00474C20">
      <w:pPr>
        <w:spacing w:line="360" w:lineRule="auto"/>
        <w:jc w:val="both"/>
        <w:rPr>
          <w:rFonts w:ascii="Arial" w:hAnsi="Arial" w:cs="Arial"/>
          <w:sz w:val="22"/>
          <w:szCs w:val="22"/>
        </w:rPr>
      </w:pPr>
      <w:r w:rsidRPr="00474C20">
        <w:rPr>
          <w:rFonts w:ascii="Arial" w:hAnsi="Arial" w:cs="Arial"/>
          <w:sz w:val="22"/>
          <w:szCs w:val="22"/>
        </w:rPr>
        <w:t xml:space="preserve">The strategic partner's role includes not only planning and evaluating the M&amp;A process, but also issues of human resources and her M&amp;A strategy. The role of strategic partners becomes more prominent during the pre-merger, </w:t>
      </w:r>
      <w:r w:rsidRPr="00474C20">
        <w:rPr>
          <w:rFonts w:ascii="Arial" w:hAnsi="Arial" w:cs="Arial"/>
          <w:sz w:val="22"/>
          <w:szCs w:val="22"/>
        </w:rPr>
        <w:t>integration,</w:t>
      </w:r>
      <w:r w:rsidRPr="00474C20">
        <w:rPr>
          <w:rFonts w:ascii="Arial" w:hAnsi="Arial" w:cs="Arial"/>
          <w:sz w:val="22"/>
          <w:szCs w:val="22"/>
        </w:rPr>
        <w:t xml:space="preserve"> and evaluation stages, but less during the integration stage. The roles of managers and employee advocates are prominent at all stages. These roles include specific HR responsibilities such as HR due diligence, implementation of HR practices, </w:t>
      </w:r>
      <w:r w:rsidRPr="00474C20">
        <w:rPr>
          <w:rFonts w:ascii="Arial" w:hAnsi="Arial" w:cs="Arial"/>
          <w:sz w:val="22"/>
          <w:szCs w:val="22"/>
        </w:rPr>
        <w:t>recruitment,</w:t>
      </w:r>
      <w:r w:rsidRPr="00474C20">
        <w:rPr>
          <w:rFonts w:ascii="Arial" w:hAnsi="Arial" w:cs="Arial"/>
          <w:sz w:val="22"/>
          <w:szCs w:val="22"/>
        </w:rPr>
        <w:t xml:space="preserve"> and communications. Another strategic role, Change Her agent role is weaker than the others</w:t>
      </w:r>
      <w:r>
        <w:rPr>
          <w:rFonts w:ascii="Arial" w:hAnsi="Arial" w:cs="Arial"/>
          <w:sz w:val="22"/>
          <w:szCs w:val="22"/>
        </w:rPr>
        <w:t xml:space="preserve"> (</w:t>
      </w:r>
      <w:proofErr w:type="spellStart"/>
      <w:r>
        <w:rPr>
          <w:rFonts w:ascii="Arial" w:hAnsi="Arial" w:cs="Arial"/>
          <w:sz w:val="22"/>
          <w:szCs w:val="22"/>
        </w:rPr>
        <w:t>Aizhu</w:t>
      </w:r>
      <w:proofErr w:type="spellEnd"/>
      <w:r>
        <w:rPr>
          <w:rFonts w:ascii="Arial" w:hAnsi="Arial" w:cs="Arial"/>
          <w:sz w:val="22"/>
          <w:szCs w:val="22"/>
        </w:rPr>
        <w:t xml:space="preserve"> &amp; Xu, 2023)</w:t>
      </w:r>
      <w:r w:rsidRPr="00474C20">
        <w:rPr>
          <w:rFonts w:ascii="Arial" w:hAnsi="Arial" w:cs="Arial"/>
          <w:sz w:val="22"/>
          <w:szCs w:val="22"/>
        </w:rPr>
        <w:t>.</w:t>
      </w:r>
    </w:p>
    <w:p w14:paraId="3A1B0684" w14:textId="253CA10E" w:rsidR="00474C20" w:rsidRPr="00474C20" w:rsidRDefault="00474C20" w:rsidP="00474C20">
      <w:pPr>
        <w:spacing w:line="360" w:lineRule="auto"/>
        <w:jc w:val="both"/>
        <w:rPr>
          <w:rFonts w:ascii="Arial" w:hAnsi="Arial" w:cs="Arial"/>
          <w:sz w:val="22"/>
          <w:szCs w:val="22"/>
        </w:rPr>
      </w:pPr>
      <w:r w:rsidRPr="00474C20">
        <w:rPr>
          <w:rFonts w:ascii="Arial" w:hAnsi="Arial" w:cs="Arial"/>
          <w:sz w:val="22"/>
          <w:szCs w:val="22"/>
        </w:rPr>
        <w:t xml:space="preserve">According to Briscoe and Schuler (2004), </w:t>
      </w:r>
      <w:r w:rsidRPr="00474C20">
        <w:rPr>
          <w:rFonts w:ascii="Arial" w:hAnsi="Arial" w:cs="Arial"/>
          <w:sz w:val="22"/>
          <w:szCs w:val="22"/>
        </w:rPr>
        <w:t>labour</w:t>
      </w:r>
      <w:r w:rsidRPr="00474C20">
        <w:rPr>
          <w:rFonts w:ascii="Arial" w:hAnsi="Arial" w:cs="Arial"/>
          <w:sz w:val="22"/>
          <w:szCs w:val="22"/>
        </w:rPr>
        <w:t xml:space="preserve"> law and industrial relations is one of the traditional areas of international human resource management.</w:t>
      </w:r>
      <w:r>
        <w:rPr>
          <w:rFonts w:ascii="Arial" w:hAnsi="Arial" w:cs="Arial"/>
          <w:sz w:val="22"/>
          <w:szCs w:val="22"/>
        </w:rPr>
        <w:t xml:space="preserve"> </w:t>
      </w:r>
      <w:r w:rsidRPr="00474C20">
        <w:rPr>
          <w:rFonts w:ascii="Arial" w:hAnsi="Arial" w:cs="Arial"/>
          <w:sz w:val="22"/>
          <w:szCs w:val="22"/>
        </w:rPr>
        <w:t xml:space="preserve">Human resources departments at both companies need to be able to quickly develop plans that help achieve the desired synergies. Once the M&amp;A process begins, human resources representatives from both companies should advise management to develop a roadmap in advance so that the combined company will comply. This approach should focus on the combination of associated communication structures, reductions (if any), and corporate entities. This initiative by HR </w:t>
      </w:r>
      <w:r w:rsidRPr="00474C20">
        <w:rPr>
          <w:rFonts w:ascii="Arial" w:hAnsi="Arial" w:cs="Arial"/>
          <w:sz w:val="22"/>
          <w:szCs w:val="22"/>
        </w:rPr>
        <w:lastRenderedPageBreak/>
        <w:t>leaders helps management achieve specific goals and prevents future misunderstandings and disagreements</w:t>
      </w:r>
      <w:r>
        <w:rPr>
          <w:rFonts w:ascii="Arial" w:hAnsi="Arial" w:cs="Arial"/>
          <w:sz w:val="22"/>
          <w:szCs w:val="22"/>
        </w:rPr>
        <w:t xml:space="preserve"> (Bokova, 2023)</w:t>
      </w:r>
      <w:r w:rsidRPr="00474C20">
        <w:rPr>
          <w:rFonts w:ascii="Arial" w:hAnsi="Arial" w:cs="Arial"/>
          <w:sz w:val="22"/>
          <w:szCs w:val="22"/>
        </w:rPr>
        <w:t>.</w:t>
      </w:r>
    </w:p>
    <w:p w14:paraId="39D5CF1E" w14:textId="77777777" w:rsidR="00474C20" w:rsidRPr="00474C20" w:rsidRDefault="00474C20" w:rsidP="00474C20">
      <w:pPr>
        <w:spacing w:line="360" w:lineRule="auto"/>
        <w:jc w:val="both"/>
        <w:rPr>
          <w:rFonts w:ascii="Arial" w:hAnsi="Arial" w:cs="Arial"/>
          <w:sz w:val="22"/>
          <w:szCs w:val="22"/>
        </w:rPr>
      </w:pPr>
    </w:p>
    <w:p w14:paraId="0B7E57C0" w14:textId="1E186CC9" w:rsidR="00474C20" w:rsidRPr="00474C20" w:rsidRDefault="00474C20" w:rsidP="00474C20">
      <w:pPr>
        <w:spacing w:line="360" w:lineRule="auto"/>
        <w:jc w:val="both"/>
        <w:rPr>
          <w:rFonts w:ascii="Arial" w:hAnsi="Arial" w:cs="Arial"/>
          <w:sz w:val="22"/>
          <w:szCs w:val="22"/>
        </w:rPr>
      </w:pPr>
      <w:r w:rsidRPr="00474C20">
        <w:rPr>
          <w:rFonts w:ascii="Arial" w:hAnsi="Arial" w:cs="Arial"/>
          <w:sz w:val="22"/>
          <w:szCs w:val="22"/>
        </w:rPr>
        <w:t>Human resources (HR) professionals are critical to the success of mergers and acquisitions as they deal with an organization's employees and address key employee-related issues. Extending interventions can help HR professionals make mergers and acquisitions successful. As a result, during a merger and acquisition (M&amp;A) transaction, HR acts as both a motivator and a coach to encourage employees of the merged company to work together effectively</w:t>
      </w:r>
      <w:r>
        <w:rPr>
          <w:rFonts w:ascii="Arial" w:hAnsi="Arial" w:cs="Arial"/>
          <w:sz w:val="22"/>
          <w:szCs w:val="22"/>
        </w:rPr>
        <w:t xml:space="preserve"> (</w:t>
      </w:r>
      <w:proofErr w:type="spellStart"/>
      <w:r>
        <w:rPr>
          <w:rFonts w:ascii="Arial" w:hAnsi="Arial" w:cs="Arial"/>
          <w:sz w:val="22"/>
          <w:szCs w:val="22"/>
        </w:rPr>
        <w:t>Reiche</w:t>
      </w:r>
      <w:proofErr w:type="spellEnd"/>
      <w:r>
        <w:rPr>
          <w:rFonts w:ascii="Arial" w:hAnsi="Arial" w:cs="Arial"/>
          <w:sz w:val="22"/>
          <w:szCs w:val="22"/>
        </w:rPr>
        <w:t>, 2016)</w:t>
      </w:r>
      <w:r w:rsidRPr="00474C20">
        <w:rPr>
          <w:rFonts w:ascii="Arial" w:hAnsi="Arial" w:cs="Arial"/>
          <w:sz w:val="22"/>
          <w:szCs w:val="22"/>
        </w:rPr>
        <w:t>. </w:t>
      </w:r>
    </w:p>
    <w:p w14:paraId="34401957" w14:textId="77777777" w:rsidR="00474C20" w:rsidRPr="00474C20" w:rsidRDefault="00474C20" w:rsidP="00474C20"/>
    <w:p w14:paraId="5921C8DE" w14:textId="119B2827" w:rsidR="00474C20" w:rsidRDefault="00474C20" w:rsidP="00474C20">
      <w:pPr>
        <w:pStyle w:val="Heading1"/>
        <w:rPr>
          <w:b/>
          <w:bCs/>
        </w:rPr>
      </w:pPr>
      <w:bookmarkStart w:id="7" w:name="_Toc131327008"/>
      <w:r w:rsidRPr="00474C20">
        <w:rPr>
          <w:b/>
          <w:bCs/>
        </w:rPr>
        <w:t>Conclusion</w:t>
      </w:r>
      <w:bookmarkEnd w:id="7"/>
    </w:p>
    <w:p w14:paraId="08602136" w14:textId="6D27D5EB" w:rsidR="00474C20" w:rsidRPr="00474C20" w:rsidRDefault="00474C20" w:rsidP="00474C20">
      <w:pPr>
        <w:spacing w:line="360" w:lineRule="auto"/>
        <w:jc w:val="both"/>
        <w:rPr>
          <w:lang w:eastAsia="en-US"/>
        </w:rPr>
      </w:pPr>
      <w:r>
        <w:rPr>
          <w:lang w:eastAsia="en-US"/>
        </w:rPr>
        <w:t xml:space="preserve">Overall, the IHRM plays an extremely important role towards the success of businesses, and this has been explored throughout the assignment. Considering the two companies that have been selected- Lukoil and </w:t>
      </w:r>
      <w:proofErr w:type="spellStart"/>
      <w:r>
        <w:rPr>
          <w:lang w:eastAsia="en-US"/>
        </w:rPr>
        <w:t>Hengli</w:t>
      </w:r>
      <w:proofErr w:type="spellEnd"/>
      <w:r>
        <w:rPr>
          <w:lang w:eastAsia="en-US"/>
        </w:rPr>
        <w:t xml:space="preserve"> both need strong an organised IHRM strategies to be able to handle all aspects coming on the way of the industry. </w:t>
      </w:r>
    </w:p>
    <w:p w14:paraId="168B78B8" w14:textId="7FA2E702" w:rsidR="00474C20" w:rsidRDefault="00474C20" w:rsidP="00474C20">
      <w:pPr>
        <w:rPr>
          <w:lang w:eastAsia="en-US"/>
        </w:rPr>
      </w:pPr>
    </w:p>
    <w:p w14:paraId="27853276" w14:textId="6512F078" w:rsidR="00474C20" w:rsidRDefault="00474C20" w:rsidP="00474C20">
      <w:pPr>
        <w:rPr>
          <w:lang w:eastAsia="en-US"/>
        </w:rPr>
      </w:pPr>
    </w:p>
    <w:p w14:paraId="22A01EE9" w14:textId="176393C9" w:rsidR="00474C20" w:rsidRDefault="00474C20" w:rsidP="00474C20">
      <w:pPr>
        <w:rPr>
          <w:lang w:eastAsia="en-US"/>
        </w:rPr>
      </w:pPr>
    </w:p>
    <w:p w14:paraId="622950A5" w14:textId="48B061BC" w:rsidR="00474C20" w:rsidRDefault="00474C20" w:rsidP="00474C20">
      <w:pPr>
        <w:rPr>
          <w:lang w:eastAsia="en-US"/>
        </w:rPr>
      </w:pPr>
    </w:p>
    <w:p w14:paraId="31A24D67" w14:textId="507BCF10" w:rsidR="00474C20" w:rsidRDefault="00474C20" w:rsidP="00474C20">
      <w:pPr>
        <w:rPr>
          <w:lang w:eastAsia="en-US"/>
        </w:rPr>
      </w:pPr>
    </w:p>
    <w:p w14:paraId="38C374D3" w14:textId="56DB06BE" w:rsidR="00474C20" w:rsidRDefault="00474C20" w:rsidP="00474C20">
      <w:pPr>
        <w:rPr>
          <w:lang w:eastAsia="en-US"/>
        </w:rPr>
      </w:pPr>
    </w:p>
    <w:p w14:paraId="2B9E7FD1" w14:textId="68ED0527" w:rsidR="00474C20" w:rsidRDefault="00474C20" w:rsidP="00474C20">
      <w:pPr>
        <w:rPr>
          <w:lang w:eastAsia="en-US"/>
        </w:rPr>
      </w:pPr>
    </w:p>
    <w:p w14:paraId="67EB86D4" w14:textId="16FA54FC" w:rsidR="00474C20" w:rsidRDefault="00474C20" w:rsidP="00474C20">
      <w:pPr>
        <w:rPr>
          <w:lang w:eastAsia="en-US"/>
        </w:rPr>
      </w:pPr>
    </w:p>
    <w:p w14:paraId="1C9AF927" w14:textId="54CEFDA6" w:rsidR="00474C20" w:rsidRDefault="00474C20" w:rsidP="00474C20">
      <w:pPr>
        <w:rPr>
          <w:lang w:eastAsia="en-US"/>
        </w:rPr>
      </w:pPr>
    </w:p>
    <w:p w14:paraId="23E5AEC2" w14:textId="23D1E2C1" w:rsidR="00474C20" w:rsidRDefault="00474C20" w:rsidP="00474C20">
      <w:pPr>
        <w:rPr>
          <w:lang w:eastAsia="en-US"/>
        </w:rPr>
      </w:pPr>
    </w:p>
    <w:p w14:paraId="45F4C919" w14:textId="1B1CAD86" w:rsidR="00474C20" w:rsidRDefault="00474C20" w:rsidP="00474C20">
      <w:pPr>
        <w:rPr>
          <w:lang w:eastAsia="en-US"/>
        </w:rPr>
      </w:pPr>
    </w:p>
    <w:p w14:paraId="3639B95C" w14:textId="4875D2E0" w:rsidR="00474C20" w:rsidRDefault="00474C20" w:rsidP="00474C20">
      <w:pPr>
        <w:rPr>
          <w:lang w:eastAsia="en-US"/>
        </w:rPr>
      </w:pPr>
    </w:p>
    <w:p w14:paraId="6B27B48A" w14:textId="462FCBCC" w:rsidR="00474C20" w:rsidRDefault="00474C20" w:rsidP="00474C20">
      <w:pPr>
        <w:rPr>
          <w:lang w:eastAsia="en-US"/>
        </w:rPr>
      </w:pPr>
    </w:p>
    <w:p w14:paraId="32AA190B" w14:textId="7B1809E2" w:rsidR="00474C20" w:rsidRDefault="00474C20" w:rsidP="00474C20">
      <w:pPr>
        <w:rPr>
          <w:lang w:eastAsia="en-US"/>
        </w:rPr>
      </w:pPr>
    </w:p>
    <w:p w14:paraId="644012E5" w14:textId="56043FB7" w:rsidR="00474C20" w:rsidRDefault="00474C20" w:rsidP="00474C20">
      <w:pPr>
        <w:rPr>
          <w:lang w:eastAsia="en-US"/>
        </w:rPr>
      </w:pPr>
    </w:p>
    <w:p w14:paraId="7C0D45A4" w14:textId="4FFB86D9" w:rsidR="00474C20" w:rsidRDefault="00474C20" w:rsidP="00474C20">
      <w:pPr>
        <w:rPr>
          <w:lang w:eastAsia="en-US"/>
        </w:rPr>
      </w:pPr>
    </w:p>
    <w:p w14:paraId="7F710A1F" w14:textId="36EA3411" w:rsidR="00474C20" w:rsidRDefault="00474C20" w:rsidP="00474C20">
      <w:pPr>
        <w:rPr>
          <w:lang w:eastAsia="en-US"/>
        </w:rPr>
      </w:pPr>
    </w:p>
    <w:p w14:paraId="51DC4093" w14:textId="1B0A5422" w:rsidR="00474C20" w:rsidRDefault="00474C20" w:rsidP="00474C20">
      <w:pPr>
        <w:rPr>
          <w:lang w:eastAsia="en-US"/>
        </w:rPr>
      </w:pPr>
    </w:p>
    <w:p w14:paraId="764A5778" w14:textId="40225F6C" w:rsidR="00474C20" w:rsidRDefault="00474C20" w:rsidP="00474C20">
      <w:pPr>
        <w:rPr>
          <w:lang w:eastAsia="en-US"/>
        </w:rPr>
      </w:pPr>
    </w:p>
    <w:p w14:paraId="01B3966B" w14:textId="42EA22F5" w:rsidR="00474C20" w:rsidRDefault="00474C20" w:rsidP="00474C20">
      <w:pPr>
        <w:rPr>
          <w:lang w:eastAsia="en-US"/>
        </w:rPr>
      </w:pPr>
    </w:p>
    <w:p w14:paraId="2B4BE06E" w14:textId="63BA05A2" w:rsidR="00474C20" w:rsidRDefault="00474C20" w:rsidP="00474C20">
      <w:pPr>
        <w:rPr>
          <w:lang w:eastAsia="en-US"/>
        </w:rPr>
      </w:pPr>
    </w:p>
    <w:p w14:paraId="727700D3" w14:textId="1A6C8505" w:rsidR="00474C20" w:rsidRDefault="00474C20" w:rsidP="00474C20">
      <w:pPr>
        <w:rPr>
          <w:lang w:eastAsia="en-US"/>
        </w:rPr>
      </w:pPr>
    </w:p>
    <w:p w14:paraId="5037C7BD" w14:textId="5E261264" w:rsidR="00474C20" w:rsidRDefault="00474C20" w:rsidP="00474C20">
      <w:pPr>
        <w:rPr>
          <w:lang w:eastAsia="en-US"/>
        </w:rPr>
      </w:pPr>
    </w:p>
    <w:p w14:paraId="759C6FE6" w14:textId="49677F05" w:rsidR="00474C20" w:rsidRDefault="00474C20" w:rsidP="00474C20">
      <w:pPr>
        <w:rPr>
          <w:lang w:eastAsia="en-US"/>
        </w:rPr>
      </w:pPr>
    </w:p>
    <w:p w14:paraId="59996345" w14:textId="0AB7189A" w:rsidR="00474C20" w:rsidRDefault="00474C20" w:rsidP="00474C20">
      <w:pPr>
        <w:rPr>
          <w:lang w:eastAsia="en-US"/>
        </w:rPr>
      </w:pPr>
    </w:p>
    <w:p w14:paraId="2D377E99" w14:textId="058BA67C" w:rsidR="00474C20" w:rsidRDefault="00474C20" w:rsidP="00474C20">
      <w:pPr>
        <w:rPr>
          <w:lang w:eastAsia="en-US"/>
        </w:rPr>
      </w:pPr>
    </w:p>
    <w:p w14:paraId="597E88CF" w14:textId="77777777" w:rsidR="00474C20" w:rsidRPr="00474C20" w:rsidRDefault="00474C20" w:rsidP="00474C20">
      <w:pPr>
        <w:rPr>
          <w:lang w:eastAsia="en-US"/>
        </w:rPr>
      </w:pPr>
    </w:p>
    <w:p w14:paraId="67E5EEE4" w14:textId="09C99746" w:rsidR="00474C20" w:rsidRDefault="00474C20" w:rsidP="00474C20">
      <w:pPr>
        <w:pStyle w:val="Heading1"/>
        <w:rPr>
          <w:b/>
          <w:bCs/>
        </w:rPr>
      </w:pPr>
      <w:bookmarkStart w:id="8" w:name="_Toc131327009"/>
      <w:r w:rsidRPr="00474C20">
        <w:rPr>
          <w:b/>
          <w:bCs/>
        </w:rPr>
        <w:lastRenderedPageBreak/>
        <w:t>List</w:t>
      </w:r>
      <w:r>
        <w:t xml:space="preserve"> </w:t>
      </w:r>
      <w:r w:rsidRPr="00474C20">
        <w:rPr>
          <w:b/>
          <w:bCs/>
        </w:rPr>
        <w:t>of</w:t>
      </w:r>
      <w:r>
        <w:t xml:space="preserve"> </w:t>
      </w:r>
      <w:r w:rsidRPr="00474C20">
        <w:rPr>
          <w:b/>
          <w:bCs/>
        </w:rPr>
        <w:t>References</w:t>
      </w:r>
      <w:bookmarkEnd w:id="8"/>
    </w:p>
    <w:p w14:paraId="15BD1354" w14:textId="77777777" w:rsidR="00474C20" w:rsidRPr="00474C20" w:rsidRDefault="00474C20" w:rsidP="00474C20">
      <w:pPr>
        <w:rPr>
          <w:lang w:eastAsia="en-US"/>
        </w:rPr>
      </w:pPr>
    </w:p>
    <w:p w14:paraId="4211E32E" w14:textId="77777777" w:rsidR="00474C20" w:rsidRDefault="00474C20" w:rsidP="00474C20">
      <w:pPr>
        <w:rPr>
          <w:i/>
          <w:iCs/>
        </w:rPr>
      </w:pPr>
      <w:proofErr w:type="spellStart"/>
      <w:r>
        <w:t>Aizhu</w:t>
      </w:r>
      <w:proofErr w:type="spellEnd"/>
      <w:r>
        <w:t xml:space="preserve">, C. &amp; Xu, M. (2023) </w:t>
      </w:r>
      <w:r>
        <w:rPr>
          <w:i/>
          <w:iCs/>
        </w:rPr>
        <w:t>China’s March imports of Russian oil may hit record</w:t>
      </w:r>
      <w:r>
        <w:t xml:space="preserve">. (online) available on: </w:t>
      </w:r>
      <w:hyperlink r:id="rId10" w:history="1">
        <w:r w:rsidRPr="00EB4741">
          <w:rPr>
            <w:rStyle w:val="Hyperlink"/>
            <w:rFonts w:eastAsiaTheme="majorEastAsia"/>
          </w:rPr>
          <w:t>https://www.reuters.com/business/energy/chinas-march-imports-russian-oil-may-hit-record-shiptracking-data-2023-03-02/</w:t>
        </w:r>
      </w:hyperlink>
      <w:r>
        <w:t xml:space="preserve">  </w:t>
      </w:r>
      <w:r>
        <w:rPr>
          <w:i/>
          <w:iCs/>
        </w:rPr>
        <w:t>last accessed on: 25</w:t>
      </w:r>
      <w:r w:rsidRPr="00FB411E">
        <w:rPr>
          <w:i/>
          <w:iCs/>
          <w:vertAlign w:val="superscript"/>
        </w:rPr>
        <w:t>th</w:t>
      </w:r>
      <w:r>
        <w:rPr>
          <w:i/>
          <w:iCs/>
        </w:rPr>
        <w:t xml:space="preserve"> March 2023 </w:t>
      </w:r>
    </w:p>
    <w:p w14:paraId="43453F11" w14:textId="77777777" w:rsidR="00474C20" w:rsidRPr="00FB411E" w:rsidRDefault="00474C20" w:rsidP="00474C20">
      <w:pPr>
        <w:rPr>
          <w:i/>
          <w:iCs/>
        </w:rPr>
      </w:pPr>
    </w:p>
    <w:p w14:paraId="52914378" w14:textId="77777777" w:rsidR="00474C20" w:rsidRDefault="00474C20" w:rsidP="00474C20">
      <w:pPr>
        <w:rPr>
          <w:i/>
          <w:iCs/>
        </w:rPr>
      </w:pPr>
      <w:r>
        <w:t xml:space="preserve">Bokova, T. (2023) </w:t>
      </w:r>
      <w:r>
        <w:rPr>
          <w:i/>
          <w:iCs/>
        </w:rPr>
        <w:t>Russia and China Expand their gas and oil deals</w:t>
      </w:r>
      <w:r>
        <w:t xml:space="preserve">. (online) available on: </w:t>
      </w:r>
      <w:hyperlink r:id="rId11" w:history="1">
        <w:r w:rsidRPr="00EB4741">
          <w:rPr>
            <w:rStyle w:val="Hyperlink"/>
            <w:rFonts w:eastAsiaTheme="majorEastAsia"/>
          </w:rPr>
          <w:t>https://infobrics.org/post/37897/</w:t>
        </w:r>
      </w:hyperlink>
      <w:r>
        <w:t xml:space="preserve">  </w:t>
      </w:r>
      <w:r>
        <w:rPr>
          <w:i/>
          <w:iCs/>
        </w:rPr>
        <w:t>last accessed on: 25</w:t>
      </w:r>
      <w:r w:rsidRPr="00FB411E">
        <w:rPr>
          <w:i/>
          <w:iCs/>
          <w:vertAlign w:val="superscript"/>
        </w:rPr>
        <w:t>th</w:t>
      </w:r>
      <w:r>
        <w:rPr>
          <w:i/>
          <w:iCs/>
        </w:rPr>
        <w:t xml:space="preserve"> March 2023 </w:t>
      </w:r>
    </w:p>
    <w:p w14:paraId="29D639B2" w14:textId="77777777" w:rsidR="00474C20" w:rsidRDefault="00474C20" w:rsidP="00474C20">
      <w:pPr>
        <w:rPr>
          <w:i/>
          <w:iCs/>
        </w:rPr>
      </w:pPr>
    </w:p>
    <w:p w14:paraId="1A70391C" w14:textId="77777777" w:rsidR="00474C20" w:rsidRDefault="00474C20" w:rsidP="00474C20">
      <w:r>
        <w:t xml:space="preserve">Briscoe, D &amp; Schuler, S. R. (2004) </w:t>
      </w:r>
      <w:r>
        <w:rPr>
          <w:i/>
          <w:iCs/>
        </w:rPr>
        <w:t>International Human Resource Management</w:t>
      </w:r>
      <w:r>
        <w:t>. 2</w:t>
      </w:r>
      <w:r w:rsidRPr="00FB411E">
        <w:rPr>
          <w:vertAlign w:val="superscript"/>
        </w:rPr>
        <w:t>nd</w:t>
      </w:r>
      <w:r>
        <w:t xml:space="preserve"> Edition. Routledge Publishing. </w:t>
      </w:r>
    </w:p>
    <w:p w14:paraId="5E4B99AC" w14:textId="77777777" w:rsidR="00474C20" w:rsidRDefault="00474C20" w:rsidP="00474C20"/>
    <w:p w14:paraId="155345A9" w14:textId="77777777" w:rsidR="00474C20" w:rsidRPr="00FB411E" w:rsidRDefault="00474C20" w:rsidP="00474C20">
      <w:r>
        <w:t xml:space="preserve">Cohn, R. &amp; Russell, J. (2015) </w:t>
      </w:r>
      <w:r>
        <w:rPr>
          <w:i/>
          <w:iCs/>
        </w:rPr>
        <w:t>Hofstede’s Cultural Dimensions Theory</w:t>
      </w:r>
      <w:r>
        <w:t>. 2</w:t>
      </w:r>
      <w:r w:rsidRPr="00FB411E">
        <w:rPr>
          <w:vertAlign w:val="superscript"/>
        </w:rPr>
        <w:t>nd</w:t>
      </w:r>
      <w:r>
        <w:t xml:space="preserve"> Edition. Books on Demand. </w:t>
      </w:r>
    </w:p>
    <w:p w14:paraId="36A426A2" w14:textId="77777777" w:rsidR="00474C20" w:rsidRDefault="00474C20" w:rsidP="00474C20"/>
    <w:p w14:paraId="526ADE35" w14:textId="77777777" w:rsidR="00474C20" w:rsidRDefault="00474C20" w:rsidP="00474C20">
      <w:proofErr w:type="spellStart"/>
      <w:r>
        <w:t>Dringoli</w:t>
      </w:r>
      <w:proofErr w:type="spellEnd"/>
      <w:r>
        <w:t xml:space="preserve">, A. (2016) </w:t>
      </w:r>
      <w:r>
        <w:rPr>
          <w:i/>
          <w:iCs/>
        </w:rPr>
        <w:t>Merger and Acquisition Strategies</w:t>
      </w:r>
      <w:r>
        <w:t>. 2</w:t>
      </w:r>
      <w:r w:rsidRPr="00FB411E">
        <w:rPr>
          <w:vertAlign w:val="superscript"/>
        </w:rPr>
        <w:t>nd</w:t>
      </w:r>
      <w:r>
        <w:t xml:space="preserve"> Edition. Edward Elgar Pub. </w:t>
      </w:r>
    </w:p>
    <w:p w14:paraId="68DB6A6C" w14:textId="77777777" w:rsidR="00474C20" w:rsidRDefault="00474C20" w:rsidP="00474C20"/>
    <w:p w14:paraId="448EA2E7" w14:textId="77777777" w:rsidR="00474C20" w:rsidRPr="00FB411E" w:rsidRDefault="00474C20" w:rsidP="00474C20">
      <w:pPr>
        <w:rPr>
          <w:i/>
          <w:iCs/>
        </w:rPr>
      </w:pPr>
      <w:proofErr w:type="spellStart"/>
      <w:r>
        <w:t>Duesterberg</w:t>
      </w:r>
      <w:proofErr w:type="spellEnd"/>
      <w:r>
        <w:t xml:space="preserve">, T. (2022) </w:t>
      </w:r>
      <w:r>
        <w:rPr>
          <w:i/>
          <w:iCs/>
        </w:rPr>
        <w:t xml:space="preserve">Historic Shifts in Russian Energy Flows </w:t>
      </w:r>
      <w:proofErr w:type="spellStart"/>
      <w:r>
        <w:rPr>
          <w:i/>
          <w:iCs/>
        </w:rPr>
        <w:t>Blostering</w:t>
      </w:r>
      <w:proofErr w:type="spellEnd"/>
      <w:r>
        <w:rPr>
          <w:i/>
          <w:iCs/>
        </w:rPr>
        <w:t xml:space="preserve"> China</w:t>
      </w:r>
      <w:r>
        <w:t xml:space="preserve">. (online) available on: </w:t>
      </w:r>
      <w:hyperlink r:id="rId12" w:history="1">
        <w:r w:rsidRPr="00EB4741">
          <w:rPr>
            <w:rStyle w:val="Hyperlink"/>
            <w:rFonts w:eastAsiaTheme="majorEastAsia"/>
          </w:rPr>
          <w:t>https://www.forbes.com/sites/thomasduesterberg/2022/07/07/historic-shifts-in-russian-energy-flows-bolstering-china/?sh=346ad9602423</w:t>
        </w:r>
      </w:hyperlink>
      <w:r>
        <w:t xml:space="preserve">  </w:t>
      </w:r>
      <w:r>
        <w:rPr>
          <w:i/>
          <w:iCs/>
        </w:rPr>
        <w:t>last accessed on: 1</w:t>
      </w:r>
      <w:r w:rsidRPr="00FB411E">
        <w:rPr>
          <w:i/>
          <w:iCs/>
          <w:vertAlign w:val="superscript"/>
        </w:rPr>
        <w:t>st</w:t>
      </w:r>
      <w:r>
        <w:rPr>
          <w:i/>
          <w:iCs/>
        </w:rPr>
        <w:t xml:space="preserve"> April 2023 </w:t>
      </w:r>
    </w:p>
    <w:p w14:paraId="2F0C4073" w14:textId="77777777" w:rsidR="00474C20" w:rsidRDefault="00474C20" w:rsidP="00474C20"/>
    <w:p w14:paraId="04114F07" w14:textId="77777777" w:rsidR="00474C20" w:rsidRPr="00FB411E" w:rsidRDefault="00474C20" w:rsidP="00474C20">
      <w:pPr>
        <w:rPr>
          <w:i/>
          <w:iCs/>
        </w:rPr>
      </w:pPr>
      <w:r>
        <w:t xml:space="preserve">Hofstede Insights (2022) </w:t>
      </w:r>
      <w:r>
        <w:rPr>
          <w:i/>
          <w:iCs/>
        </w:rPr>
        <w:t>Russian Culture through Hofstede Cultural Dimensions</w:t>
      </w:r>
      <w:r>
        <w:t xml:space="preserve">. (online) available on: </w:t>
      </w:r>
      <w:hyperlink r:id="rId13" w:history="1">
        <w:r w:rsidRPr="00EB4741">
          <w:rPr>
            <w:rStyle w:val="Hyperlink"/>
            <w:rFonts w:eastAsiaTheme="majorEastAsia"/>
          </w:rPr>
          <w:t>https://www.hofstede-insights.com/country/russia/</w:t>
        </w:r>
      </w:hyperlink>
      <w:r>
        <w:t xml:space="preserve">  </w:t>
      </w:r>
      <w:r>
        <w:rPr>
          <w:i/>
          <w:iCs/>
        </w:rPr>
        <w:t>last accessed on: 28</w:t>
      </w:r>
      <w:r w:rsidRPr="00FB411E">
        <w:rPr>
          <w:i/>
          <w:iCs/>
          <w:vertAlign w:val="superscript"/>
        </w:rPr>
        <w:t>th</w:t>
      </w:r>
      <w:r>
        <w:rPr>
          <w:i/>
          <w:iCs/>
        </w:rPr>
        <w:t xml:space="preserve"> March 2023 </w:t>
      </w:r>
    </w:p>
    <w:p w14:paraId="27116B74" w14:textId="77777777" w:rsidR="00474C20" w:rsidRDefault="00474C20" w:rsidP="00474C20"/>
    <w:p w14:paraId="6254058C" w14:textId="77777777" w:rsidR="00474C20" w:rsidRDefault="00474C20" w:rsidP="00474C20">
      <w:r>
        <w:t xml:space="preserve">Jones, G. R. (2014) </w:t>
      </w:r>
      <w:r>
        <w:rPr>
          <w:i/>
          <w:iCs/>
        </w:rPr>
        <w:t>Strategic Management: theory and cases</w:t>
      </w:r>
      <w:r>
        <w:t>. 2</w:t>
      </w:r>
      <w:r w:rsidRPr="00FB411E">
        <w:rPr>
          <w:vertAlign w:val="superscript"/>
        </w:rPr>
        <w:t>nD</w:t>
      </w:r>
      <w:r>
        <w:t xml:space="preserve"> Edition. Cengage Learning. </w:t>
      </w:r>
    </w:p>
    <w:p w14:paraId="4C65C5D8" w14:textId="77777777" w:rsidR="00474C20" w:rsidRPr="00FB411E" w:rsidRDefault="00474C20" w:rsidP="00474C20"/>
    <w:p w14:paraId="7763BE37" w14:textId="77777777" w:rsidR="00474C20" w:rsidRPr="00FB411E" w:rsidRDefault="00474C20" w:rsidP="00474C20">
      <w:proofErr w:type="spellStart"/>
      <w:r>
        <w:t>Reiche</w:t>
      </w:r>
      <w:proofErr w:type="spellEnd"/>
      <w:r>
        <w:t xml:space="preserve">, S. B. (2016) </w:t>
      </w:r>
      <w:r>
        <w:rPr>
          <w:i/>
          <w:iCs/>
        </w:rPr>
        <w:t>Readings and Cases in International Human Resource Management</w:t>
      </w:r>
      <w:r>
        <w:t>. 2</w:t>
      </w:r>
      <w:r w:rsidRPr="00FB411E">
        <w:rPr>
          <w:vertAlign w:val="superscript"/>
        </w:rPr>
        <w:t>nd</w:t>
      </w:r>
      <w:r>
        <w:t xml:space="preserve"> Edition. Taylor &amp; Francis. </w:t>
      </w:r>
    </w:p>
    <w:p w14:paraId="48854083" w14:textId="77777777" w:rsidR="00474C20" w:rsidRDefault="00474C20" w:rsidP="00474C20">
      <w:pPr>
        <w:rPr>
          <w:i/>
          <w:iCs/>
        </w:rPr>
      </w:pPr>
    </w:p>
    <w:p w14:paraId="3B08B73C" w14:textId="77777777" w:rsidR="00474C20" w:rsidRDefault="00474C20" w:rsidP="00474C20">
      <w:r>
        <w:t xml:space="preserve">Schuler, S. E. &amp; Jackson, S. E. (2001) </w:t>
      </w:r>
      <w:r>
        <w:rPr>
          <w:i/>
          <w:iCs/>
        </w:rPr>
        <w:t>HR Issues and Activities in Mergers and Acquisitions</w:t>
      </w:r>
      <w:r>
        <w:t>. 1</w:t>
      </w:r>
      <w:r w:rsidRPr="00FB411E">
        <w:rPr>
          <w:vertAlign w:val="superscript"/>
        </w:rPr>
        <w:t>st</w:t>
      </w:r>
      <w:r>
        <w:t xml:space="preserve"> Edition. Research Gate. </w:t>
      </w:r>
    </w:p>
    <w:p w14:paraId="586A43E0" w14:textId="77777777" w:rsidR="00474C20" w:rsidRDefault="00474C20" w:rsidP="00474C20"/>
    <w:p w14:paraId="7FBAC25C" w14:textId="77777777" w:rsidR="00474C20" w:rsidRDefault="00474C20" w:rsidP="00474C20">
      <w:proofErr w:type="spellStart"/>
      <w:r>
        <w:t>Walis</w:t>
      </w:r>
      <w:proofErr w:type="spellEnd"/>
      <w:r>
        <w:t xml:space="preserve">, A. (2018) </w:t>
      </w:r>
      <w:r>
        <w:rPr>
          <w:i/>
          <w:iCs/>
        </w:rPr>
        <w:t>Merger and Acquisition Strategies</w:t>
      </w:r>
      <w:r>
        <w:t>. 3</w:t>
      </w:r>
      <w:r w:rsidRPr="00FB411E">
        <w:rPr>
          <w:vertAlign w:val="superscript"/>
        </w:rPr>
        <w:t>rd</w:t>
      </w:r>
      <w:r>
        <w:t xml:space="preserve"> Edition. Socially Press. </w:t>
      </w:r>
    </w:p>
    <w:p w14:paraId="3ABF4965" w14:textId="77777777" w:rsidR="00474C20" w:rsidRPr="00FB411E" w:rsidRDefault="00474C20" w:rsidP="00474C20"/>
    <w:p w14:paraId="06032793" w14:textId="77777777" w:rsidR="00474C20" w:rsidRPr="00474C20" w:rsidRDefault="00474C20" w:rsidP="00474C20">
      <w:pPr>
        <w:rPr>
          <w:lang w:eastAsia="en-US"/>
        </w:rPr>
      </w:pPr>
    </w:p>
    <w:sectPr w:rsidR="00474C20" w:rsidRPr="00474C20">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6471B1" w14:textId="77777777" w:rsidR="00BC1AEB" w:rsidRDefault="00BC1AEB" w:rsidP="00474C20">
      <w:r>
        <w:separator/>
      </w:r>
    </w:p>
  </w:endnote>
  <w:endnote w:type="continuationSeparator" w:id="0">
    <w:p w14:paraId="4511B6EB" w14:textId="77777777" w:rsidR="00BC1AEB" w:rsidRDefault="00BC1AEB" w:rsidP="00474C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5315238"/>
      <w:docPartObj>
        <w:docPartGallery w:val="Page Numbers (Bottom of Page)"/>
        <w:docPartUnique/>
      </w:docPartObj>
    </w:sdtPr>
    <w:sdtContent>
      <w:p w14:paraId="1C6B493B" w14:textId="2343B0ED" w:rsidR="00474C20" w:rsidRDefault="00474C20" w:rsidP="00EB474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E7D1E0" w14:textId="77777777" w:rsidR="00474C20" w:rsidRDefault="00474C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5411328"/>
      <w:docPartObj>
        <w:docPartGallery w:val="Page Numbers (Bottom of Page)"/>
        <w:docPartUnique/>
      </w:docPartObj>
    </w:sdtPr>
    <w:sdtContent>
      <w:p w14:paraId="037EB431" w14:textId="11CB387C" w:rsidR="00474C20" w:rsidRDefault="00474C20" w:rsidP="00EB474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A5B1699" w14:textId="77777777" w:rsidR="00474C20" w:rsidRDefault="00474C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6201E6" w14:textId="77777777" w:rsidR="00BC1AEB" w:rsidRDefault="00BC1AEB" w:rsidP="00474C20">
      <w:r>
        <w:separator/>
      </w:r>
    </w:p>
  </w:footnote>
  <w:footnote w:type="continuationSeparator" w:id="0">
    <w:p w14:paraId="251E920D" w14:textId="77777777" w:rsidR="00BC1AEB" w:rsidRDefault="00BC1AEB" w:rsidP="00474C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E639D6"/>
    <w:multiLevelType w:val="hybridMultilevel"/>
    <w:tmpl w:val="F580F61E"/>
    <w:lvl w:ilvl="0" w:tplc="843C6688">
      <w:start w:val="7"/>
      <w:numFmt w:val="bullet"/>
      <w:lvlText w:val="-"/>
      <w:lvlJc w:val="left"/>
      <w:pPr>
        <w:ind w:left="360" w:hanging="360"/>
      </w:pPr>
      <w:rPr>
        <w:rFonts w:ascii="Calibri" w:eastAsiaTheme="minorHAnsi" w:hAnsi="Calibri" w:cs="Calibr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4040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C20"/>
    <w:rsid w:val="00474C20"/>
    <w:rsid w:val="005156E9"/>
    <w:rsid w:val="005220FB"/>
    <w:rsid w:val="00BC1AEB"/>
    <w:rsid w:val="00BF31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118F3"/>
  <w15:chartTrackingRefBased/>
  <w15:docId w15:val="{8ABF420E-3A16-DD4C-B74F-3997B3304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4C2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74C20"/>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4C2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74C20"/>
    <w:pPr>
      <w:ind w:left="720"/>
      <w:contextualSpacing/>
    </w:pPr>
    <w:rPr>
      <w:rFonts w:asciiTheme="minorHAnsi" w:eastAsiaTheme="minorHAnsi" w:hAnsiTheme="minorHAnsi" w:cstheme="minorBidi"/>
      <w:lang w:eastAsia="en-US"/>
    </w:rPr>
  </w:style>
  <w:style w:type="paragraph" w:styleId="TOCHeading">
    <w:name w:val="TOC Heading"/>
    <w:basedOn w:val="Heading1"/>
    <w:next w:val="Normal"/>
    <w:uiPriority w:val="39"/>
    <w:unhideWhenUsed/>
    <w:qFormat/>
    <w:rsid w:val="00474C2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74C20"/>
    <w:pPr>
      <w:spacing w:before="120"/>
    </w:pPr>
    <w:rPr>
      <w:rFonts w:asciiTheme="minorHAnsi" w:hAnsiTheme="minorHAnsi" w:cstheme="minorHAnsi"/>
      <w:b/>
      <w:bCs/>
      <w:i/>
      <w:iCs/>
    </w:rPr>
  </w:style>
  <w:style w:type="character" w:styleId="Hyperlink">
    <w:name w:val="Hyperlink"/>
    <w:basedOn w:val="DefaultParagraphFont"/>
    <w:uiPriority w:val="99"/>
    <w:unhideWhenUsed/>
    <w:rsid w:val="00474C20"/>
    <w:rPr>
      <w:color w:val="0563C1" w:themeColor="hyperlink"/>
      <w:u w:val="single"/>
    </w:rPr>
  </w:style>
  <w:style w:type="paragraph" w:styleId="TOC2">
    <w:name w:val="toc 2"/>
    <w:basedOn w:val="Normal"/>
    <w:next w:val="Normal"/>
    <w:autoRedefine/>
    <w:uiPriority w:val="39"/>
    <w:semiHidden/>
    <w:unhideWhenUsed/>
    <w:rsid w:val="00474C20"/>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474C20"/>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74C20"/>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74C20"/>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74C20"/>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74C20"/>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74C20"/>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74C20"/>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474C20"/>
    <w:pPr>
      <w:tabs>
        <w:tab w:val="center" w:pos="4513"/>
        <w:tab w:val="right" w:pos="9026"/>
      </w:tabs>
    </w:pPr>
  </w:style>
  <w:style w:type="character" w:customStyle="1" w:styleId="FooterChar">
    <w:name w:val="Footer Char"/>
    <w:basedOn w:val="DefaultParagraphFont"/>
    <w:link w:val="Footer"/>
    <w:uiPriority w:val="99"/>
    <w:rsid w:val="00474C2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474C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7028095">
      <w:bodyDiv w:val="1"/>
      <w:marLeft w:val="0"/>
      <w:marRight w:val="0"/>
      <w:marTop w:val="0"/>
      <w:marBottom w:val="0"/>
      <w:divBdr>
        <w:top w:val="none" w:sz="0" w:space="0" w:color="auto"/>
        <w:left w:val="none" w:sz="0" w:space="0" w:color="auto"/>
        <w:bottom w:val="none" w:sz="0" w:space="0" w:color="auto"/>
        <w:right w:val="none" w:sz="0" w:space="0" w:color="auto"/>
      </w:divBdr>
    </w:div>
    <w:div w:id="920991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ofstede-insights.com/country/russia/"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rbes.com/sites/thomasduesterberg/2022/07/07/historic-shifts-in-russian-energy-flows-bolstering-china/?sh=346ad9602423"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fobrics.org/post/37897/"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reuters.com/business/energy/chinas-march-imports-russian-oil-may-hit-record-shiptracking-data-2023-03-02/"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1B14B6-67BD-1E47-A002-7631AEDC0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9</Pages>
  <Words>2443</Words>
  <Characters>13930</Characters>
  <Application>Microsoft Office Word</Application>
  <DocSecurity>0</DocSecurity>
  <Lines>116</Lines>
  <Paragraphs>32</Paragraphs>
  <ScaleCrop>false</ScaleCrop>
  <Company/>
  <LinksUpToDate>false</LinksUpToDate>
  <CharactersWithSpaces>16341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1</cp:revision>
  <dcterms:created xsi:type="dcterms:W3CDTF">2023-04-02T09:25:00Z</dcterms:created>
  <dcterms:modified xsi:type="dcterms:W3CDTF">2023-04-02T10:43:00Z</dcterms:modified>
</cp:coreProperties>
</file>