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7615AE" w14:textId="77777777" w:rsidR="002866AB" w:rsidRPr="00376AB9" w:rsidRDefault="002866AB" w:rsidP="00891778">
      <w:pPr>
        <w:spacing w:line="360" w:lineRule="auto"/>
        <w:jc w:val="both"/>
      </w:pPr>
    </w:p>
    <w:p w14:paraId="572A7B9E" w14:textId="77777777" w:rsidR="002866AB" w:rsidRPr="00376AB9" w:rsidRDefault="002866AB" w:rsidP="00891778">
      <w:pPr>
        <w:spacing w:line="360" w:lineRule="auto"/>
        <w:jc w:val="both"/>
      </w:pPr>
    </w:p>
    <w:p w14:paraId="13D53A36" w14:textId="77777777" w:rsidR="002866AB" w:rsidRPr="00376AB9" w:rsidRDefault="002866AB" w:rsidP="00891778">
      <w:pPr>
        <w:spacing w:line="360" w:lineRule="auto"/>
        <w:jc w:val="both"/>
      </w:pPr>
    </w:p>
    <w:p w14:paraId="7626ECFA" w14:textId="77777777" w:rsidR="002866AB" w:rsidRPr="00376AB9" w:rsidRDefault="002866AB" w:rsidP="00891778">
      <w:pPr>
        <w:spacing w:line="360" w:lineRule="auto"/>
        <w:jc w:val="both"/>
      </w:pPr>
    </w:p>
    <w:p w14:paraId="4E5E17F9" w14:textId="77777777" w:rsidR="002866AB" w:rsidRPr="00376AB9" w:rsidRDefault="00000000" w:rsidP="00891778">
      <w:pPr>
        <w:spacing w:after="200" w:line="360" w:lineRule="auto"/>
        <w:jc w:val="center"/>
      </w:pPr>
      <w:r w:rsidRPr="00376AB9">
        <w:rPr>
          <w:b/>
          <w:bCs/>
        </w:rPr>
        <w:t>BA (Hons) Leadership and Management Skills for the Workplace</w:t>
      </w:r>
    </w:p>
    <w:p w14:paraId="0ACA8DB1" w14:textId="77777777" w:rsidR="002866AB" w:rsidRPr="00376AB9" w:rsidRDefault="00000000" w:rsidP="00891778">
      <w:pPr>
        <w:spacing w:after="200" w:line="360" w:lineRule="auto"/>
        <w:jc w:val="center"/>
      </w:pPr>
      <w:r w:rsidRPr="00376AB9">
        <w:t>Module: Developing and Managing Individuals and Teams (LCLM5002)</w:t>
      </w:r>
    </w:p>
    <w:p w14:paraId="17AA77CD" w14:textId="77777777" w:rsidR="002866AB" w:rsidRPr="00376AB9" w:rsidRDefault="002866AB" w:rsidP="00891778">
      <w:pPr>
        <w:spacing w:line="360" w:lineRule="auto"/>
        <w:jc w:val="center"/>
      </w:pPr>
    </w:p>
    <w:p w14:paraId="01C2A54E" w14:textId="77777777" w:rsidR="002866AB" w:rsidRPr="00376AB9" w:rsidRDefault="002866AB" w:rsidP="00891778">
      <w:pPr>
        <w:spacing w:line="360" w:lineRule="auto"/>
        <w:jc w:val="center"/>
      </w:pPr>
    </w:p>
    <w:p w14:paraId="234C4CCC" w14:textId="77777777" w:rsidR="002866AB" w:rsidRPr="00376AB9" w:rsidRDefault="00000000" w:rsidP="00891778">
      <w:pPr>
        <w:pBdr>
          <w:bottom w:val="single" w:sz="6" w:space="4" w:color="2E75B6"/>
        </w:pBdr>
        <w:spacing w:after="200" w:line="360" w:lineRule="auto"/>
        <w:jc w:val="center"/>
      </w:pPr>
      <w:r w:rsidRPr="00376AB9">
        <w:rPr>
          <w:b/>
          <w:bCs/>
          <w:sz w:val="36"/>
          <w:szCs w:val="36"/>
        </w:rPr>
        <w:t>Component 2 – Individual Report</w:t>
      </w:r>
    </w:p>
    <w:p w14:paraId="412AEF13" w14:textId="77777777" w:rsidR="002866AB" w:rsidRPr="00376AB9" w:rsidRDefault="00000000" w:rsidP="00891778">
      <w:pPr>
        <w:spacing w:before="200" w:after="80" w:line="360" w:lineRule="auto"/>
        <w:jc w:val="center"/>
      </w:pPr>
      <w:r w:rsidRPr="00376AB9">
        <w:rPr>
          <w:b/>
          <w:bCs/>
          <w:sz w:val="28"/>
          <w:szCs w:val="28"/>
        </w:rPr>
        <w:t>Human Resource Management Challenges at Tesco PLC:</w:t>
      </w:r>
    </w:p>
    <w:p w14:paraId="272288E4" w14:textId="77777777" w:rsidR="002866AB" w:rsidRPr="00376AB9" w:rsidRDefault="00000000" w:rsidP="00891778">
      <w:pPr>
        <w:spacing w:after="400" w:line="360" w:lineRule="auto"/>
        <w:jc w:val="center"/>
      </w:pPr>
      <w:r w:rsidRPr="00376AB9">
        <w:rPr>
          <w:b/>
          <w:bCs/>
          <w:sz w:val="28"/>
          <w:szCs w:val="28"/>
        </w:rPr>
        <w:t>Technology, Talent and Diversity</w:t>
      </w:r>
    </w:p>
    <w:p w14:paraId="72EA5643" w14:textId="77777777" w:rsidR="002866AB" w:rsidRPr="00376AB9" w:rsidRDefault="002866AB" w:rsidP="00891778">
      <w:pPr>
        <w:spacing w:line="360" w:lineRule="auto"/>
        <w:jc w:val="center"/>
      </w:pPr>
    </w:p>
    <w:p w14:paraId="22FC3477" w14:textId="77777777" w:rsidR="002866AB" w:rsidRPr="00376AB9" w:rsidRDefault="002866AB" w:rsidP="00891778">
      <w:pPr>
        <w:spacing w:line="360" w:lineRule="auto"/>
        <w:jc w:val="center"/>
      </w:pPr>
    </w:p>
    <w:p w14:paraId="407570E7" w14:textId="77777777" w:rsidR="002866AB" w:rsidRPr="00376AB9" w:rsidRDefault="002866AB" w:rsidP="00891778">
      <w:pPr>
        <w:spacing w:line="360" w:lineRule="auto"/>
        <w:jc w:val="both"/>
      </w:pPr>
    </w:p>
    <w:tbl>
      <w:tblPr>
        <w:tblW w:w="10175"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4070"/>
        <w:gridCol w:w="6105"/>
      </w:tblGrid>
      <w:tr w:rsidR="00376AB9" w:rsidRPr="00B93E94" w14:paraId="23464E91" w14:textId="77777777" w:rsidTr="0005777F">
        <w:trPr>
          <w:trHeight w:val="304"/>
          <w:jc w:val="center"/>
        </w:trPr>
        <w:tc>
          <w:tcPr>
            <w:tcW w:w="4070" w:type="dxa"/>
            <w:tcBorders>
              <w:top w:val="single" w:sz="1" w:space="0" w:color="AAAAAA"/>
              <w:left w:val="single" w:sz="1" w:space="0" w:color="AAAAAA"/>
              <w:bottom w:val="single" w:sz="1" w:space="0" w:color="AAAAAA"/>
              <w:right w:val="single" w:sz="1" w:space="0" w:color="AAAAAA"/>
            </w:tcBorders>
            <w:shd w:val="clear" w:color="auto" w:fill="DEEAF1"/>
            <w:tcMar>
              <w:top w:w="80" w:type="dxa"/>
              <w:left w:w="120" w:type="dxa"/>
              <w:bottom w:w="80" w:type="dxa"/>
              <w:right w:w="120" w:type="dxa"/>
            </w:tcMar>
          </w:tcPr>
          <w:p w14:paraId="7479262E" w14:textId="77777777" w:rsidR="002866AB" w:rsidRPr="00376AB9" w:rsidRDefault="00000000" w:rsidP="00891778">
            <w:pPr>
              <w:spacing w:line="360" w:lineRule="auto"/>
              <w:jc w:val="both"/>
            </w:pPr>
            <w:r w:rsidRPr="00376AB9">
              <w:rPr>
                <w:b/>
                <w:bCs/>
              </w:rPr>
              <w:t>Student Name:</w:t>
            </w:r>
          </w:p>
        </w:tc>
        <w:tc>
          <w:tcPr>
            <w:tcW w:w="6105"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66BAB1DD" w14:textId="4328C4F5" w:rsidR="002866AB" w:rsidRPr="00B93E94" w:rsidRDefault="00B93E94" w:rsidP="00891778">
            <w:pPr>
              <w:spacing w:line="360" w:lineRule="auto"/>
              <w:jc w:val="both"/>
              <w:rPr>
                <w:lang w:val="pt-PT"/>
              </w:rPr>
            </w:pPr>
            <w:r w:rsidRPr="00B93E94">
              <w:rPr>
                <w:lang w:val="pt-PT"/>
              </w:rPr>
              <w:t>Joaquim Marcos De Sousa F</w:t>
            </w:r>
            <w:r>
              <w:rPr>
                <w:lang w:val="pt-PT"/>
              </w:rPr>
              <w:t>reire</w:t>
            </w:r>
          </w:p>
        </w:tc>
      </w:tr>
      <w:tr w:rsidR="00376AB9" w:rsidRPr="00376AB9" w14:paraId="057D0EC7" w14:textId="77777777" w:rsidTr="0005777F">
        <w:trPr>
          <w:trHeight w:val="287"/>
          <w:jc w:val="center"/>
        </w:trPr>
        <w:tc>
          <w:tcPr>
            <w:tcW w:w="4070" w:type="dxa"/>
            <w:tcBorders>
              <w:top w:val="single" w:sz="1" w:space="0" w:color="AAAAAA"/>
              <w:left w:val="single" w:sz="1" w:space="0" w:color="AAAAAA"/>
              <w:bottom w:val="single" w:sz="1" w:space="0" w:color="AAAAAA"/>
              <w:right w:val="single" w:sz="1" w:space="0" w:color="AAAAAA"/>
            </w:tcBorders>
            <w:shd w:val="clear" w:color="auto" w:fill="DEEAF1"/>
            <w:tcMar>
              <w:top w:w="80" w:type="dxa"/>
              <w:left w:w="120" w:type="dxa"/>
              <w:bottom w:w="80" w:type="dxa"/>
              <w:right w:w="120" w:type="dxa"/>
            </w:tcMar>
          </w:tcPr>
          <w:p w14:paraId="5B40DE00" w14:textId="77777777" w:rsidR="002866AB" w:rsidRPr="00376AB9" w:rsidRDefault="00000000" w:rsidP="00891778">
            <w:pPr>
              <w:spacing w:line="360" w:lineRule="auto"/>
              <w:jc w:val="both"/>
            </w:pPr>
            <w:r w:rsidRPr="00376AB9">
              <w:rPr>
                <w:b/>
                <w:bCs/>
              </w:rPr>
              <w:t>Student Number:</w:t>
            </w:r>
          </w:p>
        </w:tc>
        <w:tc>
          <w:tcPr>
            <w:tcW w:w="6105"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62919138" w14:textId="4E447052" w:rsidR="002866AB" w:rsidRPr="00376AB9" w:rsidRDefault="00B93E94" w:rsidP="00891778">
            <w:pPr>
              <w:spacing w:line="360" w:lineRule="auto"/>
              <w:jc w:val="both"/>
            </w:pPr>
            <w:r>
              <w:t>2415568</w:t>
            </w:r>
          </w:p>
        </w:tc>
      </w:tr>
      <w:tr w:rsidR="00376AB9" w:rsidRPr="00376AB9" w14:paraId="33B05BD5" w14:textId="77777777" w:rsidTr="0005777F">
        <w:trPr>
          <w:trHeight w:val="304"/>
          <w:jc w:val="center"/>
        </w:trPr>
        <w:tc>
          <w:tcPr>
            <w:tcW w:w="4070" w:type="dxa"/>
            <w:tcBorders>
              <w:top w:val="single" w:sz="1" w:space="0" w:color="AAAAAA"/>
              <w:left w:val="single" w:sz="1" w:space="0" w:color="AAAAAA"/>
              <w:bottom w:val="single" w:sz="1" w:space="0" w:color="AAAAAA"/>
              <w:right w:val="single" w:sz="1" w:space="0" w:color="AAAAAA"/>
            </w:tcBorders>
            <w:shd w:val="clear" w:color="auto" w:fill="DEEAF1"/>
            <w:tcMar>
              <w:top w:w="80" w:type="dxa"/>
              <w:left w:w="120" w:type="dxa"/>
              <w:bottom w:w="80" w:type="dxa"/>
              <w:right w:w="120" w:type="dxa"/>
            </w:tcMar>
          </w:tcPr>
          <w:p w14:paraId="29AC9E51" w14:textId="77777777" w:rsidR="002866AB" w:rsidRPr="00376AB9" w:rsidRDefault="00000000" w:rsidP="00891778">
            <w:pPr>
              <w:spacing w:line="360" w:lineRule="auto"/>
              <w:jc w:val="both"/>
            </w:pPr>
            <w:r w:rsidRPr="00376AB9">
              <w:rPr>
                <w:b/>
                <w:bCs/>
              </w:rPr>
              <w:t>Module Code:</w:t>
            </w:r>
          </w:p>
        </w:tc>
        <w:tc>
          <w:tcPr>
            <w:tcW w:w="6105"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5E4261D7" w14:textId="77777777" w:rsidR="002866AB" w:rsidRPr="00376AB9" w:rsidRDefault="00000000" w:rsidP="00891778">
            <w:pPr>
              <w:spacing w:line="360" w:lineRule="auto"/>
              <w:jc w:val="both"/>
            </w:pPr>
            <w:r w:rsidRPr="00376AB9">
              <w:t>LCLM5002</w:t>
            </w:r>
          </w:p>
        </w:tc>
      </w:tr>
      <w:tr w:rsidR="00376AB9" w:rsidRPr="00376AB9" w14:paraId="3707B934" w14:textId="77777777" w:rsidTr="0005777F">
        <w:trPr>
          <w:trHeight w:val="592"/>
          <w:jc w:val="center"/>
        </w:trPr>
        <w:tc>
          <w:tcPr>
            <w:tcW w:w="4070" w:type="dxa"/>
            <w:tcBorders>
              <w:top w:val="single" w:sz="1" w:space="0" w:color="AAAAAA"/>
              <w:left w:val="single" w:sz="1" w:space="0" w:color="AAAAAA"/>
              <w:bottom w:val="single" w:sz="1" w:space="0" w:color="AAAAAA"/>
              <w:right w:val="single" w:sz="1" w:space="0" w:color="AAAAAA"/>
            </w:tcBorders>
            <w:shd w:val="clear" w:color="auto" w:fill="DEEAF1"/>
            <w:tcMar>
              <w:top w:w="80" w:type="dxa"/>
              <w:left w:w="120" w:type="dxa"/>
              <w:bottom w:w="80" w:type="dxa"/>
              <w:right w:w="120" w:type="dxa"/>
            </w:tcMar>
          </w:tcPr>
          <w:p w14:paraId="0FBFD558" w14:textId="77777777" w:rsidR="002866AB" w:rsidRPr="00376AB9" w:rsidRDefault="00000000" w:rsidP="00891778">
            <w:pPr>
              <w:spacing w:line="360" w:lineRule="auto"/>
              <w:jc w:val="both"/>
            </w:pPr>
            <w:r w:rsidRPr="00376AB9">
              <w:rPr>
                <w:b/>
                <w:bCs/>
              </w:rPr>
              <w:t>Module Title:</w:t>
            </w:r>
          </w:p>
        </w:tc>
        <w:tc>
          <w:tcPr>
            <w:tcW w:w="6105"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4D685813" w14:textId="77777777" w:rsidR="002866AB" w:rsidRPr="00376AB9" w:rsidRDefault="00000000" w:rsidP="00891778">
            <w:pPr>
              <w:spacing w:line="360" w:lineRule="auto"/>
              <w:jc w:val="both"/>
            </w:pPr>
            <w:r w:rsidRPr="00376AB9">
              <w:t>Developing and Managing Individuals and Teams</w:t>
            </w:r>
          </w:p>
        </w:tc>
      </w:tr>
      <w:tr w:rsidR="00376AB9" w:rsidRPr="00B93E94" w14:paraId="05DA7873" w14:textId="77777777" w:rsidTr="0005777F">
        <w:trPr>
          <w:trHeight w:val="575"/>
          <w:jc w:val="center"/>
        </w:trPr>
        <w:tc>
          <w:tcPr>
            <w:tcW w:w="4070" w:type="dxa"/>
            <w:tcBorders>
              <w:top w:val="single" w:sz="1" w:space="0" w:color="AAAAAA"/>
              <w:left w:val="single" w:sz="1" w:space="0" w:color="AAAAAA"/>
              <w:bottom w:val="single" w:sz="1" w:space="0" w:color="AAAAAA"/>
              <w:right w:val="single" w:sz="1" w:space="0" w:color="AAAAAA"/>
            </w:tcBorders>
            <w:shd w:val="clear" w:color="auto" w:fill="DEEAF1"/>
            <w:tcMar>
              <w:top w:w="80" w:type="dxa"/>
              <w:left w:w="120" w:type="dxa"/>
              <w:bottom w:w="80" w:type="dxa"/>
              <w:right w:w="120" w:type="dxa"/>
            </w:tcMar>
          </w:tcPr>
          <w:p w14:paraId="3E58D3BC" w14:textId="77777777" w:rsidR="002866AB" w:rsidRPr="00376AB9" w:rsidRDefault="00000000" w:rsidP="00891778">
            <w:pPr>
              <w:spacing w:line="360" w:lineRule="auto"/>
              <w:jc w:val="both"/>
            </w:pPr>
            <w:r w:rsidRPr="00376AB9">
              <w:rPr>
                <w:b/>
                <w:bCs/>
              </w:rPr>
              <w:t>Lecturer's Name:</w:t>
            </w:r>
          </w:p>
        </w:tc>
        <w:tc>
          <w:tcPr>
            <w:tcW w:w="6105"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70BFB6F3" w14:textId="77777777" w:rsidR="002866AB" w:rsidRPr="00B93E94" w:rsidRDefault="00000000" w:rsidP="00891778">
            <w:pPr>
              <w:spacing w:line="360" w:lineRule="auto"/>
              <w:jc w:val="both"/>
              <w:rPr>
                <w:lang w:val="pt-PT"/>
              </w:rPr>
            </w:pPr>
            <w:r w:rsidRPr="00B93E94">
              <w:rPr>
                <w:lang w:val="pt-PT"/>
              </w:rPr>
              <w:t>Doreen Nyaa Amundam / Nishi Ramsurrun</w:t>
            </w:r>
          </w:p>
        </w:tc>
      </w:tr>
      <w:tr w:rsidR="00376AB9" w:rsidRPr="00376AB9" w14:paraId="1BEE5C81" w14:textId="77777777" w:rsidTr="0005777F">
        <w:trPr>
          <w:trHeight w:val="304"/>
          <w:jc w:val="center"/>
        </w:trPr>
        <w:tc>
          <w:tcPr>
            <w:tcW w:w="4070" w:type="dxa"/>
            <w:tcBorders>
              <w:top w:val="single" w:sz="1" w:space="0" w:color="AAAAAA"/>
              <w:left w:val="single" w:sz="1" w:space="0" w:color="AAAAAA"/>
              <w:bottom w:val="single" w:sz="1" w:space="0" w:color="AAAAAA"/>
              <w:right w:val="single" w:sz="1" w:space="0" w:color="AAAAAA"/>
            </w:tcBorders>
            <w:shd w:val="clear" w:color="auto" w:fill="DEEAF1"/>
            <w:tcMar>
              <w:top w:w="80" w:type="dxa"/>
              <w:left w:w="120" w:type="dxa"/>
              <w:bottom w:w="80" w:type="dxa"/>
              <w:right w:w="120" w:type="dxa"/>
            </w:tcMar>
          </w:tcPr>
          <w:p w14:paraId="294B841C" w14:textId="77777777" w:rsidR="002866AB" w:rsidRPr="00376AB9" w:rsidRDefault="00000000" w:rsidP="00891778">
            <w:pPr>
              <w:spacing w:line="360" w:lineRule="auto"/>
              <w:jc w:val="both"/>
            </w:pPr>
            <w:r w:rsidRPr="00376AB9">
              <w:rPr>
                <w:b/>
                <w:bCs/>
              </w:rPr>
              <w:t>Assignment Title:</w:t>
            </w:r>
          </w:p>
        </w:tc>
        <w:tc>
          <w:tcPr>
            <w:tcW w:w="6105"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5117DFB7" w14:textId="387EF5EF" w:rsidR="002866AB" w:rsidRPr="00376AB9" w:rsidRDefault="00000000" w:rsidP="00891778">
            <w:pPr>
              <w:spacing w:line="360" w:lineRule="auto"/>
              <w:jc w:val="both"/>
            </w:pPr>
            <w:r w:rsidRPr="00376AB9">
              <w:t xml:space="preserve">Component 2 </w:t>
            </w:r>
            <w:r w:rsidR="00891778">
              <w:t>-</w:t>
            </w:r>
            <w:r w:rsidRPr="00376AB9">
              <w:t xml:space="preserve"> Individual Report</w:t>
            </w:r>
          </w:p>
        </w:tc>
      </w:tr>
      <w:tr w:rsidR="00376AB9" w:rsidRPr="00376AB9" w14:paraId="1E02EE1D" w14:textId="77777777" w:rsidTr="0005777F">
        <w:trPr>
          <w:trHeight w:val="287"/>
          <w:jc w:val="center"/>
        </w:trPr>
        <w:tc>
          <w:tcPr>
            <w:tcW w:w="4070" w:type="dxa"/>
            <w:tcBorders>
              <w:top w:val="single" w:sz="1" w:space="0" w:color="AAAAAA"/>
              <w:left w:val="single" w:sz="1" w:space="0" w:color="AAAAAA"/>
              <w:bottom w:val="single" w:sz="1" w:space="0" w:color="AAAAAA"/>
              <w:right w:val="single" w:sz="1" w:space="0" w:color="AAAAAA"/>
            </w:tcBorders>
            <w:shd w:val="clear" w:color="auto" w:fill="DEEAF1"/>
            <w:tcMar>
              <w:top w:w="80" w:type="dxa"/>
              <w:left w:w="120" w:type="dxa"/>
              <w:bottom w:w="80" w:type="dxa"/>
              <w:right w:w="120" w:type="dxa"/>
            </w:tcMar>
          </w:tcPr>
          <w:p w14:paraId="225F7F5B" w14:textId="77777777" w:rsidR="002866AB" w:rsidRPr="00376AB9" w:rsidRDefault="00000000" w:rsidP="00891778">
            <w:pPr>
              <w:spacing w:line="360" w:lineRule="auto"/>
              <w:jc w:val="both"/>
            </w:pPr>
            <w:r w:rsidRPr="00376AB9">
              <w:rPr>
                <w:b/>
                <w:bCs/>
              </w:rPr>
              <w:t>Word Count:</w:t>
            </w:r>
          </w:p>
        </w:tc>
        <w:tc>
          <w:tcPr>
            <w:tcW w:w="6105"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44A58C44" w14:textId="6333D07E" w:rsidR="002866AB" w:rsidRPr="00376AB9" w:rsidRDefault="00E732A8" w:rsidP="00891778">
            <w:pPr>
              <w:spacing w:line="360" w:lineRule="auto"/>
              <w:jc w:val="both"/>
            </w:pPr>
            <w:r>
              <w:t>2194</w:t>
            </w:r>
          </w:p>
        </w:tc>
      </w:tr>
      <w:tr w:rsidR="00376AB9" w:rsidRPr="00376AB9" w14:paraId="0604F8F3" w14:textId="77777777" w:rsidTr="0005777F">
        <w:trPr>
          <w:trHeight w:val="304"/>
          <w:jc w:val="center"/>
        </w:trPr>
        <w:tc>
          <w:tcPr>
            <w:tcW w:w="4070" w:type="dxa"/>
            <w:tcBorders>
              <w:top w:val="single" w:sz="1" w:space="0" w:color="AAAAAA"/>
              <w:left w:val="single" w:sz="1" w:space="0" w:color="AAAAAA"/>
              <w:bottom w:val="single" w:sz="1" w:space="0" w:color="AAAAAA"/>
              <w:right w:val="single" w:sz="1" w:space="0" w:color="AAAAAA"/>
            </w:tcBorders>
            <w:shd w:val="clear" w:color="auto" w:fill="DEEAF1"/>
            <w:tcMar>
              <w:top w:w="80" w:type="dxa"/>
              <w:left w:w="120" w:type="dxa"/>
              <w:bottom w:w="80" w:type="dxa"/>
              <w:right w:w="120" w:type="dxa"/>
            </w:tcMar>
          </w:tcPr>
          <w:p w14:paraId="7175871A" w14:textId="77777777" w:rsidR="002866AB" w:rsidRPr="00376AB9" w:rsidRDefault="00000000" w:rsidP="00891778">
            <w:pPr>
              <w:spacing w:line="360" w:lineRule="auto"/>
              <w:jc w:val="both"/>
            </w:pPr>
            <w:r w:rsidRPr="00376AB9">
              <w:rPr>
                <w:b/>
                <w:bCs/>
              </w:rPr>
              <w:t>Submission Deadline:</w:t>
            </w:r>
          </w:p>
        </w:tc>
        <w:tc>
          <w:tcPr>
            <w:tcW w:w="6105"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44CCF5F8" w14:textId="16F2C6AF" w:rsidR="002866AB" w:rsidRPr="00376AB9" w:rsidRDefault="00000000" w:rsidP="00891778">
            <w:pPr>
              <w:spacing w:line="360" w:lineRule="auto"/>
              <w:jc w:val="both"/>
            </w:pPr>
            <w:r w:rsidRPr="00376AB9">
              <w:t xml:space="preserve">01 May 2026 </w:t>
            </w:r>
            <w:r w:rsidR="00891778">
              <w:t>-</w:t>
            </w:r>
            <w:r w:rsidRPr="00376AB9">
              <w:t xml:space="preserve"> 2:00 pm</w:t>
            </w:r>
          </w:p>
        </w:tc>
      </w:tr>
    </w:tbl>
    <w:p w14:paraId="3742EE17" w14:textId="77777777" w:rsidR="00287B7C" w:rsidRDefault="00287B7C" w:rsidP="00891778">
      <w:pPr>
        <w:spacing w:line="360" w:lineRule="auto"/>
        <w:jc w:val="both"/>
      </w:pPr>
    </w:p>
    <w:p w14:paraId="38B07F2D" w14:textId="77777777" w:rsidR="00287B7C" w:rsidRDefault="00287B7C" w:rsidP="00891778">
      <w:pPr>
        <w:spacing w:line="360" w:lineRule="auto"/>
      </w:pPr>
      <w:r>
        <w:br w:type="page"/>
      </w:r>
    </w:p>
    <w:sdt>
      <w:sdtPr>
        <w:rPr>
          <w:rFonts w:ascii="Arial" w:eastAsia="Arial" w:hAnsi="Arial" w:cs="Arial"/>
          <w:color w:val="auto"/>
          <w:sz w:val="22"/>
          <w:szCs w:val="22"/>
        </w:rPr>
        <w:id w:val="-1051762087"/>
        <w:docPartObj>
          <w:docPartGallery w:val="Table of Contents"/>
          <w:docPartUnique/>
        </w:docPartObj>
      </w:sdtPr>
      <w:sdtEndPr>
        <w:rPr>
          <w:b/>
          <w:bCs/>
        </w:rPr>
      </w:sdtEndPr>
      <w:sdtContent>
        <w:p w14:paraId="79B1CA28" w14:textId="201F3F39" w:rsidR="00287B7C" w:rsidRPr="00287B7C" w:rsidRDefault="00287B7C" w:rsidP="00891778">
          <w:pPr>
            <w:pStyle w:val="TOCHeading"/>
            <w:spacing w:line="360" w:lineRule="auto"/>
            <w:jc w:val="center"/>
            <w:rPr>
              <w:rFonts w:ascii="Arial" w:hAnsi="Arial" w:cs="Arial"/>
              <w:b/>
              <w:bCs/>
              <w:color w:val="auto"/>
              <w:sz w:val="24"/>
              <w:szCs w:val="24"/>
            </w:rPr>
          </w:pPr>
          <w:r w:rsidRPr="00287B7C">
            <w:rPr>
              <w:rFonts w:ascii="Arial" w:hAnsi="Arial" w:cs="Arial"/>
              <w:b/>
              <w:bCs/>
              <w:color w:val="auto"/>
              <w:sz w:val="24"/>
              <w:szCs w:val="24"/>
            </w:rPr>
            <w:t>Table of Contents</w:t>
          </w:r>
        </w:p>
        <w:p w14:paraId="6B4CB6D5" w14:textId="464B1D84" w:rsidR="00287B7C" w:rsidRDefault="00287B7C" w:rsidP="00891778">
          <w:pPr>
            <w:pStyle w:val="TOC1"/>
            <w:tabs>
              <w:tab w:val="right" w:leader="dot" w:pos="9016"/>
            </w:tabs>
            <w:spacing w:line="360" w:lineRule="auto"/>
            <w:rPr>
              <w:noProof/>
            </w:rPr>
          </w:pPr>
          <w:r>
            <w:fldChar w:fldCharType="begin"/>
          </w:r>
          <w:r>
            <w:instrText xml:space="preserve"> TOC \o "1-3" \h \z \u </w:instrText>
          </w:r>
          <w:r>
            <w:fldChar w:fldCharType="separate"/>
          </w:r>
          <w:hyperlink w:anchor="_Toc224314952" w:history="1">
            <w:r w:rsidRPr="00421BF2">
              <w:rPr>
                <w:rStyle w:val="Hyperlink"/>
                <w:noProof/>
              </w:rPr>
              <w:t>1.0 Introduction</w:t>
            </w:r>
            <w:r>
              <w:rPr>
                <w:noProof/>
                <w:webHidden/>
              </w:rPr>
              <w:tab/>
            </w:r>
            <w:r>
              <w:rPr>
                <w:noProof/>
                <w:webHidden/>
              </w:rPr>
              <w:fldChar w:fldCharType="begin"/>
            </w:r>
            <w:r>
              <w:rPr>
                <w:noProof/>
                <w:webHidden/>
              </w:rPr>
              <w:instrText xml:space="preserve"> PAGEREF _Toc224314952 \h </w:instrText>
            </w:r>
            <w:r>
              <w:rPr>
                <w:noProof/>
                <w:webHidden/>
              </w:rPr>
            </w:r>
            <w:r>
              <w:rPr>
                <w:noProof/>
                <w:webHidden/>
              </w:rPr>
              <w:fldChar w:fldCharType="separate"/>
            </w:r>
            <w:r>
              <w:rPr>
                <w:noProof/>
                <w:webHidden/>
              </w:rPr>
              <w:t>3</w:t>
            </w:r>
            <w:r>
              <w:rPr>
                <w:noProof/>
                <w:webHidden/>
              </w:rPr>
              <w:fldChar w:fldCharType="end"/>
            </w:r>
          </w:hyperlink>
        </w:p>
        <w:p w14:paraId="790EEC0E" w14:textId="1642FFF0" w:rsidR="00287B7C" w:rsidRDefault="00287B7C" w:rsidP="00891778">
          <w:pPr>
            <w:pStyle w:val="TOC1"/>
            <w:tabs>
              <w:tab w:val="right" w:leader="dot" w:pos="9016"/>
            </w:tabs>
            <w:spacing w:line="360" w:lineRule="auto"/>
            <w:rPr>
              <w:noProof/>
            </w:rPr>
          </w:pPr>
          <w:hyperlink w:anchor="_Toc224314953" w:history="1">
            <w:r w:rsidRPr="00421BF2">
              <w:rPr>
                <w:rStyle w:val="Hyperlink"/>
                <w:noProof/>
              </w:rPr>
              <w:t>2.0 HR Challenges at Tesco PLC</w:t>
            </w:r>
            <w:r>
              <w:rPr>
                <w:noProof/>
                <w:webHidden/>
              </w:rPr>
              <w:tab/>
            </w:r>
            <w:r>
              <w:rPr>
                <w:noProof/>
                <w:webHidden/>
              </w:rPr>
              <w:fldChar w:fldCharType="begin"/>
            </w:r>
            <w:r>
              <w:rPr>
                <w:noProof/>
                <w:webHidden/>
              </w:rPr>
              <w:instrText xml:space="preserve"> PAGEREF _Toc224314953 \h </w:instrText>
            </w:r>
            <w:r>
              <w:rPr>
                <w:noProof/>
                <w:webHidden/>
              </w:rPr>
            </w:r>
            <w:r>
              <w:rPr>
                <w:noProof/>
                <w:webHidden/>
              </w:rPr>
              <w:fldChar w:fldCharType="separate"/>
            </w:r>
            <w:r>
              <w:rPr>
                <w:noProof/>
                <w:webHidden/>
              </w:rPr>
              <w:t>3</w:t>
            </w:r>
            <w:r>
              <w:rPr>
                <w:noProof/>
                <w:webHidden/>
              </w:rPr>
              <w:fldChar w:fldCharType="end"/>
            </w:r>
          </w:hyperlink>
        </w:p>
        <w:p w14:paraId="4C82DDD4" w14:textId="695468C0" w:rsidR="00287B7C" w:rsidRDefault="00287B7C" w:rsidP="00891778">
          <w:pPr>
            <w:pStyle w:val="TOC2"/>
            <w:tabs>
              <w:tab w:val="right" w:leader="dot" w:pos="9016"/>
            </w:tabs>
            <w:spacing w:line="360" w:lineRule="auto"/>
            <w:rPr>
              <w:noProof/>
            </w:rPr>
          </w:pPr>
          <w:hyperlink w:anchor="_Toc224314954" w:history="1">
            <w:r w:rsidRPr="00421BF2">
              <w:rPr>
                <w:rStyle w:val="Hyperlink"/>
                <w:noProof/>
              </w:rPr>
              <w:t>2.1 Meeting Technological Advancement</w:t>
            </w:r>
            <w:r>
              <w:rPr>
                <w:noProof/>
                <w:webHidden/>
              </w:rPr>
              <w:tab/>
            </w:r>
            <w:r>
              <w:rPr>
                <w:noProof/>
                <w:webHidden/>
              </w:rPr>
              <w:fldChar w:fldCharType="begin"/>
            </w:r>
            <w:r>
              <w:rPr>
                <w:noProof/>
                <w:webHidden/>
              </w:rPr>
              <w:instrText xml:space="preserve"> PAGEREF _Toc224314954 \h </w:instrText>
            </w:r>
            <w:r>
              <w:rPr>
                <w:noProof/>
                <w:webHidden/>
              </w:rPr>
            </w:r>
            <w:r>
              <w:rPr>
                <w:noProof/>
                <w:webHidden/>
              </w:rPr>
              <w:fldChar w:fldCharType="separate"/>
            </w:r>
            <w:r>
              <w:rPr>
                <w:noProof/>
                <w:webHidden/>
              </w:rPr>
              <w:t>3</w:t>
            </w:r>
            <w:r>
              <w:rPr>
                <w:noProof/>
                <w:webHidden/>
              </w:rPr>
              <w:fldChar w:fldCharType="end"/>
            </w:r>
          </w:hyperlink>
        </w:p>
        <w:p w14:paraId="5384FAE3" w14:textId="48A99B50" w:rsidR="00287B7C" w:rsidRDefault="00287B7C" w:rsidP="00891778">
          <w:pPr>
            <w:pStyle w:val="TOC2"/>
            <w:tabs>
              <w:tab w:val="right" w:leader="dot" w:pos="9016"/>
            </w:tabs>
            <w:spacing w:line="360" w:lineRule="auto"/>
            <w:rPr>
              <w:noProof/>
            </w:rPr>
          </w:pPr>
          <w:hyperlink w:anchor="_Toc224314955" w:history="1">
            <w:r w:rsidRPr="00421BF2">
              <w:rPr>
                <w:rStyle w:val="Hyperlink"/>
                <w:noProof/>
              </w:rPr>
              <w:t>2.2 Talent Acquisition and Retention</w:t>
            </w:r>
            <w:r>
              <w:rPr>
                <w:noProof/>
                <w:webHidden/>
              </w:rPr>
              <w:tab/>
            </w:r>
            <w:r>
              <w:rPr>
                <w:noProof/>
                <w:webHidden/>
              </w:rPr>
              <w:fldChar w:fldCharType="begin"/>
            </w:r>
            <w:r>
              <w:rPr>
                <w:noProof/>
                <w:webHidden/>
              </w:rPr>
              <w:instrText xml:space="preserve"> PAGEREF _Toc224314955 \h </w:instrText>
            </w:r>
            <w:r>
              <w:rPr>
                <w:noProof/>
                <w:webHidden/>
              </w:rPr>
            </w:r>
            <w:r>
              <w:rPr>
                <w:noProof/>
                <w:webHidden/>
              </w:rPr>
              <w:fldChar w:fldCharType="separate"/>
            </w:r>
            <w:r>
              <w:rPr>
                <w:noProof/>
                <w:webHidden/>
              </w:rPr>
              <w:t>3</w:t>
            </w:r>
            <w:r>
              <w:rPr>
                <w:noProof/>
                <w:webHidden/>
              </w:rPr>
              <w:fldChar w:fldCharType="end"/>
            </w:r>
          </w:hyperlink>
        </w:p>
        <w:p w14:paraId="2F99AD62" w14:textId="0C81A15F" w:rsidR="00287B7C" w:rsidRDefault="00287B7C" w:rsidP="00891778">
          <w:pPr>
            <w:pStyle w:val="TOC2"/>
            <w:tabs>
              <w:tab w:val="right" w:leader="dot" w:pos="9016"/>
            </w:tabs>
            <w:spacing w:line="360" w:lineRule="auto"/>
            <w:rPr>
              <w:noProof/>
            </w:rPr>
          </w:pPr>
          <w:hyperlink w:anchor="_Toc224314956" w:history="1">
            <w:r w:rsidRPr="00421BF2">
              <w:rPr>
                <w:rStyle w:val="Hyperlink"/>
                <w:noProof/>
              </w:rPr>
              <w:t>2.3  Diversity, Equity and Inclusion (DEI)</w:t>
            </w:r>
            <w:r>
              <w:rPr>
                <w:noProof/>
                <w:webHidden/>
              </w:rPr>
              <w:tab/>
            </w:r>
            <w:r>
              <w:rPr>
                <w:noProof/>
                <w:webHidden/>
              </w:rPr>
              <w:fldChar w:fldCharType="begin"/>
            </w:r>
            <w:r>
              <w:rPr>
                <w:noProof/>
                <w:webHidden/>
              </w:rPr>
              <w:instrText xml:space="preserve"> PAGEREF _Toc224314956 \h </w:instrText>
            </w:r>
            <w:r>
              <w:rPr>
                <w:noProof/>
                <w:webHidden/>
              </w:rPr>
            </w:r>
            <w:r>
              <w:rPr>
                <w:noProof/>
                <w:webHidden/>
              </w:rPr>
              <w:fldChar w:fldCharType="separate"/>
            </w:r>
            <w:r>
              <w:rPr>
                <w:noProof/>
                <w:webHidden/>
              </w:rPr>
              <w:t>4</w:t>
            </w:r>
            <w:r>
              <w:rPr>
                <w:noProof/>
                <w:webHidden/>
              </w:rPr>
              <w:fldChar w:fldCharType="end"/>
            </w:r>
          </w:hyperlink>
        </w:p>
        <w:p w14:paraId="359D570D" w14:textId="15FD8FE6" w:rsidR="00287B7C" w:rsidRDefault="00287B7C" w:rsidP="00891778">
          <w:pPr>
            <w:pStyle w:val="TOC1"/>
            <w:tabs>
              <w:tab w:val="right" w:leader="dot" w:pos="9016"/>
            </w:tabs>
            <w:spacing w:line="360" w:lineRule="auto"/>
            <w:rPr>
              <w:noProof/>
            </w:rPr>
          </w:pPr>
          <w:hyperlink w:anchor="_Toc224314957" w:history="1">
            <w:r w:rsidRPr="00421BF2">
              <w:rPr>
                <w:rStyle w:val="Hyperlink"/>
                <w:noProof/>
              </w:rPr>
              <w:t>3.0 Evaluation of Contemporary HR Practices</w:t>
            </w:r>
            <w:r>
              <w:rPr>
                <w:noProof/>
                <w:webHidden/>
              </w:rPr>
              <w:tab/>
            </w:r>
            <w:r>
              <w:rPr>
                <w:noProof/>
                <w:webHidden/>
              </w:rPr>
              <w:fldChar w:fldCharType="begin"/>
            </w:r>
            <w:r>
              <w:rPr>
                <w:noProof/>
                <w:webHidden/>
              </w:rPr>
              <w:instrText xml:space="preserve"> PAGEREF _Toc224314957 \h </w:instrText>
            </w:r>
            <w:r>
              <w:rPr>
                <w:noProof/>
                <w:webHidden/>
              </w:rPr>
            </w:r>
            <w:r>
              <w:rPr>
                <w:noProof/>
                <w:webHidden/>
              </w:rPr>
              <w:fldChar w:fldCharType="separate"/>
            </w:r>
            <w:r>
              <w:rPr>
                <w:noProof/>
                <w:webHidden/>
              </w:rPr>
              <w:t>4</w:t>
            </w:r>
            <w:r>
              <w:rPr>
                <w:noProof/>
                <w:webHidden/>
              </w:rPr>
              <w:fldChar w:fldCharType="end"/>
            </w:r>
          </w:hyperlink>
        </w:p>
        <w:p w14:paraId="70216E61" w14:textId="24491E6C" w:rsidR="00287B7C" w:rsidRDefault="00287B7C" w:rsidP="00891778">
          <w:pPr>
            <w:pStyle w:val="TOC2"/>
            <w:tabs>
              <w:tab w:val="right" w:leader="dot" w:pos="9016"/>
            </w:tabs>
            <w:spacing w:line="360" w:lineRule="auto"/>
            <w:rPr>
              <w:noProof/>
            </w:rPr>
          </w:pPr>
          <w:hyperlink w:anchor="_Toc224314958" w:history="1">
            <w:r w:rsidRPr="00421BF2">
              <w:rPr>
                <w:rStyle w:val="Hyperlink"/>
                <w:noProof/>
              </w:rPr>
              <w:t>3.1 Addressing Technological Advancement</w:t>
            </w:r>
            <w:r>
              <w:rPr>
                <w:noProof/>
                <w:webHidden/>
              </w:rPr>
              <w:tab/>
            </w:r>
            <w:r>
              <w:rPr>
                <w:noProof/>
                <w:webHidden/>
              </w:rPr>
              <w:fldChar w:fldCharType="begin"/>
            </w:r>
            <w:r>
              <w:rPr>
                <w:noProof/>
                <w:webHidden/>
              </w:rPr>
              <w:instrText xml:space="preserve"> PAGEREF _Toc224314958 \h </w:instrText>
            </w:r>
            <w:r>
              <w:rPr>
                <w:noProof/>
                <w:webHidden/>
              </w:rPr>
            </w:r>
            <w:r>
              <w:rPr>
                <w:noProof/>
                <w:webHidden/>
              </w:rPr>
              <w:fldChar w:fldCharType="separate"/>
            </w:r>
            <w:r>
              <w:rPr>
                <w:noProof/>
                <w:webHidden/>
              </w:rPr>
              <w:t>4</w:t>
            </w:r>
            <w:r>
              <w:rPr>
                <w:noProof/>
                <w:webHidden/>
              </w:rPr>
              <w:fldChar w:fldCharType="end"/>
            </w:r>
          </w:hyperlink>
        </w:p>
        <w:p w14:paraId="4D946537" w14:textId="1DDF84D2" w:rsidR="00287B7C" w:rsidRDefault="00287B7C" w:rsidP="00891778">
          <w:pPr>
            <w:pStyle w:val="TOC2"/>
            <w:tabs>
              <w:tab w:val="right" w:leader="dot" w:pos="9016"/>
            </w:tabs>
            <w:spacing w:line="360" w:lineRule="auto"/>
            <w:rPr>
              <w:noProof/>
            </w:rPr>
          </w:pPr>
          <w:hyperlink w:anchor="_Toc224314959" w:history="1">
            <w:r w:rsidRPr="00421BF2">
              <w:rPr>
                <w:rStyle w:val="Hyperlink"/>
                <w:noProof/>
              </w:rPr>
              <w:t>3.2 Addressing Talent Acquisition and Retention</w:t>
            </w:r>
            <w:r>
              <w:rPr>
                <w:noProof/>
                <w:webHidden/>
              </w:rPr>
              <w:tab/>
            </w:r>
            <w:r>
              <w:rPr>
                <w:noProof/>
                <w:webHidden/>
              </w:rPr>
              <w:fldChar w:fldCharType="begin"/>
            </w:r>
            <w:r>
              <w:rPr>
                <w:noProof/>
                <w:webHidden/>
              </w:rPr>
              <w:instrText xml:space="preserve"> PAGEREF _Toc224314959 \h </w:instrText>
            </w:r>
            <w:r>
              <w:rPr>
                <w:noProof/>
                <w:webHidden/>
              </w:rPr>
            </w:r>
            <w:r>
              <w:rPr>
                <w:noProof/>
                <w:webHidden/>
              </w:rPr>
              <w:fldChar w:fldCharType="separate"/>
            </w:r>
            <w:r>
              <w:rPr>
                <w:noProof/>
                <w:webHidden/>
              </w:rPr>
              <w:t>5</w:t>
            </w:r>
            <w:r>
              <w:rPr>
                <w:noProof/>
                <w:webHidden/>
              </w:rPr>
              <w:fldChar w:fldCharType="end"/>
            </w:r>
          </w:hyperlink>
        </w:p>
        <w:p w14:paraId="50FBD110" w14:textId="7D90339D" w:rsidR="00287B7C" w:rsidRDefault="00287B7C" w:rsidP="00891778">
          <w:pPr>
            <w:pStyle w:val="TOC2"/>
            <w:tabs>
              <w:tab w:val="right" w:leader="dot" w:pos="9016"/>
            </w:tabs>
            <w:spacing w:line="360" w:lineRule="auto"/>
            <w:rPr>
              <w:noProof/>
            </w:rPr>
          </w:pPr>
          <w:hyperlink w:anchor="_Toc224314960" w:history="1">
            <w:r w:rsidRPr="00421BF2">
              <w:rPr>
                <w:rStyle w:val="Hyperlink"/>
                <w:noProof/>
              </w:rPr>
              <w:t>3.3 Addressing Diversity, Equity and Inclusion</w:t>
            </w:r>
            <w:r>
              <w:rPr>
                <w:noProof/>
                <w:webHidden/>
              </w:rPr>
              <w:tab/>
            </w:r>
            <w:r>
              <w:rPr>
                <w:noProof/>
                <w:webHidden/>
              </w:rPr>
              <w:fldChar w:fldCharType="begin"/>
            </w:r>
            <w:r>
              <w:rPr>
                <w:noProof/>
                <w:webHidden/>
              </w:rPr>
              <w:instrText xml:space="preserve"> PAGEREF _Toc224314960 \h </w:instrText>
            </w:r>
            <w:r>
              <w:rPr>
                <w:noProof/>
                <w:webHidden/>
              </w:rPr>
            </w:r>
            <w:r>
              <w:rPr>
                <w:noProof/>
                <w:webHidden/>
              </w:rPr>
              <w:fldChar w:fldCharType="separate"/>
            </w:r>
            <w:r>
              <w:rPr>
                <w:noProof/>
                <w:webHidden/>
              </w:rPr>
              <w:t>5</w:t>
            </w:r>
            <w:r>
              <w:rPr>
                <w:noProof/>
                <w:webHidden/>
              </w:rPr>
              <w:fldChar w:fldCharType="end"/>
            </w:r>
          </w:hyperlink>
        </w:p>
        <w:p w14:paraId="679023BC" w14:textId="7AF69AE8" w:rsidR="00287B7C" w:rsidRDefault="00287B7C" w:rsidP="00891778">
          <w:pPr>
            <w:pStyle w:val="TOC1"/>
            <w:tabs>
              <w:tab w:val="right" w:leader="dot" w:pos="9016"/>
            </w:tabs>
            <w:spacing w:line="360" w:lineRule="auto"/>
            <w:rPr>
              <w:noProof/>
            </w:rPr>
          </w:pPr>
          <w:hyperlink w:anchor="_Toc224314961" w:history="1">
            <w:r w:rsidRPr="00421BF2">
              <w:rPr>
                <w:rStyle w:val="Hyperlink"/>
                <w:noProof/>
              </w:rPr>
              <w:t>4.0 Critical Evaluation of Managerial Implementation</w:t>
            </w:r>
            <w:r>
              <w:rPr>
                <w:noProof/>
                <w:webHidden/>
              </w:rPr>
              <w:tab/>
            </w:r>
            <w:r>
              <w:rPr>
                <w:noProof/>
                <w:webHidden/>
              </w:rPr>
              <w:fldChar w:fldCharType="begin"/>
            </w:r>
            <w:r>
              <w:rPr>
                <w:noProof/>
                <w:webHidden/>
              </w:rPr>
              <w:instrText xml:space="preserve"> PAGEREF _Toc224314961 \h </w:instrText>
            </w:r>
            <w:r>
              <w:rPr>
                <w:noProof/>
                <w:webHidden/>
              </w:rPr>
            </w:r>
            <w:r>
              <w:rPr>
                <w:noProof/>
                <w:webHidden/>
              </w:rPr>
              <w:fldChar w:fldCharType="separate"/>
            </w:r>
            <w:r>
              <w:rPr>
                <w:noProof/>
                <w:webHidden/>
              </w:rPr>
              <w:t>6</w:t>
            </w:r>
            <w:r>
              <w:rPr>
                <w:noProof/>
                <w:webHidden/>
              </w:rPr>
              <w:fldChar w:fldCharType="end"/>
            </w:r>
          </w:hyperlink>
        </w:p>
        <w:p w14:paraId="1FB7C3BB" w14:textId="11C33D50" w:rsidR="00287B7C" w:rsidRDefault="00287B7C" w:rsidP="00891778">
          <w:pPr>
            <w:pStyle w:val="TOC1"/>
            <w:tabs>
              <w:tab w:val="right" w:leader="dot" w:pos="9016"/>
            </w:tabs>
            <w:spacing w:line="360" w:lineRule="auto"/>
            <w:rPr>
              <w:noProof/>
            </w:rPr>
          </w:pPr>
          <w:hyperlink w:anchor="_Toc224314962" w:history="1">
            <w:r w:rsidRPr="00421BF2">
              <w:rPr>
                <w:rStyle w:val="Hyperlink"/>
                <w:noProof/>
              </w:rPr>
              <w:t>5.0 Conclusion and Recommendations</w:t>
            </w:r>
            <w:r>
              <w:rPr>
                <w:noProof/>
                <w:webHidden/>
              </w:rPr>
              <w:tab/>
            </w:r>
            <w:r>
              <w:rPr>
                <w:noProof/>
                <w:webHidden/>
              </w:rPr>
              <w:fldChar w:fldCharType="begin"/>
            </w:r>
            <w:r>
              <w:rPr>
                <w:noProof/>
                <w:webHidden/>
              </w:rPr>
              <w:instrText xml:space="preserve"> PAGEREF _Toc224314962 \h </w:instrText>
            </w:r>
            <w:r>
              <w:rPr>
                <w:noProof/>
                <w:webHidden/>
              </w:rPr>
            </w:r>
            <w:r>
              <w:rPr>
                <w:noProof/>
                <w:webHidden/>
              </w:rPr>
              <w:fldChar w:fldCharType="separate"/>
            </w:r>
            <w:r>
              <w:rPr>
                <w:noProof/>
                <w:webHidden/>
              </w:rPr>
              <w:t>7</w:t>
            </w:r>
            <w:r>
              <w:rPr>
                <w:noProof/>
                <w:webHidden/>
              </w:rPr>
              <w:fldChar w:fldCharType="end"/>
            </w:r>
          </w:hyperlink>
        </w:p>
        <w:p w14:paraId="67DCAE01" w14:textId="3A50497B" w:rsidR="00287B7C" w:rsidRDefault="00287B7C" w:rsidP="00891778">
          <w:pPr>
            <w:pStyle w:val="TOC1"/>
            <w:tabs>
              <w:tab w:val="right" w:leader="dot" w:pos="9016"/>
            </w:tabs>
            <w:spacing w:line="360" w:lineRule="auto"/>
            <w:rPr>
              <w:noProof/>
            </w:rPr>
          </w:pPr>
          <w:hyperlink w:anchor="_Toc224314963" w:history="1">
            <w:r w:rsidRPr="00421BF2">
              <w:rPr>
                <w:rStyle w:val="Hyperlink"/>
                <w:noProof/>
              </w:rPr>
              <w:t>References</w:t>
            </w:r>
            <w:r>
              <w:rPr>
                <w:noProof/>
                <w:webHidden/>
              </w:rPr>
              <w:tab/>
            </w:r>
            <w:r>
              <w:rPr>
                <w:noProof/>
                <w:webHidden/>
              </w:rPr>
              <w:fldChar w:fldCharType="begin"/>
            </w:r>
            <w:r>
              <w:rPr>
                <w:noProof/>
                <w:webHidden/>
              </w:rPr>
              <w:instrText xml:space="preserve"> PAGEREF _Toc224314963 \h </w:instrText>
            </w:r>
            <w:r>
              <w:rPr>
                <w:noProof/>
                <w:webHidden/>
              </w:rPr>
            </w:r>
            <w:r>
              <w:rPr>
                <w:noProof/>
                <w:webHidden/>
              </w:rPr>
              <w:fldChar w:fldCharType="separate"/>
            </w:r>
            <w:r>
              <w:rPr>
                <w:noProof/>
                <w:webHidden/>
              </w:rPr>
              <w:t>8</w:t>
            </w:r>
            <w:r>
              <w:rPr>
                <w:noProof/>
                <w:webHidden/>
              </w:rPr>
              <w:fldChar w:fldCharType="end"/>
            </w:r>
          </w:hyperlink>
        </w:p>
        <w:p w14:paraId="34A55A37" w14:textId="351FCD99" w:rsidR="00287B7C" w:rsidRDefault="00287B7C" w:rsidP="00891778">
          <w:pPr>
            <w:spacing w:line="360" w:lineRule="auto"/>
          </w:pPr>
          <w:r>
            <w:rPr>
              <w:b/>
              <w:bCs/>
            </w:rPr>
            <w:fldChar w:fldCharType="end"/>
          </w:r>
        </w:p>
      </w:sdtContent>
    </w:sdt>
    <w:p w14:paraId="07CF2B31" w14:textId="1DB4B5D5" w:rsidR="002866AB" w:rsidRPr="00376AB9" w:rsidRDefault="00000000" w:rsidP="00891778">
      <w:pPr>
        <w:spacing w:line="360" w:lineRule="auto"/>
        <w:jc w:val="both"/>
      </w:pPr>
      <w:r w:rsidRPr="00376AB9">
        <w:br w:type="page"/>
      </w:r>
    </w:p>
    <w:p w14:paraId="31B8B105" w14:textId="77777777" w:rsidR="002866AB" w:rsidRPr="00376AB9" w:rsidRDefault="002866AB" w:rsidP="00891778">
      <w:pPr>
        <w:spacing w:line="360" w:lineRule="auto"/>
        <w:jc w:val="both"/>
        <w:sectPr w:rsidR="002866AB" w:rsidRPr="00376AB9">
          <w:headerReference w:type="default" r:id="rId8"/>
          <w:footerReference w:type="default" r:id="rId9"/>
          <w:pgSz w:w="11906" w:h="16838"/>
          <w:pgMar w:top="1440" w:right="1440" w:bottom="1440" w:left="1440" w:header="708" w:footer="708" w:gutter="0"/>
          <w:cols w:space="720"/>
          <w:docGrid w:linePitch="360"/>
        </w:sectPr>
      </w:pPr>
    </w:p>
    <w:p w14:paraId="156BEBD4" w14:textId="4186C916" w:rsidR="002866AB" w:rsidRPr="00376AB9" w:rsidRDefault="00605F3A" w:rsidP="00891778">
      <w:pPr>
        <w:pStyle w:val="Heading1"/>
        <w:spacing w:line="360" w:lineRule="auto"/>
        <w:jc w:val="both"/>
        <w:rPr>
          <w:color w:val="auto"/>
        </w:rPr>
      </w:pPr>
      <w:bookmarkStart w:id="0" w:name="_Toc224314952"/>
      <w:r w:rsidRPr="00376AB9">
        <w:rPr>
          <w:color w:val="auto"/>
        </w:rPr>
        <w:lastRenderedPageBreak/>
        <w:t>1.0 Introduction</w:t>
      </w:r>
      <w:bookmarkEnd w:id="0"/>
    </w:p>
    <w:p w14:paraId="6842E3C7" w14:textId="70DE35E1" w:rsidR="002866AB" w:rsidRPr="00376AB9" w:rsidRDefault="008F6C46" w:rsidP="00891778">
      <w:pPr>
        <w:spacing w:after="160" w:line="360" w:lineRule="auto"/>
        <w:jc w:val="both"/>
      </w:pPr>
      <w:r w:rsidRPr="008F6C46">
        <w:t>Human resource (HR) management serves as the basic element which supports sustainable performance for organi</w:t>
      </w:r>
      <w:r w:rsidR="00E732A8">
        <w:t>s</w:t>
      </w:r>
      <w:r w:rsidRPr="008F6C46">
        <w:t>ations because modern businesses face unpredictable conditions and advancing technologies. Tesco PLC operates as the biggest private sector employer in the United Kingdom with a workforce exceeding 330,000 employees across the country (Tesco PLC, 2024), making it an ideal example to study the difficulties which modern human resources departments must handle. This report evaluates three linked human resource problems which Tesco faces: 1. adopting new technologies 2. finding and keeping employees 3. implementing diversity, equity and inclusion (DEI) initiatives the evaluation process begins with an assessment of modern HR solutions which tackle each obstacle, followed by a critical evaluation of the essential managerial behaviours needed to implement solutions immediately. The report uses peer-reviewed studies and industry reports together with Tesco's corporate disclosures to support its findings which follow Armstrong and Taylor's (2020) requirement that HR strategy needs to be both data-driven and specific to its context while supporting the organi</w:t>
      </w:r>
      <w:r w:rsidR="00E732A8">
        <w:t>s</w:t>
      </w:r>
      <w:r w:rsidRPr="008F6C46">
        <w:t>ation's future business goals.</w:t>
      </w:r>
    </w:p>
    <w:p w14:paraId="6929393C" w14:textId="77777777" w:rsidR="002866AB" w:rsidRPr="00376AB9" w:rsidRDefault="002866AB" w:rsidP="00891778">
      <w:pPr>
        <w:spacing w:line="360" w:lineRule="auto"/>
        <w:jc w:val="both"/>
      </w:pPr>
    </w:p>
    <w:p w14:paraId="6D859ADF" w14:textId="5224D8D9" w:rsidR="002866AB" w:rsidRPr="00376AB9" w:rsidRDefault="00BF538D" w:rsidP="00891778">
      <w:pPr>
        <w:pStyle w:val="Heading1"/>
        <w:spacing w:line="360" w:lineRule="auto"/>
        <w:jc w:val="both"/>
        <w:rPr>
          <w:color w:val="auto"/>
        </w:rPr>
      </w:pPr>
      <w:bookmarkStart w:id="1" w:name="_Toc224314953"/>
      <w:r w:rsidRPr="00376AB9">
        <w:rPr>
          <w:color w:val="auto"/>
        </w:rPr>
        <w:t>2.0 HR Challenges at Tesco PLC</w:t>
      </w:r>
      <w:bookmarkEnd w:id="1"/>
    </w:p>
    <w:p w14:paraId="39934251" w14:textId="126B459B" w:rsidR="002866AB" w:rsidRPr="00376AB9" w:rsidRDefault="00BF538D" w:rsidP="00891778">
      <w:pPr>
        <w:pStyle w:val="Heading2"/>
        <w:spacing w:line="360" w:lineRule="auto"/>
        <w:jc w:val="both"/>
        <w:rPr>
          <w:color w:val="auto"/>
        </w:rPr>
      </w:pPr>
      <w:bookmarkStart w:id="2" w:name="_Toc224314954"/>
      <w:r w:rsidRPr="00376AB9">
        <w:rPr>
          <w:color w:val="auto"/>
        </w:rPr>
        <w:t>2.1 Meeting Technological Advancement</w:t>
      </w:r>
      <w:bookmarkEnd w:id="2"/>
    </w:p>
    <w:p w14:paraId="6163E714" w14:textId="1C5FDBC1" w:rsidR="002866AB" w:rsidRPr="003E40A6" w:rsidRDefault="00EE1B2D" w:rsidP="00891778">
      <w:pPr>
        <w:spacing w:after="160" w:line="360" w:lineRule="auto"/>
        <w:jc w:val="both"/>
      </w:pPr>
      <w:r w:rsidRPr="00EE1B2D">
        <w:t>Human resources departments throughout all industries face their most important challenge because of the ongoing development of new technologies. The implementation of artificial intelligence (AI) systems automated self-checkout machines warehouse robots and enterprise-scale data analytics at Tesco has completely transformed the company's workforce requirements. The World Economic Forum (2023) estimates that 44% of workers' skills will be disrupted within five years which demonstrates the urgent need for organi</w:t>
      </w:r>
      <w:r w:rsidR="00E732A8">
        <w:t>s</w:t>
      </w:r>
      <w:r w:rsidRPr="00EE1B2D">
        <w:t>ations to develop proactive reskilling programs. Tesco has deployed over 2,700 automated checkout stations across UK stores (Tesco PLC, 2024) which have replaced conventional cash handling positions while creating an exceptional need for employees who possess digital skills and data management abilities and systems administration expertise.</w:t>
      </w:r>
    </w:p>
    <w:p w14:paraId="50A4D94F" w14:textId="77777777" w:rsidR="002866AB" w:rsidRPr="00376AB9" w:rsidRDefault="00000000" w:rsidP="00891778">
      <w:pPr>
        <w:spacing w:after="160" w:line="360" w:lineRule="auto"/>
        <w:jc w:val="both"/>
      </w:pPr>
      <w:r w:rsidRPr="003E40A6">
        <w:t xml:space="preserve">This technological transition exposes a structural skills gap that HR must strategically address. Deloitte (2023) identified that 67% of UK organisations reported difficulty aligning human capital capabilities with digital transformation objectives. The CIPD (2023) correspondingly contends that HR practitioners must assume an anticipatory, rather than reactive, role in </w:t>
      </w:r>
      <w:r w:rsidRPr="003E40A6">
        <w:lastRenderedPageBreak/>
        <w:t>workforce planning, embedding future skills identification into strategic planning cycles. For Tesco, with a predominantly large, entry-level</w:t>
      </w:r>
      <w:r w:rsidRPr="00376AB9">
        <w:t xml:space="preserve"> workforce, the scale of this challenge is particularly acute. Noe et al. (2021) emphasise that failure to invest systematically in workforce capability not only impairs operational efficiency but also undermines competitive differentiation in an increasingly automated retail environment.</w:t>
      </w:r>
    </w:p>
    <w:p w14:paraId="5F318CE1" w14:textId="70EEE6E9" w:rsidR="002866AB" w:rsidRPr="00376AB9" w:rsidRDefault="00BF538D" w:rsidP="00891778">
      <w:pPr>
        <w:pStyle w:val="Heading2"/>
        <w:spacing w:line="360" w:lineRule="auto"/>
        <w:jc w:val="both"/>
        <w:rPr>
          <w:color w:val="auto"/>
        </w:rPr>
      </w:pPr>
      <w:bookmarkStart w:id="3" w:name="_Toc224314955"/>
      <w:r w:rsidRPr="00376AB9">
        <w:rPr>
          <w:color w:val="auto"/>
        </w:rPr>
        <w:t>2.2 Talent Acquisition and Retention</w:t>
      </w:r>
      <w:bookmarkEnd w:id="3"/>
    </w:p>
    <w:p w14:paraId="0AF68422" w14:textId="08E71591" w:rsidR="002866AB" w:rsidRPr="00F84FB9" w:rsidRDefault="005633C2" w:rsidP="00891778">
      <w:pPr>
        <w:spacing w:after="160" w:line="360" w:lineRule="auto"/>
        <w:jc w:val="both"/>
      </w:pPr>
      <w:r w:rsidRPr="005633C2">
        <w:t xml:space="preserve">Talent acquisition and retention represent a persistent and intensifying challenge across the UK labour market. The CIPD (2022) Resourcing and Talent Planning Survey found that 68% of organisations experienced significant recruitment difficulties, with the retail sector disproportionately affected by high voluntary attrition rates averaging approximately 30% annually. Tesco's </w:t>
      </w:r>
      <w:r>
        <w:t>(</w:t>
      </w:r>
      <w:r w:rsidRPr="005633C2">
        <w:t>2024</w:t>
      </w:r>
      <w:r>
        <w:t>)</w:t>
      </w:r>
      <w:r w:rsidRPr="005633C2">
        <w:t xml:space="preserve"> Annual Report acknowledges escalating competition for skilled managers, data analysts, and supply chain specialists, which demonstrates a fundamental change in employee requirements that emerged after the COVID-19 pandemic.</w:t>
      </w:r>
    </w:p>
    <w:p w14:paraId="2E37D183" w14:textId="2ABC3DC0" w:rsidR="002866AB" w:rsidRPr="00376AB9" w:rsidRDefault="00D4290B" w:rsidP="00891778">
      <w:pPr>
        <w:spacing w:after="160" w:line="360" w:lineRule="auto"/>
        <w:jc w:val="both"/>
      </w:pPr>
      <w:r w:rsidRPr="00D4290B">
        <w:t>According to PwC (2023), 42% of workers chose their employers based on career growth possibilities which they considered more important than their base salary, while 35% selected their employers based on the organi</w:t>
      </w:r>
      <w:r w:rsidR="00E732A8">
        <w:t>s</w:t>
      </w:r>
      <w:r w:rsidRPr="00D4290B">
        <w:t>ation's fundamental principles. The change in employee attitudes requires HR professionals to develop new approaches for talent value assessment which should go beyond standard pay-based methods. The authors Collings, Mellahi, and Cascio (2019) present a compelling argument which shows that organi</w:t>
      </w:r>
      <w:r w:rsidR="00E732A8">
        <w:t>s</w:t>
      </w:r>
      <w:r w:rsidRPr="00D4290B">
        <w:t>ations need to develop distinct talent management approaches which should focus on discovering and developing their most promising workers while providing equal opportunities to all employees. The financial consequences of talent failure are not inconsequential; the CIPD (2022) estimates that replacing a single mid-level employee cost approximately £6,125 when accounting for recruitment, onboarding, and lost productivity a significant liability at Tesco's scale.</w:t>
      </w:r>
    </w:p>
    <w:p w14:paraId="2E6D5B2B" w14:textId="6F589215" w:rsidR="002866AB" w:rsidRPr="00376AB9" w:rsidRDefault="00287B7C" w:rsidP="00891778">
      <w:pPr>
        <w:pStyle w:val="Heading2"/>
        <w:spacing w:line="360" w:lineRule="auto"/>
        <w:jc w:val="both"/>
        <w:rPr>
          <w:color w:val="auto"/>
        </w:rPr>
      </w:pPr>
      <w:bookmarkStart w:id="4" w:name="_Toc224314956"/>
      <w:r w:rsidRPr="00376AB9">
        <w:rPr>
          <w:color w:val="auto"/>
        </w:rPr>
        <w:t>2.3 Diversity, Equity and Inclusion (DEI)</w:t>
      </w:r>
      <w:bookmarkEnd w:id="4"/>
    </w:p>
    <w:p w14:paraId="344F4C86" w14:textId="5BB24968" w:rsidR="002866AB" w:rsidRPr="00000748" w:rsidRDefault="00DE24F4" w:rsidP="00891778">
      <w:pPr>
        <w:spacing w:after="160" w:line="360" w:lineRule="auto"/>
        <w:jc w:val="both"/>
      </w:pPr>
      <w:r w:rsidRPr="00DE24F4">
        <w:t>DEI has become a necessary ethical obligation that organi</w:t>
      </w:r>
      <w:r w:rsidR="00E732A8">
        <w:t>s</w:t>
      </w:r>
      <w:r w:rsidRPr="00DE24F4">
        <w:t xml:space="preserve">ations must treat as their most important business requirement. </w:t>
      </w:r>
      <w:r w:rsidR="005009ED" w:rsidRPr="005009ED">
        <w:t>Tesco's Gender Pay Gap Report from 2023 which shows a median gender pay gap of 8.6% proves that the company still has unaddressed structural inequality issues. McKinsey and Company (2020) established through analysis of over 1,000 global companies that organi</w:t>
      </w:r>
      <w:r w:rsidR="00E732A8">
        <w:t>s</w:t>
      </w:r>
      <w:r w:rsidR="005009ED" w:rsidRPr="005009ED">
        <w:t>ations in the top quartile for ethnic diversity were 36% more likely to achieve above-average profitability which showed that inclusive practices produced direct financial advantages.</w:t>
      </w:r>
      <w:r w:rsidRPr="00DE24F4">
        <w:t xml:space="preserve"> The introduction of new ethnicity pay gap reporting rules by HM Government (2023) has increased compliance requirements for large employers like Tesco because it requires them to meet additional public reporting standards.</w:t>
      </w:r>
    </w:p>
    <w:p w14:paraId="61378A98" w14:textId="0BB76019" w:rsidR="002866AB" w:rsidRPr="00376AB9" w:rsidRDefault="00000000" w:rsidP="00891778">
      <w:pPr>
        <w:spacing w:after="160" w:line="360" w:lineRule="auto"/>
        <w:jc w:val="both"/>
      </w:pPr>
      <w:r w:rsidRPr="00000748">
        <w:lastRenderedPageBreak/>
        <w:t xml:space="preserve">Shore, Cleveland and Sanchez (2018) make a critical theoretical distinction between </w:t>
      </w:r>
      <w:r w:rsidRPr="00000748">
        <w:rPr>
          <w:i/>
          <w:iCs/>
        </w:rPr>
        <w:t>diversity</w:t>
      </w:r>
      <w:r w:rsidRPr="00000748">
        <w:t xml:space="preserve"> as quantifiable representation and </w:t>
      </w:r>
      <w:r w:rsidRPr="00000748">
        <w:rPr>
          <w:i/>
          <w:iCs/>
        </w:rPr>
        <w:t>inclusion</w:t>
      </w:r>
      <w:r w:rsidRPr="00000748">
        <w:t xml:space="preserve"> as organisational climate arguing that metrics-only approaches are insufficient without corresponding cultural transformation. </w:t>
      </w:r>
      <w:r w:rsidR="00543A52" w:rsidRPr="00543A52">
        <w:t>Despite Tesco's workforce being 58% female (Tesco PLC, 2023), women occupy only 43% of senior management roles because systemic structural barriers, which include unconscious bias in promotion decisions and inflexible senior working arrangements, create a continuous leadership pipeline shortage.</w:t>
      </w:r>
    </w:p>
    <w:p w14:paraId="2ACCC1DC" w14:textId="77777777" w:rsidR="002866AB" w:rsidRPr="00376AB9" w:rsidRDefault="002866AB" w:rsidP="00891778">
      <w:pPr>
        <w:spacing w:line="360" w:lineRule="auto"/>
        <w:jc w:val="both"/>
      </w:pPr>
    </w:p>
    <w:p w14:paraId="0C35EA32" w14:textId="39AD78D9" w:rsidR="002866AB" w:rsidRPr="00376AB9" w:rsidRDefault="00605F3A" w:rsidP="00891778">
      <w:pPr>
        <w:pStyle w:val="Heading1"/>
        <w:spacing w:line="360" w:lineRule="auto"/>
        <w:jc w:val="both"/>
        <w:rPr>
          <w:color w:val="auto"/>
        </w:rPr>
      </w:pPr>
      <w:bookmarkStart w:id="5" w:name="_Toc224314957"/>
      <w:r w:rsidRPr="00376AB9">
        <w:rPr>
          <w:color w:val="auto"/>
        </w:rPr>
        <w:t>3.0 Evaluation of Contemporary HR Practices</w:t>
      </w:r>
      <w:bookmarkEnd w:id="5"/>
    </w:p>
    <w:p w14:paraId="0B662867" w14:textId="194FB6EF" w:rsidR="002866AB" w:rsidRPr="00376AB9" w:rsidRDefault="00605F3A" w:rsidP="00891778">
      <w:pPr>
        <w:pStyle w:val="Heading2"/>
        <w:spacing w:line="360" w:lineRule="auto"/>
        <w:jc w:val="both"/>
        <w:rPr>
          <w:color w:val="auto"/>
        </w:rPr>
      </w:pPr>
      <w:bookmarkStart w:id="6" w:name="_Toc224314958"/>
      <w:r w:rsidRPr="00376AB9">
        <w:rPr>
          <w:color w:val="auto"/>
        </w:rPr>
        <w:t>3.1 Addressing Technological Advancement</w:t>
      </w:r>
      <w:bookmarkEnd w:id="6"/>
    </w:p>
    <w:p w14:paraId="6928BFA6" w14:textId="09604BCF" w:rsidR="002866AB" w:rsidRPr="00376AB9" w:rsidRDefault="002475C5" w:rsidP="00891778">
      <w:pPr>
        <w:spacing w:after="160" w:line="360" w:lineRule="auto"/>
        <w:jc w:val="both"/>
      </w:pPr>
      <w:r w:rsidRPr="002475C5">
        <w:t>Modern human resources practices use continuous learning</w:t>
      </w:r>
      <w:r>
        <w:t xml:space="preserve"> </w:t>
      </w:r>
      <w:r w:rsidRPr="002475C5">
        <w:t>and development systems that focus on skill development to handle technological disruptions. Tesco has made a substantial financial commitment to its Learning Management System (LMS) by offering more than 500 digital learning modules through the Tesco Academy platform according to Tesco PLC (2024). The strategic workforce planning models that Armstrong and Taylor (2020) recommend should use existing competency assessments to project future workforce needs while supporting targeted employee training before skills gaps develop into operational problems. The CIPD (2023) Learning and Development Survey identifies blended learning integrating digital, experiential, and social learning modalities as the most effective approach for building digital capability at scale within large workforces.</w:t>
      </w:r>
    </w:p>
    <w:p w14:paraId="5B4D210A" w14:textId="42746DB4" w:rsidR="002866AB" w:rsidRPr="00376AB9" w:rsidRDefault="003A1977" w:rsidP="00891778">
      <w:pPr>
        <w:spacing w:after="160" w:line="360" w:lineRule="auto"/>
        <w:jc w:val="both"/>
      </w:pPr>
      <w:r w:rsidRPr="003A1977">
        <w:t>Torrington et al. (2017) warn that organi</w:t>
      </w:r>
      <w:r w:rsidR="00E732A8">
        <w:t>s</w:t>
      </w:r>
      <w:r w:rsidRPr="003A1977">
        <w:t>ations waste their L&amp;D investments because they lack both training needs assessments and assessments of training program results. Boxall and Purcell (2022) present a superior strategic method which begins with internal employee competency assessment before creating appropriate development programs instead of choosing employee termination or high-cost external hiring. The implementation of people analytics lets Tesco use workforce data for HR decision-making which helps them evaluate talent dangers and design future skill needs and assess training investments with much improved accuracy (Deloitte, 2023).</w:t>
      </w:r>
    </w:p>
    <w:p w14:paraId="38F95F64" w14:textId="35E78BBE" w:rsidR="002866AB" w:rsidRPr="00376AB9" w:rsidRDefault="00605F3A" w:rsidP="00891778">
      <w:pPr>
        <w:pStyle w:val="Heading2"/>
        <w:spacing w:line="360" w:lineRule="auto"/>
        <w:jc w:val="both"/>
        <w:rPr>
          <w:color w:val="auto"/>
        </w:rPr>
      </w:pPr>
      <w:bookmarkStart w:id="7" w:name="_Toc224314959"/>
      <w:r w:rsidRPr="00376AB9">
        <w:rPr>
          <w:color w:val="auto"/>
        </w:rPr>
        <w:t>3.2 Addressing Talent Acquisition and Retention</w:t>
      </w:r>
      <w:bookmarkEnd w:id="7"/>
    </w:p>
    <w:p w14:paraId="71405278" w14:textId="5412E403" w:rsidR="007250C4" w:rsidRDefault="007250C4" w:rsidP="00891778">
      <w:pPr>
        <w:spacing w:after="160" w:line="360" w:lineRule="auto"/>
        <w:jc w:val="both"/>
      </w:pPr>
      <w:r>
        <w:t xml:space="preserve">Contemporary talent management has evolved substantively beyond transactional recruitment advertising. Employer branding and structured onboarding and succession planning and total reward frameworks now use evidence-based approaches according to Cascio and Boudreau (2019). Tesco established its Graduate Leadership Programme while </w:t>
      </w:r>
      <w:r>
        <w:lastRenderedPageBreak/>
        <w:t>developing new internal promotion routes because the company understands that organi</w:t>
      </w:r>
      <w:r w:rsidR="00E732A8">
        <w:t>s</w:t>
      </w:r>
      <w:r>
        <w:t xml:space="preserve">ations must develop talent pipelines through active recruitment efforts. The CIPD (2022) recommends organisations to develop employer branding based on core values which effectively represent their mission since strong employer brands enable companies to cut hiring expenses by 50% while attracting better candidates. </w:t>
      </w:r>
    </w:p>
    <w:p w14:paraId="4A72FFDE" w14:textId="57C61694" w:rsidR="002866AB" w:rsidRPr="00376AB9" w:rsidRDefault="007250C4" w:rsidP="00891778">
      <w:pPr>
        <w:spacing w:after="160" w:line="360" w:lineRule="auto"/>
        <w:jc w:val="both"/>
      </w:pPr>
      <w:r>
        <w:t>Flexible working arrangements have become a non-negotiable retention mechanism; PwC 2023 found that 73% of employees would consider changing employers for greater flexibility. The 'Colleague Plans' initiative at Tesco which lets employees design their own career development paths, supports the individualised development planning concept by Noe et al. (2021) which proves to be an effective method for building organisational commitment.</w:t>
      </w:r>
      <w:r w:rsidR="00D06353" w:rsidRPr="00D06353">
        <w:t xml:space="preserve"> Total reward strategies that include non-financial benefits such as wellbeing support and recognition schemes and development investment, create better long-term retention results than compensation-led approaches according to Armstrong and Taylor (2020). However, Hunt et al. (2018) declare that organisations must design their talent strategies to include all groups because their current practices lead to the systemic exclusion of underrepresented talent pools, which directly affects their DEI strategy and retention methods.</w:t>
      </w:r>
    </w:p>
    <w:p w14:paraId="38CEBC18" w14:textId="15D610CE" w:rsidR="002866AB" w:rsidRPr="00376AB9" w:rsidRDefault="00605F3A" w:rsidP="00891778">
      <w:pPr>
        <w:pStyle w:val="Heading2"/>
        <w:spacing w:line="360" w:lineRule="auto"/>
        <w:jc w:val="both"/>
        <w:rPr>
          <w:color w:val="auto"/>
        </w:rPr>
      </w:pPr>
      <w:bookmarkStart w:id="8" w:name="_Toc224314960"/>
      <w:r w:rsidRPr="00376AB9">
        <w:rPr>
          <w:color w:val="auto"/>
        </w:rPr>
        <w:t>3.3 Addressing Diversity, Equity and Inclusion</w:t>
      </w:r>
      <w:bookmarkEnd w:id="8"/>
    </w:p>
    <w:p w14:paraId="5EEABCEB" w14:textId="39048CB8" w:rsidR="00413CB2" w:rsidRDefault="00413CB2" w:rsidP="00891778">
      <w:pPr>
        <w:spacing w:after="160" w:line="360" w:lineRule="auto"/>
        <w:jc w:val="both"/>
      </w:pPr>
      <w:r>
        <w:t>DEI practice today has advanced from basic diversity programs to implement complete structural systems which support inclusion. The Stronger Starts program and Business Resource Groups at Tesco demonstrate a systems-based method which recogni</w:t>
      </w:r>
      <w:r w:rsidR="00E732A8">
        <w:t>s</w:t>
      </w:r>
      <w:r>
        <w:t>es intersectionality and lived experiences as valid components of organizational culture. Shore, Cleveland and Sanchez (2018) argue that organi</w:t>
      </w:r>
      <w:r w:rsidR="00E732A8">
        <w:t>s</w:t>
      </w:r>
      <w:r>
        <w:t>ations need to work on both their representation goals and their organi</w:t>
      </w:r>
      <w:r w:rsidR="00E732A8">
        <w:t>s</w:t>
      </w:r>
      <w:r>
        <w:t xml:space="preserve">ational atmosphere because real inclusion needs both elements to be fulfilled. </w:t>
      </w:r>
    </w:p>
    <w:p w14:paraId="5E78F8E4" w14:textId="2CD6D85B" w:rsidR="002866AB" w:rsidRPr="00376AB9" w:rsidRDefault="00413CB2" w:rsidP="00891778">
      <w:pPr>
        <w:spacing w:after="160" w:line="360" w:lineRule="auto"/>
        <w:jc w:val="both"/>
      </w:pPr>
      <w:r>
        <w:t>Gender and ethnicity pay gaps can only be resolved through two essential methods, which include structured job evaluation systems and transparent pay auditing processes. The implementation of blind recruitment processes, which eliminate all candidate identification details from the application process, has produced a 50% rise in interview invitations for underrepresented groups in organi</w:t>
      </w:r>
      <w:r w:rsidR="00E732A8">
        <w:t>s</w:t>
      </w:r>
      <w:r>
        <w:t>ations that test this method (CIPD, 2022). Torrington et al. (2017) explain that organi</w:t>
      </w:r>
      <w:r w:rsidR="00E732A8">
        <w:t>s</w:t>
      </w:r>
      <w:r>
        <w:t>ations need to develop inclusive leadership skills, which enable managers to create team spaces where members feel safe to share their thoughts. Boxall and Purcell (2022) demonstrate that organi</w:t>
      </w:r>
      <w:r w:rsidR="00E732A8">
        <w:t>s</w:t>
      </w:r>
      <w:r>
        <w:t>ations need to include DEI metrics into their performance management systems because this process transforms DEI from a goal into a system of organi</w:t>
      </w:r>
      <w:r w:rsidR="00E732A8">
        <w:t>s</w:t>
      </w:r>
      <w:r>
        <w:t>ational responsibility.</w:t>
      </w:r>
    </w:p>
    <w:p w14:paraId="61F11C84" w14:textId="77777777" w:rsidR="002866AB" w:rsidRPr="00376AB9" w:rsidRDefault="002866AB" w:rsidP="00891778">
      <w:pPr>
        <w:spacing w:line="360" w:lineRule="auto"/>
        <w:jc w:val="both"/>
      </w:pPr>
    </w:p>
    <w:p w14:paraId="79DFDE0C" w14:textId="0FDA6FFB" w:rsidR="002866AB" w:rsidRPr="00376AB9" w:rsidRDefault="00605F3A" w:rsidP="00891778">
      <w:pPr>
        <w:pStyle w:val="Heading1"/>
        <w:spacing w:line="360" w:lineRule="auto"/>
        <w:jc w:val="both"/>
        <w:rPr>
          <w:color w:val="auto"/>
        </w:rPr>
      </w:pPr>
      <w:bookmarkStart w:id="9" w:name="_Toc224314961"/>
      <w:r w:rsidRPr="00376AB9">
        <w:rPr>
          <w:color w:val="auto"/>
        </w:rPr>
        <w:t>4.0 Critical Evaluation of Managerial Implementation</w:t>
      </w:r>
      <w:bookmarkEnd w:id="9"/>
    </w:p>
    <w:p w14:paraId="1C567A5B" w14:textId="77777777" w:rsidR="002866AB" w:rsidRPr="00376AB9" w:rsidRDefault="00000000" w:rsidP="00891778">
      <w:pPr>
        <w:spacing w:after="160" w:line="360" w:lineRule="auto"/>
        <w:jc w:val="both"/>
      </w:pPr>
      <w:r w:rsidRPr="00376AB9">
        <w:t xml:space="preserve">Whilst HR departments design and champion contemporary practices, departmental managers are the indispensable bridge between strategic intent and operational reality. As Ulrich (cited in Armstrong and Taylor, 2020, p.82) argues, </w:t>
      </w:r>
      <w:r w:rsidRPr="00376AB9">
        <w:rPr>
          <w:i/>
          <w:iCs/>
        </w:rPr>
        <w:t>"HR value is ultimately co-created through line management behaviour rather than delivered unilaterally through policy."</w:t>
      </w:r>
      <w:r w:rsidRPr="00376AB9">
        <w:t xml:space="preserve"> This insight is foundational to understanding why implementation failures are so prevalent: well-designed HR initiatives consistently underperform when managers are insufficiently equipped, incentivised, or accountable. This section critically evaluates how departmental managers at Tesco can ensure urgent implementation across the three areas examined.</w:t>
      </w:r>
    </w:p>
    <w:p w14:paraId="3CA0C29C" w14:textId="5C79D478" w:rsidR="002866AB" w:rsidRPr="00376AB9" w:rsidRDefault="00000000" w:rsidP="00891778">
      <w:pPr>
        <w:spacing w:after="160" w:line="360" w:lineRule="auto"/>
        <w:jc w:val="both"/>
      </w:pPr>
      <w:r w:rsidRPr="001A0E89">
        <w:t xml:space="preserve">Regarding technological advancement, managers must actively model digital engagement, normalising continuous learning as an expectation embedded in team culture rather than an individual discretionary activity. The CIPD (2024) recommends equipping managers with </w:t>
      </w:r>
      <w:r w:rsidRPr="001A0E89">
        <w:rPr>
          <w:i/>
          <w:iCs/>
        </w:rPr>
        <w:t>learning coach</w:t>
      </w:r>
      <w:r w:rsidRPr="001A0E89">
        <w:t xml:space="preserve"> competencies enabling facilitation of informal on-the-job learning alongside formal L&amp;D provision. However, a significant meta-level challenge persists: Deloitte (2023) found that 54% of managers felt insufficiently equipped to support employees through technological transitions. This demands that HR invest in management capability development as a prerequisite not an</w:t>
      </w:r>
      <w:r w:rsidRPr="00376AB9">
        <w:t xml:space="preserve"> afterthought to technology roll-out. Change leadership training must precede system deployment to prevent resistance and disengagement at the team level (Noe et al., 2021).</w:t>
      </w:r>
    </w:p>
    <w:p w14:paraId="7E56B46F" w14:textId="4A2B8C55" w:rsidR="002866AB" w:rsidRPr="00975CAD" w:rsidRDefault="00923CB6" w:rsidP="00891778">
      <w:pPr>
        <w:spacing w:after="160" w:line="360" w:lineRule="auto"/>
        <w:jc w:val="both"/>
      </w:pPr>
      <w:r w:rsidRPr="00923CB6">
        <w:t xml:space="preserve">Department managers possess total control over all aspects of talent acquisition and retention which affects both candidate recruitment experience and employee post-appointment work performance. According to Gallup research which PwC cites in its 2023 report direct line managers account for 70% of employee engagement variations because their </w:t>
      </w:r>
      <w:r w:rsidR="001C5F42" w:rsidRPr="00923CB6">
        <w:t>behaviour</w:t>
      </w:r>
      <w:r w:rsidRPr="00923CB6">
        <w:t xml:space="preserve"> functions as the primary retention factor. The organi</w:t>
      </w:r>
      <w:r w:rsidR="00E732A8">
        <w:t>s</w:t>
      </w:r>
      <w:r w:rsidRPr="00923CB6">
        <w:t>ation requires its managers to complete training on three essential skills which include conducting strengths-based performance discussions and creating psychological safety environments and recogni</w:t>
      </w:r>
      <w:r w:rsidR="00E732A8">
        <w:t>s</w:t>
      </w:r>
      <w:r w:rsidRPr="00923CB6">
        <w:t xml:space="preserve">ing signs of employee disengagement. The evidence shows that Tesco has adopted quarterly forward-looking performance reviews because research indicates that ongoing developmental feedback leads to higher employee engagement compared to using annual performance assessments (Noe et al., 2021). Hunt et al. (2018) demonstrates that retention strategies fail to work when managers show </w:t>
      </w:r>
      <w:r w:rsidR="001C5F42" w:rsidRPr="00923CB6">
        <w:t>favouritism</w:t>
      </w:r>
      <w:r w:rsidRPr="00923CB6">
        <w:t xml:space="preserve"> and handle policies in a way which does not establish proper accountability procedures that need 360-degree feedback and retention analysis to function at team level.</w:t>
      </w:r>
    </w:p>
    <w:p w14:paraId="5F54F764" w14:textId="158FB6AB" w:rsidR="002866AB" w:rsidRPr="00975CAD" w:rsidRDefault="000B0617" w:rsidP="00891778">
      <w:pPr>
        <w:spacing w:after="160" w:line="360" w:lineRule="auto"/>
        <w:jc w:val="both"/>
      </w:pPr>
      <w:r w:rsidRPr="000B0617">
        <w:lastRenderedPageBreak/>
        <w:t>Managers must develop active inclusion practices which involve controlling microculture through their work to the exclusion of others while providing equal access to development and sponsorship opportunities between their teams and the stretch assignments (Shore et al., 2018). Tesco's Inclusive Leader Framework, which establishes explicit DEI behavioural standards for managers, represents a progressive structural intervention. This framework only produces meaningful behavioural changes according to CIPD (2023) when organi</w:t>
      </w:r>
      <w:r w:rsidR="00E732A8">
        <w:t>s</w:t>
      </w:r>
      <w:r w:rsidRPr="000B0617">
        <w:t>ations establish direct connections between specific outcomes and performance-based consequences. The implementation of DEI metrics which include team demographic information and equity in development opportunities and results from inclusion surveys, will create mandatory accountability through its integration into manager performance assessment and compensation systems which needs to go beyond basic compliance efforts. McKinsey and Company (2020) identify two types of professional development, which include mentoring and active sponsorship. The most effective method for increasing diversity in leadership pipelines, according to McKinsey, involves senior executives publicly supporting underrepresented staff members.</w:t>
      </w:r>
    </w:p>
    <w:p w14:paraId="59A394EA" w14:textId="77777777" w:rsidR="002866AB" w:rsidRPr="00376AB9" w:rsidRDefault="00000000" w:rsidP="00891778">
      <w:pPr>
        <w:spacing w:after="160" w:line="360" w:lineRule="auto"/>
        <w:jc w:val="both"/>
      </w:pPr>
      <w:r w:rsidRPr="00376AB9">
        <w:t>Collectively, these implementation imperatives demand a coordinated architecture across HR strategy, senior leadership visibility, and operational management behaviour. Without systemic alignment across all three levels, even technically sophisticated HR practices risk remaining aspirational rather than genuinely transformative (Boxall and Purcell, 2022). Tesco's competitive position, employer brand, and long-term sustainability are all meaningfully contingent on the quality of this implementation.</w:t>
      </w:r>
    </w:p>
    <w:p w14:paraId="7394A9D3" w14:textId="77777777" w:rsidR="002866AB" w:rsidRPr="00376AB9" w:rsidRDefault="002866AB" w:rsidP="00891778">
      <w:pPr>
        <w:spacing w:line="360" w:lineRule="auto"/>
        <w:jc w:val="both"/>
      </w:pPr>
    </w:p>
    <w:p w14:paraId="2943F52C" w14:textId="7BC71BCE" w:rsidR="002866AB" w:rsidRPr="00376AB9" w:rsidRDefault="00605F3A" w:rsidP="00891778">
      <w:pPr>
        <w:pStyle w:val="Heading1"/>
        <w:spacing w:line="360" w:lineRule="auto"/>
        <w:jc w:val="both"/>
        <w:rPr>
          <w:color w:val="auto"/>
        </w:rPr>
      </w:pPr>
      <w:bookmarkStart w:id="10" w:name="_Toc224314962"/>
      <w:r w:rsidRPr="00376AB9">
        <w:rPr>
          <w:color w:val="auto"/>
        </w:rPr>
        <w:t>5.0 Conclusion and Recommendations</w:t>
      </w:r>
      <w:bookmarkEnd w:id="10"/>
    </w:p>
    <w:p w14:paraId="2F2153A8" w14:textId="782E7C6B" w:rsidR="002866AB" w:rsidRPr="00376AB9" w:rsidRDefault="00CE61E8" w:rsidP="00891778">
      <w:pPr>
        <w:spacing w:after="160" w:line="360" w:lineRule="auto"/>
        <w:jc w:val="both"/>
      </w:pPr>
      <w:r>
        <w:t>In summary, t</w:t>
      </w:r>
      <w:r w:rsidR="004E71C9" w:rsidRPr="004E71C9">
        <w:t>he report assesses three main human resource challenges which Tesco PLC faces through its technological progress and efforts to recruit and retain employees and its work towards building a diverse and equitable workplace. The analysis demonstrates that these challenges are fundamentally interdependent: technological disruption restructures talent requirements, whilst DEI deficits constrain the breadth of talent available to meet those requirements. The solution to these challenges requires integrated HR approaches which organi</w:t>
      </w:r>
      <w:r w:rsidR="00E732A8">
        <w:t>s</w:t>
      </w:r>
      <w:r w:rsidR="004E71C9" w:rsidRPr="004E71C9">
        <w:t>ations need to operate at optimal performance according to (Armstrong and Taylor 2020).</w:t>
      </w:r>
    </w:p>
    <w:p w14:paraId="2C931020" w14:textId="77777777" w:rsidR="002866AB" w:rsidRPr="00376AB9" w:rsidRDefault="00000000" w:rsidP="00891778">
      <w:pPr>
        <w:spacing w:after="160" w:line="360" w:lineRule="auto"/>
        <w:jc w:val="both"/>
      </w:pPr>
      <w:r w:rsidRPr="00376AB9">
        <w:t>The following evidence-based recommendations are advanced:</w:t>
      </w:r>
    </w:p>
    <w:p w14:paraId="20DE6907" w14:textId="77777777" w:rsidR="002866AB" w:rsidRPr="00376AB9" w:rsidRDefault="00000000" w:rsidP="00891778">
      <w:pPr>
        <w:pStyle w:val="ListParagraph"/>
        <w:numPr>
          <w:ilvl w:val="0"/>
          <w:numId w:val="2"/>
        </w:numPr>
        <w:spacing w:line="360" w:lineRule="auto"/>
        <w:jc w:val="both"/>
      </w:pPr>
      <w:r w:rsidRPr="00376AB9">
        <w:lastRenderedPageBreak/>
        <w:t>Embed people analytics into workforce planning, enabling Tesco's HR function to anticipate skills gaps, model turnover risks, and measure the return on learning investment systematically before deficits become operational crises.</w:t>
      </w:r>
    </w:p>
    <w:p w14:paraId="0F6FFD60" w14:textId="48D97D54" w:rsidR="002866AB" w:rsidRPr="00376AB9" w:rsidRDefault="00000000" w:rsidP="00891778">
      <w:pPr>
        <w:pStyle w:val="ListParagraph"/>
        <w:numPr>
          <w:ilvl w:val="0"/>
          <w:numId w:val="2"/>
        </w:numPr>
        <w:spacing w:line="360" w:lineRule="auto"/>
        <w:jc w:val="both"/>
      </w:pPr>
      <w:r w:rsidRPr="00376AB9">
        <w:t>Formalise the Inclusive Leader Framework by linking DEI metrics including team diversity representation, development equity, and psychological safety scores directly to management KPIs and performance-related pay, converting DEI commitment into structural accountability.</w:t>
      </w:r>
    </w:p>
    <w:p w14:paraId="5657F875" w14:textId="0D83B6E6" w:rsidR="002A45F9" w:rsidRPr="00376AB9" w:rsidRDefault="00000000" w:rsidP="00891778">
      <w:pPr>
        <w:pStyle w:val="ListParagraph"/>
        <w:numPr>
          <w:ilvl w:val="0"/>
          <w:numId w:val="2"/>
        </w:numPr>
        <w:spacing w:line="360" w:lineRule="auto"/>
        <w:jc w:val="both"/>
      </w:pPr>
      <w:r w:rsidRPr="00376AB9">
        <w:t>Prioritise management capability development specifically change leadership, inclusive leadership, and coaching competencies as an organisational investment that precedes, rather than follows, the implementation of all three HR practice areas.</w:t>
      </w:r>
    </w:p>
    <w:p w14:paraId="3012CE92" w14:textId="2C7A5321" w:rsidR="002866AB" w:rsidRPr="00376AB9" w:rsidRDefault="002A45F9" w:rsidP="00891778">
      <w:pPr>
        <w:spacing w:line="360" w:lineRule="auto"/>
        <w:jc w:val="both"/>
      </w:pPr>
      <w:r w:rsidRPr="00376AB9">
        <w:br w:type="page"/>
      </w:r>
    </w:p>
    <w:p w14:paraId="07E37D45" w14:textId="77777777" w:rsidR="002866AB" w:rsidRPr="00376AB9" w:rsidRDefault="002866AB" w:rsidP="00891778">
      <w:pPr>
        <w:spacing w:line="360" w:lineRule="auto"/>
        <w:jc w:val="both"/>
      </w:pPr>
    </w:p>
    <w:p w14:paraId="3D496E99" w14:textId="77777777" w:rsidR="002866AB" w:rsidRPr="00376AB9" w:rsidRDefault="00000000" w:rsidP="00891778">
      <w:pPr>
        <w:pStyle w:val="Heading1"/>
        <w:spacing w:line="360" w:lineRule="auto"/>
        <w:jc w:val="both"/>
        <w:rPr>
          <w:color w:val="auto"/>
        </w:rPr>
      </w:pPr>
      <w:bookmarkStart w:id="11" w:name="_Toc224314963"/>
      <w:r w:rsidRPr="00376AB9">
        <w:rPr>
          <w:color w:val="auto"/>
        </w:rPr>
        <w:t>References</w:t>
      </w:r>
      <w:bookmarkEnd w:id="11"/>
    </w:p>
    <w:p w14:paraId="4524B5B4" w14:textId="77777777" w:rsidR="002866AB" w:rsidRPr="00376AB9" w:rsidRDefault="00000000" w:rsidP="00891778">
      <w:pPr>
        <w:spacing w:after="160" w:line="360" w:lineRule="auto"/>
        <w:ind w:left="720" w:hanging="720"/>
        <w:jc w:val="both"/>
      </w:pPr>
      <w:r w:rsidRPr="00376AB9">
        <w:t>Armstrong, M. and Taylor, S. (2020) Armstrong's Handbook of Human Resource Management Practice. 15th edn. London: Kogan Page.</w:t>
      </w:r>
    </w:p>
    <w:p w14:paraId="2C5B973A" w14:textId="77777777" w:rsidR="002866AB" w:rsidRPr="00376AB9" w:rsidRDefault="00000000" w:rsidP="00891778">
      <w:pPr>
        <w:spacing w:after="160" w:line="360" w:lineRule="auto"/>
        <w:ind w:left="720" w:hanging="720"/>
        <w:jc w:val="both"/>
      </w:pPr>
      <w:r w:rsidRPr="00376AB9">
        <w:t>Boxall, P. and Purcell, J. (2022) Strategy and Human Resource Management. 5th edn. London: Bloomsbury Publishing.</w:t>
      </w:r>
    </w:p>
    <w:p w14:paraId="50C567EF" w14:textId="77777777" w:rsidR="002866AB" w:rsidRPr="00376AB9" w:rsidRDefault="00000000" w:rsidP="00891778">
      <w:pPr>
        <w:spacing w:after="160" w:line="360" w:lineRule="auto"/>
        <w:ind w:left="720" w:hanging="720"/>
        <w:jc w:val="both"/>
      </w:pPr>
      <w:r w:rsidRPr="00376AB9">
        <w:t>Cascio, W.F. and Boudreau, J.W. (2019) 'Talent Management: Pathways to Organizational Effectiveness', in Collings, D.G., Mellahi, K. and Cascio, W.F. (eds.) The Oxford Handbook of Talent Management. Oxford: Oxford University Press, pp. 5–28.</w:t>
      </w:r>
    </w:p>
    <w:p w14:paraId="403109D3" w14:textId="1166F21D" w:rsidR="002866AB" w:rsidRPr="00376AB9" w:rsidRDefault="00000000" w:rsidP="00891778">
      <w:pPr>
        <w:spacing w:after="160" w:line="360" w:lineRule="auto"/>
        <w:ind w:left="720" w:hanging="720"/>
        <w:jc w:val="both"/>
      </w:pPr>
      <w:r w:rsidRPr="00376AB9">
        <w:t xml:space="preserve">Chartered Institute of Personnel and Development (CIPD) (2022) Diversity and Inclusion at Work: Annual Benchmarking Survey. London: CIPD. Available at: </w:t>
      </w:r>
      <w:hyperlink r:id="rId10" w:history="1">
        <w:r w:rsidR="00EE0510" w:rsidRPr="000D6A7C">
          <w:rPr>
            <w:rStyle w:val="Hyperlink"/>
          </w:rPr>
          <w:t>https://www.cipd.org/uk/knowledge/reports/inclusion-work/</w:t>
        </w:r>
      </w:hyperlink>
      <w:r w:rsidR="00EE0510">
        <w:t xml:space="preserve"> </w:t>
      </w:r>
      <w:r w:rsidR="00605F3A" w:rsidRPr="00376AB9">
        <w:t xml:space="preserve"> </w:t>
      </w:r>
      <w:r w:rsidRPr="00376AB9">
        <w:t xml:space="preserve"> (Accessed: 10 March 2026).</w:t>
      </w:r>
    </w:p>
    <w:p w14:paraId="3452C0DD" w14:textId="32F5E5E8" w:rsidR="002866AB" w:rsidRPr="00376AB9" w:rsidRDefault="00000000" w:rsidP="00891778">
      <w:pPr>
        <w:spacing w:after="160" w:line="360" w:lineRule="auto"/>
        <w:ind w:left="720" w:hanging="720"/>
        <w:jc w:val="both"/>
      </w:pPr>
      <w:r w:rsidRPr="00376AB9">
        <w:t xml:space="preserve">Chartered Institute of Personnel and Development (CIPD) (2022) Resourcing and Talent Planning Survey 2022. London: CIPD. Available at: </w:t>
      </w:r>
      <w:hyperlink r:id="rId11" w:history="1">
        <w:r w:rsidR="00EE0510" w:rsidRPr="000D6A7C">
          <w:rPr>
            <w:rStyle w:val="Hyperlink"/>
          </w:rPr>
          <w:t>https://www.cipd.org/globalassets/media/knowledge/knowledge-hub/reports/resourcing-and-talent-planning-report-2022-1_tcm18-111500.pdf</w:t>
        </w:r>
      </w:hyperlink>
      <w:r w:rsidR="00EE0510">
        <w:t xml:space="preserve"> </w:t>
      </w:r>
      <w:r w:rsidR="00605F3A" w:rsidRPr="00376AB9">
        <w:t xml:space="preserve">  (</w:t>
      </w:r>
      <w:r w:rsidRPr="00376AB9">
        <w:t>Accessed: 10 March 2026).</w:t>
      </w:r>
    </w:p>
    <w:p w14:paraId="65BDB6A0" w14:textId="218C4763" w:rsidR="002866AB" w:rsidRPr="00376AB9" w:rsidRDefault="00000000" w:rsidP="00891778">
      <w:pPr>
        <w:spacing w:after="160" w:line="360" w:lineRule="auto"/>
        <w:ind w:left="720" w:hanging="720"/>
        <w:jc w:val="both"/>
      </w:pPr>
      <w:r w:rsidRPr="00376AB9">
        <w:t xml:space="preserve">Chartered Institute of Personnel and Development (CIPD) (2023) Learning and Development Survey 2023. London: CIPD. Available at: </w:t>
      </w:r>
      <w:hyperlink r:id="rId12" w:history="1">
        <w:r w:rsidR="00EE0510" w:rsidRPr="000D6A7C">
          <w:rPr>
            <w:rStyle w:val="Hyperlink"/>
          </w:rPr>
          <w:t>https://www.cipd.org/globalassets/media/knowledge/knowledge-hub/reports/2023-pdfs/2023-learning-at-work-survey-report-8378.pdf</w:t>
        </w:r>
      </w:hyperlink>
      <w:r w:rsidR="00EE0510">
        <w:t xml:space="preserve"> </w:t>
      </w:r>
      <w:r w:rsidR="00605F3A" w:rsidRPr="00376AB9">
        <w:t xml:space="preserve"> </w:t>
      </w:r>
      <w:r w:rsidRPr="00376AB9">
        <w:t xml:space="preserve"> (Accessed: 10 March 2026).</w:t>
      </w:r>
    </w:p>
    <w:p w14:paraId="3A13F7E2" w14:textId="26872228" w:rsidR="002866AB" w:rsidRPr="00376AB9" w:rsidRDefault="00000000" w:rsidP="00891778">
      <w:pPr>
        <w:spacing w:after="160" w:line="360" w:lineRule="auto"/>
        <w:ind w:left="720" w:hanging="720"/>
        <w:jc w:val="both"/>
      </w:pPr>
      <w:r w:rsidRPr="00376AB9">
        <w:t xml:space="preserve">Chartered Institute of Personnel and Development (CIPD) (2024) People Profession 2024: UK and Ireland Survey Report. London: CIPD. Available at: </w:t>
      </w:r>
      <w:hyperlink r:id="rId13" w:history="1">
        <w:r w:rsidR="00605F3A" w:rsidRPr="00376AB9">
          <w:rPr>
            <w:rStyle w:val="Hyperlink"/>
            <w:color w:val="auto"/>
          </w:rPr>
          <w:t>https://www.cipd.org/uk/knowledge/reports/people-profession-survey/</w:t>
        </w:r>
      </w:hyperlink>
      <w:r w:rsidR="00605F3A" w:rsidRPr="00376AB9">
        <w:t xml:space="preserve"> </w:t>
      </w:r>
      <w:r w:rsidRPr="00376AB9">
        <w:t xml:space="preserve"> (Accessed: 10 March 2026).</w:t>
      </w:r>
    </w:p>
    <w:p w14:paraId="2B197830" w14:textId="77777777" w:rsidR="002866AB" w:rsidRPr="00376AB9" w:rsidRDefault="00000000" w:rsidP="00891778">
      <w:pPr>
        <w:spacing w:after="160" w:line="360" w:lineRule="auto"/>
        <w:ind w:left="720" w:hanging="720"/>
        <w:jc w:val="both"/>
      </w:pPr>
      <w:r w:rsidRPr="00376AB9">
        <w:t>Collings, D.G., Mellahi, K. and Cascio, W.F. (eds.) (2019) The Oxford Handbook of Talent Management. Oxford: Oxford University Press.</w:t>
      </w:r>
    </w:p>
    <w:p w14:paraId="0B24902C" w14:textId="15242864" w:rsidR="002866AB" w:rsidRPr="00376AB9" w:rsidRDefault="00000000" w:rsidP="00891778">
      <w:pPr>
        <w:spacing w:after="160" w:line="360" w:lineRule="auto"/>
        <w:ind w:left="720" w:hanging="720"/>
        <w:jc w:val="both"/>
      </w:pPr>
      <w:r w:rsidRPr="00376AB9">
        <w:t xml:space="preserve">Deloitte (2023) Global Human Capital Trends 2023: New Fundamentals for a Boundaryless World. London: Deloitte Insights. Available at: </w:t>
      </w:r>
      <w:hyperlink r:id="rId14" w:history="1">
        <w:r w:rsidR="00605F3A" w:rsidRPr="00376AB9">
          <w:rPr>
            <w:rStyle w:val="Hyperlink"/>
            <w:color w:val="auto"/>
          </w:rPr>
          <w:t>https://www2.deloitte.com/us/en/insights/focus/human-capital-trends.html</w:t>
        </w:r>
      </w:hyperlink>
      <w:r w:rsidR="00605F3A" w:rsidRPr="00376AB9">
        <w:t xml:space="preserve"> </w:t>
      </w:r>
      <w:r w:rsidRPr="00376AB9">
        <w:t xml:space="preserve"> (Accessed: 10 March 2026).</w:t>
      </w:r>
    </w:p>
    <w:p w14:paraId="14BBAD72" w14:textId="4463041D" w:rsidR="002866AB" w:rsidRPr="00376AB9" w:rsidRDefault="00000000" w:rsidP="00891778">
      <w:pPr>
        <w:spacing w:after="160" w:line="360" w:lineRule="auto"/>
        <w:ind w:left="720" w:hanging="720"/>
        <w:jc w:val="both"/>
      </w:pPr>
      <w:r w:rsidRPr="00376AB9">
        <w:lastRenderedPageBreak/>
        <w:t xml:space="preserve">HM Government (2023) Ethnicity Pay Reporting: Government Response and Guidance. London: HMSO. Available at: </w:t>
      </w:r>
      <w:hyperlink r:id="rId15" w:history="1">
        <w:r w:rsidR="00EE0510" w:rsidRPr="000D6A7C">
          <w:rPr>
            <w:rStyle w:val="Hyperlink"/>
          </w:rPr>
          <w:t>https://www.gov.uk/government/publications/ethnicity-pay-reporting-guidance-for-employers</w:t>
        </w:r>
      </w:hyperlink>
      <w:r w:rsidR="00EE0510">
        <w:t xml:space="preserve"> </w:t>
      </w:r>
      <w:r w:rsidR="00605F3A" w:rsidRPr="00376AB9">
        <w:t xml:space="preserve"> </w:t>
      </w:r>
      <w:r w:rsidRPr="00376AB9">
        <w:t xml:space="preserve"> (Accessed: 10 March 2026).</w:t>
      </w:r>
    </w:p>
    <w:p w14:paraId="7EF9B07F" w14:textId="5CC83302" w:rsidR="002866AB" w:rsidRPr="00376AB9" w:rsidRDefault="00000000" w:rsidP="00891778">
      <w:pPr>
        <w:spacing w:after="160" w:line="360" w:lineRule="auto"/>
        <w:ind w:left="720" w:hanging="720"/>
        <w:jc w:val="both"/>
      </w:pPr>
      <w:r w:rsidRPr="00376AB9">
        <w:t xml:space="preserve">Hunt, V., Prince, S., Dixon-Fyle, S. and Yee, L. (2018) Delivering Through Diversity. New York: McKinsey and Company. Available at: </w:t>
      </w:r>
      <w:hyperlink r:id="rId16" w:history="1">
        <w:r w:rsidR="00605F3A" w:rsidRPr="00376AB9">
          <w:rPr>
            <w:rStyle w:val="Hyperlink"/>
            <w:color w:val="auto"/>
          </w:rPr>
          <w:t>https://www.mckinsey.com/business-functions/people-and-organizational-performance/our-insights/delivering-through-diversity</w:t>
        </w:r>
      </w:hyperlink>
      <w:r w:rsidR="00605F3A" w:rsidRPr="00376AB9">
        <w:t xml:space="preserve"> </w:t>
      </w:r>
      <w:r w:rsidRPr="00376AB9">
        <w:t xml:space="preserve"> (Accessed: 10 March 2026).</w:t>
      </w:r>
    </w:p>
    <w:p w14:paraId="4BF50048" w14:textId="69D4C661" w:rsidR="002866AB" w:rsidRPr="00376AB9" w:rsidRDefault="00000000" w:rsidP="00891778">
      <w:pPr>
        <w:spacing w:after="160" w:line="360" w:lineRule="auto"/>
        <w:ind w:left="720" w:hanging="720"/>
        <w:jc w:val="both"/>
      </w:pPr>
      <w:r w:rsidRPr="00376AB9">
        <w:t xml:space="preserve">McKinsey and Company (2020) Diversity Wins: How Inclusion Matters. New York: McKinsey Global Institute. Available at: </w:t>
      </w:r>
      <w:hyperlink r:id="rId17" w:history="1">
        <w:r w:rsidR="00605F3A" w:rsidRPr="00376AB9">
          <w:rPr>
            <w:rStyle w:val="Hyperlink"/>
            <w:color w:val="auto"/>
          </w:rPr>
          <w:t>https://www.mckinsey.com/featured-insights/diversity-and-inclusion/diversity-wins-how-inclusion-matters</w:t>
        </w:r>
      </w:hyperlink>
      <w:r w:rsidR="00605F3A" w:rsidRPr="00376AB9">
        <w:t xml:space="preserve"> </w:t>
      </w:r>
      <w:r w:rsidRPr="00376AB9">
        <w:t xml:space="preserve"> (Accessed: 10 March 2026).</w:t>
      </w:r>
    </w:p>
    <w:p w14:paraId="1118A5A6" w14:textId="77777777" w:rsidR="002866AB" w:rsidRPr="00376AB9" w:rsidRDefault="00000000" w:rsidP="00891778">
      <w:pPr>
        <w:spacing w:after="160" w:line="360" w:lineRule="auto"/>
        <w:ind w:left="720" w:hanging="720"/>
        <w:jc w:val="both"/>
      </w:pPr>
      <w:r w:rsidRPr="00376AB9">
        <w:t>Noe, R.A., Hollenbeck, J.R., Gerhart, B. and Wright, P.M. (2021) Human Resource Management: Gaining a Competitive Advantage. 12th edn. New York: McGraw-Hill Education.</w:t>
      </w:r>
    </w:p>
    <w:p w14:paraId="79977C76" w14:textId="68F3CC12" w:rsidR="002866AB" w:rsidRPr="00376AB9" w:rsidRDefault="00000000" w:rsidP="00891778">
      <w:pPr>
        <w:spacing w:after="160" w:line="360" w:lineRule="auto"/>
        <w:ind w:left="720" w:hanging="720"/>
        <w:jc w:val="both"/>
      </w:pPr>
      <w:r w:rsidRPr="00376AB9">
        <w:t xml:space="preserve">Office for National Statistics (ONS) (2023) Employee Earnings in the UK: 2023. Newport: ONS. Available at: </w:t>
      </w:r>
      <w:hyperlink r:id="rId18" w:history="1">
        <w:r w:rsidR="00605F3A" w:rsidRPr="00376AB9">
          <w:rPr>
            <w:rStyle w:val="Hyperlink"/>
            <w:color w:val="auto"/>
          </w:rPr>
          <w:t>https://www.ons.gov.uk/employmentandlabourmarket/peopleinwork/earningsandworkinghours/bulletins/annualsurveyofhoursandearnings/2023</w:t>
        </w:r>
      </w:hyperlink>
      <w:r w:rsidR="00605F3A" w:rsidRPr="00376AB9">
        <w:t xml:space="preserve"> </w:t>
      </w:r>
      <w:r w:rsidRPr="00376AB9">
        <w:t xml:space="preserve"> (Accessed: 10 March 2026).</w:t>
      </w:r>
    </w:p>
    <w:p w14:paraId="438EACAF" w14:textId="56A0E13B" w:rsidR="002866AB" w:rsidRPr="00376AB9" w:rsidRDefault="00000000" w:rsidP="00891778">
      <w:pPr>
        <w:spacing w:after="160" w:line="360" w:lineRule="auto"/>
        <w:ind w:left="720" w:hanging="720"/>
        <w:jc w:val="both"/>
      </w:pPr>
      <w:r w:rsidRPr="00376AB9">
        <w:t xml:space="preserve">PricewaterhouseCoopers (PwC) (2023) Global Workforce Hopes and Fears Survey 2023. London: PwC. Available at: </w:t>
      </w:r>
      <w:hyperlink r:id="rId19" w:history="1">
        <w:r w:rsidR="00EE0510" w:rsidRPr="000D6A7C">
          <w:rPr>
            <w:rStyle w:val="Hyperlink"/>
          </w:rPr>
          <w:t>https://www.pwc.com/gx/en/news-room/press-releases/2023/pwc-global-workforce-hopes-and-fears-survey-2023.html</w:t>
        </w:r>
      </w:hyperlink>
      <w:r w:rsidR="00EE0510">
        <w:t xml:space="preserve"> </w:t>
      </w:r>
      <w:r w:rsidR="00605F3A" w:rsidRPr="00376AB9">
        <w:t xml:space="preserve"> </w:t>
      </w:r>
      <w:r w:rsidRPr="00376AB9">
        <w:t xml:space="preserve"> (Accessed: 10 March 2026).</w:t>
      </w:r>
    </w:p>
    <w:p w14:paraId="53838C1E" w14:textId="557969CC" w:rsidR="002866AB" w:rsidRPr="00376AB9" w:rsidRDefault="00000000" w:rsidP="00891778">
      <w:pPr>
        <w:spacing w:after="160" w:line="360" w:lineRule="auto"/>
        <w:ind w:left="720" w:hanging="720"/>
        <w:jc w:val="both"/>
      </w:pPr>
      <w:r w:rsidRPr="00376AB9">
        <w:t xml:space="preserve">Shore, L.M., Cleveland, J.N. and Sanchez, D. (2018) 'Inclusive workplaces: A review and model', Human Resource Management Review, 28(2), pp. 176–189. </w:t>
      </w:r>
      <w:hyperlink r:id="rId20" w:history="1">
        <w:r w:rsidR="00605F3A" w:rsidRPr="00376AB9">
          <w:rPr>
            <w:rStyle w:val="Hyperlink"/>
            <w:color w:val="auto"/>
          </w:rPr>
          <w:t>https://doi.org/10.1016/j.hrmr.2017.07.003</w:t>
        </w:r>
      </w:hyperlink>
      <w:r w:rsidR="000D5115">
        <w:t xml:space="preserve"> </w:t>
      </w:r>
      <w:r w:rsidR="00605F3A" w:rsidRPr="00376AB9">
        <w:t xml:space="preserve"> </w:t>
      </w:r>
    </w:p>
    <w:p w14:paraId="78A32CDE" w14:textId="5E77BA63" w:rsidR="002866AB" w:rsidRPr="00376AB9" w:rsidRDefault="00000000" w:rsidP="00891778">
      <w:pPr>
        <w:spacing w:after="160" w:line="360" w:lineRule="auto"/>
        <w:ind w:left="720" w:hanging="720"/>
        <w:jc w:val="both"/>
      </w:pPr>
      <w:r w:rsidRPr="00376AB9">
        <w:t xml:space="preserve">Tesco PLC (2023) Gender Pay Gap Report 2023. Welwyn Garden City: Tesco PLC. Available at: </w:t>
      </w:r>
      <w:hyperlink r:id="rId21" w:history="1">
        <w:r w:rsidR="00EE0510" w:rsidRPr="000D6A7C">
          <w:rPr>
            <w:rStyle w:val="Hyperlink"/>
          </w:rPr>
          <w:t>https://www.tescoplc.com/media/btxmk3vi/tesco-everyones-welcome-report-2023_final_060324_130pm.pdf</w:t>
        </w:r>
      </w:hyperlink>
      <w:r w:rsidR="00EE0510">
        <w:t xml:space="preserve"> </w:t>
      </w:r>
      <w:r w:rsidR="00605F3A" w:rsidRPr="00376AB9">
        <w:t xml:space="preserve"> </w:t>
      </w:r>
      <w:r w:rsidRPr="00376AB9">
        <w:t xml:space="preserve"> (Accessed: 10 March 2026).</w:t>
      </w:r>
    </w:p>
    <w:p w14:paraId="26FD35EA" w14:textId="33F06024" w:rsidR="002866AB" w:rsidRPr="00376AB9" w:rsidRDefault="00000000" w:rsidP="00891778">
      <w:pPr>
        <w:spacing w:after="160" w:line="360" w:lineRule="auto"/>
        <w:ind w:left="720" w:hanging="720"/>
        <w:jc w:val="both"/>
      </w:pPr>
      <w:r w:rsidRPr="00376AB9">
        <w:t xml:space="preserve">Tesco PLC (2024) Annual Report and Financial Statements 2024. Welwyn Garden City: Tesco PLC. Available at: </w:t>
      </w:r>
      <w:hyperlink r:id="rId22" w:history="1">
        <w:r w:rsidR="00EE0510" w:rsidRPr="000D6A7C">
          <w:rPr>
            <w:rStyle w:val="Hyperlink"/>
          </w:rPr>
          <w:t>https://www.tescoplc.com/media/zgvhd0dn/tescos_ar24.pdf</w:t>
        </w:r>
      </w:hyperlink>
      <w:r w:rsidR="00EE0510">
        <w:t xml:space="preserve"> </w:t>
      </w:r>
      <w:r w:rsidR="00605F3A" w:rsidRPr="00376AB9">
        <w:t xml:space="preserve"> </w:t>
      </w:r>
      <w:r w:rsidRPr="00376AB9">
        <w:t xml:space="preserve"> (Accessed: 10 March 2026).</w:t>
      </w:r>
    </w:p>
    <w:p w14:paraId="5B0A0FD3" w14:textId="16B7EA3B" w:rsidR="002866AB" w:rsidRPr="00376AB9" w:rsidRDefault="00000000" w:rsidP="00891778">
      <w:pPr>
        <w:spacing w:after="160" w:line="360" w:lineRule="auto"/>
        <w:ind w:left="720" w:hanging="720"/>
        <w:jc w:val="both"/>
      </w:pPr>
      <w:r w:rsidRPr="00376AB9">
        <w:t>Torrington, D., Hall, L., Taylor, S. and Atkinson, C. (20</w:t>
      </w:r>
      <w:r w:rsidR="003952A2">
        <w:t>17</w:t>
      </w:r>
      <w:r w:rsidRPr="00376AB9">
        <w:t>) Human Resource Management. 10th edn. Harlow: Pearson Education.</w:t>
      </w:r>
    </w:p>
    <w:p w14:paraId="2C0DE5E0" w14:textId="24BFC472" w:rsidR="002866AB" w:rsidRPr="00376AB9" w:rsidRDefault="00000000" w:rsidP="00891778">
      <w:pPr>
        <w:spacing w:after="160" w:line="360" w:lineRule="auto"/>
        <w:ind w:left="720" w:hanging="720"/>
        <w:jc w:val="both"/>
      </w:pPr>
      <w:r w:rsidRPr="00376AB9">
        <w:lastRenderedPageBreak/>
        <w:t xml:space="preserve">World Economic Forum (WEF) (2023) The Future of Jobs Report 2023. Cologny/Geneva: World Economic Forum. Available at: </w:t>
      </w:r>
      <w:hyperlink r:id="rId23" w:history="1">
        <w:r w:rsidR="00605F3A" w:rsidRPr="00376AB9">
          <w:rPr>
            <w:rStyle w:val="Hyperlink"/>
            <w:color w:val="auto"/>
          </w:rPr>
          <w:t>https://www.weforum.org/reports/the-future-of-jobs-report-2023/</w:t>
        </w:r>
      </w:hyperlink>
      <w:r w:rsidR="00605F3A" w:rsidRPr="00376AB9">
        <w:t xml:space="preserve"> </w:t>
      </w:r>
      <w:r w:rsidRPr="00376AB9">
        <w:t xml:space="preserve"> (Accessed: 10 March 2026).</w:t>
      </w:r>
    </w:p>
    <w:p w14:paraId="2C387C25" w14:textId="103E7234" w:rsidR="002866AB" w:rsidRPr="00376AB9" w:rsidRDefault="00000000" w:rsidP="00891778">
      <w:pPr>
        <w:spacing w:after="160" w:line="360" w:lineRule="auto"/>
        <w:ind w:left="720" w:hanging="720"/>
        <w:jc w:val="both"/>
      </w:pPr>
      <w:r w:rsidRPr="00376AB9">
        <w:t xml:space="preserve">Boxall, P. (2018) 'The development of strategic HRM: Reflections on a 30-year journey', Labour and Industry: A Journal of the Social and Economic Relations of Work, 28(1), pp. 21–30. </w:t>
      </w:r>
      <w:hyperlink r:id="rId24" w:history="1">
        <w:r w:rsidR="00605F3A" w:rsidRPr="00376AB9">
          <w:rPr>
            <w:rStyle w:val="Hyperlink"/>
            <w:color w:val="auto"/>
          </w:rPr>
          <w:t>https://doi.org/10.1080/10301763.2018.1440816</w:t>
        </w:r>
      </w:hyperlink>
      <w:r w:rsidR="00605F3A" w:rsidRPr="00376AB9">
        <w:t xml:space="preserve"> </w:t>
      </w:r>
    </w:p>
    <w:sectPr w:rsidR="002866AB" w:rsidRPr="00376AB9">
      <w:headerReference w:type="default" r:id="rId25"/>
      <w:footerReference w:type="default" r:id="rId26"/>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B5B633" w14:textId="77777777" w:rsidR="003054A1" w:rsidRDefault="003054A1">
      <w:r>
        <w:separator/>
      </w:r>
    </w:p>
  </w:endnote>
  <w:endnote w:type="continuationSeparator" w:id="0">
    <w:p w14:paraId="70F072EB" w14:textId="77777777" w:rsidR="003054A1" w:rsidRDefault="003054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53067380"/>
      <w:docPartObj>
        <w:docPartGallery w:val="Page Numbers (Bottom of Page)"/>
        <w:docPartUnique/>
      </w:docPartObj>
    </w:sdtPr>
    <w:sdtContent>
      <w:p w14:paraId="47C31781" w14:textId="16E10633" w:rsidR="00287B7C" w:rsidRDefault="00287B7C">
        <w:pPr>
          <w:pStyle w:val="Footer"/>
          <w:jc w:val="center"/>
        </w:pPr>
        <w:r>
          <w:fldChar w:fldCharType="begin"/>
        </w:r>
        <w:r>
          <w:instrText>PAGE   \* MERGEFORMAT</w:instrText>
        </w:r>
        <w:r>
          <w:fldChar w:fldCharType="separate"/>
        </w:r>
        <w:r>
          <w:t>2</w:t>
        </w:r>
        <w:r>
          <w:fldChar w:fldCharType="end"/>
        </w:r>
      </w:p>
    </w:sdtContent>
  </w:sdt>
  <w:p w14:paraId="024814BA" w14:textId="77777777" w:rsidR="00287B7C" w:rsidRDefault="00287B7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81E1BB4" w14:textId="77777777" w:rsidR="002866AB" w:rsidRDefault="00000000">
    <w:pPr>
      <w:pBdr>
        <w:top w:val="single" w:sz="4" w:space="4" w:color="2E75B6"/>
      </w:pBdr>
      <w:jc w:val="center"/>
    </w:pPr>
    <w:r>
      <w:rPr>
        <w:color w:val="595959"/>
        <w:sz w:val="18"/>
        <w:szCs w:val="18"/>
      </w:rPr>
      <w:t xml:space="preserve">Page </w:t>
    </w:r>
    <w:r>
      <w:rPr>
        <w:color w:val="595959"/>
        <w:sz w:val="18"/>
        <w:szCs w:val="18"/>
      </w:rPr>
      <w:fldChar w:fldCharType="begin"/>
    </w:r>
    <w:r>
      <w:rPr>
        <w:color w:val="595959"/>
        <w:sz w:val="18"/>
        <w:szCs w:val="18"/>
      </w:rPr>
      <w:instrText>PAGE</w:instrText>
    </w:r>
    <w:r>
      <w:rPr>
        <w:color w:val="595959"/>
        <w:sz w:val="18"/>
        <w:szCs w:val="18"/>
      </w:rPr>
      <w:fldChar w:fldCharType="separate"/>
    </w:r>
    <w:r w:rsidR="002A45F9">
      <w:rPr>
        <w:noProof/>
        <w:color w:val="595959"/>
        <w:sz w:val="18"/>
        <w:szCs w:val="18"/>
      </w:rPr>
      <w:t>2</w:t>
    </w:r>
    <w:r>
      <w:rPr>
        <w:color w:val="595959"/>
        <w:sz w:val="18"/>
        <w:szCs w:val="18"/>
      </w:rPr>
      <w:fldChar w:fldCharType="end"/>
    </w:r>
    <w:r>
      <w:rPr>
        <w:color w:val="595959"/>
        <w:sz w:val="18"/>
        <w:szCs w:val="18"/>
      </w:rPr>
      <w:t xml:space="preserve"> of </w:t>
    </w:r>
    <w:r>
      <w:rPr>
        <w:color w:val="595959"/>
        <w:sz w:val="18"/>
        <w:szCs w:val="18"/>
      </w:rPr>
      <w:fldChar w:fldCharType="begin"/>
    </w:r>
    <w:r>
      <w:rPr>
        <w:color w:val="595959"/>
        <w:sz w:val="18"/>
        <w:szCs w:val="18"/>
      </w:rPr>
      <w:instrText>NUMPAGES</w:instrText>
    </w:r>
    <w:r>
      <w:rPr>
        <w:color w:val="595959"/>
        <w:sz w:val="18"/>
        <w:szCs w:val="18"/>
      </w:rPr>
      <w:fldChar w:fldCharType="separate"/>
    </w:r>
    <w:r w:rsidR="002A45F9">
      <w:rPr>
        <w:noProof/>
        <w:color w:val="595959"/>
        <w:sz w:val="18"/>
        <w:szCs w:val="18"/>
      </w:rPr>
      <w:t>3</w:t>
    </w:r>
    <w:r>
      <w:rPr>
        <w:color w:val="595959"/>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40C499" w14:textId="77777777" w:rsidR="003054A1" w:rsidRDefault="003054A1">
      <w:r>
        <w:separator/>
      </w:r>
    </w:p>
  </w:footnote>
  <w:footnote w:type="continuationSeparator" w:id="0">
    <w:p w14:paraId="7CD4A621" w14:textId="77777777" w:rsidR="003054A1" w:rsidRDefault="003054A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47A80D" w14:textId="77777777" w:rsidR="00197341" w:rsidRDefault="00197341" w:rsidP="00197341">
    <w:pPr>
      <w:pBdr>
        <w:bottom w:val="single" w:sz="4" w:space="4" w:color="2E75B6"/>
      </w:pBdr>
      <w:jc w:val="center"/>
    </w:pPr>
    <w:r>
      <w:rPr>
        <w:color w:val="595959"/>
        <w:sz w:val="18"/>
        <w:szCs w:val="18"/>
      </w:rPr>
      <w:t>LCLM5002 – Developing and Managing Individuals and Teams | Component 2 – Individual Report</w:t>
    </w:r>
  </w:p>
  <w:p w14:paraId="5E4B60EA" w14:textId="77777777" w:rsidR="00197341" w:rsidRDefault="0019734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3F13F8" w14:textId="356E093B" w:rsidR="002866AB" w:rsidRDefault="00000000" w:rsidP="00197341">
    <w:pPr>
      <w:pBdr>
        <w:bottom w:val="single" w:sz="4" w:space="4" w:color="2E75B6"/>
      </w:pBdr>
      <w:jc w:val="center"/>
    </w:pPr>
    <w:r>
      <w:rPr>
        <w:color w:val="595959"/>
        <w:sz w:val="18"/>
        <w:szCs w:val="18"/>
      </w:rPr>
      <w:t xml:space="preserve">LCLM5002 – Developing and Managing Individuals and </w:t>
    </w:r>
    <w:r w:rsidR="00BF538D">
      <w:rPr>
        <w:color w:val="595959"/>
        <w:sz w:val="18"/>
        <w:szCs w:val="18"/>
      </w:rPr>
      <w:t>Teams | Component</w:t>
    </w:r>
    <w:r>
      <w:rPr>
        <w:color w:val="595959"/>
        <w:sz w:val="18"/>
        <w:szCs w:val="18"/>
      </w:rPr>
      <w:t xml:space="preserve"> 2 – Individual Report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1374256"/>
    <w:multiLevelType w:val="hybridMultilevel"/>
    <w:tmpl w:val="57B29918"/>
    <w:lvl w:ilvl="0" w:tplc="B546F11A">
      <w:start w:val="1"/>
      <w:numFmt w:val="decimal"/>
      <w:lvlText w:val="%1."/>
      <w:lvlJc w:val="left"/>
      <w:pPr>
        <w:spacing w:after="120" w:line="276" w:lineRule="auto"/>
        <w:ind w:left="720" w:hanging="360"/>
      </w:pPr>
    </w:lvl>
    <w:lvl w:ilvl="1" w:tplc="FBA6D518">
      <w:numFmt w:val="decimal"/>
      <w:lvlText w:val=""/>
      <w:lvlJc w:val="left"/>
    </w:lvl>
    <w:lvl w:ilvl="2" w:tplc="8D4E594C">
      <w:numFmt w:val="decimal"/>
      <w:lvlText w:val=""/>
      <w:lvlJc w:val="left"/>
    </w:lvl>
    <w:lvl w:ilvl="3" w:tplc="528AD630">
      <w:numFmt w:val="decimal"/>
      <w:lvlText w:val=""/>
      <w:lvlJc w:val="left"/>
    </w:lvl>
    <w:lvl w:ilvl="4" w:tplc="6E1A53F0">
      <w:numFmt w:val="decimal"/>
      <w:lvlText w:val=""/>
      <w:lvlJc w:val="left"/>
    </w:lvl>
    <w:lvl w:ilvl="5" w:tplc="93965EFE">
      <w:numFmt w:val="decimal"/>
      <w:lvlText w:val=""/>
      <w:lvlJc w:val="left"/>
    </w:lvl>
    <w:lvl w:ilvl="6" w:tplc="AEEE7606">
      <w:numFmt w:val="decimal"/>
      <w:lvlText w:val=""/>
      <w:lvlJc w:val="left"/>
    </w:lvl>
    <w:lvl w:ilvl="7" w:tplc="60CAB168">
      <w:numFmt w:val="decimal"/>
      <w:lvlText w:val=""/>
      <w:lvlJc w:val="left"/>
    </w:lvl>
    <w:lvl w:ilvl="8" w:tplc="7A56D896">
      <w:numFmt w:val="decimal"/>
      <w:lvlText w:val=""/>
      <w:lvlJc w:val="left"/>
    </w:lvl>
  </w:abstractNum>
  <w:abstractNum w:abstractNumId="1" w15:restartNumberingAfterBreak="0">
    <w:nsid w:val="5EB50A99"/>
    <w:multiLevelType w:val="hybridMultilevel"/>
    <w:tmpl w:val="77BE3032"/>
    <w:lvl w:ilvl="0" w:tplc="3EACC13E">
      <w:start w:val="1"/>
      <w:numFmt w:val="bullet"/>
      <w:lvlText w:val="●"/>
      <w:lvlJc w:val="left"/>
      <w:pPr>
        <w:ind w:left="720" w:hanging="360"/>
      </w:pPr>
    </w:lvl>
    <w:lvl w:ilvl="1" w:tplc="FAC4B6B6">
      <w:start w:val="1"/>
      <w:numFmt w:val="bullet"/>
      <w:lvlText w:val="○"/>
      <w:lvlJc w:val="left"/>
      <w:pPr>
        <w:ind w:left="1440" w:hanging="360"/>
      </w:pPr>
    </w:lvl>
    <w:lvl w:ilvl="2" w:tplc="F1502A9A">
      <w:start w:val="1"/>
      <w:numFmt w:val="bullet"/>
      <w:lvlText w:val="■"/>
      <w:lvlJc w:val="left"/>
      <w:pPr>
        <w:ind w:left="2160" w:hanging="360"/>
      </w:pPr>
    </w:lvl>
    <w:lvl w:ilvl="3" w:tplc="DE54F33C">
      <w:start w:val="1"/>
      <w:numFmt w:val="bullet"/>
      <w:lvlText w:val="●"/>
      <w:lvlJc w:val="left"/>
      <w:pPr>
        <w:ind w:left="2880" w:hanging="360"/>
      </w:pPr>
    </w:lvl>
    <w:lvl w:ilvl="4" w:tplc="F0CA2084">
      <w:start w:val="1"/>
      <w:numFmt w:val="bullet"/>
      <w:lvlText w:val="○"/>
      <w:lvlJc w:val="left"/>
      <w:pPr>
        <w:ind w:left="3600" w:hanging="360"/>
      </w:pPr>
    </w:lvl>
    <w:lvl w:ilvl="5" w:tplc="AE4043B6">
      <w:start w:val="1"/>
      <w:numFmt w:val="bullet"/>
      <w:lvlText w:val="■"/>
      <w:lvlJc w:val="left"/>
      <w:pPr>
        <w:ind w:left="4320" w:hanging="360"/>
      </w:pPr>
    </w:lvl>
    <w:lvl w:ilvl="6" w:tplc="07221868">
      <w:start w:val="1"/>
      <w:numFmt w:val="bullet"/>
      <w:lvlText w:val="●"/>
      <w:lvlJc w:val="left"/>
      <w:pPr>
        <w:ind w:left="5040" w:hanging="360"/>
      </w:pPr>
    </w:lvl>
    <w:lvl w:ilvl="7" w:tplc="93D266A2">
      <w:start w:val="1"/>
      <w:numFmt w:val="bullet"/>
      <w:lvlText w:val="●"/>
      <w:lvlJc w:val="left"/>
      <w:pPr>
        <w:ind w:left="5760" w:hanging="360"/>
      </w:pPr>
    </w:lvl>
    <w:lvl w:ilvl="8" w:tplc="C4DA79CC">
      <w:start w:val="1"/>
      <w:numFmt w:val="bullet"/>
      <w:lvlText w:val="●"/>
      <w:lvlJc w:val="left"/>
      <w:pPr>
        <w:ind w:left="6480" w:hanging="360"/>
      </w:pPr>
    </w:lvl>
  </w:abstractNum>
  <w:num w:numId="1" w16cid:durableId="1610352394">
    <w:abstractNumId w:val="1"/>
    <w:lvlOverride w:ilvl="0">
      <w:startOverride w:val="1"/>
    </w:lvlOverride>
  </w:num>
  <w:num w:numId="2" w16cid:durableId="2140146317">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866AB"/>
    <w:rsid w:val="00000748"/>
    <w:rsid w:val="00027C52"/>
    <w:rsid w:val="0005777F"/>
    <w:rsid w:val="000B0617"/>
    <w:rsid w:val="000D5115"/>
    <w:rsid w:val="001946A5"/>
    <w:rsid w:val="00197341"/>
    <w:rsid w:val="001A0E89"/>
    <w:rsid w:val="001C5F42"/>
    <w:rsid w:val="002475C5"/>
    <w:rsid w:val="002866AB"/>
    <w:rsid w:val="00287B7C"/>
    <w:rsid w:val="002A45F9"/>
    <w:rsid w:val="002F252F"/>
    <w:rsid w:val="003054A1"/>
    <w:rsid w:val="00322F2E"/>
    <w:rsid w:val="00376AB9"/>
    <w:rsid w:val="003952A2"/>
    <w:rsid w:val="003A1977"/>
    <w:rsid w:val="003C4CCA"/>
    <w:rsid w:val="003E40A6"/>
    <w:rsid w:val="00413CB2"/>
    <w:rsid w:val="004A64FE"/>
    <w:rsid w:val="004C439B"/>
    <w:rsid w:val="004E71C9"/>
    <w:rsid w:val="004F4D42"/>
    <w:rsid w:val="004F5D3B"/>
    <w:rsid w:val="005009ED"/>
    <w:rsid w:val="00541CD1"/>
    <w:rsid w:val="00543A52"/>
    <w:rsid w:val="005633C2"/>
    <w:rsid w:val="00567F9B"/>
    <w:rsid w:val="005E028E"/>
    <w:rsid w:val="005F0BAB"/>
    <w:rsid w:val="00605F3A"/>
    <w:rsid w:val="007250C4"/>
    <w:rsid w:val="007902CC"/>
    <w:rsid w:val="007A77A3"/>
    <w:rsid w:val="008815CD"/>
    <w:rsid w:val="00891778"/>
    <w:rsid w:val="008F6C46"/>
    <w:rsid w:val="00923CB6"/>
    <w:rsid w:val="00975CAD"/>
    <w:rsid w:val="00981D74"/>
    <w:rsid w:val="00B545CE"/>
    <w:rsid w:val="00B93E94"/>
    <w:rsid w:val="00BF538D"/>
    <w:rsid w:val="00CE61E8"/>
    <w:rsid w:val="00D06353"/>
    <w:rsid w:val="00D4290B"/>
    <w:rsid w:val="00DC4F61"/>
    <w:rsid w:val="00DE24F4"/>
    <w:rsid w:val="00E07E5D"/>
    <w:rsid w:val="00E732A8"/>
    <w:rsid w:val="00E738F5"/>
    <w:rsid w:val="00E84000"/>
    <w:rsid w:val="00EE0510"/>
    <w:rsid w:val="00EE1B2D"/>
    <w:rsid w:val="00F2062E"/>
    <w:rsid w:val="00F34223"/>
    <w:rsid w:val="00F373B8"/>
    <w:rsid w:val="00F52BF2"/>
    <w:rsid w:val="00F84FB9"/>
    <w:rsid w:val="00FA6B88"/>
    <w:rsid w:val="00FB40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C1BDE7"/>
  <w15:docId w15:val="{641CECE1-CDD7-41FC-8E85-E3077E3D4C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7341"/>
  </w:style>
  <w:style w:type="paragraph" w:styleId="Heading1">
    <w:name w:val="heading 1"/>
    <w:uiPriority w:val="9"/>
    <w:qFormat/>
    <w:pPr>
      <w:spacing w:before="320" w:after="160"/>
      <w:outlineLvl w:val="0"/>
    </w:pPr>
    <w:rPr>
      <w:b/>
      <w:bCs/>
      <w:color w:val="1F3864"/>
      <w:sz w:val="28"/>
      <w:szCs w:val="28"/>
    </w:rPr>
  </w:style>
  <w:style w:type="paragraph" w:styleId="Heading2">
    <w:name w:val="heading 2"/>
    <w:uiPriority w:val="9"/>
    <w:unhideWhenUsed/>
    <w:qFormat/>
    <w:pPr>
      <w:spacing w:before="240" w:after="120"/>
      <w:outlineLvl w:val="1"/>
    </w:pPr>
    <w:rPr>
      <w:b/>
      <w:bCs/>
      <w:color w:val="2E75B6"/>
      <w:sz w:val="24"/>
      <w:szCs w:val="24"/>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BF538D"/>
    <w:pPr>
      <w:tabs>
        <w:tab w:val="center" w:pos="4513"/>
        <w:tab w:val="right" w:pos="9026"/>
      </w:tabs>
    </w:pPr>
  </w:style>
  <w:style w:type="character" w:customStyle="1" w:styleId="HeaderChar">
    <w:name w:val="Header Char"/>
    <w:basedOn w:val="DefaultParagraphFont"/>
    <w:link w:val="Header"/>
    <w:uiPriority w:val="99"/>
    <w:rsid w:val="00BF538D"/>
  </w:style>
  <w:style w:type="paragraph" w:styleId="Footer">
    <w:name w:val="footer"/>
    <w:basedOn w:val="Normal"/>
    <w:link w:val="FooterChar"/>
    <w:uiPriority w:val="99"/>
    <w:unhideWhenUsed/>
    <w:rsid w:val="00BF538D"/>
    <w:pPr>
      <w:tabs>
        <w:tab w:val="center" w:pos="4513"/>
        <w:tab w:val="right" w:pos="9026"/>
      </w:tabs>
    </w:pPr>
  </w:style>
  <w:style w:type="character" w:customStyle="1" w:styleId="FooterChar">
    <w:name w:val="Footer Char"/>
    <w:basedOn w:val="DefaultParagraphFont"/>
    <w:link w:val="Footer"/>
    <w:uiPriority w:val="99"/>
    <w:rsid w:val="00BF538D"/>
  </w:style>
  <w:style w:type="character" w:styleId="UnresolvedMention">
    <w:name w:val="Unresolved Mention"/>
    <w:basedOn w:val="DefaultParagraphFont"/>
    <w:uiPriority w:val="99"/>
    <w:semiHidden/>
    <w:unhideWhenUsed/>
    <w:rsid w:val="00605F3A"/>
    <w:rPr>
      <w:color w:val="605E5C"/>
      <w:shd w:val="clear" w:color="auto" w:fill="E1DFDD"/>
    </w:rPr>
  </w:style>
  <w:style w:type="paragraph" w:styleId="TOCHeading">
    <w:name w:val="TOC Heading"/>
    <w:basedOn w:val="Heading1"/>
    <w:next w:val="Normal"/>
    <w:uiPriority w:val="39"/>
    <w:unhideWhenUsed/>
    <w:qFormat/>
    <w:rsid w:val="00287B7C"/>
    <w:pPr>
      <w:keepNext/>
      <w:keepLines/>
      <w:spacing w:before="240" w:after="0" w:line="259" w:lineRule="auto"/>
      <w:outlineLvl w:val="9"/>
    </w:pPr>
    <w:rPr>
      <w:rFonts w:asciiTheme="majorHAnsi" w:eastAsiaTheme="majorEastAsia" w:hAnsiTheme="majorHAnsi" w:cstheme="majorBidi"/>
      <w:b w:val="0"/>
      <w:bCs w:val="0"/>
      <w:color w:val="2F5496" w:themeColor="accent1" w:themeShade="BF"/>
      <w:sz w:val="32"/>
      <w:szCs w:val="32"/>
    </w:rPr>
  </w:style>
  <w:style w:type="paragraph" w:styleId="TOC1">
    <w:name w:val="toc 1"/>
    <w:basedOn w:val="Normal"/>
    <w:next w:val="Normal"/>
    <w:autoRedefine/>
    <w:uiPriority w:val="39"/>
    <w:unhideWhenUsed/>
    <w:rsid w:val="00287B7C"/>
    <w:pPr>
      <w:spacing w:after="100"/>
    </w:pPr>
  </w:style>
  <w:style w:type="paragraph" w:styleId="TOC2">
    <w:name w:val="toc 2"/>
    <w:basedOn w:val="Normal"/>
    <w:next w:val="Normal"/>
    <w:autoRedefine/>
    <w:uiPriority w:val="39"/>
    <w:unhideWhenUsed/>
    <w:rsid w:val="00287B7C"/>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s://www.cipd.org/uk/knowledge/reports/people-profession-survey/" TargetMode="External"/><Relationship Id="rId18" Type="http://schemas.openxmlformats.org/officeDocument/2006/relationships/hyperlink" Target="https://www.ons.gov.uk/employmentandlabourmarket/peopleinwork/earningsandworkinghours/bulletins/annualsurveyofhoursandearnings/2023" TargetMode="External"/><Relationship Id="rId26" Type="http://schemas.openxmlformats.org/officeDocument/2006/relationships/footer" Target="footer2.xml"/><Relationship Id="rId3" Type="http://schemas.openxmlformats.org/officeDocument/2006/relationships/styles" Target="styles.xml"/><Relationship Id="rId21" Type="http://schemas.openxmlformats.org/officeDocument/2006/relationships/hyperlink" Target="https://www.tescoplc.com/media/btxmk3vi/tesco-everyones-welcome-report-2023_final_060324_130pm.pdf" TargetMode="External"/><Relationship Id="rId7" Type="http://schemas.openxmlformats.org/officeDocument/2006/relationships/endnotes" Target="endnotes.xml"/><Relationship Id="rId12" Type="http://schemas.openxmlformats.org/officeDocument/2006/relationships/hyperlink" Target="https://www.cipd.org/globalassets/media/knowledge/knowledge-hub/reports/2023-pdfs/2023-learning-at-work-survey-report-8378.pdf" TargetMode="External"/><Relationship Id="rId17" Type="http://schemas.openxmlformats.org/officeDocument/2006/relationships/hyperlink" Target="https://www.mckinsey.com/featured-insights/diversity-and-inclusion/diversity-wins-how-inclusion-matters" TargetMode="External"/><Relationship Id="rId25"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hyperlink" Target="https://www.mckinsey.com/business-functions/people-and-organizational-performance/our-insights/delivering-through-diversity" TargetMode="External"/><Relationship Id="rId20" Type="http://schemas.openxmlformats.org/officeDocument/2006/relationships/hyperlink" Target="https://doi.org/10.1016/j.hrmr.2017.07.003"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ipd.org/globalassets/media/knowledge/knowledge-hub/reports/resourcing-and-talent-planning-report-2022-1_tcm18-111500.pdf" TargetMode="External"/><Relationship Id="rId24" Type="http://schemas.openxmlformats.org/officeDocument/2006/relationships/hyperlink" Target="https://doi.org/10.1080/10301763.2018.1440816" TargetMode="External"/><Relationship Id="rId5" Type="http://schemas.openxmlformats.org/officeDocument/2006/relationships/webSettings" Target="webSettings.xml"/><Relationship Id="rId15" Type="http://schemas.openxmlformats.org/officeDocument/2006/relationships/hyperlink" Target="https://www.gov.uk/government/publications/ethnicity-pay-reporting-guidance-for-employers" TargetMode="External"/><Relationship Id="rId23" Type="http://schemas.openxmlformats.org/officeDocument/2006/relationships/hyperlink" Target="https://www.weforum.org/reports/the-future-of-jobs-report-2023/" TargetMode="External"/><Relationship Id="rId28" Type="http://schemas.openxmlformats.org/officeDocument/2006/relationships/theme" Target="theme/theme1.xml"/><Relationship Id="rId10" Type="http://schemas.openxmlformats.org/officeDocument/2006/relationships/hyperlink" Target="https://www.cipd.org/uk/knowledge/reports/inclusion-work/" TargetMode="External"/><Relationship Id="rId19" Type="http://schemas.openxmlformats.org/officeDocument/2006/relationships/hyperlink" Target="https://www.pwc.com/gx/en/news-room/press-releases/2023/pwc-global-workforce-hopes-and-fears-survey-2023.html"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2.deloitte.com/us/en/insights/focus/human-capital-trends.html" TargetMode="External"/><Relationship Id="rId22" Type="http://schemas.openxmlformats.org/officeDocument/2006/relationships/hyperlink" Target="https://www.tescoplc.com/media/zgvhd0dn/tescos_ar24.pdf"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2395E805-FBC5-4757-ADE0-F68E9258AB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225</TotalTime>
  <Pages>12</Pages>
  <Words>3682</Words>
  <Characters>20994</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Joaquim Marcos De Sousa Freire (2415568)</cp:lastModifiedBy>
  <cp:revision>2</cp:revision>
  <dcterms:created xsi:type="dcterms:W3CDTF">2026-03-13T11:57:00Z</dcterms:created>
  <dcterms:modified xsi:type="dcterms:W3CDTF">2026-04-24T12:08:00Z</dcterms:modified>
</cp:coreProperties>
</file>