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7CF76" w14:textId="77777777" w:rsidR="00C6353B" w:rsidRPr="003A3E0B" w:rsidRDefault="00C6353B" w:rsidP="003A3E0B">
      <w:pPr>
        <w:spacing w:after="120" w:line="240" w:lineRule="auto"/>
        <w:outlineLvl w:val="1"/>
        <w:rPr>
          <w:rFonts w:ascii="Arial" w:hAnsi="Arial" w:cs="Arial"/>
          <w:b/>
          <w:bCs/>
          <w:color w:val="303B44"/>
          <w:kern w:val="36"/>
          <w:sz w:val="40"/>
          <w:szCs w:val="40"/>
          <w:lang w:eastAsia="en-GB"/>
        </w:rPr>
      </w:pPr>
      <w:r w:rsidRPr="003A3E0B">
        <w:rPr>
          <w:rFonts w:ascii="Arial" w:hAnsi="Arial" w:cs="Arial"/>
          <w:b/>
          <w:bCs/>
          <w:color w:val="303B44"/>
          <w:kern w:val="36"/>
          <w:sz w:val="40"/>
          <w:szCs w:val="40"/>
          <w:lang w:eastAsia="en-GB"/>
        </w:rPr>
        <w:t>Evaluating learning and talent development</w:t>
      </w:r>
    </w:p>
    <w:p w14:paraId="583EABF8"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Revised January 2012 </w:t>
      </w:r>
    </w:p>
    <w:p w14:paraId="77583B95" w14:textId="77777777" w:rsidR="00C6353B" w:rsidRPr="003A3E0B" w:rsidRDefault="00C6353B" w:rsidP="003A3E0B">
      <w:pPr>
        <w:spacing w:before="150" w:after="100" w:afterAutospacing="1" w:line="336" w:lineRule="atLeast"/>
        <w:outlineLvl w:val="2"/>
        <w:rPr>
          <w:rFonts w:ascii="Arial" w:hAnsi="Arial" w:cs="Arial"/>
          <w:b/>
          <w:bCs/>
          <w:color w:val="303B44"/>
          <w:sz w:val="28"/>
          <w:szCs w:val="28"/>
          <w:lang w:eastAsia="en-GB"/>
        </w:rPr>
      </w:pPr>
      <w:r w:rsidRPr="003A3E0B">
        <w:rPr>
          <w:rFonts w:ascii="Arial" w:hAnsi="Arial" w:cs="Arial"/>
          <w:b/>
          <w:bCs/>
          <w:color w:val="303B44"/>
          <w:sz w:val="28"/>
          <w:szCs w:val="28"/>
          <w:lang w:eastAsia="en-GB"/>
        </w:rPr>
        <w:t xml:space="preserve">In this factsheet </w:t>
      </w:r>
    </w:p>
    <w:p w14:paraId="0EF2B1F4" w14:textId="77777777" w:rsidR="00C6353B" w:rsidRPr="003A3E0B" w:rsidRDefault="00640FB8" w:rsidP="003A3E0B">
      <w:pPr>
        <w:numPr>
          <w:ilvl w:val="0"/>
          <w:numId w:val="1"/>
        </w:numPr>
        <w:spacing w:before="100" w:beforeAutospacing="1" w:after="120" w:line="336" w:lineRule="atLeast"/>
        <w:ind w:left="150"/>
        <w:rPr>
          <w:rFonts w:ascii="Arial" w:hAnsi="Arial" w:cs="Arial"/>
          <w:color w:val="303B44"/>
          <w:sz w:val="20"/>
          <w:szCs w:val="20"/>
          <w:lang w:eastAsia="en-GB"/>
        </w:rPr>
      </w:pPr>
      <w:hyperlink r:id="rId5" w:anchor="link_0" w:history="1">
        <w:r w:rsidR="00C6353B" w:rsidRPr="003A3E0B">
          <w:rPr>
            <w:rFonts w:ascii="Arial" w:hAnsi="Arial" w:cs="Arial"/>
            <w:color w:val="1578BE"/>
            <w:sz w:val="20"/>
            <w:szCs w:val="20"/>
            <w:lang w:eastAsia="en-GB"/>
          </w:rPr>
          <w:t>What is evaluating learning and talent development?</w:t>
        </w:r>
      </w:hyperlink>
    </w:p>
    <w:p w14:paraId="0FA183A2" w14:textId="77777777" w:rsidR="00C6353B" w:rsidRPr="003A3E0B" w:rsidRDefault="00640FB8" w:rsidP="003A3E0B">
      <w:pPr>
        <w:numPr>
          <w:ilvl w:val="0"/>
          <w:numId w:val="1"/>
        </w:numPr>
        <w:spacing w:before="100" w:beforeAutospacing="1" w:after="120" w:line="336" w:lineRule="atLeast"/>
        <w:ind w:left="150"/>
        <w:rPr>
          <w:rFonts w:ascii="Arial" w:hAnsi="Arial" w:cs="Arial"/>
          <w:color w:val="303B44"/>
          <w:sz w:val="20"/>
          <w:szCs w:val="20"/>
          <w:lang w:eastAsia="en-GB"/>
        </w:rPr>
      </w:pPr>
      <w:hyperlink r:id="rId6" w:anchor="link_1" w:history="1">
        <w:r w:rsidR="00C6353B" w:rsidRPr="003A3E0B">
          <w:rPr>
            <w:rFonts w:ascii="Arial" w:hAnsi="Arial" w:cs="Arial"/>
            <w:color w:val="1578BE"/>
            <w:sz w:val="20"/>
            <w:szCs w:val="20"/>
            <w:lang w:eastAsia="en-GB"/>
          </w:rPr>
          <w:t>Traditional training evaluation: the academic background</w:t>
        </w:r>
      </w:hyperlink>
    </w:p>
    <w:p w14:paraId="424394D9" w14:textId="77777777" w:rsidR="00C6353B" w:rsidRPr="003A3E0B" w:rsidRDefault="00640FB8" w:rsidP="003A3E0B">
      <w:pPr>
        <w:numPr>
          <w:ilvl w:val="0"/>
          <w:numId w:val="1"/>
        </w:numPr>
        <w:spacing w:before="100" w:beforeAutospacing="1" w:after="120" w:line="336" w:lineRule="atLeast"/>
        <w:ind w:left="150"/>
        <w:rPr>
          <w:rFonts w:ascii="Arial" w:hAnsi="Arial" w:cs="Arial"/>
          <w:color w:val="303B44"/>
          <w:sz w:val="20"/>
          <w:szCs w:val="20"/>
          <w:lang w:eastAsia="en-GB"/>
        </w:rPr>
      </w:pPr>
      <w:hyperlink r:id="rId7" w:anchor="link_2" w:history="1">
        <w:r w:rsidR="00C6353B" w:rsidRPr="003A3E0B">
          <w:rPr>
            <w:rFonts w:ascii="Arial" w:hAnsi="Arial" w:cs="Arial"/>
            <w:color w:val="1578BE"/>
            <w:sz w:val="20"/>
            <w:szCs w:val="20"/>
            <w:lang w:eastAsia="en-GB"/>
          </w:rPr>
          <w:t>CIPD’s value of learning research</w:t>
        </w:r>
      </w:hyperlink>
    </w:p>
    <w:p w14:paraId="35B22F1C" w14:textId="77777777" w:rsidR="00C6353B" w:rsidRPr="003A3E0B" w:rsidRDefault="00640FB8" w:rsidP="003A3E0B">
      <w:pPr>
        <w:numPr>
          <w:ilvl w:val="0"/>
          <w:numId w:val="1"/>
        </w:numPr>
        <w:spacing w:before="100" w:beforeAutospacing="1" w:after="120" w:line="336" w:lineRule="atLeast"/>
        <w:ind w:left="150"/>
        <w:rPr>
          <w:rFonts w:ascii="Arial" w:hAnsi="Arial" w:cs="Arial"/>
          <w:color w:val="303B44"/>
          <w:sz w:val="20"/>
          <w:szCs w:val="20"/>
          <w:lang w:eastAsia="en-GB"/>
        </w:rPr>
      </w:pPr>
      <w:hyperlink r:id="rId8" w:anchor="link_3" w:history="1">
        <w:r w:rsidR="00C6353B" w:rsidRPr="003A3E0B">
          <w:rPr>
            <w:rFonts w:ascii="Arial" w:hAnsi="Arial" w:cs="Arial"/>
            <w:color w:val="1578BE"/>
            <w:sz w:val="20"/>
            <w:szCs w:val="20"/>
            <w:lang w:eastAsia="en-GB"/>
          </w:rPr>
          <w:t>Implications for future evaluation efforts</w:t>
        </w:r>
      </w:hyperlink>
    </w:p>
    <w:p w14:paraId="0FC61CB1" w14:textId="77777777" w:rsidR="00C6353B" w:rsidRPr="003A3E0B" w:rsidRDefault="00640FB8" w:rsidP="003A3E0B">
      <w:pPr>
        <w:numPr>
          <w:ilvl w:val="0"/>
          <w:numId w:val="1"/>
        </w:numPr>
        <w:spacing w:before="100" w:beforeAutospacing="1" w:after="120" w:line="336" w:lineRule="atLeast"/>
        <w:ind w:left="150"/>
        <w:rPr>
          <w:rFonts w:ascii="Arial" w:hAnsi="Arial" w:cs="Arial"/>
          <w:color w:val="303B44"/>
          <w:sz w:val="20"/>
          <w:szCs w:val="20"/>
          <w:lang w:eastAsia="en-GB"/>
        </w:rPr>
      </w:pPr>
      <w:hyperlink r:id="rId9" w:anchor="link_cipd_view" w:history="1">
        <w:r w:rsidR="00C6353B" w:rsidRPr="003A3E0B">
          <w:rPr>
            <w:rFonts w:ascii="Arial" w:hAnsi="Arial" w:cs="Arial"/>
            <w:color w:val="1578BE"/>
            <w:sz w:val="20"/>
            <w:szCs w:val="20"/>
            <w:lang w:eastAsia="en-GB"/>
          </w:rPr>
          <w:t>CIPD viewpoint</w:t>
        </w:r>
      </w:hyperlink>
    </w:p>
    <w:p w14:paraId="3E476BC5" w14:textId="77777777" w:rsidR="00C6353B" w:rsidRPr="003A3E0B" w:rsidRDefault="00640FB8" w:rsidP="003A3E0B">
      <w:pPr>
        <w:numPr>
          <w:ilvl w:val="0"/>
          <w:numId w:val="1"/>
        </w:numPr>
        <w:spacing w:before="100" w:beforeAutospacing="1" w:after="120" w:line="336" w:lineRule="atLeast"/>
        <w:ind w:left="150"/>
        <w:rPr>
          <w:rFonts w:ascii="Arial" w:hAnsi="Arial" w:cs="Arial"/>
          <w:color w:val="303B44"/>
          <w:sz w:val="20"/>
          <w:szCs w:val="20"/>
          <w:lang w:eastAsia="en-GB"/>
        </w:rPr>
      </w:pPr>
      <w:hyperlink r:id="rId10" w:anchor="link_references" w:history="1">
        <w:r w:rsidR="00C6353B" w:rsidRPr="003A3E0B">
          <w:rPr>
            <w:rFonts w:ascii="Arial" w:hAnsi="Arial" w:cs="Arial"/>
            <w:color w:val="1578BE"/>
            <w:sz w:val="20"/>
            <w:szCs w:val="20"/>
            <w:lang w:eastAsia="en-GB"/>
          </w:rPr>
          <w:t>References</w:t>
        </w:r>
      </w:hyperlink>
    </w:p>
    <w:p w14:paraId="54FE4A9E" w14:textId="77777777" w:rsidR="00C6353B" w:rsidRPr="003A3E0B" w:rsidRDefault="00640FB8" w:rsidP="003A3E0B">
      <w:pPr>
        <w:numPr>
          <w:ilvl w:val="0"/>
          <w:numId w:val="1"/>
        </w:numPr>
        <w:spacing w:before="100" w:beforeAutospacing="1" w:after="120" w:line="336" w:lineRule="atLeast"/>
        <w:ind w:left="150"/>
        <w:rPr>
          <w:rFonts w:ascii="Arial" w:hAnsi="Arial" w:cs="Arial"/>
          <w:color w:val="303B44"/>
          <w:sz w:val="20"/>
          <w:szCs w:val="20"/>
          <w:lang w:eastAsia="en-GB"/>
        </w:rPr>
      </w:pPr>
      <w:hyperlink r:id="rId11" w:anchor="link_furtherreading" w:history="1">
        <w:r w:rsidR="00C6353B" w:rsidRPr="003A3E0B">
          <w:rPr>
            <w:rFonts w:ascii="Arial" w:hAnsi="Arial" w:cs="Arial"/>
            <w:color w:val="1578BE"/>
            <w:sz w:val="20"/>
            <w:szCs w:val="20"/>
            <w:lang w:eastAsia="en-GB"/>
          </w:rPr>
          <w:t>Further reading</w:t>
        </w:r>
      </w:hyperlink>
    </w:p>
    <w:p w14:paraId="3A817860" w14:textId="77777777" w:rsidR="00C6353B" w:rsidRPr="003A3E0B" w:rsidRDefault="00C6353B" w:rsidP="003A3E0B">
      <w:pPr>
        <w:spacing w:line="240" w:lineRule="auto"/>
        <w:rPr>
          <w:rFonts w:ascii="Arial" w:hAnsi="Arial" w:cs="Arial"/>
          <w:color w:val="303B44"/>
          <w:sz w:val="2"/>
          <w:szCs w:val="2"/>
          <w:lang w:eastAsia="en-GB"/>
        </w:rPr>
      </w:pPr>
      <w:r w:rsidRPr="003A3E0B">
        <w:rPr>
          <w:rFonts w:ascii="Arial" w:hAnsi="Arial" w:cs="Arial"/>
          <w:color w:val="303B44"/>
          <w:sz w:val="2"/>
          <w:szCs w:val="2"/>
          <w:lang w:eastAsia="en-GB"/>
        </w:rPr>
        <w:t> </w:t>
      </w:r>
    </w:p>
    <w:p w14:paraId="13F3C0B6" w14:textId="77777777" w:rsidR="00C6353B" w:rsidRPr="003A3E0B" w:rsidRDefault="00C6353B" w:rsidP="003A3E0B">
      <w:pPr>
        <w:pBdr>
          <w:bottom w:val="single" w:sz="36" w:space="0" w:color="DAE6DB"/>
        </w:pBdr>
        <w:spacing w:before="150" w:after="225" w:line="336" w:lineRule="atLeast"/>
        <w:outlineLvl w:val="2"/>
        <w:rPr>
          <w:rFonts w:ascii="Arial" w:hAnsi="Arial" w:cs="Arial"/>
          <w:b/>
          <w:bCs/>
          <w:color w:val="303B44"/>
          <w:sz w:val="28"/>
          <w:szCs w:val="28"/>
          <w:lang w:eastAsia="en-GB"/>
        </w:rPr>
      </w:pPr>
      <w:r w:rsidRPr="003A3E0B">
        <w:rPr>
          <w:rFonts w:ascii="Arial" w:hAnsi="Arial" w:cs="Arial"/>
          <w:b/>
          <w:bCs/>
          <w:color w:val="303B44"/>
          <w:sz w:val="28"/>
          <w:szCs w:val="28"/>
          <w:lang w:eastAsia="en-GB"/>
        </w:rPr>
        <w:t xml:space="preserve">What is evaluating learning and talent development? </w:t>
      </w:r>
    </w:p>
    <w:p w14:paraId="0934C4B0"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The evaluation of learning and talent development (LTD) involves the formal or informal assessment of the quality and effectiveness of an employer’s training and learning provision, usually either by some measure of the merit of the provision itself (the input, for example the quality of course content and presentation) and/or by monitoring its impact (the outcomes, for example improved skills/qualifications or enhanced productivity/profitability).</w:t>
      </w:r>
    </w:p>
    <w:p w14:paraId="486A3AC0" w14:textId="77777777" w:rsidR="00C6353B" w:rsidRPr="003A3E0B" w:rsidRDefault="00C6353B" w:rsidP="003A3E0B">
      <w:pPr>
        <w:spacing w:before="100" w:beforeAutospacing="1" w:after="48" w:line="336" w:lineRule="atLeast"/>
        <w:outlineLvl w:val="3"/>
        <w:rPr>
          <w:rFonts w:ascii="Arial" w:hAnsi="Arial" w:cs="Arial"/>
          <w:b/>
          <w:bCs/>
          <w:color w:val="303B44"/>
          <w:sz w:val="26"/>
          <w:szCs w:val="26"/>
          <w:lang w:eastAsia="en-GB"/>
        </w:rPr>
      </w:pPr>
      <w:r w:rsidRPr="003A3E0B">
        <w:rPr>
          <w:rFonts w:ascii="Arial" w:hAnsi="Arial" w:cs="Arial"/>
          <w:b/>
          <w:bCs/>
          <w:color w:val="303B44"/>
          <w:sz w:val="26"/>
          <w:szCs w:val="26"/>
          <w:lang w:eastAsia="en-GB"/>
        </w:rPr>
        <w:t>Links with learning and talent development strategy</w:t>
      </w:r>
    </w:p>
    <w:p w14:paraId="2E5CB50A"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br/>
        <w:t xml:space="preserve">The implementation of an effective learning and talent development strategy is widely recognised as important to business </w:t>
      </w:r>
      <w:proofErr w:type="gramStart"/>
      <w:r w:rsidRPr="003A3E0B">
        <w:rPr>
          <w:rFonts w:ascii="Arial" w:hAnsi="Arial" w:cs="Arial"/>
          <w:color w:val="303B44"/>
          <w:sz w:val="20"/>
          <w:szCs w:val="20"/>
          <w:lang w:eastAsia="en-GB"/>
        </w:rPr>
        <w:t>success,</w:t>
      </w:r>
      <w:proofErr w:type="gramEnd"/>
      <w:r w:rsidRPr="003A3E0B">
        <w:rPr>
          <w:rFonts w:ascii="Arial" w:hAnsi="Arial" w:cs="Arial"/>
          <w:color w:val="303B44"/>
          <w:sz w:val="20"/>
          <w:szCs w:val="20"/>
          <w:lang w:eastAsia="en-GB"/>
        </w:rPr>
        <w:t xml:space="preserve"> hence it is essential to regularly review and assess the use of learning and training programmes in support of such a strategy. For more information on LTD strategy, see our factsheet.</w:t>
      </w:r>
    </w:p>
    <w:p w14:paraId="3599F994" w14:textId="77777777" w:rsidR="00C6353B" w:rsidRPr="003A3E0B" w:rsidRDefault="00640FB8" w:rsidP="003A3E0B">
      <w:pPr>
        <w:numPr>
          <w:ilvl w:val="0"/>
          <w:numId w:val="2"/>
        </w:numPr>
        <w:spacing w:after="225" w:line="336" w:lineRule="atLeast"/>
        <w:rPr>
          <w:rFonts w:ascii="Arial" w:hAnsi="Arial" w:cs="Arial"/>
          <w:color w:val="303B44"/>
          <w:sz w:val="20"/>
          <w:szCs w:val="20"/>
          <w:lang w:eastAsia="en-GB"/>
        </w:rPr>
      </w:pPr>
      <w:hyperlink r:id="rId12" w:history="1">
        <w:r w:rsidR="00C6353B" w:rsidRPr="003A3E0B">
          <w:rPr>
            <w:rFonts w:ascii="Arial" w:hAnsi="Arial" w:cs="Arial"/>
            <w:color w:val="1578BE"/>
            <w:sz w:val="20"/>
            <w:szCs w:val="20"/>
            <w:lang w:eastAsia="en-GB"/>
          </w:rPr>
          <w:t>Go to our factsheet on Learning and talent development strategy</w:t>
        </w:r>
      </w:hyperlink>
    </w:p>
    <w:p w14:paraId="6F087E66"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In order to effectively evaluate LTD, it is first necessary to clearly identify learning needs and the objectives of LTD programmes (that is, how they will meet such needs) in line with the LTD strategy, for example by means of a learning needs analysis (LNA). Further details are available in our factsheet on learning and talent development needs.</w:t>
      </w:r>
    </w:p>
    <w:p w14:paraId="33E614E1" w14:textId="77777777" w:rsidR="00C6353B" w:rsidRPr="003A3E0B" w:rsidRDefault="00640FB8" w:rsidP="003A3E0B">
      <w:pPr>
        <w:numPr>
          <w:ilvl w:val="0"/>
          <w:numId w:val="3"/>
        </w:numPr>
        <w:spacing w:after="225" w:line="336" w:lineRule="atLeast"/>
        <w:rPr>
          <w:rFonts w:ascii="Arial" w:hAnsi="Arial" w:cs="Arial"/>
          <w:color w:val="303B44"/>
          <w:sz w:val="20"/>
          <w:szCs w:val="20"/>
          <w:lang w:eastAsia="en-GB"/>
        </w:rPr>
      </w:pPr>
      <w:hyperlink r:id="rId13" w:history="1">
        <w:r w:rsidR="00C6353B" w:rsidRPr="003A3E0B">
          <w:rPr>
            <w:rFonts w:ascii="Arial" w:hAnsi="Arial" w:cs="Arial"/>
            <w:color w:val="1578BE"/>
            <w:sz w:val="20"/>
            <w:szCs w:val="20"/>
            <w:lang w:eastAsia="en-GB"/>
          </w:rPr>
          <w:t>Go to our factsheet on learning needs</w:t>
        </w:r>
      </w:hyperlink>
    </w:p>
    <w:p w14:paraId="1CBBBF1A"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When evaluating the efficacy of provisions for training and talent development, another approach that has attractions in some circumstances involves the benchmarking of training, while the costs involved </w:t>
      </w:r>
      <w:r w:rsidRPr="003A3E0B">
        <w:rPr>
          <w:rFonts w:ascii="Arial" w:hAnsi="Arial" w:cs="Arial"/>
          <w:color w:val="303B44"/>
          <w:sz w:val="20"/>
          <w:szCs w:val="20"/>
          <w:lang w:eastAsia="en-GB"/>
        </w:rPr>
        <w:lastRenderedPageBreak/>
        <w:t>in learning and training programmes clearly also need to be carefully considered. See our factsheet on these issues for more information.</w:t>
      </w:r>
    </w:p>
    <w:p w14:paraId="699F073C" w14:textId="77777777" w:rsidR="00C6353B" w:rsidRPr="003A3E0B" w:rsidRDefault="00640FB8" w:rsidP="003A3E0B">
      <w:pPr>
        <w:numPr>
          <w:ilvl w:val="0"/>
          <w:numId w:val="4"/>
        </w:numPr>
        <w:spacing w:after="225" w:line="336" w:lineRule="atLeast"/>
        <w:rPr>
          <w:rFonts w:ascii="Arial" w:hAnsi="Arial" w:cs="Arial"/>
          <w:color w:val="303B44"/>
          <w:sz w:val="20"/>
          <w:szCs w:val="20"/>
          <w:lang w:eastAsia="en-GB"/>
        </w:rPr>
      </w:pPr>
      <w:hyperlink r:id="rId14" w:history="1">
        <w:r w:rsidR="00C6353B" w:rsidRPr="003A3E0B">
          <w:rPr>
            <w:rFonts w:ascii="Arial" w:hAnsi="Arial" w:cs="Arial"/>
            <w:color w:val="1578BE"/>
            <w:sz w:val="20"/>
            <w:szCs w:val="20"/>
            <w:lang w:eastAsia="en-GB"/>
          </w:rPr>
          <w:t>Go to our costing and benchmarking learning and development factsheet</w:t>
        </w:r>
      </w:hyperlink>
    </w:p>
    <w:p w14:paraId="14E56AE2" w14:textId="77777777" w:rsidR="00C6353B" w:rsidRPr="003A3E0B" w:rsidRDefault="00C6353B" w:rsidP="003A3E0B">
      <w:pPr>
        <w:spacing w:before="100" w:beforeAutospacing="1" w:after="48" w:line="336" w:lineRule="atLeast"/>
        <w:outlineLvl w:val="3"/>
        <w:rPr>
          <w:rFonts w:ascii="Arial" w:hAnsi="Arial" w:cs="Arial"/>
          <w:b/>
          <w:bCs/>
          <w:color w:val="303B44"/>
          <w:sz w:val="26"/>
          <w:szCs w:val="26"/>
          <w:lang w:eastAsia="en-GB"/>
        </w:rPr>
      </w:pPr>
      <w:r w:rsidRPr="003A3E0B">
        <w:rPr>
          <w:rFonts w:ascii="Arial" w:hAnsi="Arial" w:cs="Arial"/>
          <w:b/>
          <w:bCs/>
          <w:color w:val="303B44"/>
          <w:sz w:val="26"/>
          <w:szCs w:val="26"/>
          <w:lang w:eastAsia="en-GB"/>
        </w:rPr>
        <w:t>Coverage of training evaluation</w:t>
      </w:r>
    </w:p>
    <w:p w14:paraId="40420AA9"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br/>
        <w:t>The process of learning and training evaluation might be undertaken across an organisation as a whole or for a particular part of the organisation or some group within it – for example, in respect of those employees identified as ‘talent’ (that is, exceptionally high-performing or high-potential individuals). More information on talent management is available in our factsheet on that topic.</w:t>
      </w:r>
    </w:p>
    <w:p w14:paraId="409FD5D4" w14:textId="77777777" w:rsidR="00C6353B" w:rsidRPr="003A3E0B" w:rsidRDefault="00640FB8" w:rsidP="003A3E0B">
      <w:pPr>
        <w:numPr>
          <w:ilvl w:val="0"/>
          <w:numId w:val="5"/>
        </w:numPr>
        <w:spacing w:after="225" w:line="336" w:lineRule="atLeast"/>
        <w:rPr>
          <w:rFonts w:ascii="Arial" w:hAnsi="Arial" w:cs="Arial"/>
          <w:color w:val="303B44"/>
          <w:sz w:val="20"/>
          <w:szCs w:val="20"/>
          <w:lang w:eastAsia="en-GB"/>
        </w:rPr>
      </w:pPr>
      <w:hyperlink r:id="rId15" w:history="1">
        <w:r w:rsidR="00C6353B" w:rsidRPr="003A3E0B">
          <w:rPr>
            <w:rFonts w:ascii="Arial" w:hAnsi="Arial" w:cs="Arial"/>
            <w:color w:val="1578BE"/>
            <w:sz w:val="20"/>
            <w:szCs w:val="20"/>
            <w:lang w:eastAsia="en-GB"/>
          </w:rPr>
          <w:t>Go to our talent management factsheet</w:t>
        </w:r>
      </w:hyperlink>
    </w:p>
    <w:p w14:paraId="4EDAF716" w14:textId="77777777" w:rsidR="00C6353B" w:rsidRPr="003A3E0B" w:rsidRDefault="00C6353B" w:rsidP="003A3E0B">
      <w:pPr>
        <w:spacing w:after="225" w:line="336" w:lineRule="atLeast"/>
        <w:rPr>
          <w:rFonts w:ascii="Arial" w:hAnsi="Arial" w:cs="Arial"/>
          <w:color w:val="303B44"/>
          <w:sz w:val="20"/>
          <w:szCs w:val="20"/>
          <w:lang w:eastAsia="en-GB"/>
        </w:rPr>
      </w:pPr>
      <w:proofErr w:type="gramStart"/>
      <w:r w:rsidRPr="003A3E0B">
        <w:rPr>
          <w:rFonts w:ascii="Arial" w:hAnsi="Arial" w:cs="Arial"/>
          <w:color w:val="303B44"/>
          <w:sz w:val="20"/>
          <w:szCs w:val="20"/>
          <w:lang w:eastAsia="en-GB"/>
        </w:rPr>
        <w:t>The majority of</w:t>
      </w:r>
      <w:proofErr w:type="gramEnd"/>
      <w:r w:rsidRPr="003A3E0B">
        <w:rPr>
          <w:rFonts w:ascii="Arial" w:hAnsi="Arial" w:cs="Arial"/>
          <w:color w:val="303B44"/>
          <w:sz w:val="20"/>
          <w:szCs w:val="20"/>
          <w:lang w:eastAsia="en-GB"/>
        </w:rPr>
        <w:t xml:space="preserve"> employers undertake some evaluation of learning interventions in their organisations, as illustrated by our annual Learning and talent development survey.</w:t>
      </w:r>
    </w:p>
    <w:p w14:paraId="4145F55D"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The types of evaluation in use among employers in our research include:</w:t>
      </w:r>
    </w:p>
    <w:p w14:paraId="33E2B99E" w14:textId="77777777" w:rsidR="00C6353B" w:rsidRPr="003A3E0B" w:rsidRDefault="00C6353B" w:rsidP="003A3E0B">
      <w:pPr>
        <w:numPr>
          <w:ilvl w:val="0"/>
          <w:numId w:val="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‘happy sheets’ – that is, post-training questionnaires asking course participants to rate how satisfied they feel with the standard of provision</w:t>
      </w:r>
    </w:p>
    <w:p w14:paraId="1BF7AB28" w14:textId="77777777" w:rsidR="00C6353B" w:rsidRPr="003A3E0B" w:rsidRDefault="00C6353B" w:rsidP="003A3E0B">
      <w:pPr>
        <w:numPr>
          <w:ilvl w:val="0"/>
          <w:numId w:val="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testimonies of individuals</w:t>
      </w:r>
    </w:p>
    <w:p w14:paraId="076DDF52" w14:textId="77777777" w:rsidR="00C6353B" w:rsidRPr="003A3E0B" w:rsidRDefault="00C6353B" w:rsidP="003A3E0B">
      <w:pPr>
        <w:numPr>
          <w:ilvl w:val="0"/>
          <w:numId w:val="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return on expected outcomes (for example, whether line managers testify during performance reviews that individuals </w:t>
      </w:r>
      <w:proofErr w:type="gramStart"/>
      <w:r w:rsidRPr="003A3E0B">
        <w:rPr>
          <w:rFonts w:ascii="Arial" w:hAnsi="Arial" w:cs="Arial"/>
          <w:color w:val="303B44"/>
          <w:sz w:val="20"/>
          <w:szCs w:val="20"/>
          <w:lang w:eastAsia="en-GB"/>
        </w:rPr>
        <w:t>are able to</w:t>
      </w:r>
      <w:proofErr w:type="gramEnd"/>
      <w:r w:rsidRPr="003A3E0B">
        <w:rPr>
          <w:rFonts w:ascii="Arial" w:hAnsi="Arial" w:cs="Arial"/>
          <w:color w:val="303B44"/>
          <w:sz w:val="20"/>
          <w:szCs w:val="20"/>
          <w:lang w:eastAsia="en-GB"/>
        </w:rPr>
        <w:t xml:space="preserve"> demonstrate those new or enhanced competencies that the learning intervention was anticipated to deliver)</w:t>
      </w:r>
    </w:p>
    <w:p w14:paraId="1D1D12B3" w14:textId="77777777" w:rsidR="00C6353B" w:rsidRPr="003A3E0B" w:rsidRDefault="00C6353B" w:rsidP="003A3E0B">
      <w:pPr>
        <w:numPr>
          <w:ilvl w:val="0"/>
          <w:numId w:val="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the impact on business key performance indicators</w:t>
      </w:r>
    </w:p>
    <w:p w14:paraId="7F63228F" w14:textId="77777777" w:rsidR="00C6353B" w:rsidRPr="003A3E0B" w:rsidRDefault="00C6353B" w:rsidP="003A3E0B">
      <w:pPr>
        <w:numPr>
          <w:ilvl w:val="0"/>
          <w:numId w:val="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return on investment (the financial or economic benefit that is attributable to the learning intervention in relation to the cost of the investment in learning programmes).</w:t>
      </w:r>
    </w:p>
    <w:p w14:paraId="1931B75F" w14:textId="77777777" w:rsidR="00C6353B" w:rsidRPr="003A3E0B" w:rsidRDefault="00640FB8" w:rsidP="003A3E0B">
      <w:pPr>
        <w:numPr>
          <w:ilvl w:val="0"/>
          <w:numId w:val="6"/>
        </w:numPr>
        <w:spacing w:after="225" w:line="336" w:lineRule="atLeast"/>
        <w:rPr>
          <w:rFonts w:ascii="Arial" w:hAnsi="Arial" w:cs="Arial"/>
          <w:color w:val="303B44"/>
          <w:sz w:val="20"/>
          <w:szCs w:val="20"/>
          <w:lang w:eastAsia="en-GB"/>
        </w:rPr>
      </w:pPr>
      <w:hyperlink r:id="rId16" w:history="1">
        <w:r w:rsidR="00C6353B" w:rsidRPr="003A3E0B">
          <w:rPr>
            <w:rFonts w:ascii="Arial" w:hAnsi="Arial" w:cs="Arial"/>
            <w:color w:val="1578BE"/>
            <w:sz w:val="20"/>
            <w:szCs w:val="20"/>
            <w:lang w:eastAsia="en-GB"/>
          </w:rPr>
          <w:t>Find out more about our annual Learning and talent development survey</w:t>
        </w:r>
      </w:hyperlink>
    </w:p>
    <w:p w14:paraId="23546EE3"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However, as indicated by our review below of the academic research in this area, it can be very difficult in practice to measure the impact of learning, particularly directly in respect of business success.</w:t>
      </w:r>
    </w:p>
    <w:p w14:paraId="792EB6DB" w14:textId="77777777" w:rsidR="00C6353B" w:rsidRPr="003A3E0B" w:rsidRDefault="00C6353B" w:rsidP="003A3E0B">
      <w:pPr>
        <w:pBdr>
          <w:bottom w:val="single" w:sz="36" w:space="0" w:color="DAE6DB"/>
        </w:pBdr>
        <w:spacing w:before="150" w:after="225" w:line="336" w:lineRule="atLeast"/>
        <w:outlineLvl w:val="2"/>
        <w:rPr>
          <w:rFonts w:ascii="Arial" w:hAnsi="Arial" w:cs="Arial"/>
          <w:b/>
          <w:bCs/>
          <w:color w:val="303B44"/>
          <w:sz w:val="28"/>
          <w:szCs w:val="28"/>
          <w:lang w:eastAsia="en-GB"/>
        </w:rPr>
      </w:pPr>
      <w:r w:rsidRPr="003A3E0B">
        <w:rPr>
          <w:rFonts w:ascii="Arial" w:hAnsi="Arial" w:cs="Arial"/>
          <w:b/>
          <w:bCs/>
          <w:color w:val="303B44"/>
          <w:sz w:val="28"/>
          <w:szCs w:val="28"/>
          <w:lang w:eastAsia="en-GB"/>
        </w:rPr>
        <w:t xml:space="preserve">Traditional training evaluation: the academic background </w:t>
      </w:r>
    </w:p>
    <w:p w14:paraId="1029D8D6" w14:textId="77777777" w:rsidR="00C6353B" w:rsidRPr="003A3E0B" w:rsidRDefault="00C6353B" w:rsidP="003A3E0B">
      <w:pPr>
        <w:spacing w:before="100" w:beforeAutospacing="1" w:after="48" w:line="336" w:lineRule="atLeast"/>
        <w:outlineLvl w:val="3"/>
        <w:rPr>
          <w:rFonts w:ascii="Arial" w:hAnsi="Arial" w:cs="Arial"/>
          <w:b/>
          <w:bCs/>
          <w:color w:val="303B44"/>
          <w:sz w:val="26"/>
          <w:szCs w:val="26"/>
          <w:lang w:eastAsia="en-GB"/>
        </w:rPr>
      </w:pPr>
      <w:r w:rsidRPr="003A3E0B">
        <w:rPr>
          <w:rFonts w:ascii="Arial" w:hAnsi="Arial" w:cs="Arial"/>
          <w:b/>
          <w:bCs/>
          <w:color w:val="303B44"/>
          <w:sz w:val="26"/>
          <w:szCs w:val="26"/>
          <w:lang w:eastAsia="en-GB"/>
        </w:rPr>
        <w:t xml:space="preserve">The Kirkpatrick </w:t>
      </w:r>
      <w:proofErr w:type="gramStart"/>
      <w:r w:rsidRPr="003A3E0B">
        <w:rPr>
          <w:rFonts w:ascii="Arial" w:hAnsi="Arial" w:cs="Arial"/>
          <w:b/>
          <w:bCs/>
          <w:color w:val="303B44"/>
          <w:sz w:val="26"/>
          <w:szCs w:val="26"/>
          <w:lang w:eastAsia="en-GB"/>
        </w:rPr>
        <w:t>model</w:t>
      </w:r>
      <w:proofErr w:type="gramEnd"/>
    </w:p>
    <w:p w14:paraId="30704529"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br/>
        <w:t>The seminal model for training evaluation, developed by US academic Don Kirkpatrick</w:t>
      </w:r>
      <w:r w:rsidRPr="003A3E0B">
        <w:rPr>
          <w:rFonts w:ascii="Arial" w:hAnsi="Arial" w:cs="Arial"/>
          <w:color w:val="303B44"/>
          <w:sz w:val="20"/>
          <w:szCs w:val="20"/>
          <w:vertAlign w:val="superscript"/>
          <w:lang w:eastAsia="en-GB"/>
        </w:rPr>
        <w:t>1</w:t>
      </w:r>
      <w:r w:rsidRPr="003A3E0B">
        <w:rPr>
          <w:rFonts w:ascii="Arial" w:hAnsi="Arial" w:cs="Arial"/>
          <w:color w:val="303B44"/>
          <w:sz w:val="20"/>
          <w:szCs w:val="20"/>
          <w:lang w:eastAsia="en-GB"/>
        </w:rPr>
        <w:t>, was first published in 1959 and remains influential today.</w:t>
      </w:r>
    </w:p>
    <w:p w14:paraId="5E1A114E"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lastRenderedPageBreak/>
        <w:t>This model outlines four levels for training evaluation:</w:t>
      </w:r>
    </w:p>
    <w:p w14:paraId="2916CE41" w14:textId="77777777" w:rsidR="00C6353B" w:rsidRPr="003A3E0B" w:rsidRDefault="00C6353B" w:rsidP="003A3E0B">
      <w:pPr>
        <w:numPr>
          <w:ilvl w:val="0"/>
          <w:numId w:val="7"/>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reactions – ‘liking or feelings for a programme’</w:t>
      </w:r>
    </w:p>
    <w:p w14:paraId="6AF3632F" w14:textId="77777777" w:rsidR="00C6353B" w:rsidRPr="003A3E0B" w:rsidRDefault="00C6353B" w:rsidP="003A3E0B">
      <w:pPr>
        <w:numPr>
          <w:ilvl w:val="0"/>
          <w:numId w:val="7"/>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learning - ‘principles, facts etc absorbed’</w:t>
      </w:r>
    </w:p>
    <w:p w14:paraId="1630FE88" w14:textId="77777777" w:rsidR="00C6353B" w:rsidRPr="003A3E0B" w:rsidRDefault="00C6353B" w:rsidP="003A3E0B">
      <w:pPr>
        <w:numPr>
          <w:ilvl w:val="0"/>
          <w:numId w:val="7"/>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behaviour - ‘using learning on the job’</w:t>
      </w:r>
    </w:p>
    <w:p w14:paraId="70A17601" w14:textId="77777777" w:rsidR="00C6353B" w:rsidRPr="003A3E0B" w:rsidRDefault="00C6353B" w:rsidP="003A3E0B">
      <w:pPr>
        <w:numPr>
          <w:ilvl w:val="0"/>
          <w:numId w:val="7"/>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results - ‘increased production, reduced costs, etc’.</w:t>
      </w:r>
    </w:p>
    <w:p w14:paraId="7D38F2F4"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This was helpful guidance, but 30 years later </w:t>
      </w:r>
      <w:proofErr w:type="spellStart"/>
      <w:r w:rsidRPr="003A3E0B">
        <w:rPr>
          <w:rFonts w:ascii="Arial" w:hAnsi="Arial" w:cs="Arial"/>
          <w:color w:val="303B44"/>
          <w:sz w:val="20"/>
          <w:szCs w:val="20"/>
          <w:lang w:eastAsia="en-GB"/>
        </w:rPr>
        <w:t>Alliger</w:t>
      </w:r>
      <w:proofErr w:type="spellEnd"/>
      <w:r w:rsidRPr="003A3E0B">
        <w:rPr>
          <w:rFonts w:ascii="Arial" w:hAnsi="Arial" w:cs="Arial"/>
          <w:color w:val="303B44"/>
          <w:sz w:val="20"/>
          <w:szCs w:val="20"/>
          <w:lang w:eastAsia="en-GB"/>
        </w:rPr>
        <w:t xml:space="preserve"> and Janak</w:t>
      </w:r>
      <w:r w:rsidRPr="003A3E0B">
        <w:rPr>
          <w:rFonts w:ascii="Arial" w:hAnsi="Arial" w:cs="Arial"/>
          <w:color w:val="303B44"/>
          <w:sz w:val="20"/>
          <w:szCs w:val="20"/>
          <w:vertAlign w:val="superscript"/>
          <w:lang w:eastAsia="en-GB"/>
        </w:rPr>
        <w:t>2</w:t>
      </w:r>
      <w:r w:rsidRPr="003A3E0B">
        <w:rPr>
          <w:rFonts w:ascii="Arial" w:hAnsi="Arial" w:cs="Arial"/>
          <w:color w:val="303B44"/>
          <w:sz w:val="20"/>
          <w:szCs w:val="20"/>
          <w:lang w:eastAsia="en-GB"/>
        </w:rPr>
        <w:t xml:space="preserve"> found that the relationships between the levels were weak – in other words, each level is neither </w:t>
      </w:r>
      <w:proofErr w:type="gramStart"/>
      <w:r w:rsidRPr="003A3E0B">
        <w:rPr>
          <w:rFonts w:ascii="Arial" w:hAnsi="Arial" w:cs="Arial"/>
          <w:color w:val="303B44"/>
          <w:sz w:val="20"/>
          <w:szCs w:val="20"/>
          <w:lang w:eastAsia="en-GB"/>
        </w:rPr>
        <w:t>definitely nor</w:t>
      </w:r>
      <w:proofErr w:type="gramEnd"/>
      <w:r w:rsidRPr="003A3E0B">
        <w:rPr>
          <w:rFonts w:ascii="Arial" w:hAnsi="Arial" w:cs="Arial"/>
          <w:color w:val="303B44"/>
          <w:sz w:val="20"/>
          <w:szCs w:val="20"/>
          <w:lang w:eastAsia="en-GB"/>
        </w:rPr>
        <w:t xml:space="preserve"> always linked positively to the next. </w:t>
      </w:r>
    </w:p>
    <w:p w14:paraId="0CCD7EBE"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Various surveys</w:t>
      </w:r>
      <w:r w:rsidRPr="003A3E0B">
        <w:rPr>
          <w:rFonts w:ascii="Arial" w:hAnsi="Arial" w:cs="Arial"/>
          <w:color w:val="303B44"/>
          <w:sz w:val="20"/>
          <w:szCs w:val="20"/>
          <w:vertAlign w:val="superscript"/>
          <w:lang w:eastAsia="en-GB"/>
        </w:rPr>
        <w:t>3</w:t>
      </w:r>
      <w:r w:rsidRPr="003A3E0B">
        <w:rPr>
          <w:rFonts w:ascii="Arial" w:hAnsi="Arial" w:cs="Arial"/>
          <w:color w:val="303B44"/>
          <w:sz w:val="20"/>
          <w:szCs w:val="20"/>
          <w:lang w:eastAsia="en-GB"/>
        </w:rPr>
        <w:t xml:space="preserve"> have found that most attention is focused on evaluation of training at the reactions level because of the difficulties and time costs of measuring the other three levels.</w:t>
      </w:r>
    </w:p>
    <w:p w14:paraId="4283FB7E" w14:textId="77777777" w:rsidR="00C6353B" w:rsidRPr="003A3E0B" w:rsidRDefault="00C6353B" w:rsidP="003A3E0B">
      <w:pPr>
        <w:spacing w:before="100" w:beforeAutospacing="1" w:after="48" w:line="336" w:lineRule="atLeast"/>
        <w:outlineLvl w:val="3"/>
        <w:rPr>
          <w:rFonts w:ascii="Arial" w:hAnsi="Arial" w:cs="Arial"/>
          <w:b/>
          <w:bCs/>
          <w:color w:val="303B44"/>
          <w:sz w:val="26"/>
          <w:szCs w:val="26"/>
          <w:lang w:eastAsia="en-GB"/>
        </w:rPr>
      </w:pPr>
      <w:r w:rsidRPr="003A3E0B">
        <w:rPr>
          <w:rFonts w:ascii="Arial" w:hAnsi="Arial" w:cs="Arial"/>
          <w:b/>
          <w:bCs/>
          <w:color w:val="303B44"/>
          <w:sz w:val="26"/>
          <w:szCs w:val="26"/>
          <w:lang w:eastAsia="en-GB"/>
        </w:rPr>
        <w:t>Return on investment</w:t>
      </w:r>
    </w:p>
    <w:p w14:paraId="5C53DAA7"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br/>
        <w:t xml:space="preserve">By the </w:t>
      </w:r>
      <w:proofErr w:type="spellStart"/>
      <w:r w:rsidRPr="003A3E0B">
        <w:rPr>
          <w:rFonts w:ascii="Arial" w:hAnsi="Arial" w:cs="Arial"/>
          <w:color w:val="303B44"/>
          <w:sz w:val="20"/>
          <w:szCs w:val="20"/>
          <w:lang w:eastAsia="en-GB"/>
        </w:rPr>
        <w:t>mid 1980s</w:t>
      </w:r>
      <w:proofErr w:type="spellEnd"/>
      <w:r w:rsidRPr="003A3E0B">
        <w:rPr>
          <w:rFonts w:ascii="Arial" w:hAnsi="Arial" w:cs="Arial"/>
          <w:color w:val="303B44"/>
          <w:sz w:val="20"/>
          <w:szCs w:val="20"/>
          <w:lang w:eastAsia="en-GB"/>
        </w:rPr>
        <w:t xml:space="preserve"> calls began to emerge for return on investment (ROI) analyses of training efforts. Some studies found very satisfying figures</w:t>
      </w:r>
      <w:r w:rsidRPr="003A3E0B">
        <w:rPr>
          <w:rFonts w:ascii="Arial" w:hAnsi="Arial" w:cs="Arial"/>
          <w:color w:val="303B44"/>
          <w:sz w:val="20"/>
          <w:szCs w:val="20"/>
          <w:vertAlign w:val="superscript"/>
          <w:lang w:eastAsia="en-GB"/>
        </w:rPr>
        <w:t>4,5</w:t>
      </w:r>
      <w:r w:rsidRPr="003A3E0B">
        <w:rPr>
          <w:rFonts w:ascii="Arial" w:hAnsi="Arial" w:cs="Arial"/>
          <w:color w:val="303B44"/>
          <w:sz w:val="20"/>
          <w:szCs w:val="20"/>
          <w:lang w:eastAsia="en-GB"/>
        </w:rPr>
        <w:t xml:space="preserve"> but the key criticisms of the ROI approach remain. For example, ROI provides a snapshot at only a single point in time, whereas practitioners might want to know more about the return on training over time. Moreover, like virtually all other approaches to training evaluation, ROI focuses primarily on the training intervention rather than any planned, concurrent activities or coincidental factors that boost ongoing learning output and outcomes.</w:t>
      </w:r>
    </w:p>
    <w:p w14:paraId="17F81642"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In contrast to the training-centric approach, </w:t>
      </w:r>
      <w:proofErr w:type="spellStart"/>
      <w:r w:rsidRPr="003A3E0B">
        <w:rPr>
          <w:rFonts w:ascii="Arial" w:hAnsi="Arial" w:cs="Arial"/>
          <w:color w:val="303B44"/>
          <w:sz w:val="20"/>
          <w:szCs w:val="20"/>
          <w:lang w:eastAsia="en-GB"/>
        </w:rPr>
        <w:t>Guzzo</w:t>
      </w:r>
      <w:proofErr w:type="spellEnd"/>
      <w:r w:rsidRPr="003A3E0B">
        <w:rPr>
          <w:rFonts w:ascii="Arial" w:hAnsi="Arial" w:cs="Arial"/>
          <w:color w:val="303B44"/>
          <w:sz w:val="20"/>
          <w:szCs w:val="20"/>
          <w:lang w:eastAsia="en-GB"/>
        </w:rPr>
        <w:t xml:space="preserve"> &amp; Gannet</w:t>
      </w:r>
      <w:r w:rsidRPr="003A3E0B">
        <w:rPr>
          <w:rFonts w:ascii="Arial" w:hAnsi="Arial" w:cs="Arial"/>
          <w:color w:val="303B44"/>
          <w:sz w:val="20"/>
          <w:szCs w:val="20"/>
          <w:vertAlign w:val="superscript"/>
          <w:lang w:eastAsia="en-GB"/>
        </w:rPr>
        <w:t>6</w:t>
      </w:r>
      <w:r w:rsidRPr="003A3E0B">
        <w:rPr>
          <w:rFonts w:ascii="Arial" w:hAnsi="Arial" w:cs="Arial"/>
          <w:color w:val="303B44"/>
          <w:sz w:val="20"/>
          <w:szCs w:val="20"/>
          <w:lang w:eastAsia="en-GB"/>
        </w:rPr>
        <w:t xml:space="preserve"> conducted a useful meta-analysis of 98 studies about ‘psychologically-based interventions to raise worker productivity’. They found that training and goal setting were best, followed by financial incentives and job design which had some effect, but with management by objectives and appraisal and feedback the least effective. Unfortunately, it seems that attempts at this type of holistic study – that is, comparing what </w:t>
      </w:r>
      <w:proofErr w:type="gramStart"/>
      <w:r w:rsidRPr="003A3E0B">
        <w:rPr>
          <w:rFonts w:ascii="Arial" w:hAnsi="Arial" w:cs="Arial"/>
          <w:color w:val="303B44"/>
          <w:sz w:val="20"/>
          <w:szCs w:val="20"/>
          <w:lang w:eastAsia="en-GB"/>
        </w:rPr>
        <w:t>actually helps</w:t>
      </w:r>
      <w:proofErr w:type="gramEnd"/>
      <w:r w:rsidRPr="003A3E0B">
        <w:rPr>
          <w:rFonts w:ascii="Arial" w:hAnsi="Arial" w:cs="Arial"/>
          <w:color w:val="303B44"/>
          <w:sz w:val="20"/>
          <w:szCs w:val="20"/>
          <w:lang w:eastAsia="en-GB"/>
        </w:rPr>
        <w:t xml:space="preserve"> to raise performance rather than beginning with an assumption that training is the answer – are rare.</w:t>
      </w:r>
    </w:p>
    <w:p w14:paraId="237A906F" w14:textId="77777777" w:rsidR="00C6353B" w:rsidRPr="003A3E0B" w:rsidRDefault="00C6353B" w:rsidP="003A3E0B">
      <w:pPr>
        <w:spacing w:before="100" w:beforeAutospacing="1" w:after="48" w:line="336" w:lineRule="atLeast"/>
        <w:outlineLvl w:val="3"/>
        <w:rPr>
          <w:rFonts w:ascii="Arial" w:hAnsi="Arial" w:cs="Arial"/>
          <w:b/>
          <w:bCs/>
          <w:color w:val="303B44"/>
          <w:sz w:val="26"/>
          <w:szCs w:val="26"/>
          <w:lang w:eastAsia="en-GB"/>
        </w:rPr>
      </w:pPr>
      <w:r w:rsidRPr="003A3E0B">
        <w:rPr>
          <w:rFonts w:ascii="Arial" w:hAnsi="Arial" w:cs="Arial"/>
          <w:b/>
          <w:bCs/>
          <w:color w:val="303B44"/>
          <w:sz w:val="26"/>
          <w:szCs w:val="26"/>
          <w:lang w:eastAsia="en-GB"/>
        </w:rPr>
        <w:t>Recent developments on evaluating training and learning</w:t>
      </w:r>
    </w:p>
    <w:p w14:paraId="3003BD7B"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br/>
        <w:t>Several studies have challenged these earlier methods of evaluation. By the mid-1990s Easterby-Smith</w:t>
      </w:r>
      <w:r w:rsidRPr="003A3E0B">
        <w:rPr>
          <w:rFonts w:ascii="Arial" w:hAnsi="Arial" w:cs="Arial"/>
          <w:color w:val="303B44"/>
          <w:sz w:val="20"/>
          <w:szCs w:val="20"/>
          <w:vertAlign w:val="superscript"/>
          <w:lang w:eastAsia="en-GB"/>
        </w:rPr>
        <w:t>7</w:t>
      </w:r>
      <w:r w:rsidRPr="003A3E0B">
        <w:rPr>
          <w:rFonts w:ascii="Arial" w:hAnsi="Arial" w:cs="Arial"/>
          <w:color w:val="303B44"/>
          <w:sz w:val="20"/>
          <w:szCs w:val="20"/>
          <w:lang w:eastAsia="en-GB"/>
        </w:rPr>
        <w:t xml:space="preserve"> was able to draw together four main strands for the purposes of training evaluation:</w:t>
      </w:r>
    </w:p>
    <w:p w14:paraId="1A88D248" w14:textId="77777777" w:rsidR="00C6353B" w:rsidRPr="003A3E0B" w:rsidRDefault="00C6353B" w:rsidP="003A3E0B">
      <w:pPr>
        <w:numPr>
          <w:ilvl w:val="0"/>
          <w:numId w:val="8"/>
        </w:numPr>
        <w:spacing w:after="225" w:line="336" w:lineRule="atLeast"/>
        <w:rPr>
          <w:rFonts w:ascii="Arial" w:hAnsi="Arial" w:cs="Arial"/>
          <w:color w:val="303B44"/>
          <w:sz w:val="20"/>
          <w:szCs w:val="20"/>
          <w:lang w:eastAsia="en-GB"/>
        </w:rPr>
      </w:pPr>
      <w:r w:rsidRPr="003A3E0B">
        <w:rPr>
          <w:rFonts w:ascii="Arial" w:hAnsi="Arial" w:cs="Arial"/>
          <w:b/>
          <w:bCs/>
          <w:color w:val="303B44"/>
          <w:sz w:val="20"/>
          <w:szCs w:val="20"/>
          <w:lang w:eastAsia="en-GB"/>
        </w:rPr>
        <w:t>Proving</w:t>
      </w:r>
      <w:r w:rsidRPr="003A3E0B">
        <w:rPr>
          <w:rFonts w:ascii="Arial" w:hAnsi="Arial" w:cs="Arial"/>
          <w:color w:val="303B44"/>
          <w:sz w:val="20"/>
          <w:szCs w:val="20"/>
          <w:lang w:eastAsia="en-GB"/>
        </w:rPr>
        <w:t xml:space="preserve"> – that the training worked or had measurable impact in itself</w:t>
      </w:r>
    </w:p>
    <w:p w14:paraId="0DF7C949" w14:textId="77777777" w:rsidR="00C6353B" w:rsidRPr="003A3E0B" w:rsidRDefault="00C6353B" w:rsidP="003A3E0B">
      <w:pPr>
        <w:numPr>
          <w:ilvl w:val="0"/>
          <w:numId w:val="8"/>
        </w:numPr>
        <w:spacing w:after="225" w:line="336" w:lineRule="atLeast"/>
        <w:rPr>
          <w:rFonts w:ascii="Arial" w:hAnsi="Arial" w:cs="Arial"/>
          <w:color w:val="303B44"/>
          <w:sz w:val="20"/>
          <w:szCs w:val="20"/>
          <w:lang w:eastAsia="en-GB"/>
        </w:rPr>
      </w:pPr>
      <w:r w:rsidRPr="003A3E0B">
        <w:rPr>
          <w:rFonts w:ascii="Arial" w:hAnsi="Arial" w:cs="Arial"/>
          <w:b/>
          <w:bCs/>
          <w:color w:val="303B44"/>
          <w:sz w:val="20"/>
          <w:szCs w:val="20"/>
          <w:lang w:eastAsia="en-GB"/>
        </w:rPr>
        <w:t>Controlling</w:t>
      </w:r>
      <w:r w:rsidRPr="003A3E0B">
        <w:rPr>
          <w:rFonts w:ascii="Arial" w:hAnsi="Arial" w:cs="Arial"/>
          <w:color w:val="303B44"/>
          <w:sz w:val="20"/>
          <w:szCs w:val="20"/>
          <w:lang w:eastAsia="en-GB"/>
        </w:rPr>
        <w:t xml:space="preserve"> – for example, the time needed for training courses, access to costly off-the-job programmes, </w:t>
      </w:r>
      <w:proofErr w:type="gramStart"/>
      <w:r w:rsidRPr="003A3E0B">
        <w:rPr>
          <w:rFonts w:ascii="Arial" w:hAnsi="Arial" w:cs="Arial"/>
          <w:color w:val="303B44"/>
          <w:sz w:val="20"/>
          <w:szCs w:val="20"/>
          <w:lang w:eastAsia="en-GB"/>
        </w:rPr>
        <w:t>consistency</w:t>
      </w:r>
      <w:proofErr w:type="gramEnd"/>
      <w:r w:rsidRPr="003A3E0B">
        <w:rPr>
          <w:rFonts w:ascii="Arial" w:hAnsi="Arial" w:cs="Arial"/>
          <w:color w:val="303B44"/>
          <w:sz w:val="20"/>
          <w:szCs w:val="20"/>
          <w:lang w:eastAsia="en-GB"/>
        </w:rPr>
        <w:t xml:space="preserve"> or compliance requirements</w:t>
      </w:r>
    </w:p>
    <w:p w14:paraId="75F1A0AD" w14:textId="77777777" w:rsidR="00C6353B" w:rsidRPr="003A3E0B" w:rsidRDefault="00C6353B" w:rsidP="003A3E0B">
      <w:pPr>
        <w:numPr>
          <w:ilvl w:val="0"/>
          <w:numId w:val="8"/>
        </w:numPr>
        <w:spacing w:after="225" w:line="336" w:lineRule="atLeast"/>
        <w:rPr>
          <w:rFonts w:ascii="Arial" w:hAnsi="Arial" w:cs="Arial"/>
          <w:color w:val="303B44"/>
          <w:sz w:val="20"/>
          <w:szCs w:val="20"/>
          <w:lang w:eastAsia="en-GB"/>
        </w:rPr>
      </w:pPr>
      <w:r w:rsidRPr="003A3E0B">
        <w:rPr>
          <w:rFonts w:ascii="Arial" w:hAnsi="Arial" w:cs="Arial"/>
          <w:b/>
          <w:bCs/>
          <w:color w:val="303B44"/>
          <w:sz w:val="20"/>
          <w:szCs w:val="20"/>
          <w:lang w:eastAsia="en-GB"/>
        </w:rPr>
        <w:lastRenderedPageBreak/>
        <w:t>Improving</w:t>
      </w:r>
      <w:r w:rsidRPr="003A3E0B">
        <w:rPr>
          <w:rFonts w:ascii="Arial" w:hAnsi="Arial" w:cs="Arial"/>
          <w:color w:val="303B44"/>
          <w:sz w:val="20"/>
          <w:szCs w:val="20"/>
          <w:lang w:eastAsia="en-GB"/>
        </w:rPr>
        <w:t xml:space="preserve"> – for example, the training, trainers, course content and arrangements etc</w:t>
      </w:r>
    </w:p>
    <w:p w14:paraId="51ADFEAA" w14:textId="77777777" w:rsidR="00C6353B" w:rsidRPr="003A3E0B" w:rsidRDefault="00C6353B" w:rsidP="003A3E0B">
      <w:pPr>
        <w:numPr>
          <w:ilvl w:val="0"/>
          <w:numId w:val="8"/>
        </w:numPr>
        <w:spacing w:after="225" w:line="336" w:lineRule="atLeast"/>
        <w:rPr>
          <w:rFonts w:ascii="Arial" w:hAnsi="Arial" w:cs="Arial"/>
          <w:color w:val="303B44"/>
          <w:sz w:val="20"/>
          <w:szCs w:val="20"/>
          <w:lang w:eastAsia="en-GB"/>
        </w:rPr>
      </w:pPr>
      <w:r w:rsidRPr="003A3E0B">
        <w:rPr>
          <w:rFonts w:ascii="Arial" w:hAnsi="Arial" w:cs="Arial"/>
          <w:b/>
          <w:bCs/>
          <w:color w:val="303B44"/>
          <w:sz w:val="20"/>
          <w:szCs w:val="20"/>
          <w:lang w:eastAsia="en-GB"/>
        </w:rPr>
        <w:t>Reinforcing</w:t>
      </w:r>
      <w:r w:rsidRPr="003A3E0B">
        <w:rPr>
          <w:rFonts w:ascii="Arial" w:hAnsi="Arial" w:cs="Arial"/>
          <w:color w:val="303B44"/>
          <w:sz w:val="20"/>
          <w:szCs w:val="20"/>
          <w:lang w:eastAsia="en-GB"/>
        </w:rPr>
        <w:t xml:space="preserve"> – using evaluation efforts as a deliberate contribution to the learning process itself.</w:t>
      </w:r>
    </w:p>
    <w:p w14:paraId="1B0F964D"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A subsequent study by Silvester et al</w:t>
      </w:r>
      <w:r w:rsidRPr="003A3E0B">
        <w:rPr>
          <w:rFonts w:ascii="Arial" w:hAnsi="Arial" w:cs="Arial"/>
          <w:color w:val="303B44"/>
          <w:sz w:val="20"/>
          <w:szCs w:val="20"/>
          <w:vertAlign w:val="superscript"/>
          <w:lang w:eastAsia="en-GB"/>
        </w:rPr>
        <w:t>8</w:t>
      </w:r>
      <w:r w:rsidRPr="003A3E0B">
        <w:rPr>
          <w:rFonts w:ascii="Arial" w:hAnsi="Arial" w:cs="Arial"/>
          <w:color w:val="303B44"/>
          <w:sz w:val="20"/>
          <w:szCs w:val="20"/>
          <w:lang w:eastAsia="en-GB"/>
        </w:rPr>
        <w:t xml:space="preserve"> evaluated a culture change programme in a large engineering company and found that whilst all three key stakeholder groups – managers, trainers and trainees - considered that the programme would produce positive outcomes, there were important differences of view in terms of expectations:</w:t>
      </w:r>
    </w:p>
    <w:p w14:paraId="4005D9F2" w14:textId="77777777" w:rsidR="00C6353B" w:rsidRPr="003A3E0B" w:rsidRDefault="00C6353B" w:rsidP="003A3E0B">
      <w:pPr>
        <w:numPr>
          <w:ilvl w:val="0"/>
          <w:numId w:val="9"/>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the trainees were most optimistic – perhaps because of receiving attention and the chance to learn new skills, though not necessarily to be involved in the apparent push to change the organisational culture</w:t>
      </w:r>
    </w:p>
    <w:p w14:paraId="3B86E7D0" w14:textId="77777777" w:rsidR="00C6353B" w:rsidRPr="003A3E0B" w:rsidRDefault="00C6353B" w:rsidP="003A3E0B">
      <w:pPr>
        <w:numPr>
          <w:ilvl w:val="0"/>
          <w:numId w:val="9"/>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the trainers were the most cynical – probably through harbouring doubts about their ability to bring about lasting change through a single form of intervention</w:t>
      </w:r>
    </w:p>
    <w:p w14:paraId="4177FAAB" w14:textId="77777777" w:rsidR="00C6353B" w:rsidRPr="003A3E0B" w:rsidRDefault="00C6353B" w:rsidP="003A3E0B">
      <w:pPr>
        <w:numPr>
          <w:ilvl w:val="0"/>
          <w:numId w:val="9"/>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the managers were the most pessimistic – mainly through belief that the training was all about quality not culture, and that it would thrive only in some areas.</w:t>
      </w:r>
    </w:p>
    <w:p w14:paraId="32D83F60"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Once again, </w:t>
      </w:r>
      <w:proofErr w:type="gramStart"/>
      <w:r w:rsidRPr="003A3E0B">
        <w:rPr>
          <w:rFonts w:ascii="Arial" w:hAnsi="Arial" w:cs="Arial"/>
          <w:color w:val="303B44"/>
          <w:sz w:val="20"/>
          <w:szCs w:val="20"/>
          <w:lang w:eastAsia="en-GB"/>
        </w:rPr>
        <w:t>it is clear that any</w:t>
      </w:r>
      <w:proofErr w:type="gramEnd"/>
      <w:r w:rsidRPr="003A3E0B">
        <w:rPr>
          <w:rFonts w:ascii="Arial" w:hAnsi="Arial" w:cs="Arial"/>
          <w:color w:val="303B44"/>
          <w:sz w:val="20"/>
          <w:szCs w:val="20"/>
          <w:lang w:eastAsia="en-GB"/>
        </w:rPr>
        <w:t xml:space="preserve"> focus on evaluating training input alone may miss the point about valuing learning outcomes and may also neglect any consideration of a wider raft of interventions, strategies and expectations that encourage learning. A firmer focus on learning outputs should result in a self-directed, work-based process leading to increased adaptive potential in the long run.</w:t>
      </w:r>
    </w:p>
    <w:p w14:paraId="2D0403C4" w14:textId="77777777" w:rsidR="00C6353B" w:rsidRPr="003A3E0B" w:rsidRDefault="00C6353B" w:rsidP="003A3E0B">
      <w:pPr>
        <w:pBdr>
          <w:bottom w:val="single" w:sz="36" w:space="0" w:color="DAE6DB"/>
        </w:pBdr>
        <w:spacing w:before="150" w:after="225" w:line="336" w:lineRule="atLeast"/>
        <w:outlineLvl w:val="2"/>
        <w:rPr>
          <w:rFonts w:ascii="Arial" w:hAnsi="Arial" w:cs="Arial"/>
          <w:b/>
          <w:bCs/>
          <w:color w:val="303B44"/>
          <w:sz w:val="28"/>
          <w:szCs w:val="28"/>
          <w:lang w:eastAsia="en-GB"/>
        </w:rPr>
      </w:pPr>
      <w:r w:rsidRPr="003A3E0B">
        <w:rPr>
          <w:rFonts w:ascii="Arial" w:hAnsi="Arial" w:cs="Arial"/>
          <w:b/>
          <w:bCs/>
          <w:color w:val="303B44"/>
          <w:sz w:val="28"/>
          <w:szCs w:val="28"/>
          <w:lang w:eastAsia="en-GB"/>
        </w:rPr>
        <w:t xml:space="preserve">CIPD’s value of learning research </w:t>
      </w:r>
    </w:p>
    <w:p w14:paraId="0E115165"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In 2007, we published the results of our research with the University of Portsmouth exploring how organisations measure and report the contribution of learning to strategic value. The report drew on data gathered from learning, </w:t>
      </w:r>
      <w:proofErr w:type="gramStart"/>
      <w:r w:rsidRPr="003A3E0B">
        <w:rPr>
          <w:rFonts w:ascii="Arial" w:hAnsi="Arial" w:cs="Arial"/>
          <w:color w:val="303B44"/>
          <w:sz w:val="20"/>
          <w:szCs w:val="20"/>
          <w:lang w:eastAsia="en-GB"/>
        </w:rPr>
        <w:t>training</w:t>
      </w:r>
      <w:proofErr w:type="gramEnd"/>
      <w:r w:rsidRPr="003A3E0B">
        <w:rPr>
          <w:rFonts w:ascii="Arial" w:hAnsi="Arial" w:cs="Arial"/>
          <w:color w:val="303B44"/>
          <w:sz w:val="20"/>
          <w:szCs w:val="20"/>
          <w:lang w:eastAsia="en-GB"/>
        </w:rPr>
        <w:t xml:space="preserve"> and development (LTD) practitioners and senior operational managers in 12 UK-based organisations.</w:t>
      </w:r>
    </w:p>
    <w:p w14:paraId="496C4557" w14:textId="77777777" w:rsidR="00C6353B" w:rsidRPr="003A3E0B" w:rsidRDefault="00640FB8" w:rsidP="003A3E0B">
      <w:pPr>
        <w:numPr>
          <w:ilvl w:val="0"/>
          <w:numId w:val="10"/>
        </w:numPr>
        <w:spacing w:after="225" w:line="336" w:lineRule="atLeast"/>
        <w:rPr>
          <w:rFonts w:ascii="Arial" w:hAnsi="Arial" w:cs="Arial"/>
          <w:color w:val="303B44"/>
          <w:sz w:val="20"/>
          <w:szCs w:val="20"/>
          <w:lang w:eastAsia="en-GB"/>
        </w:rPr>
      </w:pPr>
      <w:hyperlink r:id="rId17" w:history="1">
        <w:r w:rsidR="00C6353B" w:rsidRPr="003A3E0B">
          <w:rPr>
            <w:rFonts w:ascii="Arial" w:hAnsi="Arial" w:cs="Arial"/>
            <w:color w:val="1578BE"/>
            <w:sz w:val="20"/>
            <w:szCs w:val="20"/>
            <w:lang w:eastAsia="en-GB"/>
          </w:rPr>
          <w:t>Find out more about our Value of learning research report</w:t>
        </w:r>
      </w:hyperlink>
    </w:p>
    <w:p w14:paraId="59ACF68B"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Our research indicated that most organisations still have some way to go with the development of appropriate measures.  However, four main approaches to measuring and reporting on value were identified:</w:t>
      </w:r>
    </w:p>
    <w:p w14:paraId="5B7B0777" w14:textId="77777777" w:rsidR="00C6353B" w:rsidRPr="003A3E0B" w:rsidRDefault="00C6353B" w:rsidP="003A3E0B">
      <w:pPr>
        <w:numPr>
          <w:ilvl w:val="0"/>
          <w:numId w:val="11"/>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learning function efficiency measures</w:t>
      </w:r>
    </w:p>
    <w:p w14:paraId="19DA3953" w14:textId="77777777" w:rsidR="00C6353B" w:rsidRPr="003A3E0B" w:rsidRDefault="00C6353B" w:rsidP="003A3E0B">
      <w:pPr>
        <w:numPr>
          <w:ilvl w:val="0"/>
          <w:numId w:val="11"/>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key performance indicators and benchmark measures</w:t>
      </w:r>
    </w:p>
    <w:p w14:paraId="63D5D781" w14:textId="77777777" w:rsidR="00C6353B" w:rsidRPr="003A3E0B" w:rsidRDefault="00C6353B" w:rsidP="003A3E0B">
      <w:pPr>
        <w:numPr>
          <w:ilvl w:val="0"/>
          <w:numId w:val="11"/>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return on investment measures</w:t>
      </w:r>
    </w:p>
    <w:p w14:paraId="1DB94C1A" w14:textId="77777777" w:rsidR="00C6353B" w:rsidRPr="003A3E0B" w:rsidRDefault="00C6353B" w:rsidP="003A3E0B">
      <w:pPr>
        <w:numPr>
          <w:ilvl w:val="0"/>
          <w:numId w:val="11"/>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return on expectation measures.</w:t>
      </w:r>
    </w:p>
    <w:p w14:paraId="68A94BEC"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lastRenderedPageBreak/>
        <w:t>In respect of learning function efficiency measures, for example, there is a need to address important questions such as:</w:t>
      </w:r>
    </w:p>
    <w:p w14:paraId="41D28BB4" w14:textId="77777777" w:rsidR="00C6353B" w:rsidRPr="003A3E0B" w:rsidRDefault="00C6353B" w:rsidP="003A3E0B">
      <w:pPr>
        <w:numPr>
          <w:ilvl w:val="0"/>
          <w:numId w:val="12"/>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Is the LTD function delivering operational effectiveness?</w:t>
      </w:r>
    </w:p>
    <w:p w14:paraId="4546529B" w14:textId="77777777" w:rsidR="00C6353B" w:rsidRPr="003A3E0B" w:rsidRDefault="00C6353B" w:rsidP="003A3E0B">
      <w:pPr>
        <w:numPr>
          <w:ilvl w:val="0"/>
          <w:numId w:val="12"/>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How effectively is the functional capability of the workforce being developed?</w:t>
      </w:r>
    </w:p>
    <w:p w14:paraId="35DBD276" w14:textId="77777777" w:rsidR="00C6353B" w:rsidRPr="003A3E0B" w:rsidRDefault="00C6353B" w:rsidP="003A3E0B">
      <w:pPr>
        <w:numPr>
          <w:ilvl w:val="0"/>
          <w:numId w:val="12"/>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How well are learning interventions supporting critical success factors?</w:t>
      </w:r>
    </w:p>
    <w:p w14:paraId="4D25BDA7" w14:textId="77777777" w:rsidR="00C6353B" w:rsidRPr="003A3E0B" w:rsidRDefault="00C6353B" w:rsidP="003A3E0B">
      <w:pPr>
        <w:numPr>
          <w:ilvl w:val="0"/>
          <w:numId w:val="12"/>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How do learning operations compare with those of other relevant organisations?’</w:t>
      </w:r>
    </w:p>
    <w:p w14:paraId="3BE97FC4" w14:textId="77777777" w:rsidR="00C6353B" w:rsidRPr="003A3E0B" w:rsidRDefault="00C6353B" w:rsidP="003A3E0B">
      <w:pPr>
        <w:spacing w:before="100" w:beforeAutospacing="1" w:after="48" w:line="336" w:lineRule="atLeast"/>
        <w:outlineLvl w:val="3"/>
        <w:rPr>
          <w:rFonts w:ascii="Arial" w:hAnsi="Arial" w:cs="Arial"/>
          <w:b/>
          <w:bCs/>
          <w:color w:val="303B44"/>
          <w:sz w:val="26"/>
          <w:szCs w:val="26"/>
          <w:lang w:eastAsia="en-GB"/>
        </w:rPr>
      </w:pPr>
      <w:r w:rsidRPr="003A3E0B">
        <w:rPr>
          <w:rFonts w:ascii="Arial" w:hAnsi="Arial" w:cs="Arial"/>
          <w:b/>
          <w:bCs/>
          <w:color w:val="303B44"/>
          <w:sz w:val="26"/>
          <w:szCs w:val="26"/>
          <w:lang w:eastAsia="en-GB"/>
        </w:rPr>
        <w:t>The ‘RAM’ approach</w:t>
      </w:r>
    </w:p>
    <w:p w14:paraId="07D762B7"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br/>
        <w:t>Drawing on our research findings, CIPD has developed an approach to learning known as RAM (relevance, alignment, measurement) focusing on the need for:</w:t>
      </w:r>
    </w:p>
    <w:p w14:paraId="6CF2B828" w14:textId="77777777" w:rsidR="00C6353B" w:rsidRPr="003A3E0B" w:rsidRDefault="00C6353B" w:rsidP="003A3E0B">
      <w:pPr>
        <w:numPr>
          <w:ilvl w:val="0"/>
          <w:numId w:val="13"/>
        </w:numPr>
        <w:spacing w:after="225" w:line="336" w:lineRule="atLeast"/>
        <w:rPr>
          <w:rFonts w:ascii="Arial" w:hAnsi="Arial" w:cs="Arial"/>
          <w:color w:val="303B44"/>
          <w:sz w:val="20"/>
          <w:szCs w:val="20"/>
          <w:lang w:eastAsia="en-GB"/>
        </w:rPr>
      </w:pPr>
      <w:r w:rsidRPr="003A3E0B">
        <w:rPr>
          <w:rFonts w:ascii="Arial" w:hAnsi="Arial" w:cs="Arial"/>
          <w:b/>
          <w:bCs/>
          <w:color w:val="303B44"/>
          <w:sz w:val="20"/>
          <w:szCs w:val="20"/>
          <w:lang w:eastAsia="en-GB"/>
        </w:rPr>
        <w:t>Relevance</w:t>
      </w:r>
      <w:r w:rsidRPr="003A3E0B">
        <w:rPr>
          <w:rFonts w:ascii="Arial" w:hAnsi="Arial" w:cs="Arial"/>
          <w:color w:val="303B44"/>
          <w:sz w:val="20"/>
          <w:szCs w:val="20"/>
          <w:lang w:eastAsia="en-GB"/>
        </w:rPr>
        <w:t>: how existing or planned training provision will meet new opportunities and challenges for the business.</w:t>
      </w:r>
    </w:p>
    <w:p w14:paraId="368FC0C8" w14:textId="77777777" w:rsidR="00C6353B" w:rsidRPr="003A3E0B" w:rsidRDefault="00C6353B" w:rsidP="003A3E0B">
      <w:pPr>
        <w:numPr>
          <w:ilvl w:val="0"/>
          <w:numId w:val="13"/>
        </w:numPr>
        <w:spacing w:after="225" w:line="336" w:lineRule="atLeast"/>
        <w:rPr>
          <w:rFonts w:ascii="Arial" w:hAnsi="Arial" w:cs="Arial"/>
          <w:color w:val="303B44"/>
          <w:sz w:val="20"/>
          <w:szCs w:val="20"/>
          <w:lang w:eastAsia="en-GB"/>
        </w:rPr>
      </w:pPr>
      <w:r w:rsidRPr="003A3E0B">
        <w:rPr>
          <w:rFonts w:ascii="Arial" w:hAnsi="Arial" w:cs="Arial"/>
          <w:b/>
          <w:bCs/>
          <w:color w:val="303B44"/>
          <w:sz w:val="20"/>
          <w:szCs w:val="20"/>
          <w:lang w:eastAsia="en-GB"/>
        </w:rPr>
        <w:t>Alignment</w:t>
      </w:r>
      <w:r w:rsidRPr="003A3E0B">
        <w:rPr>
          <w:rFonts w:ascii="Arial" w:hAnsi="Arial" w:cs="Arial"/>
          <w:color w:val="303B44"/>
          <w:sz w:val="20"/>
          <w:szCs w:val="20"/>
          <w:lang w:eastAsia="en-GB"/>
        </w:rPr>
        <w:t xml:space="preserve">: if the plan is to deliver a changed LTD offer, it is critical for HR to talk to key managers and other stakeholders about what they are seeking to deliver and how the function can help them achieve it. It is also important to ensure that LTD is aligned to other key strategies such as reward, organisational development, </w:t>
      </w:r>
      <w:proofErr w:type="gramStart"/>
      <w:r w:rsidRPr="003A3E0B">
        <w:rPr>
          <w:rFonts w:ascii="Arial" w:hAnsi="Arial" w:cs="Arial"/>
          <w:color w:val="303B44"/>
          <w:sz w:val="20"/>
          <w:szCs w:val="20"/>
          <w:lang w:eastAsia="en-GB"/>
        </w:rPr>
        <w:t>engagement</w:t>
      </w:r>
      <w:proofErr w:type="gramEnd"/>
      <w:r w:rsidRPr="003A3E0B">
        <w:rPr>
          <w:rFonts w:ascii="Arial" w:hAnsi="Arial" w:cs="Arial"/>
          <w:color w:val="303B44"/>
          <w:sz w:val="20"/>
          <w:szCs w:val="20"/>
          <w:lang w:eastAsia="en-GB"/>
        </w:rPr>
        <w:t xml:space="preserve"> and other aspects of the management of human resources. Alignment with organisational strategy and its marketing and finance strategies and other dimensions of corporate strategy gives focus, </w:t>
      </w:r>
      <w:proofErr w:type="gramStart"/>
      <w:r w:rsidRPr="003A3E0B">
        <w:rPr>
          <w:rFonts w:ascii="Arial" w:hAnsi="Arial" w:cs="Arial"/>
          <w:color w:val="303B44"/>
          <w:sz w:val="20"/>
          <w:szCs w:val="20"/>
          <w:lang w:eastAsia="en-GB"/>
        </w:rPr>
        <w:t>purpose</w:t>
      </w:r>
      <w:proofErr w:type="gramEnd"/>
      <w:r w:rsidRPr="003A3E0B">
        <w:rPr>
          <w:rFonts w:ascii="Arial" w:hAnsi="Arial" w:cs="Arial"/>
          <w:color w:val="303B44"/>
          <w:sz w:val="20"/>
          <w:szCs w:val="20"/>
          <w:lang w:eastAsia="en-GB"/>
        </w:rPr>
        <w:t xml:space="preserve"> and relevance to LTD.</w:t>
      </w:r>
    </w:p>
    <w:p w14:paraId="43E38203" w14:textId="77777777" w:rsidR="00C6353B" w:rsidRPr="003A3E0B" w:rsidRDefault="00C6353B" w:rsidP="003A3E0B">
      <w:pPr>
        <w:numPr>
          <w:ilvl w:val="0"/>
          <w:numId w:val="13"/>
        </w:numPr>
        <w:spacing w:after="225" w:line="336" w:lineRule="atLeast"/>
        <w:rPr>
          <w:rFonts w:ascii="Arial" w:hAnsi="Arial" w:cs="Arial"/>
          <w:color w:val="303B44"/>
          <w:sz w:val="20"/>
          <w:szCs w:val="20"/>
          <w:lang w:eastAsia="en-GB"/>
        </w:rPr>
      </w:pPr>
      <w:r w:rsidRPr="003A3E0B">
        <w:rPr>
          <w:rFonts w:ascii="Arial" w:hAnsi="Arial" w:cs="Arial"/>
          <w:b/>
          <w:bCs/>
          <w:color w:val="303B44"/>
          <w:sz w:val="20"/>
          <w:szCs w:val="20"/>
          <w:lang w:eastAsia="en-GB"/>
        </w:rPr>
        <w:t>Measurement</w:t>
      </w:r>
      <w:r w:rsidRPr="003A3E0B">
        <w:rPr>
          <w:rFonts w:ascii="Arial" w:hAnsi="Arial" w:cs="Arial"/>
          <w:color w:val="303B44"/>
          <w:sz w:val="20"/>
          <w:szCs w:val="20"/>
          <w:lang w:eastAsia="en-GB"/>
        </w:rPr>
        <w:t>: it is also critical that the HR function effectively and consistently measures and evaluates its interventions.  It may be helpful to use a mixture of evaluation methods such as return on investment (ROI) and broader measures of expected change and improvement such as return on expectation, and to link LTD outcomes to key performance indicators (KPIs).</w:t>
      </w:r>
    </w:p>
    <w:p w14:paraId="09FF8044"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This approach is useful for learning and talent development programmes by maintaining a focus on the outcome, rather than the process itself.</w:t>
      </w:r>
    </w:p>
    <w:p w14:paraId="29E855A5" w14:textId="77777777" w:rsidR="00C6353B" w:rsidRPr="003A3E0B" w:rsidRDefault="00C6353B" w:rsidP="003A3E0B">
      <w:pPr>
        <w:spacing w:before="100" w:beforeAutospacing="1" w:after="48" w:line="336" w:lineRule="atLeast"/>
        <w:outlineLvl w:val="3"/>
        <w:rPr>
          <w:rFonts w:ascii="Arial" w:hAnsi="Arial" w:cs="Arial"/>
          <w:b/>
          <w:bCs/>
          <w:color w:val="303B44"/>
          <w:sz w:val="26"/>
          <w:szCs w:val="26"/>
          <w:lang w:eastAsia="en-GB"/>
        </w:rPr>
      </w:pPr>
      <w:r w:rsidRPr="003A3E0B">
        <w:rPr>
          <w:rFonts w:ascii="Arial" w:hAnsi="Arial" w:cs="Arial"/>
          <w:b/>
          <w:bCs/>
          <w:color w:val="303B44"/>
          <w:sz w:val="26"/>
          <w:szCs w:val="26"/>
          <w:lang w:eastAsia="en-GB"/>
        </w:rPr>
        <w:t>Using evaluation to align learning with strategic priorities</w:t>
      </w:r>
    </w:p>
    <w:p w14:paraId="512A6379"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br/>
        <w:t xml:space="preserve">Our practical online tool </w:t>
      </w:r>
      <w:r w:rsidRPr="003A3E0B">
        <w:rPr>
          <w:rFonts w:ascii="Arial" w:hAnsi="Arial" w:cs="Arial"/>
          <w:i/>
          <w:iCs/>
          <w:color w:val="303B44"/>
          <w:sz w:val="20"/>
          <w:szCs w:val="20"/>
          <w:lang w:eastAsia="en-GB"/>
        </w:rPr>
        <w:t>Value of learning: assessing and reporting on the value of learning to your organisation</w:t>
      </w:r>
      <w:r w:rsidRPr="003A3E0B">
        <w:rPr>
          <w:rFonts w:ascii="Arial" w:hAnsi="Arial" w:cs="Arial"/>
          <w:color w:val="303B44"/>
          <w:sz w:val="20"/>
          <w:szCs w:val="20"/>
          <w:lang w:eastAsia="en-GB"/>
        </w:rPr>
        <w:t xml:space="preserve"> has been produced to help employers use the training evaluation to assess and encourage the alignment of learning to strategic priorities. Such alignment is key if LTD functions and practitioners wish to ensure links between their efforts and results for the organisation and if LTD is to be focused, cost-effective and more measurable in terms of valued impact. The tool contains four assessment instruments, designed to:</w:t>
      </w:r>
    </w:p>
    <w:p w14:paraId="6236EC33" w14:textId="77777777" w:rsidR="00C6353B" w:rsidRPr="003A3E0B" w:rsidRDefault="00C6353B" w:rsidP="003A3E0B">
      <w:pPr>
        <w:numPr>
          <w:ilvl w:val="0"/>
          <w:numId w:val="14"/>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lastRenderedPageBreak/>
        <w:t>identify the organisation’s strategic priorities</w:t>
      </w:r>
    </w:p>
    <w:p w14:paraId="70105929" w14:textId="77777777" w:rsidR="00C6353B" w:rsidRPr="003A3E0B" w:rsidRDefault="00C6353B" w:rsidP="003A3E0B">
      <w:pPr>
        <w:numPr>
          <w:ilvl w:val="0"/>
          <w:numId w:val="14"/>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check the current alignment of LTD</w:t>
      </w:r>
    </w:p>
    <w:p w14:paraId="3E3964AB" w14:textId="77777777" w:rsidR="00C6353B" w:rsidRPr="003A3E0B" w:rsidRDefault="00C6353B" w:rsidP="003A3E0B">
      <w:pPr>
        <w:numPr>
          <w:ilvl w:val="0"/>
          <w:numId w:val="14"/>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assess the extent of constructive dialogue about the LTD function’s interaction with managers and directors</w:t>
      </w:r>
    </w:p>
    <w:p w14:paraId="3AD7C7D1" w14:textId="77777777" w:rsidR="00C6353B" w:rsidRPr="003A3E0B" w:rsidRDefault="00C6353B" w:rsidP="003A3E0B">
      <w:pPr>
        <w:numPr>
          <w:ilvl w:val="0"/>
          <w:numId w:val="14"/>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discover the skills and knowledge required for the alignment process.</w:t>
      </w:r>
    </w:p>
    <w:p w14:paraId="031972A6" w14:textId="77777777" w:rsidR="00C6353B" w:rsidRPr="003A3E0B" w:rsidRDefault="00640FB8" w:rsidP="003A3E0B">
      <w:pPr>
        <w:numPr>
          <w:ilvl w:val="0"/>
          <w:numId w:val="14"/>
        </w:numPr>
        <w:spacing w:after="225" w:line="336" w:lineRule="atLeast"/>
        <w:rPr>
          <w:rFonts w:ascii="Arial" w:hAnsi="Arial" w:cs="Arial"/>
          <w:color w:val="303B44"/>
          <w:sz w:val="20"/>
          <w:szCs w:val="20"/>
          <w:lang w:eastAsia="en-GB"/>
        </w:rPr>
      </w:pPr>
      <w:hyperlink r:id="rId18" w:history="1">
        <w:r w:rsidR="00C6353B" w:rsidRPr="003A3E0B">
          <w:rPr>
            <w:rFonts w:ascii="Arial" w:hAnsi="Arial" w:cs="Arial"/>
            <w:color w:val="1578BE"/>
            <w:sz w:val="20"/>
            <w:szCs w:val="20"/>
            <w:lang w:eastAsia="en-GB"/>
          </w:rPr>
          <w:t>Go to the tool</w:t>
        </w:r>
      </w:hyperlink>
      <w:r w:rsidR="00C6353B" w:rsidRPr="003A3E0B">
        <w:rPr>
          <w:rFonts w:ascii="Arial" w:hAnsi="Arial" w:cs="Arial"/>
          <w:color w:val="303B44"/>
          <w:sz w:val="20"/>
          <w:szCs w:val="20"/>
          <w:lang w:eastAsia="en-GB"/>
        </w:rPr>
        <w:t>  </w:t>
      </w:r>
    </w:p>
    <w:p w14:paraId="024FF5FE" w14:textId="77777777" w:rsidR="00C6353B" w:rsidRPr="003A3E0B" w:rsidRDefault="00C6353B" w:rsidP="003A3E0B">
      <w:pPr>
        <w:pBdr>
          <w:bottom w:val="single" w:sz="36" w:space="0" w:color="DAE6DB"/>
        </w:pBdr>
        <w:spacing w:before="150" w:after="225" w:line="336" w:lineRule="atLeast"/>
        <w:outlineLvl w:val="2"/>
        <w:rPr>
          <w:rFonts w:ascii="Arial" w:hAnsi="Arial" w:cs="Arial"/>
          <w:b/>
          <w:bCs/>
          <w:color w:val="303B44"/>
          <w:sz w:val="28"/>
          <w:szCs w:val="28"/>
          <w:lang w:eastAsia="en-GB"/>
        </w:rPr>
      </w:pPr>
      <w:r w:rsidRPr="003A3E0B">
        <w:rPr>
          <w:rFonts w:ascii="Arial" w:hAnsi="Arial" w:cs="Arial"/>
          <w:b/>
          <w:bCs/>
          <w:color w:val="303B44"/>
          <w:sz w:val="28"/>
          <w:szCs w:val="28"/>
          <w:lang w:eastAsia="en-GB"/>
        </w:rPr>
        <w:t xml:space="preserve">Implications for future evaluation efforts </w:t>
      </w:r>
    </w:p>
    <w:p w14:paraId="509CC0C8" w14:textId="77777777" w:rsidR="00C6353B" w:rsidRPr="003A3E0B" w:rsidRDefault="00C6353B" w:rsidP="003A3E0B">
      <w:pPr>
        <w:spacing w:before="100" w:beforeAutospacing="1" w:after="48" w:line="336" w:lineRule="atLeast"/>
        <w:outlineLvl w:val="3"/>
        <w:rPr>
          <w:rFonts w:ascii="Arial" w:hAnsi="Arial" w:cs="Arial"/>
          <w:b/>
          <w:bCs/>
          <w:color w:val="303B44"/>
          <w:sz w:val="26"/>
          <w:szCs w:val="26"/>
          <w:lang w:eastAsia="en-GB"/>
        </w:rPr>
      </w:pPr>
      <w:r w:rsidRPr="003A3E0B">
        <w:rPr>
          <w:rFonts w:ascii="Arial" w:hAnsi="Arial" w:cs="Arial"/>
          <w:b/>
          <w:bCs/>
          <w:color w:val="303B44"/>
          <w:sz w:val="26"/>
          <w:szCs w:val="26"/>
          <w:lang w:eastAsia="en-GB"/>
        </w:rPr>
        <w:t>The focus on learning outcomes</w:t>
      </w:r>
    </w:p>
    <w:p w14:paraId="289C8947"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br/>
        <w:t>An immediately obvious implication of our 'Value of learning' research for future evaluation efforts is the need to focus on learning outcomes, which may be broadly defined as some permanent or long-lasting change in knowledge, skills and attitudes, and which is an output or outcome, rather than on any training itself, which is an input.</w:t>
      </w:r>
    </w:p>
    <w:p w14:paraId="184B25B6" w14:textId="77777777" w:rsidR="00C6353B" w:rsidRPr="003A3E0B" w:rsidRDefault="00C6353B" w:rsidP="003A3E0B">
      <w:pPr>
        <w:spacing w:before="100" w:beforeAutospacing="1" w:after="48" w:line="336" w:lineRule="atLeast"/>
        <w:outlineLvl w:val="3"/>
        <w:rPr>
          <w:rFonts w:ascii="Arial" w:hAnsi="Arial" w:cs="Arial"/>
          <w:b/>
          <w:bCs/>
          <w:color w:val="303B44"/>
          <w:sz w:val="26"/>
          <w:szCs w:val="26"/>
          <w:lang w:eastAsia="en-GB"/>
        </w:rPr>
      </w:pPr>
      <w:r w:rsidRPr="003A3E0B">
        <w:rPr>
          <w:rFonts w:ascii="Arial" w:hAnsi="Arial" w:cs="Arial"/>
          <w:b/>
          <w:bCs/>
          <w:color w:val="303B44"/>
          <w:sz w:val="26"/>
          <w:szCs w:val="26"/>
          <w:lang w:eastAsia="en-GB"/>
        </w:rPr>
        <w:t>Learning evaluation during economic downturns</w:t>
      </w:r>
    </w:p>
    <w:p w14:paraId="15F28472"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br/>
        <w:t xml:space="preserve">Effective evaluation is a cornerstone of good HR practice and, in the current economic climate, it is more important than ever to be able to prove the value of learning and development. Our guide for CIPD members </w:t>
      </w:r>
      <w:r w:rsidRPr="003A3E0B">
        <w:rPr>
          <w:rFonts w:ascii="Arial" w:hAnsi="Arial" w:cs="Arial"/>
          <w:i/>
          <w:iCs/>
          <w:color w:val="303B44"/>
          <w:sz w:val="20"/>
          <w:szCs w:val="20"/>
          <w:lang w:eastAsia="en-GB"/>
        </w:rPr>
        <w:t>Promoting the value of learning in adversity</w:t>
      </w:r>
      <w:r w:rsidRPr="003A3E0B">
        <w:rPr>
          <w:rFonts w:ascii="Arial" w:hAnsi="Arial" w:cs="Arial"/>
          <w:color w:val="303B44"/>
          <w:sz w:val="20"/>
          <w:szCs w:val="20"/>
          <w:lang w:eastAsia="en-GB"/>
        </w:rPr>
        <w:t xml:space="preserve"> is designed to help organisations promote the business case for learning against a backdrop of difficult economic circumstances. It shows how, even during adversity, it is possible to:</w:t>
      </w:r>
    </w:p>
    <w:p w14:paraId="13CFCE47" w14:textId="77777777" w:rsidR="00C6353B" w:rsidRPr="003A3E0B" w:rsidRDefault="00C6353B" w:rsidP="003A3E0B">
      <w:pPr>
        <w:numPr>
          <w:ilvl w:val="0"/>
          <w:numId w:val="15"/>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put the relevance and impact of learning and development at the centre of the business</w:t>
      </w:r>
    </w:p>
    <w:p w14:paraId="26292A80" w14:textId="77777777" w:rsidR="00C6353B" w:rsidRPr="003A3E0B" w:rsidRDefault="00C6353B" w:rsidP="003A3E0B">
      <w:pPr>
        <w:numPr>
          <w:ilvl w:val="0"/>
          <w:numId w:val="15"/>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connect the importance of learning with key people in the business by ensuring that the approach </w:t>
      </w:r>
      <w:proofErr w:type="gramStart"/>
      <w:r w:rsidRPr="003A3E0B">
        <w:rPr>
          <w:rFonts w:ascii="Arial" w:hAnsi="Arial" w:cs="Arial"/>
          <w:color w:val="303B44"/>
          <w:sz w:val="20"/>
          <w:szCs w:val="20"/>
          <w:lang w:eastAsia="en-GB"/>
        </w:rPr>
        <w:t>is  aligned</w:t>
      </w:r>
      <w:proofErr w:type="gramEnd"/>
      <w:r w:rsidRPr="003A3E0B">
        <w:rPr>
          <w:rFonts w:ascii="Arial" w:hAnsi="Arial" w:cs="Arial"/>
          <w:color w:val="303B44"/>
          <w:sz w:val="20"/>
          <w:szCs w:val="20"/>
          <w:lang w:eastAsia="en-GB"/>
        </w:rPr>
        <w:t xml:space="preserve"> to the organisation's goals and objectives</w:t>
      </w:r>
    </w:p>
    <w:p w14:paraId="14502687" w14:textId="77777777" w:rsidR="00C6353B" w:rsidRPr="003A3E0B" w:rsidRDefault="00C6353B" w:rsidP="003A3E0B">
      <w:pPr>
        <w:numPr>
          <w:ilvl w:val="0"/>
          <w:numId w:val="15"/>
        </w:numPr>
        <w:spacing w:before="100" w:beforeAutospacing="1" w:after="12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prove the value of learning with effective measures and metrics. </w:t>
      </w:r>
    </w:p>
    <w:p w14:paraId="61E2BB18" w14:textId="77777777" w:rsidR="00C6353B" w:rsidRPr="003A3E0B" w:rsidRDefault="00640FB8" w:rsidP="003A3E0B">
      <w:pPr>
        <w:numPr>
          <w:ilvl w:val="0"/>
          <w:numId w:val="15"/>
        </w:numPr>
        <w:spacing w:after="225" w:line="336" w:lineRule="atLeast"/>
        <w:rPr>
          <w:rFonts w:ascii="Arial" w:hAnsi="Arial" w:cs="Arial"/>
          <w:color w:val="303B44"/>
          <w:sz w:val="20"/>
          <w:szCs w:val="20"/>
          <w:lang w:eastAsia="en-GB"/>
        </w:rPr>
      </w:pPr>
      <w:hyperlink r:id="rId19" w:history="1">
        <w:r w:rsidR="00C6353B" w:rsidRPr="003A3E0B">
          <w:rPr>
            <w:rFonts w:ascii="Arial" w:hAnsi="Arial" w:cs="Arial"/>
            <w:color w:val="1578BE"/>
            <w:sz w:val="20"/>
            <w:szCs w:val="20"/>
            <w:lang w:eastAsia="en-GB"/>
          </w:rPr>
          <w:t>Go to the guide</w:t>
        </w:r>
      </w:hyperlink>
    </w:p>
    <w:p w14:paraId="52306E72" w14:textId="77777777" w:rsidR="00C6353B" w:rsidRPr="003A3E0B" w:rsidRDefault="00C6353B" w:rsidP="003A3E0B">
      <w:pPr>
        <w:pBdr>
          <w:bottom w:val="single" w:sz="36" w:space="0" w:color="DAE6DB"/>
        </w:pBdr>
        <w:spacing w:before="150" w:after="225" w:line="336" w:lineRule="atLeast"/>
        <w:outlineLvl w:val="2"/>
        <w:rPr>
          <w:rFonts w:ascii="Arial" w:hAnsi="Arial" w:cs="Arial"/>
          <w:b/>
          <w:bCs/>
          <w:color w:val="303B44"/>
          <w:sz w:val="28"/>
          <w:szCs w:val="28"/>
          <w:lang w:eastAsia="en-GB"/>
        </w:rPr>
      </w:pPr>
      <w:r w:rsidRPr="003A3E0B">
        <w:rPr>
          <w:rFonts w:ascii="Arial" w:hAnsi="Arial" w:cs="Arial"/>
          <w:b/>
          <w:bCs/>
          <w:color w:val="303B44"/>
          <w:sz w:val="28"/>
          <w:szCs w:val="28"/>
          <w:lang w:eastAsia="en-GB"/>
        </w:rPr>
        <w:t>CIPD viewpoint</w:t>
      </w:r>
    </w:p>
    <w:p w14:paraId="2709E661" w14:textId="77777777" w:rsidR="00C6353B" w:rsidRPr="003A3E0B" w:rsidRDefault="00C6353B" w:rsidP="003A3E0B">
      <w:pPr>
        <w:spacing w:after="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Evaluating learning and talent development is crucial to ensuring the effectiveness of an organisation’s learning initiatives and programmes. Effective evaluation means going beyond the traditional ‘reactions’ focus based on a simplistic assessment of learners’ levels of satisfaction with the training provision. Rather, it is important to use simplified yet sophisticated approaches such as the CIPD’s ‘RAM’ model (relevance, alignment, measurement) to evaluate learning outcomes and the extent to which learning provision is aligned with business objectives. Such a focus helps to ensure that learning and talent interventions deliver value for both learners and organisations alike. </w:t>
      </w:r>
    </w:p>
    <w:p w14:paraId="41D7DE58" w14:textId="77777777" w:rsidR="00C6353B" w:rsidRPr="003A3E0B" w:rsidRDefault="00C6353B" w:rsidP="003A3E0B">
      <w:pPr>
        <w:pBdr>
          <w:bottom w:val="single" w:sz="36" w:space="0" w:color="DAE6DB"/>
        </w:pBdr>
        <w:spacing w:before="150" w:after="225" w:line="336" w:lineRule="atLeast"/>
        <w:outlineLvl w:val="2"/>
        <w:rPr>
          <w:rFonts w:ascii="Arial" w:hAnsi="Arial" w:cs="Arial"/>
          <w:b/>
          <w:bCs/>
          <w:color w:val="303B44"/>
          <w:sz w:val="28"/>
          <w:szCs w:val="28"/>
          <w:lang w:eastAsia="en-GB"/>
        </w:rPr>
      </w:pPr>
      <w:r w:rsidRPr="003A3E0B">
        <w:rPr>
          <w:rFonts w:ascii="Arial" w:hAnsi="Arial" w:cs="Arial"/>
          <w:b/>
          <w:bCs/>
          <w:color w:val="303B44"/>
          <w:sz w:val="28"/>
          <w:szCs w:val="28"/>
          <w:lang w:eastAsia="en-GB"/>
        </w:rPr>
        <w:lastRenderedPageBreak/>
        <w:t>References</w:t>
      </w:r>
    </w:p>
    <w:p w14:paraId="1179BE46" w14:textId="77777777" w:rsidR="00C6353B" w:rsidRPr="003A3E0B" w:rsidRDefault="00C6353B" w:rsidP="003A3E0B">
      <w:pPr>
        <w:numPr>
          <w:ilvl w:val="0"/>
          <w:numId w:val="1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KIRKPATRICK, D.L. (1959). Techniques for evaluating training programs. </w:t>
      </w:r>
      <w:proofErr w:type="spellStart"/>
      <w:r w:rsidRPr="003A3E0B">
        <w:rPr>
          <w:rFonts w:ascii="Arial" w:hAnsi="Arial" w:cs="Arial"/>
          <w:i/>
          <w:iCs/>
          <w:color w:val="303B44"/>
          <w:sz w:val="20"/>
          <w:szCs w:val="20"/>
          <w:lang w:eastAsia="en-GB"/>
        </w:rPr>
        <w:t>Journalof</w:t>
      </w:r>
      <w:proofErr w:type="spellEnd"/>
      <w:r w:rsidRPr="003A3E0B">
        <w:rPr>
          <w:rFonts w:ascii="Arial" w:hAnsi="Arial" w:cs="Arial"/>
          <w:i/>
          <w:iCs/>
          <w:color w:val="303B44"/>
          <w:sz w:val="20"/>
          <w:szCs w:val="20"/>
          <w:lang w:eastAsia="en-GB"/>
        </w:rPr>
        <w:t xml:space="preserve"> the American Society of Training and Development</w:t>
      </w:r>
      <w:r w:rsidRPr="003A3E0B">
        <w:rPr>
          <w:rFonts w:ascii="Arial" w:hAnsi="Arial" w:cs="Arial"/>
          <w:color w:val="303B44"/>
          <w:sz w:val="20"/>
          <w:szCs w:val="20"/>
          <w:lang w:eastAsia="en-GB"/>
        </w:rPr>
        <w:t>. Vol 33, No 11. pp3-9.</w:t>
      </w:r>
    </w:p>
    <w:p w14:paraId="068530EA" w14:textId="77777777" w:rsidR="00C6353B" w:rsidRPr="003A3E0B" w:rsidRDefault="00C6353B" w:rsidP="003A3E0B">
      <w:pPr>
        <w:numPr>
          <w:ilvl w:val="0"/>
          <w:numId w:val="1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ALLIGER, G. and JANAK, E. (1989) Kirkpatrick’s levels of training criteria: thirty years later. </w:t>
      </w:r>
      <w:r w:rsidRPr="003A3E0B">
        <w:rPr>
          <w:rFonts w:ascii="Arial" w:hAnsi="Arial" w:cs="Arial"/>
          <w:i/>
          <w:iCs/>
          <w:color w:val="303B44"/>
          <w:sz w:val="20"/>
          <w:szCs w:val="20"/>
          <w:lang w:eastAsia="en-GB"/>
        </w:rPr>
        <w:t>Personnel Psychology</w:t>
      </w:r>
      <w:r w:rsidRPr="003A3E0B">
        <w:rPr>
          <w:rFonts w:ascii="Arial" w:hAnsi="Arial" w:cs="Arial"/>
          <w:color w:val="303B44"/>
          <w:sz w:val="20"/>
          <w:szCs w:val="20"/>
          <w:lang w:eastAsia="en-GB"/>
        </w:rPr>
        <w:t>. Vol 42, No 2. pp331-342.</w:t>
      </w:r>
    </w:p>
    <w:p w14:paraId="3EB23E4D" w14:textId="77777777" w:rsidR="00C6353B" w:rsidRPr="003A3E0B" w:rsidRDefault="00C6353B" w:rsidP="003A3E0B">
      <w:pPr>
        <w:numPr>
          <w:ilvl w:val="0"/>
          <w:numId w:val="1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AMERICAN SOCIETY FOR TRAINING AND DEVELOPMENT </w:t>
      </w:r>
      <w:r w:rsidRPr="003A3E0B">
        <w:rPr>
          <w:rFonts w:ascii="Arial" w:hAnsi="Arial" w:cs="Arial"/>
          <w:i/>
          <w:iCs/>
          <w:color w:val="303B44"/>
          <w:sz w:val="20"/>
          <w:szCs w:val="20"/>
          <w:lang w:eastAsia="en-GB"/>
        </w:rPr>
        <w:t>Annual surveys</w:t>
      </w:r>
      <w:r w:rsidRPr="003A3E0B">
        <w:rPr>
          <w:rFonts w:ascii="Arial" w:hAnsi="Arial" w:cs="Arial"/>
          <w:color w:val="303B44"/>
          <w:sz w:val="20"/>
          <w:szCs w:val="20"/>
          <w:lang w:eastAsia="en-GB"/>
        </w:rPr>
        <w:t>.</w:t>
      </w:r>
    </w:p>
    <w:p w14:paraId="570CD9C7" w14:textId="77777777" w:rsidR="00C6353B" w:rsidRPr="003A3E0B" w:rsidRDefault="00C6353B" w:rsidP="003A3E0B">
      <w:pPr>
        <w:numPr>
          <w:ilvl w:val="0"/>
          <w:numId w:val="1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MATHIEU, J. and LEONARD, R. (1987) Applying utility concepts to a training program in supervisory skills: a time-based approach. </w:t>
      </w:r>
      <w:r w:rsidRPr="003A3E0B">
        <w:rPr>
          <w:rFonts w:ascii="Arial" w:hAnsi="Arial" w:cs="Arial"/>
          <w:i/>
          <w:iCs/>
          <w:color w:val="303B44"/>
          <w:sz w:val="20"/>
          <w:szCs w:val="20"/>
          <w:lang w:eastAsia="en-GB"/>
        </w:rPr>
        <w:t>Journal of Academic Management</w:t>
      </w:r>
      <w:r w:rsidRPr="003A3E0B">
        <w:rPr>
          <w:rFonts w:ascii="Arial" w:hAnsi="Arial" w:cs="Arial"/>
          <w:color w:val="303B44"/>
          <w:sz w:val="20"/>
          <w:szCs w:val="20"/>
          <w:lang w:eastAsia="en-GB"/>
        </w:rPr>
        <w:t>. Vol 30, No 2. pp316-335.</w:t>
      </w:r>
    </w:p>
    <w:p w14:paraId="230B7DEA" w14:textId="77777777" w:rsidR="00C6353B" w:rsidRPr="003A3E0B" w:rsidRDefault="00C6353B" w:rsidP="003A3E0B">
      <w:pPr>
        <w:numPr>
          <w:ilvl w:val="0"/>
          <w:numId w:val="1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MORROW, C., JARRET, Q. and RUPINSKI, M. (1997). An investigation of the effect and economic utility of corporate-wide training. </w:t>
      </w:r>
      <w:r w:rsidRPr="003A3E0B">
        <w:rPr>
          <w:rFonts w:ascii="Arial" w:hAnsi="Arial" w:cs="Arial"/>
          <w:i/>
          <w:iCs/>
          <w:color w:val="303B44"/>
          <w:sz w:val="20"/>
          <w:szCs w:val="20"/>
          <w:lang w:eastAsia="en-GB"/>
        </w:rPr>
        <w:t>Personnel Psychology</w:t>
      </w:r>
      <w:r w:rsidRPr="003A3E0B">
        <w:rPr>
          <w:rFonts w:ascii="Arial" w:hAnsi="Arial" w:cs="Arial"/>
          <w:color w:val="303B44"/>
          <w:sz w:val="20"/>
          <w:szCs w:val="20"/>
          <w:lang w:eastAsia="en-GB"/>
        </w:rPr>
        <w:t>, Vol 50, No 1. pp91-117.</w:t>
      </w:r>
    </w:p>
    <w:p w14:paraId="0AEA2C97" w14:textId="77777777" w:rsidR="00C6353B" w:rsidRPr="003A3E0B" w:rsidRDefault="00C6353B" w:rsidP="003A3E0B">
      <w:pPr>
        <w:numPr>
          <w:ilvl w:val="0"/>
          <w:numId w:val="1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GUZZO, R. and GANNET, B. (1989) The nature of facilitators and inhibitors of effective task performance. In: SCHOORMAN, F. and SCHNEIDER, B. </w:t>
      </w:r>
      <w:r w:rsidRPr="003A3E0B">
        <w:rPr>
          <w:rFonts w:ascii="Arial" w:hAnsi="Arial" w:cs="Arial"/>
          <w:i/>
          <w:iCs/>
          <w:color w:val="303B44"/>
          <w:sz w:val="20"/>
          <w:szCs w:val="20"/>
          <w:lang w:eastAsia="en-GB"/>
        </w:rPr>
        <w:t>Facilitating work eff</w:t>
      </w:r>
      <w:r w:rsidRPr="003A3E0B">
        <w:rPr>
          <w:rFonts w:ascii="Arial" w:hAnsi="Arial" w:cs="Arial"/>
          <w:color w:val="303B44"/>
          <w:sz w:val="20"/>
          <w:szCs w:val="20"/>
          <w:lang w:eastAsia="en-GB"/>
        </w:rPr>
        <w:t>ectiveness. Lexington: Lexington Books.</w:t>
      </w:r>
    </w:p>
    <w:p w14:paraId="54BD4145" w14:textId="77777777" w:rsidR="00C6353B" w:rsidRPr="003A3E0B" w:rsidRDefault="00C6353B" w:rsidP="003A3E0B">
      <w:pPr>
        <w:numPr>
          <w:ilvl w:val="0"/>
          <w:numId w:val="1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EASTERBY-SMITH, M. (1994) </w:t>
      </w:r>
      <w:r w:rsidRPr="003A3E0B">
        <w:rPr>
          <w:rFonts w:ascii="Arial" w:hAnsi="Arial" w:cs="Arial"/>
          <w:i/>
          <w:iCs/>
          <w:color w:val="303B44"/>
          <w:sz w:val="20"/>
          <w:szCs w:val="20"/>
          <w:lang w:eastAsia="en-GB"/>
        </w:rPr>
        <w:t xml:space="preserve">Evaluating management development, </w:t>
      </w:r>
      <w:proofErr w:type="gramStart"/>
      <w:r w:rsidRPr="003A3E0B">
        <w:rPr>
          <w:rFonts w:ascii="Arial" w:hAnsi="Arial" w:cs="Arial"/>
          <w:i/>
          <w:iCs/>
          <w:color w:val="303B44"/>
          <w:sz w:val="20"/>
          <w:szCs w:val="20"/>
          <w:lang w:eastAsia="en-GB"/>
        </w:rPr>
        <w:t>training</w:t>
      </w:r>
      <w:proofErr w:type="gramEnd"/>
      <w:r w:rsidRPr="003A3E0B">
        <w:rPr>
          <w:rFonts w:ascii="Arial" w:hAnsi="Arial" w:cs="Arial"/>
          <w:i/>
          <w:iCs/>
          <w:color w:val="303B44"/>
          <w:sz w:val="20"/>
          <w:szCs w:val="20"/>
          <w:lang w:eastAsia="en-GB"/>
        </w:rPr>
        <w:t xml:space="preserve"> and education</w:t>
      </w:r>
      <w:r w:rsidRPr="003A3E0B">
        <w:rPr>
          <w:rFonts w:ascii="Arial" w:hAnsi="Arial" w:cs="Arial"/>
          <w:color w:val="303B44"/>
          <w:sz w:val="20"/>
          <w:szCs w:val="20"/>
          <w:lang w:eastAsia="en-GB"/>
        </w:rPr>
        <w:t>. Aldershot: Gower.</w:t>
      </w:r>
    </w:p>
    <w:p w14:paraId="7B7DD88B" w14:textId="77777777" w:rsidR="00C6353B" w:rsidRPr="003A3E0B" w:rsidRDefault="00C6353B" w:rsidP="003A3E0B">
      <w:pPr>
        <w:numPr>
          <w:ilvl w:val="0"/>
          <w:numId w:val="16"/>
        </w:num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SILVESTER, J., ANDERSON, N. and PATTERSON, F. (1999). Organisational culture change: an inter-group attributional analysis. </w:t>
      </w:r>
      <w:r w:rsidRPr="003A3E0B">
        <w:rPr>
          <w:rFonts w:ascii="Arial" w:hAnsi="Arial" w:cs="Arial"/>
          <w:i/>
          <w:iCs/>
          <w:color w:val="303B44"/>
          <w:sz w:val="20"/>
          <w:szCs w:val="20"/>
          <w:lang w:eastAsia="en-GB"/>
        </w:rPr>
        <w:t>Journal of Occupational and Organisational Psychology</w:t>
      </w:r>
      <w:r w:rsidRPr="003A3E0B">
        <w:rPr>
          <w:rFonts w:ascii="Arial" w:hAnsi="Arial" w:cs="Arial"/>
          <w:color w:val="303B44"/>
          <w:sz w:val="20"/>
          <w:szCs w:val="20"/>
          <w:lang w:eastAsia="en-GB"/>
        </w:rPr>
        <w:t>, Vol 72, No 1. pp1-23.</w:t>
      </w:r>
    </w:p>
    <w:p w14:paraId="25E93C97" w14:textId="77777777" w:rsidR="00C6353B" w:rsidRPr="003A3E0B" w:rsidRDefault="00C6353B" w:rsidP="003A3E0B">
      <w:pPr>
        <w:spacing w:before="450" w:after="100" w:afterAutospacing="1" w:line="336" w:lineRule="atLeast"/>
        <w:outlineLvl w:val="2"/>
        <w:rPr>
          <w:rFonts w:ascii="Arial" w:hAnsi="Arial" w:cs="Arial"/>
          <w:b/>
          <w:bCs/>
          <w:color w:val="303B44"/>
          <w:sz w:val="28"/>
          <w:szCs w:val="28"/>
          <w:lang w:eastAsia="en-GB"/>
        </w:rPr>
      </w:pPr>
      <w:r w:rsidRPr="003A3E0B">
        <w:rPr>
          <w:rFonts w:ascii="Arial" w:hAnsi="Arial" w:cs="Arial"/>
          <w:b/>
          <w:bCs/>
          <w:color w:val="303B44"/>
          <w:sz w:val="28"/>
          <w:szCs w:val="28"/>
          <w:lang w:eastAsia="en-GB"/>
        </w:rPr>
        <w:t>Further reading</w:t>
      </w:r>
    </w:p>
    <w:p w14:paraId="7FC63C80" w14:textId="77777777" w:rsidR="00C6353B" w:rsidRPr="003A3E0B" w:rsidRDefault="00C6353B" w:rsidP="003A3E0B">
      <w:pPr>
        <w:spacing w:before="100" w:beforeAutospacing="1" w:after="48" w:line="336" w:lineRule="atLeast"/>
        <w:outlineLvl w:val="3"/>
        <w:rPr>
          <w:rFonts w:ascii="Arial" w:hAnsi="Arial" w:cs="Arial"/>
          <w:b/>
          <w:bCs/>
          <w:color w:val="303B44"/>
          <w:sz w:val="26"/>
          <w:szCs w:val="26"/>
          <w:lang w:eastAsia="en-GB"/>
        </w:rPr>
      </w:pPr>
      <w:r w:rsidRPr="003A3E0B">
        <w:rPr>
          <w:rFonts w:ascii="Arial" w:hAnsi="Arial" w:cs="Arial"/>
          <w:b/>
          <w:bCs/>
          <w:color w:val="303B44"/>
          <w:sz w:val="26"/>
          <w:szCs w:val="26"/>
          <w:lang w:eastAsia="en-GB"/>
        </w:rPr>
        <w:t>Books and reports</w:t>
      </w:r>
    </w:p>
    <w:p w14:paraId="730BFDEC"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br/>
        <w:t xml:space="preserve">BEE, F. and BEE, R. (2007) </w:t>
      </w:r>
      <w:r w:rsidRPr="003A3E0B">
        <w:rPr>
          <w:rFonts w:ascii="Arial" w:hAnsi="Arial" w:cs="Arial"/>
          <w:i/>
          <w:iCs/>
          <w:color w:val="303B44"/>
          <w:sz w:val="20"/>
          <w:szCs w:val="20"/>
          <w:lang w:eastAsia="en-GB"/>
        </w:rPr>
        <w:t>Learning evaluation</w:t>
      </w:r>
      <w:r w:rsidRPr="003A3E0B">
        <w:rPr>
          <w:rFonts w:ascii="Arial" w:hAnsi="Arial" w:cs="Arial"/>
          <w:color w:val="303B44"/>
          <w:sz w:val="20"/>
          <w:szCs w:val="20"/>
          <w:lang w:eastAsia="en-GB"/>
        </w:rPr>
        <w:t xml:space="preserve">. CIPD toolkit. 2nd ed. London: Chartered Institute of Personnel and Development. </w:t>
      </w:r>
      <w:r w:rsidRPr="003A3E0B">
        <w:rPr>
          <w:rFonts w:ascii="Arial" w:hAnsi="Arial" w:cs="Arial"/>
          <w:color w:val="303B44"/>
          <w:sz w:val="20"/>
          <w:szCs w:val="20"/>
          <w:lang w:eastAsia="en-GB"/>
        </w:rPr>
        <w:br/>
      </w:r>
      <w:r w:rsidRPr="003A3E0B">
        <w:rPr>
          <w:rFonts w:ascii="Arial" w:hAnsi="Arial" w:cs="Arial"/>
          <w:color w:val="303B44"/>
          <w:sz w:val="20"/>
          <w:szCs w:val="20"/>
          <w:lang w:eastAsia="en-GB"/>
        </w:rPr>
        <w:br/>
        <w:t xml:space="preserve">KEARNS, P. (2005) </w:t>
      </w:r>
      <w:r w:rsidRPr="003A3E0B">
        <w:rPr>
          <w:rFonts w:ascii="Arial" w:hAnsi="Arial" w:cs="Arial"/>
          <w:i/>
          <w:iCs/>
          <w:color w:val="303B44"/>
          <w:sz w:val="20"/>
          <w:szCs w:val="20"/>
          <w:lang w:eastAsia="en-GB"/>
        </w:rPr>
        <w:t>Evaluating the ROI from learning: how to develop value-based training</w:t>
      </w:r>
      <w:r w:rsidRPr="003A3E0B">
        <w:rPr>
          <w:rFonts w:ascii="Arial" w:hAnsi="Arial" w:cs="Arial"/>
          <w:color w:val="303B44"/>
          <w:sz w:val="20"/>
          <w:szCs w:val="20"/>
          <w:lang w:eastAsia="en-GB"/>
        </w:rPr>
        <w:t>. London: Chartered Institute of Personnel and Development.</w:t>
      </w:r>
    </w:p>
    <w:p w14:paraId="2E1937A7"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Visit the </w:t>
      </w:r>
      <w:hyperlink r:id="rId20" w:history="1">
        <w:r w:rsidRPr="003A3E0B">
          <w:rPr>
            <w:rFonts w:ascii="Arial" w:hAnsi="Arial" w:cs="Arial"/>
            <w:color w:val="1578BE"/>
            <w:sz w:val="20"/>
            <w:szCs w:val="20"/>
            <w:lang w:eastAsia="en-GB"/>
          </w:rPr>
          <w:t>CIPD Store</w:t>
        </w:r>
      </w:hyperlink>
      <w:r w:rsidRPr="003A3E0B">
        <w:rPr>
          <w:rFonts w:ascii="Arial" w:hAnsi="Arial" w:cs="Arial"/>
          <w:color w:val="303B44"/>
          <w:sz w:val="20"/>
          <w:szCs w:val="20"/>
          <w:lang w:eastAsia="en-GB"/>
        </w:rPr>
        <w:t> to see all our priced publications currently in print.</w:t>
      </w:r>
    </w:p>
    <w:p w14:paraId="1878D152" w14:textId="77777777" w:rsidR="00C6353B" w:rsidRPr="003A3E0B" w:rsidRDefault="00C6353B" w:rsidP="003A3E0B">
      <w:pPr>
        <w:spacing w:before="100" w:beforeAutospacing="1" w:after="48" w:line="336" w:lineRule="atLeast"/>
        <w:outlineLvl w:val="3"/>
        <w:rPr>
          <w:rFonts w:ascii="Arial" w:hAnsi="Arial" w:cs="Arial"/>
          <w:b/>
          <w:bCs/>
          <w:color w:val="303B44"/>
          <w:sz w:val="26"/>
          <w:szCs w:val="26"/>
          <w:lang w:eastAsia="en-GB"/>
        </w:rPr>
      </w:pPr>
      <w:r w:rsidRPr="003A3E0B">
        <w:rPr>
          <w:rFonts w:ascii="Arial" w:hAnsi="Arial" w:cs="Arial"/>
          <w:b/>
          <w:bCs/>
          <w:color w:val="303B44"/>
          <w:sz w:val="26"/>
          <w:szCs w:val="26"/>
          <w:lang w:eastAsia="en-GB"/>
        </w:rPr>
        <w:t>Journal articles</w:t>
      </w:r>
    </w:p>
    <w:p w14:paraId="6E02ED7C"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br/>
        <w:t xml:space="preserve">DEE, K. and HATTON, A. (2006) How to face training evaluation head-on. </w:t>
      </w:r>
      <w:r w:rsidRPr="003A3E0B">
        <w:rPr>
          <w:rFonts w:ascii="Arial" w:hAnsi="Arial" w:cs="Arial"/>
          <w:i/>
          <w:iCs/>
          <w:color w:val="303B44"/>
          <w:sz w:val="20"/>
          <w:szCs w:val="20"/>
          <w:lang w:eastAsia="en-GB"/>
        </w:rPr>
        <w:t>People Management</w:t>
      </w:r>
      <w:r w:rsidRPr="003A3E0B">
        <w:rPr>
          <w:rFonts w:ascii="Arial" w:hAnsi="Arial" w:cs="Arial"/>
          <w:color w:val="303B44"/>
          <w:sz w:val="20"/>
          <w:szCs w:val="20"/>
          <w:lang w:eastAsia="en-GB"/>
        </w:rPr>
        <w:t xml:space="preserve">. Vol </w:t>
      </w:r>
      <w:r w:rsidRPr="003A3E0B">
        <w:rPr>
          <w:rFonts w:ascii="Arial" w:hAnsi="Arial" w:cs="Arial"/>
          <w:color w:val="303B44"/>
          <w:sz w:val="20"/>
          <w:szCs w:val="20"/>
          <w:lang w:eastAsia="en-GB"/>
        </w:rPr>
        <w:lastRenderedPageBreak/>
        <w:t xml:space="preserve">12, No 6, 23 March. pp40-41. </w:t>
      </w:r>
      <w:r w:rsidRPr="003A3E0B">
        <w:rPr>
          <w:rFonts w:ascii="Arial" w:hAnsi="Arial" w:cs="Arial"/>
          <w:color w:val="303B44"/>
          <w:sz w:val="20"/>
          <w:szCs w:val="20"/>
          <w:lang w:eastAsia="en-GB"/>
        </w:rPr>
        <w:br/>
      </w:r>
      <w:r w:rsidRPr="003A3E0B">
        <w:rPr>
          <w:rFonts w:ascii="Arial" w:hAnsi="Arial" w:cs="Arial"/>
          <w:color w:val="303B44"/>
          <w:sz w:val="20"/>
          <w:szCs w:val="20"/>
          <w:lang w:eastAsia="en-GB"/>
        </w:rPr>
        <w:br/>
        <w:t xml:space="preserve">PHILLIPS, J.J. and PHILLIPS, P. (2010) Confronting CEO expectations about the value of learning. </w:t>
      </w:r>
      <w:r w:rsidRPr="003A3E0B">
        <w:rPr>
          <w:rFonts w:ascii="Arial" w:hAnsi="Arial" w:cs="Arial"/>
          <w:i/>
          <w:iCs/>
          <w:color w:val="303B44"/>
          <w:sz w:val="20"/>
          <w:szCs w:val="20"/>
          <w:lang w:eastAsia="en-GB"/>
        </w:rPr>
        <w:t>T+D</w:t>
      </w:r>
      <w:r w:rsidRPr="003A3E0B">
        <w:rPr>
          <w:rFonts w:ascii="Arial" w:hAnsi="Arial" w:cs="Arial"/>
          <w:color w:val="303B44"/>
          <w:sz w:val="20"/>
          <w:szCs w:val="20"/>
          <w:lang w:eastAsia="en-GB"/>
        </w:rPr>
        <w:t>. Vol 64, No 1, January. pp52-57.</w:t>
      </w:r>
    </w:p>
    <w:p w14:paraId="015D9ED1"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PHILLIPS, J.J. and PHILLIPS, P. (2011) Moving from evidence to proof. </w:t>
      </w:r>
      <w:r w:rsidRPr="003A3E0B">
        <w:rPr>
          <w:rFonts w:ascii="Arial" w:hAnsi="Arial" w:cs="Arial"/>
          <w:i/>
          <w:iCs/>
          <w:color w:val="303B44"/>
          <w:sz w:val="20"/>
          <w:szCs w:val="20"/>
          <w:lang w:eastAsia="en-GB"/>
        </w:rPr>
        <w:t>T+D</w:t>
      </w:r>
      <w:r w:rsidRPr="003A3E0B">
        <w:rPr>
          <w:rFonts w:ascii="Arial" w:hAnsi="Arial" w:cs="Arial"/>
          <w:color w:val="303B44"/>
          <w:sz w:val="20"/>
          <w:szCs w:val="20"/>
          <w:lang w:eastAsia="en-GB"/>
        </w:rPr>
        <w:t xml:space="preserve">. Vol 65, No 8, August. pp34-39.  </w:t>
      </w:r>
      <w:r w:rsidRPr="003A3E0B">
        <w:rPr>
          <w:rFonts w:ascii="Arial" w:hAnsi="Arial" w:cs="Arial"/>
          <w:color w:val="303B44"/>
          <w:sz w:val="20"/>
          <w:szCs w:val="20"/>
          <w:lang w:eastAsia="en-GB"/>
        </w:rPr>
        <w:br/>
      </w:r>
      <w:r w:rsidRPr="003A3E0B">
        <w:rPr>
          <w:rFonts w:ascii="Arial" w:hAnsi="Arial" w:cs="Arial"/>
          <w:color w:val="303B44"/>
          <w:sz w:val="20"/>
          <w:szCs w:val="20"/>
          <w:lang w:eastAsia="en-GB"/>
        </w:rPr>
        <w:br/>
        <w:t xml:space="preserve">WOLFF, C. (2010) Evaluation of training: the 2010 IRS survey. </w:t>
      </w:r>
      <w:r w:rsidRPr="003A3E0B">
        <w:rPr>
          <w:rFonts w:ascii="Arial" w:hAnsi="Arial" w:cs="Arial"/>
          <w:i/>
          <w:iCs/>
          <w:color w:val="303B44"/>
          <w:sz w:val="20"/>
          <w:szCs w:val="20"/>
          <w:lang w:eastAsia="en-GB"/>
        </w:rPr>
        <w:t>IRS Employment Review</w:t>
      </w:r>
      <w:r w:rsidRPr="003A3E0B">
        <w:rPr>
          <w:rFonts w:ascii="Arial" w:hAnsi="Arial" w:cs="Arial"/>
          <w:color w:val="303B44"/>
          <w:sz w:val="20"/>
          <w:szCs w:val="20"/>
          <w:lang w:eastAsia="en-GB"/>
        </w:rPr>
        <w:t>. 3 March. 8pp.</w:t>
      </w:r>
    </w:p>
    <w:p w14:paraId="7FA279A2" w14:textId="77777777" w:rsidR="00C6353B" w:rsidRPr="003A3E0B" w:rsidRDefault="00C6353B" w:rsidP="003A3E0B">
      <w:pPr>
        <w:spacing w:after="225"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CIPD members can use our </w:t>
      </w:r>
      <w:hyperlink r:id="rId21" w:history="1">
        <w:r w:rsidRPr="003A3E0B">
          <w:rPr>
            <w:rFonts w:ascii="Arial" w:hAnsi="Arial" w:cs="Arial"/>
            <w:color w:val="1578BE"/>
            <w:sz w:val="20"/>
            <w:szCs w:val="20"/>
            <w:lang w:eastAsia="en-GB"/>
          </w:rPr>
          <w:t>online journals</w:t>
        </w:r>
      </w:hyperlink>
      <w:r w:rsidRPr="003A3E0B">
        <w:rPr>
          <w:rFonts w:ascii="Arial" w:hAnsi="Arial" w:cs="Arial"/>
          <w:color w:val="303B44"/>
          <w:sz w:val="20"/>
          <w:szCs w:val="20"/>
          <w:lang w:eastAsia="en-GB"/>
        </w:rPr>
        <w:t xml:space="preserve"> to find articles from over 300 journal titles relevant to HR. </w:t>
      </w:r>
      <w:r w:rsidRPr="003A3E0B">
        <w:rPr>
          <w:rFonts w:ascii="Arial" w:hAnsi="Arial" w:cs="Arial"/>
          <w:color w:val="303B44"/>
          <w:sz w:val="20"/>
          <w:szCs w:val="20"/>
          <w:lang w:eastAsia="en-GB"/>
        </w:rPr>
        <w:br/>
        <w:t xml:space="preserve">Members and </w:t>
      </w:r>
      <w:r w:rsidRPr="003A3E0B">
        <w:rPr>
          <w:rFonts w:ascii="Arial" w:hAnsi="Arial" w:cs="Arial"/>
          <w:i/>
          <w:iCs/>
          <w:color w:val="303B44"/>
          <w:sz w:val="20"/>
          <w:szCs w:val="20"/>
          <w:lang w:eastAsia="en-GB"/>
        </w:rPr>
        <w:t>People Management</w:t>
      </w:r>
      <w:r w:rsidRPr="003A3E0B">
        <w:rPr>
          <w:rFonts w:ascii="Arial" w:hAnsi="Arial" w:cs="Arial"/>
          <w:color w:val="303B44"/>
          <w:sz w:val="20"/>
          <w:szCs w:val="20"/>
          <w:lang w:eastAsia="en-GB"/>
        </w:rPr>
        <w:t xml:space="preserve"> subscribers can see articles on the </w:t>
      </w:r>
      <w:hyperlink r:id="rId22" w:history="1">
        <w:r w:rsidRPr="003A3E0B">
          <w:rPr>
            <w:rFonts w:ascii="Arial" w:hAnsi="Arial" w:cs="Arial"/>
            <w:i/>
            <w:iCs/>
            <w:color w:val="1578BE"/>
            <w:sz w:val="20"/>
            <w:szCs w:val="20"/>
            <w:lang w:eastAsia="en-GB"/>
          </w:rPr>
          <w:t>People Management</w:t>
        </w:r>
        <w:r w:rsidRPr="003A3E0B">
          <w:rPr>
            <w:rFonts w:ascii="Arial" w:hAnsi="Arial" w:cs="Arial"/>
            <w:color w:val="1578BE"/>
            <w:sz w:val="20"/>
            <w:szCs w:val="20"/>
            <w:lang w:eastAsia="en-GB"/>
          </w:rPr>
          <w:t xml:space="preserve"> website.</w:t>
        </w:r>
      </w:hyperlink>
    </w:p>
    <w:p w14:paraId="17214786" w14:textId="77777777" w:rsidR="00C6353B" w:rsidRPr="003A3E0B" w:rsidRDefault="00C6353B" w:rsidP="003A3E0B">
      <w:pPr>
        <w:spacing w:after="240" w:line="336" w:lineRule="atLeast"/>
        <w:rPr>
          <w:rFonts w:ascii="Arial" w:hAnsi="Arial" w:cs="Arial"/>
          <w:color w:val="303B44"/>
          <w:sz w:val="20"/>
          <w:szCs w:val="20"/>
          <w:lang w:eastAsia="en-GB"/>
        </w:rPr>
      </w:pPr>
    </w:p>
    <w:p w14:paraId="72C18E82" w14:textId="77777777" w:rsidR="00C6353B" w:rsidRPr="003A3E0B" w:rsidRDefault="00C6353B" w:rsidP="003A3E0B">
      <w:pPr>
        <w:spacing w:after="0" w:line="336" w:lineRule="atLeast"/>
        <w:rPr>
          <w:rFonts w:ascii="Arial" w:hAnsi="Arial" w:cs="Arial"/>
          <w:color w:val="303B44"/>
          <w:sz w:val="20"/>
          <w:szCs w:val="20"/>
          <w:lang w:eastAsia="en-GB"/>
        </w:rPr>
      </w:pPr>
      <w:r w:rsidRPr="003A3E0B">
        <w:rPr>
          <w:rFonts w:ascii="Arial" w:hAnsi="Arial" w:cs="Arial"/>
          <w:color w:val="303B44"/>
          <w:sz w:val="20"/>
          <w:szCs w:val="20"/>
          <w:lang w:eastAsia="en-GB"/>
        </w:rPr>
        <w:t xml:space="preserve">This factsheet was last updated by Janet Egan, researcher/writer on employment and reward issues. </w:t>
      </w:r>
    </w:p>
    <w:p w14:paraId="0684FF3A" w14:textId="77777777" w:rsidR="00C6353B" w:rsidRPr="003A3E0B" w:rsidRDefault="00C6353B" w:rsidP="003A3E0B">
      <w:pPr>
        <w:spacing w:after="45" w:line="15" w:lineRule="atLeast"/>
        <w:rPr>
          <w:rFonts w:ascii="Arial" w:hAnsi="Arial" w:cs="Arial"/>
          <w:color w:val="303B44"/>
          <w:sz w:val="2"/>
          <w:szCs w:val="2"/>
          <w:lang w:eastAsia="en-GB"/>
        </w:rPr>
      </w:pPr>
      <w:r w:rsidRPr="003A3E0B">
        <w:rPr>
          <w:rFonts w:ascii="Arial" w:hAnsi="Arial" w:cs="Arial"/>
          <w:color w:val="303B44"/>
          <w:sz w:val="2"/>
          <w:szCs w:val="2"/>
          <w:lang w:eastAsia="en-GB"/>
        </w:rPr>
        <w:t> </w:t>
      </w:r>
    </w:p>
    <w:p w14:paraId="373FFA0F" w14:textId="77777777" w:rsidR="00C6353B" w:rsidRPr="003A3E0B" w:rsidRDefault="00C6353B" w:rsidP="003A3E0B">
      <w:pPr>
        <w:spacing w:after="45" w:line="15" w:lineRule="atLeast"/>
        <w:rPr>
          <w:rFonts w:ascii="Arial" w:hAnsi="Arial" w:cs="Arial"/>
          <w:color w:val="303B44"/>
          <w:sz w:val="2"/>
          <w:szCs w:val="2"/>
          <w:lang w:eastAsia="en-GB"/>
        </w:rPr>
      </w:pPr>
      <w:r w:rsidRPr="003A3E0B">
        <w:rPr>
          <w:rFonts w:ascii="Arial" w:hAnsi="Arial" w:cs="Arial"/>
          <w:color w:val="303B44"/>
          <w:sz w:val="2"/>
          <w:szCs w:val="2"/>
          <w:lang w:eastAsia="en-GB"/>
        </w:rPr>
        <w:t> </w:t>
      </w:r>
    </w:p>
    <w:sectPr w:rsidR="00C6353B" w:rsidRPr="003A3E0B" w:rsidSect="006E35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46058"/>
    <w:multiLevelType w:val="multilevel"/>
    <w:tmpl w:val="B8F8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82C9A"/>
    <w:multiLevelType w:val="multilevel"/>
    <w:tmpl w:val="B34AD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D6B3E"/>
    <w:multiLevelType w:val="multilevel"/>
    <w:tmpl w:val="EEF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F0472"/>
    <w:multiLevelType w:val="multilevel"/>
    <w:tmpl w:val="6A4E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F7D14"/>
    <w:multiLevelType w:val="multilevel"/>
    <w:tmpl w:val="750E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C44CE9"/>
    <w:multiLevelType w:val="multilevel"/>
    <w:tmpl w:val="9878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11573C"/>
    <w:multiLevelType w:val="multilevel"/>
    <w:tmpl w:val="AA8E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F4D5A"/>
    <w:multiLevelType w:val="multilevel"/>
    <w:tmpl w:val="86563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355966"/>
    <w:multiLevelType w:val="multilevel"/>
    <w:tmpl w:val="DDAA6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4F356A"/>
    <w:multiLevelType w:val="multilevel"/>
    <w:tmpl w:val="B2840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E749CF"/>
    <w:multiLevelType w:val="multilevel"/>
    <w:tmpl w:val="BAA25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0B3F49"/>
    <w:multiLevelType w:val="multilevel"/>
    <w:tmpl w:val="4966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064341"/>
    <w:multiLevelType w:val="multilevel"/>
    <w:tmpl w:val="D23A9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B33B5A"/>
    <w:multiLevelType w:val="multilevel"/>
    <w:tmpl w:val="648A92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15:restartNumberingAfterBreak="0">
    <w:nsid w:val="47AD08C8"/>
    <w:multiLevelType w:val="multilevel"/>
    <w:tmpl w:val="02ACD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4338E3"/>
    <w:multiLevelType w:val="multilevel"/>
    <w:tmpl w:val="2B10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2C1319"/>
    <w:multiLevelType w:val="multilevel"/>
    <w:tmpl w:val="93C6A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F57D45"/>
    <w:multiLevelType w:val="multilevel"/>
    <w:tmpl w:val="3988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09077F"/>
    <w:multiLevelType w:val="multilevel"/>
    <w:tmpl w:val="A218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55F6C"/>
    <w:multiLevelType w:val="multilevel"/>
    <w:tmpl w:val="1EE80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743A9A"/>
    <w:multiLevelType w:val="multilevel"/>
    <w:tmpl w:val="C95C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951739"/>
    <w:multiLevelType w:val="multilevel"/>
    <w:tmpl w:val="38C09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653814"/>
    <w:multiLevelType w:val="multilevel"/>
    <w:tmpl w:val="220E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335804"/>
    <w:multiLevelType w:val="multilevel"/>
    <w:tmpl w:val="B04A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9561A4"/>
    <w:multiLevelType w:val="multilevel"/>
    <w:tmpl w:val="17E4D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CB521F"/>
    <w:multiLevelType w:val="multilevel"/>
    <w:tmpl w:val="5D0A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E34BF1"/>
    <w:multiLevelType w:val="multilevel"/>
    <w:tmpl w:val="493CF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3"/>
  </w:num>
  <w:num w:numId="3">
    <w:abstractNumId w:val="26"/>
  </w:num>
  <w:num w:numId="4">
    <w:abstractNumId w:val="6"/>
  </w:num>
  <w:num w:numId="5">
    <w:abstractNumId w:val="10"/>
  </w:num>
  <w:num w:numId="6">
    <w:abstractNumId w:val="2"/>
  </w:num>
  <w:num w:numId="7">
    <w:abstractNumId w:val="9"/>
  </w:num>
  <w:num w:numId="8">
    <w:abstractNumId w:val="22"/>
  </w:num>
  <w:num w:numId="9">
    <w:abstractNumId w:val="21"/>
  </w:num>
  <w:num w:numId="10">
    <w:abstractNumId w:val="14"/>
  </w:num>
  <w:num w:numId="11">
    <w:abstractNumId w:val="4"/>
  </w:num>
  <w:num w:numId="12">
    <w:abstractNumId w:val="8"/>
  </w:num>
  <w:num w:numId="13">
    <w:abstractNumId w:val="15"/>
  </w:num>
  <w:num w:numId="14">
    <w:abstractNumId w:val="7"/>
  </w:num>
  <w:num w:numId="15">
    <w:abstractNumId w:val="3"/>
  </w:num>
  <w:num w:numId="16">
    <w:abstractNumId w:val="13"/>
  </w:num>
  <w:num w:numId="17">
    <w:abstractNumId w:val="17"/>
  </w:num>
  <w:num w:numId="18">
    <w:abstractNumId w:val="1"/>
  </w:num>
  <w:num w:numId="19">
    <w:abstractNumId w:val="19"/>
  </w:num>
  <w:num w:numId="20">
    <w:abstractNumId w:val="0"/>
  </w:num>
  <w:num w:numId="21">
    <w:abstractNumId w:val="25"/>
  </w:num>
  <w:num w:numId="22">
    <w:abstractNumId w:val="16"/>
  </w:num>
  <w:num w:numId="23">
    <w:abstractNumId w:val="5"/>
  </w:num>
  <w:num w:numId="24">
    <w:abstractNumId w:val="11"/>
  </w:num>
  <w:num w:numId="25">
    <w:abstractNumId w:val="18"/>
  </w:num>
  <w:num w:numId="26">
    <w:abstractNumId w:val="12"/>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E0B"/>
    <w:rsid w:val="000E54E7"/>
    <w:rsid w:val="003A3E0B"/>
    <w:rsid w:val="00640FB8"/>
    <w:rsid w:val="006E35FE"/>
    <w:rsid w:val="00B26CE8"/>
    <w:rsid w:val="00C6353B"/>
    <w:rsid w:val="00E81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9E617A"/>
  <w15:docId w15:val="{6572E556-7DE0-41AF-8C2A-490F15742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5FE"/>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A3E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A3E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8418601">
      <w:marLeft w:val="0"/>
      <w:marRight w:val="0"/>
      <w:marTop w:val="0"/>
      <w:marBottom w:val="0"/>
      <w:divBdr>
        <w:top w:val="none" w:sz="0" w:space="0" w:color="auto"/>
        <w:left w:val="none" w:sz="0" w:space="0" w:color="auto"/>
        <w:bottom w:val="none" w:sz="0" w:space="0" w:color="auto"/>
        <w:right w:val="none" w:sz="0" w:space="0" w:color="auto"/>
      </w:divBdr>
      <w:divsChild>
        <w:div w:id="1318418602">
          <w:marLeft w:val="0"/>
          <w:marRight w:val="0"/>
          <w:marTop w:val="0"/>
          <w:marBottom w:val="0"/>
          <w:divBdr>
            <w:top w:val="none" w:sz="0" w:space="0" w:color="auto"/>
            <w:left w:val="none" w:sz="0" w:space="0" w:color="auto"/>
            <w:bottom w:val="none" w:sz="0" w:space="0" w:color="auto"/>
            <w:right w:val="none" w:sz="0" w:space="0" w:color="auto"/>
          </w:divBdr>
          <w:divsChild>
            <w:div w:id="1318418597">
              <w:marLeft w:val="0"/>
              <w:marRight w:val="300"/>
              <w:marTop w:val="0"/>
              <w:marBottom w:val="0"/>
              <w:divBdr>
                <w:top w:val="none" w:sz="0" w:space="0" w:color="auto"/>
                <w:left w:val="none" w:sz="0" w:space="0" w:color="auto"/>
                <w:bottom w:val="none" w:sz="0" w:space="0" w:color="auto"/>
                <w:right w:val="none" w:sz="0" w:space="0" w:color="auto"/>
              </w:divBdr>
              <w:divsChild>
                <w:div w:id="1318418594">
                  <w:marLeft w:val="0"/>
                  <w:marRight w:val="0"/>
                  <w:marTop w:val="0"/>
                  <w:marBottom w:val="225"/>
                  <w:divBdr>
                    <w:top w:val="none" w:sz="0" w:space="0" w:color="auto"/>
                    <w:left w:val="none" w:sz="0" w:space="0" w:color="auto"/>
                    <w:bottom w:val="none" w:sz="0" w:space="0" w:color="auto"/>
                    <w:right w:val="none" w:sz="0" w:space="0" w:color="auto"/>
                  </w:divBdr>
                </w:div>
                <w:div w:id="1318418599">
                  <w:marLeft w:val="0"/>
                  <w:marRight w:val="0"/>
                  <w:marTop w:val="0"/>
                  <w:marBottom w:val="0"/>
                  <w:divBdr>
                    <w:top w:val="none" w:sz="0" w:space="0" w:color="auto"/>
                    <w:left w:val="none" w:sz="0" w:space="0" w:color="auto"/>
                    <w:bottom w:val="none" w:sz="0" w:space="0" w:color="auto"/>
                    <w:right w:val="none" w:sz="0" w:space="0" w:color="auto"/>
                  </w:divBdr>
                </w:div>
                <w:div w:id="1318418600">
                  <w:marLeft w:val="0"/>
                  <w:marRight w:val="0"/>
                  <w:marTop w:val="0"/>
                  <w:marBottom w:val="0"/>
                  <w:divBdr>
                    <w:top w:val="none" w:sz="0" w:space="0" w:color="auto"/>
                    <w:left w:val="none" w:sz="0" w:space="0" w:color="auto"/>
                    <w:bottom w:val="none" w:sz="0" w:space="0" w:color="auto"/>
                    <w:right w:val="none" w:sz="0" w:space="0" w:color="auto"/>
                  </w:divBdr>
                </w:div>
                <w:div w:id="1318418603">
                  <w:marLeft w:val="0"/>
                  <w:marRight w:val="0"/>
                  <w:marTop w:val="0"/>
                  <w:marBottom w:val="0"/>
                  <w:divBdr>
                    <w:top w:val="none" w:sz="0" w:space="0" w:color="auto"/>
                    <w:left w:val="none" w:sz="0" w:space="0" w:color="auto"/>
                    <w:bottom w:val="none" w:sz="0" w:space="0" w:color="auto"/>
                    <w:right w:val="none" w:sz="0" w:space="0" w:color="auto"/>
                  </w:divBdr>
                </w:div>
                <w:div w:id="1318418605">
                  <w:marLeft w:val="0"/>
                  <w:marRight w:val="0"/>
                  <w:marTop w:val="0"/>
                  <w:marBottom w:val="0"/>
                  <w:divBdr>
                    <w:top w:val="none" w:sz="0" w:space="0" w:color="auto"/>
                    <w:left w:val="none" w:sz="0" w:space="0" w:color="auto"/>
                    <w:bottom w:val="none" w:sz="0" w:space="0" w:color="auto"/>
                    <w:right w:val="none" w:sz="0" w:space="0" w:color="auto"/>
                  </w:divBdr>
                </w:div>
                <w:div w:id="1318418609">
                  <w:marLeft w:val="0"/>
                  <w:marRight w:val="0"/>
                  <w:marTop w:val="0"/>
                  <w:marBottom w:val="45"/>
                  <w:divBdr>
                    <w:top w:val="none" w:sz="0" w:space="0" w:color="auto"/>
                    <w:left w:val="none" w:sz="0" w:space="0" w:color="auto"/>
                    <w:bottom w:val="none" w:sz="0" w:space="0" w:color="auto"/>
                    <w:right w:val="none" w:sz="0" w:space="0" w:color="auto"/>
                  </w:divBdr>
                </w:div>
                <w:div w:id="1318418615">
                  <w:marLeft w:val="0"/>
                  <w:marRight w:val="0"/>
                  <w:marTop w:val="0"/>
                  <w:marBottom w:val="0"/>
                  <w:divBdr>
                    <w:top w:val="none" w:sz="0" w:space="0" w:color="auto"/>
                    <w:left w:val="none" w:sz="0" w:space="0" w:color="auto"/>
                    <w:bottom w:val="none" w:sz="0" w:space="0" w:color="auto"/>
                    <w:right w:val="none" w:sz="0" w:space="0" w:color="auto"/>
                  </w:divBdr>
                </w:div>
                <w:div w:id="131841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18610">
          <w:marLeft w:val="0"/>
          <w:marRight w:val="0"/>
          <w:marTop w:val="0"/>
          <w:marBottom w:val="0"/>
          <w:divBdr>
            <w:top w:val="none" w:sz="0" w:space="0" w:color="auto"/>
            <w:left w:val="none" w:sz="0" w:space="0" w:color="auto"/>
            <w:bottom w:val="none" w:sz="0" w:space="0" w:color="auto"/>
            <w:right w:val="none" w:sz="0" w:space="0" w:color="auto"/>
          </w:divBdr>
        </w:div>
        <w:div w:id="1318418614">
          <w:marLeft w:val="0"/>
          <w:marRight w:val="0"/>
          <w:marTop w:val="0"/>
          <w:marBottom w:val="0"/>
          <w:divBdr>
            <w:top w:val="none" w:sz="0" w:space="0" w:color="auto"/>
            <w:left w:val="none" w:sz="0" w:space="0" w:color="auto"/>
            <w:bottom w:val="none" w:sz="0" w:space="0" w:color="auto"/>
            <w:right w:val="none" w:sz="0" w:space="0" w:color="auto"/>
          </w:divBdr>
          <w:divsChild>
            <w:div w:id="1318418608">
              <w:marLeft w:val="0"/>
              <w:marRight w:val="0"/>
              <w:marTop w:val="0"/>
              <w:marBottom w:val="0"/>
              <w:divBdr>
                <w:top w:val="none" w:sz="0" w:space="0" w:color="auto"/>
                <w:left w:val="none" w:sz="0" w:space="0" w:color="auto"/>
                <w:bottom w:val="none" w:sz="0" w:space="0" w:color="auto"/>
                <w:right w:val="none" w:sz="0" w:space="0" w:color="auto"/>
              </w:divBdr>
              <w:divsChild>
                <w:div w:id="1318418596">
                  <w:marLeft w:val="0"/>
                  <w:marRight w:val="0"/>
                  <w:marTop w:val="0"/>
                  <w:marBottom w:val="0"/>
                  <w:divBdr>
                    <w:top w:val="none" w:sz="0" w:space="0" w:color="auto"/>
                    <w:left w:val="none" w:sz="0" w:space="0" w:color="auto"/>
                    <w:bottom w:val="none" w:sz="0" w:space="0" w:color="auto"/>
                    <w:right w:val="none" w:sz="0" w:space="0" w:color="auto"/>
                  </w:divBdr>
                  <w:divsChild>
                    <w:div w:id="1318418595">
                      <w:marLeft w:val="0"/>
                      <w:marRight w:val="0"/>
                      <w:marTop w:val="0"/>
                      <w:marBottom w:val="300"/>
                      <w:divBdr>
                        <w:top w:val="none" w:sz="0" w:space="0" w:color="auto"/>
                        <w:left w:val="none" w:sz="0" w:space="0" w:color="auto"/>
                        <w:bottom w:val="none" w:sz="0" w:space="0" w:color="auto"/>
                        <w:right w:val="none" w:sz="0" w:space="0" w:color="auto"/>
                      </w:divBdr>
                    </w:div>
                    <w:div w:id="1318418598">
                      <w:marLeft w:val="0"/>
                      <w:marRight w:val="0"/>
                      <w:marTop w:val="0"/>
                      <w:marBottom w:val="300"/>
                      <w:divBdr>
                        <w:top w:val="none" w:sz="0" w:space="0" w:color="auto"/>
                        <w:left w:val="none" w:sz="0" w:space="0" w:color="auto"/>
                        <w:bottom w:val="none" w:sz="0" w:space="0" w:color="auto"/>
                        <w:right w:val="none" w:sz="0" w:space="0" w:color="auto"/>
                      </w:divBdr>
                    </w:div>
                    <w:div w:id="1318418604">
                      <w:marLeft w:val="0"/>
                      <w:marRight w:val="0"/>
                      <w:marTop w:val="0"/>
                      <w:marBottom w:val="45"/>
                      <w:divBdr>
                        <w:top w:val="none" w:sz="0" w:space="0" w:color="auto"/>
                        <w:left w:val="none" w:sz="0" w:space="0" w:color="auto"/>
                        <w:bottom w:val="none" w:sz="0" w:space="0" w:color="auto"/>
                        <w:right w:val="none" w:sz="0" w:space="0" w:color="auto"/>
                      </w:divBdr>
                    </w:div>
                    <w:div w:id="1318418607">
                      <w:marLeft w:val="0"/>
                      <w:marRight w:val="0"/>
                      <w:marTop w:val="0"/>
                      <w:marBottom w:val="300"/>
                      <w:divBdr>
                        <w:top w:val="none" w:sz="0" w:space="0" w:color="auto"/>
                        <w:left w:val="none" w:sz="0" w:space="0" w:color="auto"/>
                        <w:bottom w:val="none" w:sz="0" w:space="0" w:color="auto"/>
                        <w:right w:val="none" w:sz="0" w:space="0" w:color="auto"/>
                      </w:divBdr>
                    </w:div>
                    <w:div w:id="1318418612">
                      <w:marLeft w:val="0"/>
                      <w:marRight w:val="0"/>
                      <w:marTop w:val="0"/>
                      <w:marBottom w:val="0"/>
                      <w:divBdr>
                        <w:top w:val="none" w:sz="0" w:space="0" w:color="auto"/>
                        <w:left w:val="none" w:sz="0" w:space="0" w:color="auto"/>
                        <w:bottom w:val="none" w:sz="0" w:space="0" w:color="auto"/>
                        <w:right w:val="none" w:sz="0" w:space="0" w:color="auto"/>
                      </w:divBdr>
                      <w:divsChild>
                        <w:div w:id="1318418606">
                          <w:marLeft w:val="0"/>
                          <w:marRight w:val="0"/>
                          <w:marTop w:val="0"/>
                          <w:marBottom w:val="0"/>
                          <w:divBdr>
                            <w:top w:val="none" w:sz="0" w:space="0" w:color="auto"/>
                            <w:left w:val="none" w:sz="0" w:space="0" w:color="auto"/>
                            <w:bottom w:val="none" w:sz="0" w:space="0" w:color="auto"/>
                            <w:right w:val="none" w:sz="0" w:space="0" w:color="auto"/>
                          </w:divBdr>
                        </w:div>
                        <w:div w:id="1318418611">
                          <w:marLeft w:val="0"/>
                          <w:marRight w:val="0"/>
                          <w:marTop w:val="0"/>
                          <w:marBottom w:val="0"/>
                          <w:divBdr>
                            <w:top w:val="none" w:sz="0" w:space="0" w:color="auto"/>
                            <w:left w:val="none" w:sz="0" w:space="0" w:color="auto"/>
                            <w:bottom w:val="none" w:sz="0" w:space="0" w:color="auto"/>
                            <w:right w:val="none" w:sz="0" w:space="0" w:color="auto"/>
                          </w:divBdr>
                          <w:divsChild>
                            <w:div w:id="131841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18613">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pd.co.uk/hr-resources/factsheets/evaluating-learning-talent-development.aspx" TargetMode="External"/><Relationship Id="rId13" Type="http://schemas.openxmlformats.org/officeDocument/2006/relationships/hyperlink" Target="http://www.cipd.co.uk/hr-resources/factsheets/identifying-learning-talent-development-needs.aspx" TargetMode="External"/><Relationship Id="rId18" Type="http://schemas.openxmlformats.org/officeDocument/2006/relationships/hyperlink" Target="http://www.cipd.co.uk/hr-resources/practical-tools/assessing-value-learning-organisation.aspx" TargetMode="External"/><Relationship Id="rId3" Type="http://schemas.openxmlformats.org/officeDocument/2006/relationships/settings" Target="settings.xml"/><Relationship Id="rId21" Type="http://schemas.openxmlformats.org/officeDocument/2006/relationships/hyperlink" Target="http://www.cipd.co.uk/onlineinfodocuments/journals" TargetMode="External"/><Relationship Id="rId7" Type="http://schemas.openxmlformats.org/officeDocument/2006/relationships/hyperlink" Target="http://www.cipd.co.uk/hr-resources/factsheets/evaluating-learning-talent-development.aspx" TargetMode="External"/><Relationship Id="rId12" Type="http://schemas.openxmlformats.org/officeDocument/2006/relationships/hyperlink" Target="http://www.cipd.co.uk/hr-resources/factsheets/learning-talent-development-strategy.aspx" TargetMode="External"/><Relationship Id="rId17" Type="http://schemas.openxmlformats.org/officeDocument/2006/relationships/hyperlink" Target="http://www.cipd.co.uk/Bookstore/_catalogue/LearningAndDevelopment/9781843981961.htm" TargetMode="External"/><Relationship Id="rId2" Type="http://schemas.openxmlformats.org/officeDocument/2006/relationships/styles" Target="styles.xml"/><Relationship Id="rId16" Type="http://schemas.openxmlformats.org/officeDocument/2006/relationships/hyperlink" Target="http://www.cipd.co.uk/research/_learning-talent-development" TargetMode="External"/><Relationship Id="rId20" Type="http://schemas.openxmlformats.org/officeDocument/2006/relationships/hyperlink" Target="http://www.cipd.co.uk/bookstore" TargetMode="External"/><Relationship Id="rId1" Type="http://schemas.openxmlformats.org/officeDocument/2006/relationships/numbering" Target="numbering.xml"/><Relationship Id="rId6" Type="http://schemas.openxmlformats.org/officeDocument/2006/relationships/hyperlink" Target="http://www.cipd.co.uk/hr-resources/factsheets/evaluating-learning-talent-development.aspx" TargetMode="External"/><Relationship Id="rId11" Type="http://schemas.openxmlformats.org/officeDocument/2006/relationships/hyperlink" Target="http://www.cipd.co.uk/hr-resources/factsheets/evaluating-learning-talent-development.aspx" TargetMode="External"/><Relationship Id="rId24" Type="http://schemas.openxmlformats.org/officeDocument/2006/relationships/theme" Target="theme/theme1.xml"/><Relationship Id="rId5" Type="http://schemas.openxmlformats.org/officeDocument/2006/relationships/hyperlink" Target="http://www.cipd.co.uk/hr-resources/factsheets/evaluating-learning-talent-development.aspx" TargetMode="External"/><Relationship Id="rId15" Type="http://schemas.openxmlformats.org/officeDocument/2006/relationships/hyperlink" Target="http://www.cipd.co.uk/hr-resources/factsheets/talent-management-overview.aspx" TargetMode="External"/><Relationship Id="rId23" Type="http://schemas.openxmlformats.org/officeDocument/2006/relationships/fontTable" Target="fontTable.xml"/><Relationship Id="rId10" Type="http://schemas.openxmlformats.org/officeDocument/2006/relationships/hyperlink" Target="http://www.cipd.co.uk/hr-resources/factsheets/evaluating-learning-talent-development.aspx" TargetMode="External"/><Relationship Id="rId19" Type="http://schemas.openxmlformats.org/officeDocument/2006/relationships/hyperlink" Target="http://www.cipd.co.uk/hr-resources/guides/promoting-value-of-learning-adversity.aspx" TargetMode="External"/><Relationship Id="rId4" Type="http://schemas.openxmlformats.org/officeDocument/2006/relationships/webSettings" Target="webSettings.xml"/><Relationship Id="rId9" Type="http://schemas.openxmlformats.org/officeDocument/2006/relationships/hyperlink" Target="http://www.cipd.co.uk/hr-resources/factsheets/evaluating-learning-talent-development.aspx" TargetMode="External"/><Relationship Id="rId14" Type="http://schemas.openxmlformats.org/officeDocument/2006/relationships/hyperlink" Target="http://www.cipd.co.uk/hr-resources/factsheets/costing-benchmarking-learning-development.aspx" TargetMode="External"/><Relationship Id="rId22" Type="http://schemas.openxmlformats.org/officeDocument/2006/relationships/hyperlink" Target="http://www.peoplemanagemen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2575</Words>
  <Characters>14680</Characters>
  <Application>Microsoft Office Word</Application>
  <DocSecurity>0</DocSecurity>
  <Lines>122</Lines>
  <Paragraphs>34</Paragraphs>
  <ScaleCrop>false</ScaleCrop>
  <Company>Microsoft</Company>
  <LinksUpToDate>false</LinksUpToDate>
  <CharactersWithSpaces>17221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learning and talent development</dc:title>
  <dc:subject/>
  <dc:creator>Mary.march</dc:creator>
  <cp:keywords/>
  <dc:description/>
  <cp:lastModifiedBy>Mary March</cp:lastModifiedBy>
  <cp:revision>2</cp:revision>
  <dcterms:created xsi:type="dcterms:W3CDTF">2020-07-17T08:50:00Z</dcterms:created>
  <dcterms:modified xsi:type="dcterms:W3CDTF">2020-07-17T08:50:00Z</dcterms:modified>
</cp:coreProperties>
</file>