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B6ED8A6" w14:textId="77777777" w:rsidR="00621074" w:rsidRDefault="00621074"/>
    <w:p w14:paraId="40C89CBA" w14:textId="77777777" w:rsidR="00621074" w:rsidRDefault="00621074">
      <w:pPr>
        <w:pStyle w:val="p1"/>
      </w:pPr>
      <w:r>
        <w:rPr>
          <w:rStyle w:val="s1"/>
        </w:rPr>
        <w:t>Student Name:</w:t>
      </w:r>
      <w:r>
        <w:rPr>
          <w:rStyle w:val="s2"/>
        </w:rPr>
        <w:t xml:space="preserve"> Nasreen Khalid Maani</w:t>
      </w:r>
    </w:p>
    <w:p w14:paraId="6B314FE7" w14:textId="77777777" w:rsidR="00621074" w:rsidRDefault="00621074">
      <w:pPr>
        <w:pStyle w:val="p1"/>
      </w:pPr>
      <w:r>
        <w:rPr>
          <w:rStyle w:val="s1"/>
        </w:rPr>
        <w:t>Student ID:</w:t>
      </w:r>
      <w:r>
        <w:rPr>
          <w:rStyle w:val="s2"/>
        </w:rPr>
        <w:t xml:space="preserve"> 2528576</w:t>
      </w:r>
    </w:p>
    <w:p w14:paraId="5DD343EE" w14:textId="77777777" w:rsidR="00621074" w:rsidRDefault="00621074">
      <w:pPr>
        <w:pStyle w:val="p1"/>
      </w:pPr>
      <w:r>
        <w:rPr>
          <w:rStyle w:val="s1"/>
        </w:rPr>
        <w:t>Module Code &amp; Title:</w:t>
      </w:r>
      <w:r>
        <w:rPr>
          <w:rStyle w:val="s2"/>
        </w:rPr>
        <w:t xml:space="preserve"> LCHS4003 – Introduction to Professional Practice</w:t>
      </w:r>
    </w:p>
    <w:p w14:paraId="0CE1FAC6" w14:textId="77777777" w:rsidR="00621074" w:rsidRDefault="00621074">
      <w:pPr>
        <w:pStyle w:val="p1"/>
      </w:pPr>
      <w:r>
        <w:rPr>
          <w:rStyle w:val="s1"/>
        </w:rPr>
        <w:t>Lecturer Name:</w:t>
      </w:r>
      <w:r>
        <w:rPr>
          <w:rStyle w:val="s2"/>
        </w:rPr>
        <w:t xml:space="preserve"> Bernice </w:t>
      </w:r>
      <w:proofErr w:type="spellStart"/>
      <w:r>
        <w:rPr>
          <w:rStyle w:val="s2"/>
        </w:rPr>
        <w:t>Ejiogu</w:t>
      </w:r>
      <w:proofErr w:type="spellEnd"/>
    </w:p>
    <w:p w14:paraId="545E3454" w14:textId="77777777" w:rsidR="00621074" w:rsidRDefault="00621074">
      <w:pPr>
        <w:pStyle w:val="p1"/>
      </w:pPr>
      <w:r>
        <w:rPr>
          <w:rStyle w:val="s1"/>
        </w:rPr>
        <w:t>Assignment Title:</w:t>
      </w:r>
      <w:r>
        <w:rPr>
          <w:rStyle w:val="s2"/>
        </w:rPr>
        <w:t xml:space="preserve"> Component 2 Written Assignment – Case Study Analysis of Mrs Thompson</w:t>
      </w:r>
    </w:p>
    <w:p w14:paraId="3D0A4F69" w14:textId="77777777" w:rsidR="00621074" w:rsidRDefault="00621074">
      <w:pPr>
        <w:pStyle w:val="p1"/>
        <w:rPr>
          <w:rStyle w:val="s2"/>
        </w:rPr>
      </w:pPr>
      <w:r>
        <w:rPr>
          <w:rStyle w:val="s1"/>
        </w:rPr>
        <w:t>Date:</w:t>
      </w:r>
      <w:r>
        <w:rPr>
          <w:rStyle w:val="s2"/>
        </w:rPr>
        <w:t xml:space="preserve"> July 15, 2026</w:t>
      </w:r>
    </w:p>
    <w:p w14:paraId="0871B119" w14:textId="77777777" w:rsidR="008866F5" w:rsidRDefault="008866F5">
      <w:pPr>
        <w:pStyle w:val="p1"/>
      </w:pPr>
    </w:p>
    <w:p w14:paraId="4F954144" w14:textId="77777777" w:rsidR="00621074" w:rsidRDefault="00621074">
      <w:pPr>
        <w:pStyle w:val="p2"/>
      </w:pPr>
      <w:r>
        <w:rPr>
          <w:rStyle w:val="s3"/>
        </w:rPr>
        <w:t>Introduction</w:t>
      </w:r>
    </w:p>
    <w:p w14:paraId="2BF5AA8A" w14:textId="1763D1D7" w:rsidR="00621074" w:rsidRDefault="00621074">
      <w:pPr>
        <w:pStyle w:val="p1"/>
      </w:pPr>
      <w:r>
        <w:rPr>
          <w:rStyle w:val="s2"/>
        </w:rPr>
        <w:t xml:space="preserve">This report focuses on the case study of Mrs Thompson, an eighty-four-year-old woman recently discharged from the hospital after pneumonia. She lives alone in sheltered housing and receives twice-daily domiciliary care. She has mild dementia and sometimes forgets her medication, which recently caused increased confusion and led to her being found outside without appropriate clothing in freezing weather. Managing her care safely is a complex challenge that highlights the absolute necessity of structured, professional support. This assignment will </w:t>
      </w:r>
      <w:r w:rsidR="008866F5">
        <w:rPr>
          <w:rStyle w:val="s2"/>
        </w:rPr>
        <w:t>analyse</w:t>
      </w:r>
      <w:r>
        <w:rPr>
          <w:rStyle w:val="s2"/>
        </w:rPr>
        <w:t xml:space="preserve"> three critical areas of professional practice that are vital to improving her safety and well-being. First, it will discuss the importance of effective communication with Mrs Thompson and her family, using Egan's SOLER model and the Equality Act 2010. Secondly, it will explore the role of administrative skills, record-keeping, and the Data Protection Act 2018. Finally, it will address collaborative multi-agency working between key health and social care professionals.</w:t>
      </w:r>
    </w:p>
    <w:p w14:paraId="7F3836CB" w14:textId="77777777" w:rsidR="008866F5" w:rsidRDefault="008866F5">
      <w:pPr>
        <w:pStyle w:val="p2"/>
        <w:rPr>
          <w:rStyle w:val="s3"/>
        </w:rPr>
      </w:pPr>
    </w:p>
    <w:p w14:paraId="291C43A4" w14:textId="77777777" w:rsidR="00621074" w:rsidRDefault="00621074">
      <w:pPr>
        <w:pStyle w:val="p2"/>
        <w:rPr>
          <w:rStyle w:val="s3"/>
        </w:rPr>
      </w:pPr>
      <w:r>
        <w:rPr>
          <w:rStyle w:val="s3"/>
        </w:rPr>
        <w:t>Discuss the importance of effective communication within the context of Mrs Thompson’s care</w:t>
      </w:r>
    </w:p>
    <w:p w14:paraId="4D6E39B8" w14:textId="77777777" w:rsidR="006900B0" w:rsidRDefault="006900B0">
      <w:pPr>
        <w:pStyle w:val="p2"/>
      </w:pPr>
    </w:p>
    <w:p w14:paraId="2810715E" w14:textId="56B6EC32" w:rsidR="008610DB" w:rsidRDefault="005A21A8">
      <w:pPr>
        <w:pStyle w:val="p1"/>
        <w:rPr>
          <w:rStyle w:val="s2"/>
        </w:rPr>
      </w:pPr>
      <w:r>
        <w:rPr>
          <w:rStyle w:val="s2"/>
        </w:rPr>
        <w:t xml:space="preserve">No </w:t>
      </w:r>
      <w:r w:rsidR="00621074">
        <w:rPr>
          <w:rStyle w:val="s2"/>
        </w:rPr>
        <w:t>Effective communication is the absolute foundation of high-quality care, especially when supporting vulnerable individuals like Mrs Thompson. Since she has mild dementia and has recently experienced increased confusion after missing her medication, standard communication methods might not work well anymore (NICE, 2018).</w:t>
      </w:r>
    </w:p>
    <w:p w14:paraId="58BD3F3F" w14:textId="77777777" w:rsidR="008610DB" w:rsidRDefault="008610DB">
      <w:pPr>
        <w:pStyle w:val="p1"/>
        <w:rPr>
          <w:rStyle w:val="s2"/>
        </w:rPr>
      </w:pPr>
    </w:p>
    <w:p w14:paraId="3C5BA16D" w14:textId="19D9EF47" w:rsidR="00621074" w:rsidRDefault="00621074">
      <w:pPr>
        <w:pStyle w:val="p1"/>
      </w:pPr>
      <w:r>
        <w:rPr>
          <w:rStyle w:val="s2"/>
        </w:rPr>
        <w:t xml:space="preserve"> If professionals cannot communicate properly, her needs will be missed, which is incredibly dangerous given her recent incident of wandering outside in the cold. To communicate effectively with Mrs Thompson, professionals need to show empathy, use simple and clear language, and avoid overwhelming her with too much information at once. It is also really important to involve her family members in these conversations, as they can provide valuable background details about her usual habits and act as her advocates when she is feeling confused (Social Care Institute for Excellence [SCIE], 2020).</w:t>
      </w:r>
    </w:p>
    <w:p w14:paraId="53AB2C1E" w14:textId="77777777" w:rsidR="008B1C7B" w:rsidRDefault="00621074">
      <w:pPr>
        <w:pStyle w:val="p1"/>
        <w:rPr>
          <w:rStyle w:val="s2"/>
        </w:rPr>
      </w:pPr>
      <w:r>
        <w:rPr>
          <w:rStyle w:val="s2"/>
        </w:rPr>
        <w:t>To make sure communication is respectful and supportive, professionals can use Egan’s SOLER model of non-verbal communication. SOLER stands for sitting Squarely, adopting an Open posture, Leaning forward, maintaining good Eye contact, and remaining Relaxed (Egan, 2014).</w:t>
      </w:r>
    </w:p>
    <w:p w14:paraId="688A26C7" w14:textId="77777777" w:rsidR="008B1C7B" w:rsidRDefault="008B1C7B">
      <w:pPr>
        <w:pStyle w:val="p1"/>
        <w:rPr>
          <w:rStyle w:val="s2"/>
        </w:rPr>
      </w:pPr>
    </w:p>
    <w:p w14:paraId="224CAAF1" w14:textId="68C855A2" w:rsidR="00621074" w:rsidRDefault="00621074">
      <w:pPr>
        <w:pStyle w:val="p1"/>
      </w:pPr>
      <w:r>
        <w:rPr>
          <w:rStyle w:val="s2"/>
        </w:rPr>
        <w:t xml:space="preserve"> For a carer visiting Mrs Thompson, using these non-verbal cues is essential because her dementia might make it hard for her to process spoken words. Sitting squarely and keeping an open, relaxed posture shows her that the carer is fully present and not in a rush, which helps to reduce her anxiety and builds trust (Egan, 2014). Maintaining eye contact ensures she knows she has the carer's full attention, while leaning in slightly conveys warmth and interest. This model is a great practical tool for making sure that she feels safe and listened to during care visits, making her much more likely to cooperate with taking her medications.</w:t>
      </w:r>
    </w:p>
    <w:p w14:paraId="3FA54DBA" w14:textId="77777777" w:rsidR="008B1C7B" w:rsidRDefault="008B1C7B">
      <w:pPr>
        <w:pStyle w:val="p1"/>
        <w:rPr>
          <w:rStyle w:val="s2"/>
        </w:rPr>
      </w:pPr>
    </w:p>
    <w:p w14:paraId="724698F1" w14:textId="16FE94F6" w:rsidR="00621074" w:rsidRDefault="00621074">
      <w:pPr>
        <w:pStyle w:val="p1"/>
      </w:pPr>
      <w:r>
        <w:rPr>
          <w:rStyle w:val="s2"/>
        </w:rPr>
        <w:t>In addition to using communication models, professionals must align their approach with the Equality Act 2010. Under this legislation, age and disability (such as Mrs Thompson's dementia) are legally protected characteristics, meaning she has the right to receive fair treatment and accessible communication that accommodates her cognitive impairment (Equality Act 2010). This means the care team cannot simply write her off or stop trying to communicate with her because of her condition. Instead, they are legally required to make reasonable adjustments to their communication style to support her independence and dignity. This includes providing written summaries of medication times for her family to see, using visual aids, or simply taking extra time to listen to her without rushing. By combining the Equality Act’s principles of non-discrimination with the practical communication skills of the SOLER model, the care team can make sure that Mrs Thompson is treated as an equal individual, protecting her rights and ensuring she feels valued and safe.</w:t>
      </w:r>
    </w:p>
    <w:p w14:paraId="774E56DA" w14:textId="77777777" w:rsidR="008B1C7B" w:rsidRDefault="008B1C7B">
      <w:pPr>
        <w:pStyle w:val="p2"/>
        <w:rPr>
          <w:rStyle w:val="s3"/>
        </w:rPr>
      </w:pPr>
    </w:p>
    <w:p w14:paraId="19665B00" w14:textId="43A3A06D" w:rsidR="00621074" w:rsidRDefault="00621074">
      <w:pPr>
        <w:pStyle w:val="p2"/>
      </w:pPr>
      <w:r>
        <w:rPr>
          <w:rStyle w:val="s3"/>
        </w:rPr>
        <w:t>Discuss the importance of good administrative skills within professional practice within the context of Mrs Thompson’s care</w:t>
      </w:r>
    </w:p>
    <w:p w14:paraId="6CC18F0F" w14:textId="77777777" w:rsidR="008B1C7B" w:rsidRDefault="008B1C7B">
      <w:pPr>
        <w:pStyle w:val="p1"/>
        <w:rPr>
          <w:rStyle w:val="s2"/>
        </w:rPr>
      </w:pPr>
    </w:p>
    <w:p w14:paraId="06BDD5D0" w14:textId="1366E08F" w:rsidR="00621074" w:rsidRDefault="00621074">
      <w:pPr>
        <w:pStyle w:val="p1"/>
        <w:rPr>
          <w:rStyle w:val="s2"/>
        </w:rPr>
      </w:pPr>
      <w:r>
        <w:rPr>
          <w:rStyle w:val="s2"/>
        </w:rPr>
        <w:t>In professional health and social care practice, good administrative skills are absolutely vital for maintaining patient safety and continuity of care. This is very clear in Mrs Thompson’s case, where a breakdown in record-keeping could have fatal results. When Mrs Thompson missed two days of her medication and became increasingly confused, the incident had to be formally logged using the care service's incident reporting system, and a formal medication review was requested. Accurate and timely record-keeping is not just a bureaucratic task; it is a critical clinical safeguard. If care workers fail to write down that she missed her doses, other professionals, like her GP or community nurse, would be left completely in the dark, potentially leading to dangerous errors in her treatment (NICE, 2018). Clear records provide a reliable history of her physical and mental health, allowing carers to spot patterns of decline, such as her wandering outside in freezing weather, and take immediate preventive action.</w:t>
      </w:r>
    </w:p>
    <w:p w14:paraId="2EEDA0AC" w14:textId="77777777" w:rsidR="006900B0" w:rsidRDefault="006900B0">
      <w:pPr>
        <w:pStyle w:val="p1"/>
      </w:pPr>
    </w:p>
    <w:p w14:paraId="3BC032A0" w14:textId="77777777" w:rsidR="00621074" w:rsidRDefault="00621074">
      <w:pPr>
        <w:pStyle w:val="p1"/>
        <w:rPr>
          <w:rStyle w:val="s2"/>
        </w:rPr>
      </w:pPr>
      <w:r>
        <w:rPr>
          <w:rStyle w:val="s2"/>
        </w:rPr>
        <w:t>All records regarding Mrs Thompson's care must be handled in strict compliance with the Data Protection Act 2018, which implements the General Data Protection Regulation (GDPR) in the UK. This legislation lays down key principles for processing personal data, stating that sensitive medical and personal records must be stored securely, kept confidential, and only shared with people who actually need to know (Data Protection Act 2018). For Mrs Thompson, this means her medication logs, dementia diagnosis, and details about the wandering incident are classified as "special category data" that requires extra protection. Care workers must ensure that digital records are password-protected and that paper care plans are locked away safely to prevent unauthorised access. However, the legislation also allows for lawful sharing of information between professionals when it is in the patient’s best interest. Sharing her records with the GP for the medication review or with the local council for her case review is entirely lawful and necessary, as long as it is done securely and proportionately to protect her welfare.</w:t>
      </w:r>
    </w:p>
    <w:p w14:paraId="5C407A10" w14:textId="77777777" w:rsidR="006900B0" w:rsidRDefault="006900B0">
      <w:pPr>
        <w:pStyle w:val="p1"/>
      </w:pPr>
    </w:p>
    <w:p w14:paraId="57630874" w14:textId="77777777" w:rsidR="00621074" w:rsidRDefault="00621074">
      <w:pPr>
        <w:pStyle w:val="p1"/>
      </w:pPr>
      <w:r>
        <w:rPr>
          <w:rStyle w:val="s2"/>
        </w:rPr>
        <w:t>These professional practices are also supported by the Care Act 2014, which sets the legal framework for safeguarding vulnerable adults. Under the Care Act, local councils have a duty to investigate and protect individuals like Mrs Thompson when they are at risk of self-neglect or harm, which clearly applies to her being found outside inadequately dressed (Care Act 2014). Professional standards, like those set by the Care Quality Commission (CQC) in England, demand that care providers maintain "accurate, complete, and contemporaneous" records for every service user (CQC, 2021). Keeping high-quality records ensures that all agencies can work together seamlessly to safeguard Mrs Thompson, protecting her from harm while respecting her independence and privacy rights.</w:t>
      </w:r>
    </w:p>
    <w:p w14:paraId="44DAA163" w14:textId="77777777" w:rsidR="006900B0" w:rsidRDefault="006900B0">
      <w:pPr>
        <w:pStyle w:val="p2"/>
        <w:rPr>
          <w:rStyle w:val="s3"/>
        </w:rPr>
      </w:pPr>
    </w:p>
    <w:p w14:paraId="0D482C4D" w14:textId="3097A67C" w:rsidR="00621074" w:rsidRDefault="00621074">
      <w:pPr>
        <w:pStyle w:val="p2"/>
      </w:pPr>
      <w:r>
        <w:rPr>
          <w:rStyle w:val="s3"/>
        </w:rPr>
        <w:t>Discuss the importance of working collaboratively with other professionals involved in Mrs Thompson’s care</w:t>
      </w:r>
    </w:p>
    <w:p w14:paraId="24D83781" w14:textId="77777777" w:rsidR="00621074" w:rsidRDefault="00621074">
      <w:pPr>
        <w:pStyle w:val="p1"/>
        <w:rPr>
          <w:rStyle w:val="s2"/>
        </w:rPr>
      </w:pPr>
      <w:r>
        <w:rPr>
          <w:rStyle w:val="s2"/>
        </w:rPr>
        <w:t>Collaborative working is absolutely crucial to guarantee Mrs Thompson's safety, as her care involves multiple professionals, including her GP, community nurse, domiciliary care workers, and local council social workers. Since she has mild dementia and physical vulnerabilities following her bout of pneumonia, no single agency can manage her care alone. For example, domiciliary carers are the ones who noticed she missed her medications, but they cannot prescribe or alter her treatment. They must quickly report this to the GP, who can run a formal medication review, while the community nurse can monitor her physical recovery and cognitive state. If these professionals operate in silos, Mrs Thompson is highly likely to fall through the cracks, leading to more incidents like wandering outside alone in freezing weather (Social Care Institute for Excellence [SCIE], 2018).</w:t>
      </w:r>
    </w:p>
    <w:p w14:paraId="2871A43C" w14:textId="77777777" w:rsidR="006900B0" w:rsidRDefault="006900B0">
      <w:pPr>
        <w:pStyle w:val="p1"/>
      </w:pPr>
    </w:p>
    <w:p w14:paraId="15D605D1" w14:textId="77777777" w:rsidR="00621074" w:rsidRDefault="00621074">
      <w:pPr>
        <w:pStyle w:val="p1"/>
        <w:rPr>
          <w:rStyle w:val="s2"/>
        </w:rPr>
      </w:pPr>
      <w:r>
        <w:rPr>
          <w:rStyle w:val="s2"/>
        </w:rPr>
        <w:t>To make multi-agency collaboration work, agencies can hold Multidisciplinary Team (MDT) meetings and use shared, secure digital records to communicate instantly. However, common challenges like poor communication, lack of role clarity, and differing agency priorities often get in the way. For instance, domiciliary carers might feel their concerns are ignored by busy medical staff, or there may be confusion over who is ultimately responsible for Mrs Thompson's daily welfare. To overcome these barriers, teams must set clear, defined roles for each professional and hold regular catch-ups to share updates. Using a key worker or care coordinator is an excellent strategy, as this person acts as the main contact point for both Mrs Thompson's family and the different care agencies (Skills for Care, 2020). By establishing open channels of communication and placing Mrs Thompson's safety at the centre of all discussions, these professionals can overcome systemic barriers, ensuring she receives safe, supportive, and completely joined-up care at home.</w:t>
      </w:r>
    </w:p>
    <w:p w14:paraId="2E33189A" w14:textId="77777777" w:rsidR="006900B0" w:rsidRDefault="006900B0">
      <w:pPr>
        <w:pStyle w:val="p1"/>
      </w:pPr>
    </w:p>
    <w:p w14:paraId="4EA9CE02" w14:textId="77777777" w:rsidR="00621074" w:rsidRDefault="00621074">
      <w:pPr>
        <w:pStyle w:val="p2"/>
      </w:pPr>
      <w:r>
        <w:rPr>
          <w:rStyle w:val="s3"/>
        </w:rPr>
        <w:t>Conclusion</w:t>
      </w:r>
    </w:p>
    <w:p w14:paraId="63510D93" w14:textId="77777777" w:rsidR="00621074" w:rsidRDefault="00621074">
      <w:pPr>
        <w:pStyle w:val="p1"/>
      </w:pPr>
      <w:r>
        <w:rPr>
          <w:rStyle w:val="s2"/>
        </w:rPr>
        <w:t>In conclusion, the case of Mrs Thompson shows how important it is to have clear communication, strong admin skills, and collaborative working in health and social care. Her recent medication errors and wandering incidents show that when these elements fail, vulnerable people are put at serious risk. By using practical tools like Egan’s SOLER model alongside the core legal values of the Equality Act 2010, professionals can make sure she is treated with real dignity and respect. Furthermore, keeping accurate records in line with the Data Protection Act 2018 ensures that her vital health updates are shared safely and legally between teams. Finally, strong multi-agency cooperation between her GP, community nurse, and care workers is essential to stop her from falling through the cracks. Working together, these services can safeguard Mrs Thompson, helping her to live safely, independently, and comfortably at home.</w:t>
      </w:r>
    </w:p>
    <w:p w14:paraId="668E0B81" w14:textId="77777777" w:rsidR="00FA74D0" w:rsidRDefault="00FA74D0">
      <w:pPr>
        <w:pStyle w:val="p2"/>
        <w:rPr>
          <w:rStyle w:val="s3"/>
        </w:rPr>
      </w:pPr>
    </w:p>
    <w:p w14:paraId="37829AFE" w14:textId="298175B9" w:rsidR="00621074" w:rsidRDefault="00621074">
      <w:pPr>
        <w:pStyle w:val="p2"/>
      </w:pPr>
      <w:r>
        <w:rPr>
          <w:rStyle w:val="s3"/>
        </w:rPr>
        <w:t>References</w:t>
      </w:r>
    </w:p>
    <w:p w14:paraId="2880CCE7" w14:textId="77777777" w:rsidR="00621074" w:rsidRDefault="00621074" w:rsidP="00814E46">
      <w:pPr>
        <w:pStyle w:val="p3"/>
        <w:ind w:left="0"/>
      </w:pPr>
      <w:r>
        <w:rPr>
          <w:rStyle w:val="apple-converted-space"/>
          <w:rFonts w:ascii="UICTFontTextStyleBody" w:hAnsi="UICTFontTextStyleBody"/>
        </w:rPr>
        <w:t> </w:t>
      </w:r>
      <w:r>
        <w:rPr>
          <w:rStyle w:val="s2"/>
        </w:rPr>
        <w:t xml:space="preserve">Care Act 2014, c. 23. Available at: </w:t>
      </w:r>
      <w:hyperlink r:id="rId4" w:history="1">
        <w:r>
          <w:rPr>
            <w:rStyle w:val="s4"/>
            <w:color w:val="0000FF"/>
          </w:rPr>
          <w:t>https://www.legislation.gov.uk/ukpga/2014/23/contents</w:t>
        </w:r>
      </w:hyperlink>
      <w:r>
        <w:rPr>
          <w:rStyle w:val="s2"/>
        </w:rPr>
        <w:t xml:space="preserve"> (Accessed: 15 July 2026).</w:t>
      </w:r>
    </w:p>
    <w:p w14:paraId="70419075" w14:textId="77777777" w:rsidR="00621074" w:rsidRDefault="00621074" w:rsidP="00814E46">
      <w:pPr>
        <w:pStyle w:val="p3"/>
        <w:ind w:left="0"/>
      </w:pPr>
      <w:r>
        <w:rPr>
          <w:rStyle w:val="apple-converted-space"/>
          <w:rFonts w:ascii="UICTFontTextStyleBody" w:hAnsi="UICTFontTextStyleBody"/>
        </w:rPr>
        <w:t> </w:t>
      </w:r>
      <w:r>
        <w:rPr>
          <w:rStyle w:val="s2"/>
        </w:rPr>
        <w:t xml:space="preserve">Care Quality Commission (CQC) (2021) </w:t>
      </w:r>
      <w:r>
        <w:rPr>
          <w:rStyle w:val="s5"/>
        </w:rPr>
        <w:t>Regulation 17: Good governance</w:t>
      </w:r>
      <w:r>
        <w:rPr>
          <w:rStyle w:val="s2"/>
        </w:rPr>
        <w:t>. Newcastle upon Tyne: CQC.</w:t>
      </w:r>
    </w:p>
    <w:p w14:paraId="1E4FD0D7" w14:textId="276D5C88" w:rsidR="00621074" w:rsidRDefault="00621074" w:rsidP="00814E46">
      <w:pPr>
        <w:pStyle w:val="p3"/>
        <w:ind w:left="0"/>
      </w:pPr>
      <w:r>
        <w:rPr>
          <w:rStyle w:val="s2"/>
        </w:rPr>
        <w:t xml:space="preserve">Data Protection Act 2018, c. 12. Available at: </w:t>
      </w:r>
      <w:hyperlink r:id="rId5" w:history="1">
        <w:r>
          <w:rPr>
            <w:rStyle w:val="s4"/>
            <w:color w:val="0000FF"/>
          </w:rPr>
          <w:t>https://www.legislation.gov.uk/ukpga/2018/12/contents</w:t>
        </w:r>
      </w:hyperlink>
      <w:r>
        <w:rPr>
          <w:rStyle w:val="s2"/>
        </w:rPr>
        <w:t xml:space="preserve"> (Accessed: 15 July 2026).</w:t>
      </w:r>
    </w:p>
    <w:p w14:paraId="770B9700" w14:textId="77777777" w:rsidR="00621074" w:rsidRDefault="00621074" w:rsidP="00814E46">
      <w:pPr>
        <w:pStyle w:val="p3"/>
        <w:ind w:left="0"/>
      </w:pPr>
      <w:r>
        <w:rPr>
          <w:rStyle w:val="apple-converted-space"/>
          <w:rFonts w:ascii="UICTFontTextStyleBody" w:hAnsi="UICTFontTextStyleBody"/>
        </w:rPr>
        <w:t> </w:t>
      </w:r>
      <w:r>
        <w:rPr>
          <w:rStyle w:val="s2"/>
        </w:rPr>
        <w:t xml:space="preserve">Egan, G. (2014) </w:t>
      </w:r>
      <w:r>
        <w:rPr>
          <w:rStyle w:val="s5"/>
        </w:rPr>
        <w:t>The Skilled Helper: A Problem-Management and Opportunity-Development Approach to Helping</w:t>
      </w:r>
      <w:r>
        <w:rPr>
          <w:rStyle w:val="s2"/>
        </w:rPr>
        <w:t xml:space="preserve">. 10th </w:t>
      </w:r>
      <w:proofErr w:type="spellStart"/>
      <w:r>
        <w:rPr>
          <w:rStyle w:val="s2"/>
        </w:rPr>
        <w:t>edn</w:t>
      </w:r>
      <w:proofErr w:type="spellEnd"/>
      <w:r>
        <w:rPr>
          <w:rStyle w:val="s2"/>
        </w:rPr>
        <w:t>. Belmont, CA: Brooks/Cole.</w:t>
      </w:r>
    </w:p>
    <w:p w14:paraId="12ACE578" w14:textId="298384EE" w:rsidR="00621074" w:rsidRDefault="00621074" w:rsidP="00814E46">
      <w:pPr>
        <w:pStyle w:val="p3"/>
        <w:ind w:left="0"/>
      </w:pPr>
      <w:r>
        <w:rPr>
          <w:rStyle w:val="s2"/>
        </w:rPr>
        <w:t xml:space="preserve">Equality Act 2010, c. 15. Available at: </w:t>
      </w:r>
      <w:hyperlink r:id="rId6" w:history="1">
        <w:r>
          <w:rPr>
            <w:rStyle w:val="s4"/>
            <w:color w:val="0000FF"/>
          </w:rPr>
          <w:t>https://www.legislation.gov.uk/ukpga/2010/15/contents</w:t>
        </w:r>
      </w:hyperlink>
      <w:r>
        <w:rPr>
          <w:rStyle w:val="s2"/>
        </w:rPr>
        <w:t xml:space="preserve"> (Accessed: 15 July 2026).</w:t>
      </w:r>
    </w:p>
    <w:p w14:paraId="0DEBF9D9" w14:textId="77777777" w:rsidR="00621074" w:rsidRDefault="00621074" w:rsidP="00814E46">
      <w:pPr>
        <w:pStyle w:val="p3"/>
        <w:ind w:left="0"/>
      </w:pPr>
      <w:r>
        <w:rPr>
          <w:rStyle w:val="apple-converted-space"/>
          <w:rFonts w:ascii="UICTFontTextStyleBody" w:hAnsi="UICTFontTextStyleBody"/>
        </w:rPr>
        <w:t> </w:t>
      </w:r>
      <w:r>
        <w:rPr>
          <w:rStyle w:val="s2"/>
        </w:rPr>
        <w:t xml:space="preserve">National Institute for Health and Care Excellence (NICE) (2018) </w:t>
      </w:r>
      <w:r>
        <w:rPr>
          <w:rStyle w:val="s5"/>
        </w:rPr>
        <w:t>Dementia: assessment, management and support for people living with dementia and their carers</w:t>
      </w:r>
      <w:r>
        <w:rPr>
          <w:rStyle w:val="s2"/>
        </w:rPr>
        <w:t xml:space="preserve"> [NG97]. London: NICE.</w:t>
      </w:r>
    </w:p>
    <w:p w14:paraId="30DCB7B9" w14:textId="77777777" w:rsidR="00621074" w:rsidRDefault="00621074" w:rsidP="00814E46">
      <w:pPr>
        <w:pStyle w:val="p3"/>
        <w:ind w:left="0"/>
      </w:pPr>
      <w:r>
        <w:rPr>
          <w:rStyle w:val="apple-converted-space"/>
          <w:rFonts w:ascii="UICTFontTextStyleBody" w:hAnsi="UICTFontTextStyleBody"/>
        </w:rPr>
        <w:t> </w:t>
      </w:r>
      <w:r>
        <w:rPr>
          <w:rStyle w:val="s2"/>
        </w:rPr>
        <w:t xml:space="preserve">Skills for Care (2020) </w:t>
      </w:r>
      <w:r>
        <w:rPr>
          <w:rStyle w:val="s5"/>
        </w:rPr>
        <w:t>Leadership and management in health and social care</w:t>
      </w:r>
      <w:r>
        <w:rPr>
          <w:rStyle w:val="s2"/>
        </w:rPr>
        <w:t>. Leeds: Skills for Care.</w:t>
      </w:r>
    </w:p>
    <w:p w14:paraId="1E810F66" w14:textId="77777777" w:rsidR="00621074" w:rsidRDefault="00621074" w:rsidP="00814E46">
      <w:pPr>
        <w:pStyle w:val="p3"/>
        <w:ind w:left="0"/>
      </w:pPr>
      <w:r>
        <w:rPr>
          <w:rStyle w:val="apple-converted-space"/>
          <w:rFonts w:ascii="UICTFontTextStyleBody" w:hAnsi="UICTFontTextStyleBody"/>
        </w:rPr>
        <w:t> </w:t>
      </w:r>
      <w:r>
        <w:rPr>
          <w:rStyle w:val="s2"/>
        </w:rPr>
        <w:t xml:space="preserve">Social Care Institute for Excellence (SCIE) (2018) </w:t>
      </w:r>
      <w:r>
        <w:rPr>
          <w:rStyle w:val="s5"/>
        </w:rPr>
        <w:t>Co-production in social care: what it is and how to do it</w:t>
      </w:r>
      <w:r>
        <w:rPr>
          <w:rStyle w:val="s2"/>
        </w:rPr>
        <w:t>. London: SCIE.</w:t>
      </w:r>
    </w:p>
    <w:p w14:paraId="583871B4" w14:textId="358F68CA" w:rsidR="00621074" w:rsidRDefault="00621074" w:rsidP="00814E46">
      <w:pPr>
        <w:pStyle w:val="p3"/>
        <w:ind w:left="0"/>
      </w:pPr>
      <w:r>
        <w:rPr>
          <w:rStyle w:val="s2"/>
        </w:rPr>
        <w:t xml:space="preserve">Social Care Institute for Excellence (SCIE) (2020) </w:t>
      </w:r>
      <w:r>
        <w:rPr>
          <w:rStyle w:val="s5"/>
        </w:rPr>
        <w:t>Dementia: Dignity and communication</w:t>
      </w:r>
      <w:r>
        <w:rPr>
          <w:rStyle w:val="s2"/>
        </w:rPr>
        <w:t>. London: SCIE.</w:t>
      </w:r>
    </w:p>
    <w:p w14:paraId="2FFFD83A" w14:textId="77777777" w:rsidR="00621074" w:rsidRDefault="00621074"/>
    <w:sectPr w:rsidR="006210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EmphasizedBody">
    <w:altName w:val="Cambria"/>
    <w:panose1 w:val="020B0604020202020204"/>
    <w:charset w:val="00"/>
    <w:family w:val="roman"/>
    <w:pitch w:val="default"/>
  </w:font>
  <w:font w:name="UICTFontTextStyleBody">
    <w:altName w:val="Cambria"/>
    <w:panose1 w:val="020B0604020202020204"/>
    <w:charset w:val="00"/>
    <w:family w:val="roman"/>
    <w:pitch w:val="default"/>
  </w:font>
  <w:font w:name="UICTFontTextStyleItalicBody">
    <w:altName w:val="Cambria"/>
    <w:panose1 w:val="020B0604020202020204"/>
    <w:charset w:val="00"/>
    <w:family w:val="roman"/>
    <w:pitch w:val="default"/>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1074"/>
    <w:rsid w:val="005A21A8"/>
    <w:rsid w:val="00621074"/>
    <w:rsid w:val="00651CE1"/>
    <w:rsid w:val="006900B0"/>
    <w:rsid w:val="006D75A4"/>
    <w:rsid w:val="00814E46"/>
    <w:rsid w:val="008610DB"/>
    <w:rsid w:val="008866F5"/>
    <w:rsid w:val="008B1C7B"/>
    <w:rsid w:val="009D6CA2"/>
    <w:rsid w:val="00FA74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22014AA"/>
  <w15:chartTrackingRefBased/>
  <w15:docId w15:val="{2158DB6E-4379-264A-96A9-528FC7DF9F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2107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2107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2107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2107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2107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2107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107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107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107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107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2107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2107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2107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2107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2107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107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107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1074"/>
    <w:rPr>
      <w:rFonts w:eastAsiaTheme="majorEastAsia" w:cstheme="majorBidi"/>
      <w:color w:val="272727" w:themeColor="text1" w:themeTint="D8"/>
    </w:rPr>
  </w:style>
  <w:style w:type="paragraph" w:styleId="Title">
    <w:name w:val="Title"/>
    <w:basedOn w:val="Normal"/>
    <w:next w:val="Normal"/>
    <w:link w:val="TitleChar"/>
    <w:uiPriority w:val="10"/>
    <w:qFormat/>
    <w:rsid w:val="006210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107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107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107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1074"/>
    <w:pPr>
      <w:spacing w:before="160"/>
      <w:jc w:val="center"/>
    </w:pPr>
    <w:rPr>
      <w:i/>
      <w:iCs/>
      <w:color w:val="404040" w:themeColor="text1" w:themeTint="BF"/>
    </w:rPr>
  </w:style>
  <w:style w:type="character" w:customStyle="1" w:styleId="QuoteChar">
    <w:name w:val="Quote Char"/>
    <w:basedOn w:val="DefaultParagraphFont"/>
    <w:link w:val="Quote"/>
    <w:uiPriority w:val="29"/>
    <w:rsid w:val="00621074"/>
    <w:rPr>
      <w:i/>
      <w:iCs/>
      <w:color w:val="404040" w:themeColor="text1" w:themeTint="BF"/>
    </w:rPr>
  </w:style>
  <w:style w:type="paragraph" w:styleId="ListParagraph">
    <w:name w:val="List Paragraph"/>
    <w:basedOn w:val="Normal"/>
    <w:uiPriority w:val="34"/>
    <w:qFormat/>
    <w:rsid w:val="00621074"/>
    <w:pPr>
      <w:ind w:left="720"/>
      <w:contextualSpacing/>
    </w:pPr>
  </w:style>
  <w:style w:type="character" w:styleId="IntenseEmphasis">
    <w:name w:val="Intense Emphasis"/>
    <w:basedOn w:val="DefaultParagraphFont"/>
    <w:uiPriority w:val="21"/>
    <w:qFormat/>
    <w:rsid w:val="00621074"/>
    <w:rPr>
      <w:i/>
      <w:iCs/>
      <w:color w:val="0F4761" w:themeColor="accent1" w:themeShade="BF"/>
    </w:rPr>
  </w:style>
  <w:style w:type="paragraph" w:styleId="IntenseQuote">
    <w:name w:val="Intense Quote"/>
    <w:basedOn w:val="Normal"/>
    <w:next w:val="Normal"/>
    <w:link w:val="IntenseQuoteChar"/>
    <w:uiPriority w:val="30"/>
    <w:qFormat/>
    <w:rsid w:val="0062107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21074"/>
    <w:rPr>
      <w:i/>
      <w:iCs/>
      <w:color w:val="0F4761" w:themeColor="accent1" w:themeShade="BF"/>
    </w:rPr>
  </w:style>
  <w:style w:type="character" w:styleId="IntenseReference">
    <w:name w:val="Intense Reference"/>
    <w:basedOn w:val="DefaultParagraphFont"/>
    <w:uiPriority w:val="32"/>
    <w:qFormat/>
    <w:rsid w:val="00621074"/>
    <w:rPr>
      <w:b/>
      <w:bCs/>
      <w:smallCaps/>
      <w:color w:val="0F4761" w:themeColor="accent1" w:themeShade="BF"/>
      <w:spacing w:val="5"/>
    </w:rPr>
  </w:style>
  <w:style w:type="paragraph" w:customStyle="1" w:styleId="p1">
    <w:name w:val="p1"/>
    <w:basedOn w:val="Normal"/>
    <w:rsid w:val="00621074"/>
    <w:pPr>
      <w:spacing w:after="0" w:line="240" w:lineRule="auto"/>
    </w:pPr>
    <w:rPr>
      <w:rFonts w:ascii=".AppleSystemUIFont" w:hAnsi=".AppleSystemUIFont" w:cs="Times New Roman"/>
      <w:kern w:val="0"/>
      <w:sz w:val="26"/>
      <w:szCs w:val="26"/>
      <w14:ligatures w14:val="none"/>
    </w:rPr>
  </w:style>
  <w:style w:type="paragraph" w:customStyle="1" w:styleId="p2">
    <w:name w:val="p2"/>
    <w:basedOn w:val="Normal"/>
    <w:rsid w:val="00621074"/>
    <w:pPr>
      <w:spacing w:after="60" w:line="240" w:lineRule="auto"/>
    </w:pPr>
    <w:rPr>
      <w:rFonts w:ascii=".AppleSystemUIFont" w:hAnsi=".AppleSystemUIFont" w:cs="Times New Roman"/>
      <w:kern w:val="0"/>
      <w:sz w:val="33"/>
      <w:szCs w:val="33"/>
      <w14:ligatures w14:val="none"/>
    </w:rPr>
  </w:style>
  <w:style w:type="paragraph" w:customStyle="1" w:styleId="p3">
    <w:name w:val="p3"/>
    <w:basedOn w:val="Normal"/>
    <w:rsid w:val="00621074"/>
    <w:pPr>
      <w:spacing w:after="0" w:line="240" w:lineRule="auto"/>
      <w:ind w:left="1080"/>
    </w:pPr>
    <w:rPr>
      <w:rFonts w:ascii=".AppleSystemUIFont" w:hAnsi=".AppleSystemUIFont" w:cs="Times New Roman"/>
      <w:kern w:val="0"/>
      <w:sz w:val="26"/>
      <w:szCs w:val="26"/>
      <w14:ligatures w14:val="none"/>
    </w:rPr>
  </w:style>
  <w:style w:type="character" w:customStyle="1" w:styleId="s1">
    <w:name w:val="s1"/>
    <w:basedOn w:val="DefaultParagraphFont"/>
    <w:rsid w:val="00621074"/>
    <w:rPr>
      <w:rFonts w:ascii="UICTFontTextStyleEmphasizedBody" w:hAnsi="UICTFontTextStyleEmphasizedBody" w:hint="default"/>
      <w:b/>
      <w:bCs/>
      <w:i w:val="0"/>
      <w:iCs w:val="0"/>
      <w:sz w:val="26"/>
      <w:szCs w:val="26"/>
    </w:rPr>
  </w:style>
  <w:style w:type="character" w:customStyle="1" w:styleId="s2">
    <w:name w:val="s2"/>
    <w:basedOn w:val="DefaultParagraphFont"/>
    <w:rsid w:val="00621074"/>
    <w:rPr>
      <w:rFonts w:ascii="UICTFontTextStyleBody" w:hAnsi="UICTFontTextStyleBody" w:hint="default"/>
      <w:b w:val="0"/>
      <w:bCs w:val="0"/>
      <w:i w:val="0"/>
      <w:iCs w:val="0"/>
      <w:sz w:val="26"/>
      <w:szCs w:val="26"/>
    </w:rPr>
  </w:style>
  <w:style w:type="character" w:customStyle="1" w:styleId="s3">
    <w:name w:val="s3"/>
    <w:basedOn w:val="DefaultParagraphFont"/>
    <w:rsid w:val="00621074"/>
    <w:rPr>
      <w:rFonts w:ascii="UICTFontTextStyleBody" w:hAnsi="UICTFontTextStyleBody" w:hint="default"/>
      <w:b/>
      <w:bCs/>
      <w:i w:val="0"/>
      <w:iCs w:val="0"/>
      <w:sz w:val="33"/>
      <w:szCs w:val="33"/>
    </w:rPr>
  </w:style>
  <w:style w:type="character" w:customStyle="1" w:styleId="s4">
    <w:name w:val="s4"/>
    <w:basedOn w:val="DefaultParagraphFont"/>
    <w:rsid w:val="00621074"/>
    <w:rPr>
      <w:rFonts w:ascii="UICTFontTextStyleBody" w:hAnsi="UICTFontTextStyleBody" w:hint="default"/>
      <w:b w:val="0"/>
      <w:bCs w:val="0"/>
      <w:i w:val="0"/>
      <w:iCs w:val="0"/>
      <w:sz w:val="26"/>
      <w:szCs w:val="26"/>
      <w:u w:val="single"/>
    </w:rPr>
  </w:style>
  <w:style w:type="character" w:customStyle="1" w:styleId="s5">
    <w:name w:val="s5"/>
    <w:basedOn w:val="DefaultParagraphFont"/>
    <w:rsid w:val="00621074"/>
    <w:rPr>
      <w:rFonts w:ascii="UICTFontTextStyleItalicBody" w:hAnsi="UICTFontTextStyleItalicBody" w:hint="default"/>
      <w:b w:val="0"/>
      <w:bCs w:val="0"/>
      <w:i/>
      <w:iCs/>
      <w:sz w:val="26"/>
      <w:szCs w:val="26"/>
    </w:rPr>
  </w:style>
  <w:style w:type="character" w:customStyle="1" w:styleId="apple-converted-space">
    <w:name w:val="apple-converted-space"/>
    <w:basedOn w:val="DefaultParagraphFont"/>
    <w:rsid w:val="006210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legislation.gov.uk/ukpga/2010/15/contents" TargetMode="External"/><Relationship Id="rId5" Type="http://schemas.openxmlformats.org/officeDocument/2006/relationships/hyperlink" Target="https://www.legislation.gov.uk/ukpga/2018/12/contents" TargetMode="External"/><Relationship Id="rId4" Type="http://schemas.openxmlformats.org/officeDocument/2006/relationships/hyperlink" Target="https://www.legislation.gov.uk/ukpga/2014/23/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1739</Words>
  <Characters>9917</Characters>
  <Application>Microsoft Office Word</Application>
  <DocSecurity>0</DocSecurity>
  <Lines>82</Lines>
  <Paragraphs>23</Paragraphs>
  <ScaleCrop>false</ScaleCrop>
  <Company/>
  <LinksUpToDate>false</LinksUpToDate>
  <CharactersWithSpaces>11633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Nasreen Khalid Maani (2528576)</dc:creator>
  <cp:keywords/>
  <dc:description/>
  <cp:lastModifiedBy>Nasreen Khalid Maani (2528576)</cp:lastModifiedBy>
  <cp:revision>2</cp:revision>
  <dcterms:created xsi:type="dcterms:W3CDTF">2026-07-15T03:14:00Z</dcterms:created>
  <dcterms:modified xsi:type="dcterms:W3CDTF">2026-07-15T03:14:00Z</dcterms:modified>
</cp:coreProperties>
</file>