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FEDF7BF" w:rsidP="279B3FB0" w:rsidRDefault="2FEDF7BF" w14:paraId="19DFBF03" w14:textId="482C9D39">
      <w:pPr>
        <w:pStyle w:val="Normal"/>
        <w:bidi w:val="0"/>
        <w:spacing w:before="0" w:beforeAutospacing="off" w:after="160" w:afterAutospacing="off" w:line="259" w:lineRule="auto"/>
        <w:ind w:left="0" w:right="0"/>
        <w:jc w:val="right"/>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MSc Logistics</w:t>
      </w:r>
    </w:p>
    <w:p w:rsidR="2FEDF7BF" w:rsidP="279B3FB0" w:rsidRDefault="2FEDF7BF" w14:paraId="414EAB74" w14:textId="3EBA3D03">
      <w:pPr>
        <w:pStyle w:val="Normal"/>
        <w:bidi w:val="0"/>
        <w:spacing w:before="0" w:beforeAutospacing="off" w:after="160" w:afterAutospacing="off" w:line="259" w:lineRule="auto"/>
        <w:ind w:left="0" w:right="0"/>
        <w:jc w:val="right"/>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M7X01265 Logistic </w:t>
      </w:r>
      <w:r w:rsidRPr="279B3FB0" w:rsidR="279B3FB0">
        <w:rPr>
          <w:rFonts w:ascii="Arial" w:hAnsi="Arial" w:eastAsia="Arial" w:cs="Arial"/>
          <w:noProof w:val="0"/>
          <w:sz w:val="22"/>
          <w:szCs w:val="22"/>
          <w:lang w:val="en-GB"/>
        </w:rPr>
        <w:t>Operations</w:t>
      </w:r>
      <w:r w:rsidRPr="279B3FB0" w:rsidR="279B3FB0">
        <w:rPr>
          <w:rFonts w:ascii="Arial" w:hAnsi="Arial" w:eastAsia="Arial" w:cs="Arial"/>
          <w:noProof w:val="0"/>
          <w:sz w:val="22"/>
          <w:szCs w:val="22"/>
          <w:lang w:val="en-GB"/>
        </w:rPr>
        <w:t xml:space="preserve"> and Strategies </w:t>
      </w:r>
    </w:p>
    <w:p w:rsidR="2FEDF7BF" w:rsidP="279B3FB0" w:rsidRDefault="2FEDF7BF" w14:paraId="00A69B90" w14:textId="7810825F">
      <w:pPr>
        <w:pStyle w:val="Normal"/>
        <w:bidi w:val="0"/>
        <w:spacing w:before="0" w:beforeAutospacing="off" w:after="160" w:afterAutospacing="off" w:line="259" w:lineRule="auto"/>
        <w:ind w:left="0" w:right="0"/>
        <w:jc w:val="right"/>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15 July 19</w:t>
      </w:r>
    </w:p>
    <w:p w:rsidR="2FEDF7BF" w:rsidP="279B3FB0" w:rsidRDefault="2FEDF7BF" w14:paraId="72C60C48" w14:textId="1C7D678C">
      <w:pPr>
        <w:pStyle w:val="Normal"/>
        <w:bidi w:val="0"/>
        <w:spacing w:before="0" w:beforeAutospacing="off" w:after="160" w:afterAutospacing="off" w:line="259" w:lineRule="auto"/>
        <w:ind w:left="0" w:right="0"/>
        <w:jc w:val="center"/>
        <w:rPr>
          <w:rFonts w:ascii="Arial" w:hAnsi="Arial" w:eastAsia="Arial" w:cs="Arial"/>
          <w:noProof w:val="0"/>
          <w:sz w:val="22"/>
          <w:szCs w:val="22"/>
          <w:lang w:val="en-GB"/>
        </w:rPr>
      </w:pPr>
    </w:p>
    <w:p w:rsidR="2FEDF7BF" w:rsidP="279B3FB0" w:rsidRDefault="2FEDF7BF" w14:paraId="0840D27E" w14:textId="50FFA7CE">
      <w:pPr>
        <w:pStyle w:val="Normal"/>
        <w:bidi w:val="0"/>
        <w:spacing w:before="0" w:beforeAutospacing="off" w:after="160" w:afterAutospacing="off" w:line="259" w:lineRule="auto"/>
        <w:ind w:left="0" w:right="0"/>
        <w:jc w:val="center"/>
        <w:rPr>
          <w:rFonts w:ascii="Arial" w:hAnsi="Arial" w:eastAsia="Arial" w:cs="Arial"/>
          <w:noProof w:val="0"/>
          <w:sz w:val="40"/>
          <w:szCs w:val="40"/>
          <w:lang w:val="en-GB"/>
        </w:rPr>
      </w:pPr>
      <w:r w:rsidRPr="279B3FB0" w:rsidR="279B3FB0">
        <w:rPr>
          <w:rFonts w:ascii="Arial" w:hAnsi="Arial" w:eastAsia="Arial" w:cs="Arial"/>
          <w:noProof w:val="0"/>
          <w:sz w:val="40"/>
          <w:szCs w:val="40"/>
          <w:lang w:val="en-GB"/>
        </w:rPr>
        <w:t xml:space="preserve">Using the DMAIC Problem Solving Methodology </w:t>
      </w:r>
    </w:p>
    <w:p w:rsidR="2FEDF7BF" w:rsidP="279B3FB0" w:rsidRDefault="2FEDF7BF" w14:paraId="4223A235" w14:textId="7678FFD4">
      <w:pPr>
        <w:pStyle w:val="Normal"/>
        <w:rPr>
          <w:rFonts w:ascii="Arial" w:hAnsi="Arial" w:eastAsia="Arial" w:cs="Arial"/>
          <w:noProof w:val="0"/>
          <w:sz w:val="22"/>
          <w:szCs w:val="22"/>
          <w:lang w:val="en-GB"/>
        </w:rPr>
      </w:pPr>
    </w:p>
    <w:p w:rsidR="279B3FB0" w:rsidP="279B3FB0" w:rsidRDefault="279B3FB0" w14:paraId="5B2CACF1" w14:textId="403234F2">
      <w:pPr>
        <w:pStyle w:val="Normal"/>
        <w:rPr>
          <w:rFonts w:ascii="Arial" w:hAnsi="Arial" w:eastAsia="Arial" w:cs="Arial"/>
          <w:noProof w:val="0"/>
          <w:sz w:val="22"/>
          <w:szCs w:val="22"/>
          <w:lang w:val="en-GB"/>
        </w:rPr>
      </w:pPr>
    </w:p>
    <w:p w:rsidR="279B3FB0" w:rsidP="279B3FB0" w:rsidRDefault="279B3FB0" w14:paraId="44E69783" w14:textId="397AF56D">
      <w:pPr>
        <w:pStyle w:val="Normal"/>
        <w:rPr>
          <w:rFonts w:ascii="Arial" w:hAnsi="Arial" w:eastAsia="Arial" w:cs="Arial"/>
          <w:noProof w:val="0"/>
          <w:sz w:val="22"/>
          <w:szCs w:val="22"/>
          <w:lang w:val="en-GB"/>
        </w:rPr>
      </w:pPr>
    </w:p>
    <w:p w:rsidR="279B3FB0" w:rsidP="279B3FB0" w:rsidRDefault="279B3FB0" w14:paraId="1F72D0F3" w14:textId="5CEA3FAB">
      <w:pPr>
        <w:pStyle w:val="Normal"/>
        <w:rPr>
          <w:rFonts w:ascii="Arial" w:hAnsi="Arial" w:eastAsia="Arial" w:cs="Arial"/>
          <w:noProof w:val="0"/>
          <w:sz w:val="22"/>
          <w:szCs w:val="22"/>
          <w:lang w:val="en-GB"/>
        </w:rPr>
      </w:pPr>
    </w:p>
    <w:p w:rsidR="279B3FB0" w:rsidP="279B3FB0" w:rsidRDefault="279B3FB0" w14:paraId="44A06916" w14:textId="237D5936">
      <w:pPr>
        <w:pStyle w:val="Normal"/>
        <w:rPr>
          <w:rFonts w:ascii="Arial" w:hAnsi="Arial" w:eastAsia="Arial" w:cs="Arial"/>
          <w:noProof w:val="0"/>
          <w:sz w:val="22"/>
          <w:szCs w:val="22"/>
          <w:lang w:val="en-GB"/>
        </w:rPr>
      </w:pPr>
    </w:p>
    <w:p w:rsidR="279B3FB0" w:rsidP="279B3FB0" w:rsidRDefault="279B3FB0" w14:paraId="1A09453C" w14:textId="2ED156CC">
      <w:pPr>
        <w:pStyle w:val="Normal"/>
        <w:rPr>
          <w:rFonts w:ascii="Arial" w:hAnsi="Arial" w:eastAsia="Arial" w:cs="Arial"/>
          <w:noProof w:val="0"/>
          <w:sz w:val="22"/>
          <w:szCs w:val="22"/>
          <w:lang w:val="en-GB"/>
        </w:rPr>
      </w:pPr>
    </w:p>
    <w:p w:rsidR="279B3FB0" w:rsidP="279B3FB0" w:rsidRDefault="279B3FB0" w14:paraId="41AAB931" w14:textId="0724CE13">
      <w:pPr>
        <w:pStyle w:val="Normal"/>
        <w:rPr>
          <w:rFonts w:ascii="Arial" w:hAnsi="Arial" w:eastAsia="Arial" w:cs="Arial"/>
          <w:noProof w:val="0"/>
          <w:sz w:val="22"/>
          <w:szCs w:val="22"/>
          <w:lang w:val="en-GB"/>
        </w:rPr>
      </w:pPr>
    </w:p>
    <w:p w:rsidR="279B3FB0" w:rsidP="279B3FB0" w:rsidRDefault="279B3FB0" w14:paraId="4387E42D" w14:textId="3CC0E82F">
      <w:pPr>
        <w:pStyle w:val="Normal"/>
        <w:rPr>
          <w:rFonts w:ascii="Arial" w:hAnsi="Arial" w:eastAsia="Arial" w:cs="Arial"/>
          <w:noProof w:val="0"/>
          <w:sz w:val="22"/>
          <w:szCs w:val="22"/>
          <w:lang w:val="en-GB"/>
        </w:rPr>
      </w:pPr>
    </w:p>
    <w:p w:rsidR="279B3FB0" w:rsidP="279B3FB0" w:rsidRDefault="279B3FB0" w14:paraId="68D2BEAA" w14:textId="107608FE">
      <w:pPr>
        <w:pStyle w:val="Normal"/>
        <w:rPr>
          <w:rFonts w:ascii="Arial" w:hAnsi="Arial" w:eastAsia="Arial" w:cs="Arial"/>
          <w:noProof w:val="0"/>
          <w:sz w:val="22"/>
          <w:szCs w:val="22"/>
          <w:lang w:val="en-GB"/>
        </w:rPr>
      </w:pPr>
    </w:p>
    <w:p w:rsidR="279B3FB0" w:rsidP="279B3FB0" w:rsidRDefault="279B3FB0" w14:paraId="6A1A73A8" w14:textId="74471345">
      <w:pPr>
        <w:pStyle w:val="Normal"/>
        <w:rPr>
          <w:rFonts w:ascii="Arial" w:hAnsi="Arial" w:eastAsia="Arial" w:cs="Arial"/>
          <w:noProof w:val="0"/>
          <w:sz w:val="22"/>
          <w:szCs w:val="22"/>
          <w:lang w:val="en-GB"/>
        </w:rPr>
      </w:pPr>
    </w:p>
    <w:p w:rsidR="279B3FB0" w:rsidP="279B3FB0" w:rsidRDefault="279B3FB0" w14:paraId="484188A3" w14:textId="0E124F9F">
      <w:pPr>
        <w:pStyle w:val="Normal"/>
        <w:rPr>
          <w:rFonts w:ascii="Arial" w:hAnsi="Arial" w:eastAsia="Arial" w:cs="Arial"/>
          <w:noProof w:val="0"/>
          <w:sz w:val="22"/>
          <w:szCs w:val="22"/>
          <w:lang w:val="en-GB"/>
        </w:rPr>
      </w:pPr>
    </w:p>
    <w:p w:rsidR="279B3FB0" w:rsidP="279B3FB0" w:rsidRDefault="279B3FB0" w14:paraId="784E9E1B" w14:textId="37E4EEC9">
      <w:pPr>
        <w:pStyle w:val="Normal"/>
        <w:rPr>
          <w:rFonts w:ascii="Arial" w:hAnsi="Arial" w:eastAsia="Arial" w:cs="Arial"/>
          <w:noProof w:val="0"/>
          <w:sz w:val="22"/>
          <w:szCs w:val="22"/>
          <w:lang w:val="en-GB"/>
        </w:rPr>
      </w:pPr>
    </w:p>
    <w:p w:rsidR="279B3FB0" w:rsidP="279B3FB0" w:rsidRDefault="279B3FB0" w14:paraId="1C9C09A1" w14:textId="7A2F18CA">
      <w:pPr>
        <w:pStyle w:val="Normal"/>
        <w:rPr>
          <w:rFonts w:ascii="Arial" w:hAnsi="Arial" w:eastAsia="Arial" w:cs="Arial"/>
          <w:noProof w:val="0"/>
          <w:sz w:val="22"/>
          <w:szCs w:val="22"/>
          <w:lang w:val="en-GB"/>
        </w:rPr>
      </w:pPr>
    </w:p>
    <w:p w:rsidR="279B3FB0" w:rsidP="279B3FB0" w:rsidRDefault="279B3FB0" w14:paraId="3A73F12F" w14:textId="0BCB9DAA">
      <w:pPr>
        <w:pStyle w:val="Normal"/>
        <w:rPr>
          <w:rFonts w:ascii="Arial" w:hAnsi="Arial" w:eastAsia="Arial" w:cs="Arial"/>
          <w:noProof w:val="0"/>
          <w:sz w:val="22"/>
          <w:szCs w:val="22"/>
          <w:lang w:val="en-GB"/>
        </w:rPr>
      </w:pPr>
    </w:p>
    <w:p w:rsidR="279B3FB0" w:rsidP="279B3FB0" w:rsidRDefault="279B3FB0" w14:paraId="54580223" w14:textId="054DCD93">
      <w:pPr>
        <w:pStyle w:val="Normal"/>
        <w:rPr>
          <w:rFonts w:ascii="Arial" w:hAnsi="Arial" w:eastAsia="Arial" w:cs="Arial"/>
          <w:noProof w:val="0"/>
          <w:sz w:val="22"/>
          <w:szCs w:val="22"/>
          <w:lang w:val="en-GB"/>
        </w:rPr>
      </w:pPr>
    </w:p>
    <w:p w:rsidR="279B3FB0" w:rsidP="279B3FB0" w:rsidRDefault="279B3FB0" w14:paraId="52742ED0" w14:textId="2B0D33E0">
      <w:pPr>
        <w:pStyle w:val="Normal"/>
        <w:rPr>
          <w:rFonts w:ascii="Arial" w:hAnsi="Arial" w:eastAsia="Arial" w:cs="Arial"/>
          <w:noProof w:val="0"/>
          <w:sz w:val="22"/>
          <w:szCs w:val="22"/>
          <w:lang w:val="en-GB"/>
        </w:rPr>
      </w:pPr>
    </w:p>
    <w:p w:rsidR="279B3FB0" w:rsidP="279B3FB0" w:rsidRDefault="279B3FB0" w14:paraId="6B26DDB2" w14:textId="2DA4E36E">
      <w:pPr>
        <w:pStyle w:val="Normal"/>
        <w:rPr>
          <w:rFonts w:ascii="Arial" w:hAnsi="Arial" w:eastAsia="Arial" w:cs="Arial"/>
          <w:noProof w:val="0"/>
          <w:sz w:val="22"/>
          <w:szCs w:val="22"/>
          <w:lang w:val="en-GB"/>
        </w:rPr>
      </w:pPr>
    </w:p>
    <w:p w:rsidR="279B3FB0" w:rsidP="279B3FB0" w:rsidRDefault="279B3FB0" w14:paraId="748514D1" w14:textId="428E45C6">
      <w:pPr>
        <w:pStyle w:val="Normal"/>
        <w:rPr>
          <w:rFonts w:ascii="Arial" w:hAnsi="Arial" w:eastAsia="Arial" w:cs="Arial"/>
          <w:noProof w:val="0"/>
          <w:sz w:val="22"/>
          <w:szCs w:val="22"/>
          <w:lang w:val="en-GB"/>
        </w:rPr>
      </w:pPr>
    </w:p>
    <w:p w:rsidR="279B3FB0" w:rsidP="279B3FB0" w:rsidRDefault="279B3FB0" w14:paraId="2E62712B" w14:textId="7C51A6EF">
      <w:pPr>
        <w:pStyle w:val="Normal"/>
        <w:rPr>
          <w:rFonts w:ascii="Arial" w:hAnsi="Arial" w:eastAsia="Arial" w:cs="Arial"/>
          <w:noProof w:val="0"/>
          <w:sz w:val="22"/>
          <w:szCs w:val="22"/>
          <w:lang w:val="en-GB"/>
        </w:rPr>
      </w:pPr>
    </w:p>
    <w:p w:rsidR="279B3FB0" w:rsidP="279B3FB0" w:rsidRDefault="279B3FB0" w14:paraId="256D3B6D" w14:textId="095D3C00">
      <w:pPr>
        <w:pStyle w:val="Normal"/>
        <w:rPr>
          <w:rFonts w:ascii="Arial" w:hAnsi="Arial" w:eastAsia="Arial" w:cs="Arial"/>
          <w:noProof w:val="0"/>
          <w:sz w:val="22"/>
          <w:szCs w:val="22"/>
          <w:lang w:val="en-GB"/>
        </w:rPr>
      </w:pPr>
    </w:p>
    <w:p w:rsidR="279B3FB0" w:rsidP="279B3FB0" w:rsidRDefault="279B3FB0" w14:paraId="0FC04408" w14:textId="2BAD8D40">
      <w:pPr>
        <w:pStyle w:val="Normal"/>
        <w:rPr>
          <w:rFonts w:ascii="Arial" w:hAnsi="Arial" w:eastAsia="Arial" w:cs="Arial"/>
          <w:noProof w:val="0"/>
          <w:sz w:val="22"/>
          <w:szCs w:val="22"/>
          <w:lang w:val="en-GB"/>
        </w:rPr>
      </w:pPr>
    </w:p>
    <w:p w:rsidR="279B3FB0" w:rsidP="279B3FB0" w:rsidRDefault="279B3FB0" w14:paraId="3825C435" w14:textId="073EE190">
      <w:pPr>
        <w:pStyle w:val="Normal"/>
        <w:rPr>
          <w:rFonts w:ascii="Arial" w:hAnsi="Arial" w:eastAsia="Arial" w:cs="Arial"/>
          <w:noProof w:val="0"/>
          <w:sz w:val="22"/>
          <w:szCs w:val="22"/>
          <w:lang w:val="en-GB"/>
        </w:rPr>
      </w:pPr>
    </w:p>
    <w:p w:rsidR="279B3FB0" w:rsidP="279B3FB0" w:rsidRDefault="279B3FB0" w14:paraId="44C7DDE5" w14:textId="7D806BBC">
      <w:pPr>
        <w:pStyle w:val="Normal"/>
        <w:rPr>
          <w:rFonts w:ascii="Arial" w:hAnsi="Arial" w:eastAsia="Arial" w:cs="Arial"/>
          <w:noProof w:val="0"/>
          <w:sz w:val="22"/>
          <w:szCs w:val="22"/>
          <w:lang w:val="en-GB"/>
        </w:rPr>
      </w:pPr>
    </w:p>
    <w:p w:rsidR="2FEDF7BF" w:rsidP="279B3FB0" w:rsidRDefault="2FEDF7BF" w14:paraId="5F0427D5" w14:textId="50914D66">
      <w:pPr>
        <w:pStyle w:val="Heading1"/>
        <w:rPr>
          <w:rFonts w:ascii="Arial" w:hAnsi="Arial" w:eastAsia="Arial" w:cs="Arial"/>
          <w:noProof w:val="0"/>
          <w:lang w:val="en-GB"/>
        </w:rPr>
      </w:pPr>
      <w:r w:rsidRPr="279B3FB0" w:rsidR="279B3FB0">
        <w:rPr>
          <w:rFonts w:ascii="Arial" w:hAnsi="Arial" w:eastAsia="Arial" w:cs="Arial"/>
          <w:noProof w:val="0"/>
          <w:lang w:val="en-GB"/>
        </w:rPr>
        <w:t>Contents:</w:t>
      </w:r>
    </w:p>
    <w:p w:rsidR="2FEDF7BF" w:rsidP="279B3FB0" w:rsidRDefault="2FEDF7BF" w14:paraId="4652559C" w14:textId="3C9C8C5C">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Introduction </w:t>
      </w:r>
    </w:p>
    <w:p w:rsidR="2FEDF7BF" w:rsidP="279B3FB0" w:rsidRDefault="2FEDF7BF" w14:paraId="3117C40F" w14:textId="72568D97">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Define Stage </w:t>
      </w:r>
    </w:p>
    <w:p w:rsidR="2FEDF7BF" w:rsidP="279B3FB0" w:rsidRDefault="2FEDF7BF" w14:paraId="5BFC2D4B" w14:textId="223038CF">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Measure Stage </w:t>
      </w:r>
    </w:p>
    <w:p w:rsidR="2FEDF7BF" w:rsidP="279B3FB0" w:rsidRDefault="2FEDF7BF" w14:paraId="0D8E0203" w14:textId="1601E449">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Analyse Stage </w:t>
      </w:r>
    </w:p>
    <w:p w:rsidR="2FEDF7BF" w:rsidP="279B3FB0" w:rsidRDefault="2FEDF7BF" w14:paraId="3B7815F6" w14:textId="17FF3B61">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Improve Stage </w:t>
      </w:r>
    </w:p>
    <w:p w:rsidR="2FEDF7BF" w:rsidP="279B3FB0" w:rsidRDefault="2FEDF7BF" w14:paraId="41CEDC18" w14:textId="27A7EA6C">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Conclusion</w:t>
      </w:r>
      <w:r w:rsidRPr="279B3FB0" w:rsidR="279B3FB0">
        <w:rPr>
          <w:rFonts w:ascii="Arial" w:hAnsi="Arial" w:eastAsia="Arial" w:cs="Arial"/>
          <w:noProof w:val="0"/>
          <w:sz w:val="22"/>
          <w:szCs w:val="22"/>
          <w:lang w:val="en-GB"/>
        </w:rPr>
        <w:t xml:space="preserve"> </w:t>
      </w:r>
    </w:p>
    <w:p w:rsidR="2FEDF7BF" w:rsidP="279B3FB0" w:rsidRDefault="2FEDF7BF" w14:paraId="4CD49234" w14:textId="19C84D4B">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References </w:t>
      </w:r>
    </w:p>
    <w:p w:rsidR="2FEDF7BF" w:rsidP="279B3FB0" w:rsidRDefault="2FEDF7BF" w14:paraId="1BE2CB2C" w14:textId="0D9843E5">
      <w:pPr>
        <w:pStyle w:val="Normal"/>
        <w:rPr>
          <w:rFonts w:ascii="Arial" w:hAnsi="Arial" w:eastAsia="Arial" w:cs="Arial"/>
          <w:noProof w:val="0"/>
          <w:sz w:val="22"/>
          <w:szCs w:val="22"/>
          <w:lang w:val="en-GB"/>
        </w:rPr>
      </w:pPr>
    </w:p>
    <w:p w:rsidR="2FEDF7BF" w:rsidP="279B3FB0" w:rsidRDefault="2FEDF7BF" w14:paraId="7528484B" w14:textId="68E7773B">
      <w:pPr>
        <w:pStyle w:val="Normal"/>
        <w:rPr>
          <w:rFonts w:ascii="Arial" w:hAnsi="Arial" w:eastAsia="Arial" w:cs="Arial"/>
          <w:noProof w:val="0"/>
          <w:sz w:val="22"/>
          <w:szCs w:val="22"/>
          <w:lang w:val="en-GB"/>
        </w:rPr>
      </w:pPr>
    </w:p>
    <w:p w:rsidR="2FEDF7BF" w:rsidP="279B3FB0" w:rsidRDefault="2FEDF7BF" w14:paraId="764FCD70" w14:textId="1B4CE94F">
      <w:pPr>
        <w:pStyle w:val="Heading1"/>
        <w:rPr>
          <w:rFonts w:ascii="Arial" w:hAnsi="Arial" w:eastAsia="Arial" w:cs="Arial"/>
          <w:noProof w:val="0"/>
          <w:lang w:val="en-GB"/>
        </w:rPr>
      </w:pPr>
      <w:r w:rsidRPr="279B3FB0" w:rsidR="279B3FB0">
        <w:rPr>
          <w:rFonts w:ascii="Arial" w:hAnsi="Arial" w:eastAsia="Arial" w:cs="Arial"/>
          <w:noProof w:val="0"/>
          <w:lang w:val="en-GB"/>
        </w:rPr>
        <w:t xml:space="preserve">Introduction </w:t>
      </w:r>
    </w:p>
    <w:p w:rsidR="2FEDF7BF" w:rsidP="279B3FB0" w:rsidRDefault="2FEDF7BF" w14:paraId="0AB2D18A" w14:textId="172DD719">
      <w:pPr>
        <w:pStyle w:val="Normal"/>
        <w:rPr>
          <w:rFonts w:ascii="Arial" w:hAnsi="Arial" w:eastAsia="Arial" w:cs="Arial"/>
          <w:noProof w:val="0"/>
          <w:lang w:val="en-GB"/>
        </w:rPr>
      </w:pPr>
    </w:p>
    <w:p w:rsidR="279B3FB0" w:rsidP="279B3FB0" w:rsidRDefault="279B3FB0" w14:paraId="6B45CDAD" w14:textId="0395CEFA">
      <w:pPr>
        <w:pStyle w:val="Normal"/>
      </w:pPr>
      <w:r w:rsidRPr="4E774B5E" w:rsidR="4E774B5E">
        <w:rPr>
          <w:rFonts w:ascii="Arial" w:hAnsi="Arial" w:eastAsia="Arial" w:cs="Arial"/>
          <w:noProof w:val="0"/>
          <w:sz w:val="22"/>
          <w:szCs w:val="22"/>
          <w:lang w:val="en-GB"/>
        </w:rPr>
        <w:t xml:space="preserve">Six Sigma is a system for procedure improvement that has been broadly utilised in different assembling and services ventures since 1987, helping organisations make colossal reserve funds whistle down expenses (Larson, 2003). Despite the fact that it is a device that is chiefly utilised in assembling businesses, its uses are accessible to the services enterprises, then again, it very well may be progressively to accomplish quality upgrades in the services business. This is on the grounds that </w:t>
      </w:r>
      <w:r w:rsidRPr="4E774B5E" w:rsidR="4E774B5E">
        <w:rPr>
          <w:rFonts w:ascii="Arial" w:hAnsi="Arial" w:eastAsia="Arial" w:cs="Arial"/>
          <w:noProof w:val="0"/>
          <w:sz w:val="22"/>
          <w:szCs w:val="22"/>
          <w:lang w:val="en-GB"/>
        </w:rPr>
        <w:t>services are elusive, short-lived, frequently heterogeneous and are commonly made and eaten simultaneously (Sasser et al., 1978).</w:t>
      </w:r>
    </w:p>
    <w:p w:rsidR="279B3FB0" w:rsidP="279B3FB0" w:rsidRDefault="279B3FB0" w14:paraId="56BA524D" w14:textId="7046FA74">
      <w:pPr>
        <w:pStyle w:val="Normal"/>
      </w:pPr>
      <w:r w:rsidRPr="4E774B5E" w:rsidR="4E774B5E">
        <w:rPr>
          <w:rFonts w:ascii="Arial" w:hAnsi="Arial" w:eastAsia="Arial" w:cs="Arial"/>
          <w:noProof w:val="0"/>
          <w:sz w:val="22"/>
          <w:szCs w:val="22"/>
          <w:lang w:val="en-GB"/>
        </w:rPr>
        <w:t xml:space="preserve">Six Sigma's essential goal is to diminish damaged items and </w:t>
      </w:r>
      <w:r w:rsidRPr="4E774B5E" w:rsidR="4E774B5E">
        <w:rPr>
          <w:rFonts w:ascii="Arial" w:hAnsi="Arial" w:eastAsia="Arial" w:cs="Arial"/>
          <w:noProof w:val="0"/>
          <w:sz w:val="22"/>
          <w:szCs w:val="22"/>
          <w:lang w:val="en-GB"/>
        </w:rPr>
        <w:t>services and, in this way, increment their worth, dependability and viability while lessening costs. The sigma (π), the ordinary factual deviation, demonstrates the changeability rate. The presentation standard of Six Sigma is incredibly steady and expected to fulfil the desires required (customers' expectations), as evident in Figure 1: the nature of services or item is in all respects seldom outside the adequate levels.</w:t>
      </w:r>
    </w:p>
    <w:p w:rsidR="57A91123" w:rsidP="279B3FB0" w:rsidRDefault="57A91123" w14:paraId="32448018" w14:textId="68F59794">
      <w:pPr>
        <w:pStyle w:val="Normal"/>
        <w:rPr>
          <w:rFonts w:ascii="Arial" w:hAnsi="Arial" w:eastAsia="Arial" w:cs="Arial"/>
          <w:noProof w:val="0"/>
          <w:sz w:val="22"/>
          <w:szCs w:val="22"/>
          <w:lang w:val="en-GB"/>
        </w:rPr>
      </w:pPr>
      <w:r>
        <w:drawing>
          <wp:inline wp14:editId="3522D7F3" wp14:anchorId="167BA0F0">
            <wp:extent cx="5724524" cy="4133850"/>
            <wp:effectExtent l="0" t="0" r="0" b="0"/>
            <wp:docPr id="160462047" name="" title=""/>
            <wp:cNvGraphicFramePr>
              <a:graphicFrameLocks noChangeAspect="1"/>
            </wp:cNvGraphicFramePr>
            <a:graphic>
              <a:graphicData uri="http://schemas.openxmlformats.org/drawingml/2006/picture">
                <pic:pic>
                  <pic:nvPicPr>
                    <pic:cNvPr id="0" name=""/>
                    <pic:cNvPicPr/>
                  </pic:nvPicPr>
                  <pic:blipFill>
                    <a:blip r:embed="R6c0f32ba4ba041af">
                      <a:extLst>
                        <a:ext xmlns:a="http://schemas.openxmlformats.org/drawingml/2006/main" uri="{28A0092B-C50C-407E-A947-70E740481C1C}">
                          <a14:useLocalDpi val="0"/>
                        </a:ext>
                      </a:extLst>
                    </a:blip>
                    <a:stretch>
                      <a:fillRect/>
                    </a:stretch>
                  </pic:blipFill>
                  <pic:spPr>
                    <a:xfrm>
                      <a:off x="0" y="0"/>
                      <a:ext cx="5724524" cy="4133850"/>
                    </a:xfrm>
                    <a:prstGeom prst="rect">
                      <a:avLst/>
                    </a:prstGeom>
                  </pic:spPr>
                </pic:pic>
              </a:graphicData>
            </a:graphic>
          </wp:inline>
        </w:drawing>
      </w:r>
      <w:r w:rsidRPr="57A91123" w:rsidR="57A91123">
        <w:rPr>
          <w:rFonts w:ascii="Arial" w:hAnsi="Arial" w:eastAsia="Arial" w:cs="Arial"/>
          <w:noProof w:val="0"/>
          <w:sz w:val="22"/>
          <w:szCs w:val="22"/>
          <w:lang w:val="en-GB"/>
        </w:rPr>
        <w:t xml:space="preserve">Figure </w:t>
      </w:r>
      <w:r w:rsidRPr="57A91123" w:rsidR="57A91123">
        <w:rPr>
          <w:rFonts w:ascii="Arial" w:hAnsi="Arial" w:eastAsia="Arial" w:cs="Arial"/>
          <w:noProof w:val="0"/>
          <w:sz w:val="22"/>
          <w:szCs w:val="22"/>
          <w:lang w:val="en-GB"/>
        </w:rPr>
        <w:t>1</w:t>
      </w:r>
      <w:r w:rsidRPr="57A91123" w:rsidR="57A91123">
        <w:rPr>
          <w:rFonts w:ascii="Arial" w:hAnsi="Arial" w:eastAsia="Arial" w:cs="Arial"/>
          <w:noProof w:val="0"/>
          <w:sz w:val="22"/>
          <w:szCs w:val="22"/>
          <w:lang w:val="en-GB"/>
        </w:rPr>
        <w:t xml:space="preserve"> - Six Sigma level of performance (</w:t>
      </w:r>
      <w:r w:rsidRPr="57A91123" w:rsidR="57A91123">
        <w:rPr>
          <w:rFonts w:ascii="Arial" w:hAnsi="Arial" w:eastAsia="Arial" w:cs="Arial"/>
          <w:noProof w:val="0"/>
          <w:sz w:val="22"/>
          <w:szCs w:val="22"/>
          <w:lang w:val="en-GB"/>
        </w:rPr>
        <w:t xml:space="preserve">T. </w:t>
      </w:r>
      <w:proofErr w:type="spellStart"/>
      <w:r w:rsidRPr="57A91123" w:rsidR="57A91123">
        <w:rPr>
          <w:rFonts w:ascii="Arial" w:hAnsi="Arial" w:eastAsia="Arial" w:cs="Arial"/>
          <w:noProof w:val="0"/>
          <w:sz w:val="22"/>
          <w:szCs w:val="22"/>
          <w:lang w:val="en-GB"/>
        </w:rPr>
        <w:t>Pyzdek</w:t>
      </w:r>
      <w:proofErr w:type="spellEnd"/>
      <w:r w:rsidRPr="57A91123" w:rsidR="57A91123">
        <w:rPr>
          <w:rFonts w:ascii="Arial" w:hAnsi="Arial" w:eastAsia="Arial" w:cs="Arial"/>
          <w:noProof w:val="0"/>
          <w:sz w:val="22"/>
          <w:szCs w:val="22"/>
          <w:lang w:val="en-GB"/>
        </w:rPr>
        <w:t>, P. Keller, 2003)</w:t>
      </w:r>
    </w:p>
    <w:p w:rsidR="57A91123" w:rsidP="279B3FB0" w:rsidRDefault="57A91123" w14:paraId="42ED6FB8" w14:textId="0DEECBB5">
      <w:pPr>
        <w:pStyle w:val="Normal"/>
        <w:rPr>
          <w:rFonts w:ascii="Arial" w:hAnsi="Arial" w:eastAsia="Arial" w:cs="Arial"/>
          <w:noProof w:val="0"/>
          <w:sz w:val="22"/>
          <w:szCs w:val="22"/>
          <w:lang w:val="en-GB"/>
        </w:rPr>
      </w:pPr>
    </w:p>
    <w:p w:rsidR="57A91123" w:rsidP="279B3FB0" w:rsidRDefault="57A91123" w14:paraId="4CEB4195" w14:textId="0FC92353">
      <w:pPr>
        <w:pStyle w:val="Normal"/>
        <w:rPr>
          <w:rFonts w:ascii="Arial" w:hAnsi="Arial" w:eastAsia="Arial" w:cs="Arial"/>
          <w:noProof w:val="0"/>
          <w:sz w:val="22"/>
          <w:szCs w:val="22"/>
          <w:lang w:val="en-GB"/>
        </w:rPr>
      </w:pPr>
      <w:r>
        <w:drawing>
          <wp:inline wp14:editId="2E8501B7" wp14:anchorId="39634C37">
            <wp:extent cx="5715000" cy="3895725"/>
            <wp:effectExtent l="0" t="0" r="0" b="0"/>
            <wp:docPr id="2053083575" name="" title=""/>
            <wp:cNvGraphicFramePr>
              <a:graphicFrameLocks noChangeAspect="1"/>
            </wp:cNvGraphicFramePr>
            <a:graphic>
              <a:graphicData uri="http://schemas.openxmlformats.org/drawingml/2006/picture">
                <pic:pic>
                  <pic:nvPicPr>
                    <pic:cNvPr id="0" name=""/>
                    <pic:cNvPicPr/>
                  </pic:nvPicPr>
                  <pic:blipFill>
                    <a:blip r:embed="Rcff0180735f148b2">
                      <a:extLst>
                        <a:ext xmlns:a="http://schemas.openxmlformats.org/drawingml/2006/main" uri="{28A0092B-C50C-407E-A947-70E740481C1C}">
                          <a14:useLocalDpi val="0"/>
                        </a:ext>
                      </a:extLst>
                    </a:blip>
                    <a:stretch>
                      <a:fillRect/>
                    </a:stretch>
                  </pic:blipFill>
                  <pic:spPr>
                    <a:xfrm>
                      <a:off x="0" y="0"/>
                      <a:ext cx="5715000" cy="3895725"/>
                    </a:xfrm>
                    <a:prstGeom prst="rect">
                      <a:avLst/>
                    </a:prstGeom>
                  </pic:spPr>
                </pic:pic>
              </a:graphicData>
            </a:graphic>
          </wp:inline>
        </w:drawing>
      </w:r>
      <w:r w:rsidRPr="57A91123" w:rsidR="57A91123">
        <w:rPr>
          <w:rFonts w:ascii="Arial" w:hAnsi="Arial" w:eastAsia="Arial" w:cs="Arial"/>
          <w:noProof w:val="0"/>
          <w:sz w:val="22"/>
          <w:szCs w:val="22"/>
          <w:lang w:val="en-GB"/>
        </w:rPr>
        <w:t xml:space="preserve">Figure </w:t>
      </w:r>
      <w:r w:rsidRPr="57A91123" w:rsidR="57A91123">
        <w:rPr>
          <w:rFonts w:ascii="Arial" w:hAnsi="Arial" w:eastAsia="Arial" w:cs="Arial"/>
          <w:noProof w:val="0"/>
          <w:sz w:val="22"/>
          <w:szCs w:val="22"/>
          <w:lang w:val="en-GB"/>
        </w:rPr>
        <w:t>2</w:t>
      </w:r>
      <w:r w:rsidRPr="57A91123" w:rsidR="57A91123">
        <w:rPr>
          <w:rFonts w:ascii="Arial" w:hAnsi="Arial" w:eastAsia="Arial" w:cs="Arial"/>
          <w:noProof w:val="0"/>
          <w:sz w:val="22"/>
          <w:szCs w:val="22"/>
          <w:lang w:val="en-GB"/>
        </w:rPr>
        <w:t xml:space="preserve"> - Six Sigma level of performance </w:t>
      </w:r>
      <w:r w:rsidRPr="57A91123" w:rsidR="57A91123">
        <w:rPr>
          <w:rFonts w:ascii="Arial" w:hAnsi="Arial" w:eastAsia="Arial" w:cs="Arial"/>
          <w:noProof w:val="0"/>
          <w:sz w:val="22"/>
          <w:szCs w:val="22"/>
          <w:lang w:val="en-GB"/>
        </w:rPr>
        <w:t>(</w:t>
      </w:r>
      <w:r w:rsidRPr="57A91123" w:rsidR="57A91123">
        <w:rPr>
          <w:rFonts w:ascii="Arial" w:hAnsi="Arial" w:eastAsia="Arial" w:cs="Arial"/>
          <w:noProof w:val="0"/>
          <w:sz w:val="22"/>
          <w:szCs w:val="22"/>
          <w:lang w:val="en-GB"/>
        </w:rPr>
        <w:t xml:space="preserve">T. </w:t>
      </w:r>
      <w:proofErr w:type="spellStart"/>
      <w:r w:rsidRPr="57A91123" w:rsidR="57A91123">
        <w:rPr>
          <w:rFonts w:ascii="Arial" w:hAnsi="Arial" w:eastAsia="Arial" w:cs="Arial"/>
          <w:noProof w:val="0"/>
          <w:sz w:val="22"/>
          <w:szCs w:val="22"/>
          <w:lang w:val="en-GB"/>
        </w:rPr>
        <w:t>Pyzdek</w:t>
      </w:r>
      <w:proofErr w:type="spellEnd"/>
      <w:r w:rsidRPr="57A91123" w:rsidR="57A91123">
        <w:rPr>
          <w:rFonts w:ascii="Arial" w:hAnsi="Arial" w:eastAsia="Arial" w:cs="Arial"/>
          <w:noProof w:val="0"/>
          <w:sz w:val="22"/>
          <w:szCs w:val="22"/>
          <w:lang w:val="en-GB"/>
        </w:rPr>
        <w:t>, P. Keller</w:t>
      </w:r>
      <w:r w:rsidRPr="57A91123" w:rsidR="57A91123">
        <w:rPr>
          <w:rFonts w:ascii="Arial" w:hAnsi="Arial" w:eastAsia="Arial" w:cs="Arial"/>
          <w:noProof w:val="0"/>
          <w:sz w:val="22"/>
          <w:szCs w:val="22"/>
          <w:lang w:val="en-GB"/>
        </w:rPr>
        <w:t xml:space="preserve">, </w:t>
      </w:r>
      <w:r w:rsidRPr="57A91123" w:rsidR="57A91123">
        <w:rPr>
          <w:rFonts w:ascii="Arial" w:hAnsi="Arial" w:eastAsia="Arial" w:cs="Arial"/>
          <w:noProof w:val="0"/>
          <w:sz w:val="22"/>
          <w:szCs w:val="22"/>
          <w:lang w:val="en-GB"/>
        </w:rPr>
        <w:t>2003)</w:t>
      </w:r>
    </w:p>
    <w:p w:rsidR="57A91123" w:rsidP="279B3FB0" w:rsidRDefault="57A91123" w14:paraId="20E81644" w14:textId="4ECA6CA8">
      <w:pPr>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 </w:t>
      </w:r>
    </w:p>
    <w:p w:rsidR="279B3FB0" w:rsidP="279B3FB0" w:rsidRDefault="279B3FB0" w14:paraId="411D1D7C" w14:textId="100C6459">
      <w:pPr>
        <w:pStyle w:val="Normal"/>
      </w:pPr>
      <w:r w:rsidRPr="4E774B5E" w:rsidR="4E774B5E">
        <w:rPr>
          <w:rFonts w:ascii="Arial" w:hAnsi="Arial" w:eastAsia="Arial" w:cs="Arial"/>
          <w:noProof w:val="0"/>
          <w:sz w:val="22"/>
          <w:szCs w:val="22"/>
          <w:lang w:val="en-GB"/>
        </w:rPr>
        <w:t xml:space="preserve">As Table 2 demonstrates, Six Sigma's degree of services or assembling is assessed by imperfections per million conceivable outcomes (DPMO). Deformity is portrayed as "any part of an item or services that does not satisfy customer particulars or prerequisites or makes discontent with the customer or does not </w:t>
      </w:r>
      <w:r w:rsidRPr="4E774B5E" w:rsidR="4E774B5E">
        <w:rPr>
          <w:rFonts w:ascii="Arial" w:hAnsi="Arial" w:eastAsia="Arial" w:cs="Arial"/>
          <w:noProof w:val="0"/>
          <w:sz w:val="22"/>
          <w:szCs w:val="22"/>
          <w:lang w:val="en-GB"/>
        </w:rPr>
        <w:t>fulfil</w:t>
      </w:r>
      <w:r w:rsidRPr="4E774B5E" w:rsidR="4E774B5E">
        <w:rPr>
          <w:rFonts w:ascii="Arial" w:hAnsi="Arial" w:eastAsia="Arial" w:cs="Arial"/>
          <w:noProof w:val="0"/>
          <w:sz w:val="22"/>
          <w:szCs w:val="22"/>
          <w:lang w:val="en-GB"/>
        </w:rPr>
        <w:t xml:space="preserve"> practical or physical requests" (</w:t>
      </w:r>
      <w:proofErr w:type="spellStart"/>
      <w:r w:rsidRPr="4E774B5E" w:rsidR="4E774B5E">
        <w:rPr>
          <w:rFonts w:ascii="Arial" w:hAnsi="Arial" w:eastAsia="Arial" w:cs="Arial"/>
          <w:noProof w:val="0"/>
          <w:sz w:val="22"/>
          <w:szCs w:val="22"/>
          <w:lang w:val="en-GB"/>
        </w:rPr>
        <w:t>Charantimath</w:t>
      </w:r>
      <w:proofErr w:type="spellEnd"/>
      <w:r w:rsidRPr="4E774B5E" w:rsidR="4E774B5E">
        <w:rPr>
          <w:rFonts w:ascii="Arial" w:hAnsi="Arial" w:eastAsia="Arial" w:cs="Arial"/>
          <w:noProof w:val="0"/>
          <w:sz w:val="22"/>
          <w:szCs w:val="22"/>
          <w:lang w:val="en-GB"/>
        </w:rPr>
        <w:t>, 2011).</w:t>
      </w:r>
    </w:p>
    <w:p w:rsidR="279B3FB0" w:rsidP="279B3FB0" w:rsidRDefault="279B3FB0" w14:paraId="7C8CE4FD" w14:textId="0A6EB27E">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According to </w:t>
      </w:r>
      <w:proofErr w:type="spellStart"/>
      <w:r w:rsidRPr="279B3FB0" w:rsidR="279B3FB0">
        <w:rPr>
          <w:rFonts w:ascii="Arial" w:hAnsi="Arial" w:eastAsia="Arial" w:cs="Arial"/>
          <w:noProof w:val="0"/>
          <w:sz w:val="22"/>
          <w:szCs w:val="22"/>
          <w:lang w:val="en-GB"/>
        </w:rPr>
        <w:t>Pyzdek</w:t>
      </w:r>
      <w:proofErr w:type="spellEnd"/>
      <w:r w:rsidRPr="279B3FB0" w:rsidR="279B3FB0">
        <w:rPr>
          <w:rFonts w:ascii="Arial" w:hAnsi="Arial" w:eastAsia="Arial" w:cs="Arial"/>
          <w:noProof w:val="0"/>
          <w:sz w:val="22"/>
          <w:szCs w:val="22"/>
          <w:lang w:val="en-GB"/>
        </w:rPr>
        <w:t xml:space="preserve"> and Keller (2011), DMPO is calculated using the following formula: DMPO= (number of sample defects / (number of sample units x possibilities per unit</w:t>
      </w:r>
      <w:r w:rsidRPr="279B3FB0" w:rsidR="279B3FB0">
        <w:rPr>
          <w:rFonts w:ascii="Arial" w:hAnsi="Arial" w:eastAsia="Arial" w:cs="Arial"/>
          <w:noProof w:val="0"/>
          <w:sz w:val="22"/>
          <w:szCs w:val="22"/>
          <w:lang w:val="en-GB"/>
        </w:rPr>
        <w:t>)) x</w:t>
      </w:r>
      <w:r w:rsidRPr="279B3FB0" w:rsidR="279B3FB0">
        <w:rPr>
          <w:rFonts w:ascii="Arial" w:hAnsi="Arial" w:eastAsia="Arial" w:cs="Arial"/>
          <w:noProof w:val="0"/>
          <w:sz w:val="22"/>
          <w:szCs w:val="22"/>
          <w:lang w:val="en-GB"/>
        </w:rPr>
        <w:t xml:space="preserve"> 1,000,000.</w:t>
      </w:r>
    </w:p>
    <w:p w:rsidR="57A91123" w:rsidP="279B3FB0" w:rsidRDefault="57A91123" w14:paraId="0DA751EC" w14:textId="2BA15C44">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Some measures in the rail industry have tried to address and recognise the importance of reliability. For example, the Golden, Silver and Bronze Spanner annual awards in the UK, organised by the Rail Alliance (2019) recognises best practices in rolling stock reliability. The Golden Spanner uses mileage between any technical incident (MTIN) related to rolling stock as its criteria, whilst the Silver Spanner focuses on most improved (MTIN) and final</w:t>
      </w:r>
      <w:r w:rsidRPr="279B3FB0" w:rsidR="279B3FB0">
        <w:rPr>
          <w:rFonts w:ascii="Arial" w:hAnsi="Arial" w:eastAsia="Arial" w:cs="Arial"/>
          <w:noProof w:val="0"/>
          <w:sz w:val="22"/>
          <w:szCs w:val="22"/>
          <w:lang w:val="en-GB"/>
        </w:rPr>
        <w:t>l</w:t>
      </w:r>
      <w:r w:rsidRPr="279B3FB0" w:rsidR="279B3FB0">
        <w:rPr>
          <w:rFonts w:ascii="Arial" w:hAnsi="Arial" w:eastAsia="Arial" w:cs="Arial"/>
          <w:noProof w:val="0"/>
          <w:sz w:val="22"/>
          <w:szCs w:val="22"/>
          <w:lang w:val="en-GB"/>
        </w:rPr>
        <w:t xml:space="preserve">y the Bronze Spanner award identifies </w:t>
      </w:r>
      <w:r w:rsidRPr="279B3FB0" w:rsidR="279B3FB0">
        <w:rPr>
          <w:rFonts w:ascii="Arial" w:hAnsi="Arial" w:eastAsia="Arial" w:cs="Arial"/>
          <w:noProof w:val="0"/>
          <w:sz w:val="22"/>
          <w:szCs w:val="22"/>
          <w:lang w:val="en-GB"/>
        </w:rPr>
        <w:t xml:space="preserve">fastest incident recovery, based on primary Delay minutes Per Incident (DPI). </w:t>
      </w:r>
    </w:p>
    <w:p w:rsidR="57A91123" w:rsidP="279B3FB0" w:rsidRDefault="57A91123" w14:paraId="0D1FEFCE" w14:textId="46D19215">
      <w:pPr>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Six sigma uses a series of techniques to improve the quality of services and reduce defects by using the cycle of defining, measuring, analysing, improving and controlling (DMAIC). </w:t>
      </w:r>
    </w:p>
    <w:p w:rsidR="57A91123" w:rsidP="279B3FB0" w:rsidRDefault="57A91123" w14:paraId="44634405" w14:textId="42EBD3AC">
      <w:pPr>
        <w:rPr>
          <w:rFonts w:ascii="Arial" w:hAnsi="Arial" w:eastAsia="Arial" w:cs="Arial"/>
          <w:noProof w:val="0"/>
          <w:sz w:val="22"/>
          <w:szCs w:val="22"/>
          <w:lang w:val="en-GB"/>
        </w:rPr>
      </w:pPr>
      <w:r w:rsidRPr="279B3FB0" w:rsidR="279B3FB0">
        <w:rPr>
          <w:rFonts w:ascii="Arial" w:hAnsi="Arial" w:eastAsia="Arial" w:cs="Arial"/>
          <w:b w:val="1"/>
          <w:bCs w:val="1"/>
          <w:noProof w:val="0"/>
          <w:sz w:val="22"/>
          <w:szCs w:val="22"/>
          <w:u w:val="single"/>
          <w:lang w:val="en-GB"/>
        </w:rPr>
        <w:t>Sigma Level of Railway Operations</w:t>
      </w:r>
      <w:r w:rsidRPr="279B3FB0" w:rsidR="279B3FB0">
        <w:rPr>
          <w:rFonts w:ascii="Arial" w:hAnsi="Arial" w:eastAsia="Arial" w:cs="Arial"/>
          <w:b w:val="1"/>
          <w:bCs w:val="1"/>
          <w:noProof w:val="0"/>
          <w:sz w:val="22"/>
          <w:szCs w:val="22"/>
          <w:lang w:val="en-GB"/>
        </w:rPr>
        <w:t xml:space="preserve"> </w:t>
      </w:r>
      <w:r w:rsidRPr="279B3FB0" w:rsidR="279B3FB0">
        <w:rPr>
          <w:rFonts w:ascii="Arial" w:hAnsi="Arial" w:eastAsia="Arial" w:cs="Arial"/>
          <w:noProof w:val="0"/>
          <w:sz w:val="22"/>
          <w:szCs w:val="22"/>
          <w:lang w:val="en-GB"/>
        </w:rPr>
        <w:t xml:space="preserve"> </w:t>
      </w:r>
    </w:p>
    <w:p w:rsidR="279B3FB0" w:rsidP="279B3FB0" w:rsidRDefault="279B3FB0" w14:paraId="0F3F0A0E" w14:textId="518FD01B">
      <w:pPr>
        <w:pStyle w:val="Normal"/>
      </w:pPr>
      <w:r w:rsidRPr="279B3FB0" w:rsidR="279B3FB0">
        <w:rPr>
          <w:rFonts w:ascii="Arial" w:hAnsi="Arial" w:eastAsia="Arial" w:cs="Arial"/>
          <w:noProof w:val="0"/>
          <w:sz w:val="22"/>
          <w:szCs w:val="22"/>
          <w:lang w:val="en-GB"/>
        </w:rPr>
        <w:t>This paper evaluates Great Britain railroad's Sigma level of execution by computing DPMO. Delay is the noteworthy blemish in train industry that does not satisfy' customer requests.' The extent of trains arriving late is the railroad's principle service level record. In Great Britain, it is determined by proportion of open execution (PPM is the level of trains that touch base' on schedule' at their end station contrasted with the all-out number of trains arranged. A train is characterized as on schedule in the event that it touches base at the goal inside five minutes (for example 4 minutes 59 seconds or less) of the arranged entry time for London and South East or regional services by 10 minutes. National Public Performance Measure for May 26-June 22, 2019 (third period) was 89.2 percent contrasted with 85.8 percent a year ago for a similar period (Network Rail, 2019). There is one shot for each train for disappointments (for example being late or not) so the DPMO would be: DMPO= (10.8</w:t>
      </w:r>
      <w:proofErr w:type="gramStart"/>
      <w:r w:rsidRPr="279B3FB0" w:rsidR="279B3FB0">
        <w:rPr>
          <w:rFonts w:ascii="Arial" w:hAnsi="Arial" w:eastAsia="Arial" w:cs="Arial"/>
          <w:noProof w:val="0"/>
          <w:sz w:val="22"/>
          <w:szCs w:val="22"/>
          <w:lang w:val="en-GB"/>
        </w:rPr>
        <w:t>/(</w:t>
      </w:r>
      <w:proofErr w:type="gramEnd"/>
      <w:r w:rsidRPr="279B3FB0" w:rsidR="279B3FB0">
        <w:rPr>
          <w:rFonts w:ascii="Arial" w:hAnsi="Arial" w:eastAsia="Arial" w:cs="Arial"/>
          <w:noProof w:val="0"/>
          <w:sz w:val="22"/>
          <w:szCs w:val="22"/>
          <w:lang w:val="en-GB"/>
        </w:rPr>
        <w:t>100x 1))x 1,000,000= 108,000 By utilizing one of the web sigma-DPMO number crunchers, the performance level of Sigma is assessed at 2,74 π (ISIXSIGMA, 2011).</w:t>
      </w:r>
    </w:p>
    <w:p w:rsidR="57A91123" w:rsidP="279B3FB0" w:rsidRDefault="57A91123" w14:paraId="0D8A17E9" w14:textId="78FF5282">
      <w:pPr>
        <w:pStyle w:val="Normal"/>
        <w:rPr>
          <w:rFonts w:ascii="Arial" w:hAnsi="Arial" w:eastAsia="Arial" w:cs="Arial"/>
        </w:rPr>
      </w:pPr>
      <w:r>
        <w:drawing>
          <wp:inline wp14:editId="192FE4A9" wp14:anchorId="6C6348AA">
            <wp:extent cx="4572000" cy="1962150"/>
            <wp:effectExtent l="0" t="0" r="0" b="0"/>
            <wp:docPr id="359077032" name="" title=""/>
            <wp:cNvGraphicFramePr>
              <a:graphicFrameLocks noChangeAspect="1"/>
            </wp:cNvGraphicFramePr>
            <a:graphic>
              <a:graphicData uri="http://schemas.openxmlformats.org/drawingml/2006/picture">
                <pic:pic>
                  <pic:nvPicPr>
                    <pic:cNvPr id="0" name=""/>
                    <pic:cNvPicPr/>
                  </pic:nvPicPr>
                  <pic:blipFill>
                    <a:blip r:embed="Ra4a92750b44a4aa5">
                      <a:extLst>
                        <a:ext xmlns:a="http://schemas.openxmlformats.org/drawingml/2006/main" uri="{28A0092B-C50C-407E-A947-70E740481C1C}">
                          <a14:useLocalDpi val="0"/>
                        </a:ext>
                      </a:extLst>
                    </a:blip>
                    <a:stretch>
                      <a:fillRect/>
                    </a:stretch>
                  </pic:blipFill>
                  <pic:spPr>
                    <a:xfrm>
                      <a:off x="0" y="0"/>
                      <a:ext cx="4572000" cy="1962150"/>
                    </a:xfrm>
                    <a:prstGeom prst="rect">
                      <a:avLst/>
                    </a:prstGeom>
                  </pic:spPr>
                </pic:pic>
              </a:graphicData>
            </a:graphic>
          </wp:inline>
        </w:drawing>
      </w:r>
    </w:p>
    <w:p w:rsidR="57A91123" w:rsidP="279B3FB0" w:rsidRDefault="57A91123" w14:paraId="19315CFA" w14:textId="09A727AE">
      <w:pPr>
        <w:pStyle w:val="Normal"/>
        <w:rPr>
          <w:rFonts w:ascii="Arial" w:hAnsi="Arial" w:eastAsia="Arial" w:cs="Arial"/>
        </w:rPr>
      </w:pPr>
      <w:r w:rsidRPr="279B3FB0" w:rsidR="279B3FB0">
        <w:rPr>
          <w:rFonts w:ascii="Arial" w:hAnsi="Arial" w:eastAsia="Arial" w:cs="Arial"/>
        </w:rPr>
        <w:t xml:space="preserve">Figure 3 - </w:t>
      </w:r>
      <w:r w:rsidRPr="279B3FB0" w:rsidR="279B3FB0">
        <w:rPr>
          <w:rFonts w:ascii="Arial" w:hAnsi="Arial" w:eastAsia="Arial" w:cs="Arial"/>
        </w:rPr>
        <w:t>Six Sigma Demystified (P. Keller, 2011)</w:t>
      </w:r>
    </w:p>
    <w:p w:rsidR="279B3FB0" w:rsidP="4E774B5E" w:rsidRDefault="279B3FB0" w14:paraId="1C61204C" w14:textId="179C1499">
      <w:pPr>
        <w:rPr>
          <w:rFonts w:ascii="Arial" w:hAnsi="Arial" w:eastAsia="Arial" w:cs="Arial"/>
          <w:noProof w:val="0"/>
          <w:sz w:val="22"/>
          <w:szCs w:val="22"/>
          <w:lang w:val="en-GB"/>
        </w:rPr>
      </w:pPr>
      <w:r w:rsidRPr="4E774B5E" w:rsidR="4E774B5E">
        <w:rPr>
          <w:rFonts w:ascii="Arial" w:hAnsi="Arial" w:eastAsia="Arial" w:cs="Arial"/>
          <w:noProof w:val="0"/>
          <w:sz w:val="22"/>
          <w:szCs w:val="22"/>
          <w:lang w:val="en-GB"/>
        </w:rPr>
        <w:t>Refer</w:t>
      </w:r>
      <w:r w:rsidRPr="4E774B5E" w:rsidR="4E774B5E">
        <w:rPr>
          <w:rFonts w:ascii="Arial" w:hAnsi="Arial" w:eastAsia="Arial" w:cs="Arial"/>
          <w:noProof w:val="0"/>
          <w:sz w:val="22"/>
          <w:szCs w:val="22"/>
          <w:lang w:val="en-GB"/>
        </w:rPr>
        <w:t>r</w:t>
      </w:r>
      <w:r w:rsidRPr="4E774B5E" w:rsidR="4E774B5E">
        <w:rPr>
          <w:rFonts w:ascii="Arial" w:hAnsi="Arial" w:eastAsia="Arial" w:cs="Arial"/>
          <w:noProof w:val="0"/>
          <w:sz w:val="22"/>
          <w:szCs w:val="22"/>
          <w:lang w:val="en-GB"/>
        </w:rPr>
        <w:t>ing to Figure 1, organizations with quality upgrade projects are commonly working at a rate of 3-4. While companies working at a few rates 2/3 "can't benefit for that long while, it obvious then that organisation who have captive audiences such as governments or the public sector are working at these levels" (Keller, 2011). Despite the fact that the Sigma execution standard for train delays is close to 3 π, this thought clarifies the gigantic railroad costs included, the unfaltering need to upgrade adequacy and the incentive for money as proposed by the Department of Transport and Office of Rail Regulation (2011). At this degree of administration, rail is utilized principally by this captive audience or cargo transporters who have not got the luxury of traveling by other means, i</w:t>
      </w:r>
      <w:r w:rsidRPr="4E774B5E" w:rsidR="4E774B5E">
        <w:rPr>
          <w:rFonts w:ascii="Arial" w:hAnsi="Arial" w:eastAsia="Arial" w:cs="Arial"/>
          <w:noProof w:val="0"/>
          <w:sz w:val="22"/>
          <w:szCs w:val="22"/>
          <w:lang w:val="en-GB"/>
        </w:rPr>
        <w:t>.e.</w:t>
      </w:r>
      <w:r w:rsidRPr="4E774B5E" w:rsidR="4E774B5E">
        <w:rPr>
          <w:rFonts w:ascii="Arial" w:hAnsi="Arial" w:eastAsia="Arial" w:cs="Arial"/>
          <w:noProof w:val="0"/>
          <w:sz w:val="22"/>
          <w:szCs w:val="22"/>
          <w:lang w:val="en-GB"/>
        </w:rPr>
        <w:t>. Cars.</w:t>
      </w:r>
    </w:p>
    <w:p w:rsidR="279B3FB0" w:rsidP="279B3FB0" w:rsidRDefault="279B3FB0" w14:paraId="04ED5F09" w14:textId="54E2D986">
      <w:pPr>
        <w:rPr>
          <w:rFonts w:ascii="Arial" w:hAnsi="Arial" w:eastAsia="Arial" w:cs="Arial"/>
          <w:noProof w:val="0"/>
          <w:sz w:val="22"/>
          <w:szCs w:val="22"/>
          <w:u w:val="single"/>
          <w:lang w:val="en-GB"/>
        </w:rPr>
      </w:pPr>
      <w:r w:rsidRPr="279B3FB0" w:rsidR="279B3FB0">
        <w:rPr>
          <w:rFonts w:ascii="Arial" w:hAnsi="Arial" w:eastAsia="Arial" w:cs="Arial"/>
          <w:noProof w:val="0"/>
          <w:sz w:val="22"/>
          <w:szCs w:val="22"/>
          <w:u w:val="single"/>
          <w:lang w:val="en-GB"/>
        </w:rPr>
        <w:t>Adopting Sigma Level for Railway Capacity Use</w:t>
      </w:r>
      <w:r w:rsidRPr="279B3FB0" w:rsidR="279B3FB0">
        <w:rPr>
          <w:rFonts w:ascii="Arial" w:hAnsi="Arial" w:eastAsia="Arial" w:cs="Arial"/>
          <w:noProof w:val="0"/>
          <w:sz w:val="22"/>
          <w:szCs w:val="22"/>
          <w:lang w:val="en-GB"/>
        </w:rPr>
        <w:t xml:space="preserve">  </w:t>
      </w:r>
    </w:p>
    <w:p w:rsidR="279B3FB0" w:rsidP="279B3FB0" w:rsidRDefault="279B3FB0" w14:paraId="0A86A8C7" w14:textId="19840949">
      <w:pPr>
        <w:pStyle w:val="Normal"/>
      </w:pPr>
      <w:r w:rsidRPr="279B3FB0" w:rsidR="279B3FB0">
        <w:rPr>
          <w:rFonts w:ascii="Arial" w:hAnsi="Arial" w:eastAsia="Arial" w:cs="Arial"/>
          <w:noProof w:val="0"/>
          <w:sz w:val="22"/>
          <w:szCs w:val="22"/>
          <w:lang w:val="en-GB"/>
        </w:rPr>
        <w:t>This essay will use the underlying concepts and tools of Six Sigma and adopt its DMAIC cycle for the concept of capacity Use: definition of railway capacity and capacity use, objectives measurement of capacity use, metrics analysis of capacity allocation and use improvement of capacity.</w:t>
      </w:r>
    </w:p>
    <w:p w:rsidR="279B3FB0" w:rsidP="279B3FB0" w:rsidRDefault="279B3FB0" w14:paraId="169FCA6A" w14:textId="38EC00C1">
      <w:pPr>
        <w:rPr>
          <w:rFonts w:ascii="Arial" w:hAnsi="Arial" w:eastAsia="Arial" w:cs="Arial"/>
          <w:noProof w:val="0"/>
          <w:sz w:val="22"/>
          <w:szCs w:val="22"/>
          <w:u w:val="single"/>
          <w:lang w:val="en-GB"/>
        </w:rPr>
      </w:pPr>
      <w:r w:rsidRPr="279B3FB0" w:rsidR="279B3FB0">
        <w:rPr>
          <w:rFonts w:ascii="Arial" w:hAnsi="Arial" w:eastAsia="Arial" w:cs="Arial"/>
          <w:noProof w:val="0"/>
          <w:sz w:val="22"/>
          <w:szCs w:val="22"/>
          <w:u w:val="single"/>
          <w:lang w:val="en-GB"/>
        </w:rPr>
        <w:t>Defining Stage</w:t>
      </w:r>
      <w:r w:rsidRPr="279B3FB0" w:rsidR="279B3FB0">
        <w:rPr>
          <w:rFonts w:ascii="Arial" w:hAnsi="Arial" w:eastAsia="Arial" w:cs="Arial"/>
          <w:noProof w:val="0"/>
          <w:sz w:val="22"/>
          <w:szCs w:val="22"/>
          <w:lang w:val="en-GB"/>
        </w:rPr>
        <w:t xml:space="preserve">  </w:t>
      </w:r>
    </w:p>
    <w:p w:rsidR="279B3FB0" w:rsidRDefault="279B3FB0" w14:paraId="4E168065" w14:textId="164F03BA">
      <w:r w:rsidRPr="4E774B5E" w:rsidR="4E774B5E">
        <w:rPr>
          <w:rFonts w:ascii="Arial" w:hAnsi="Arial" w:eastAsia="Arial" w:cs="Arial"/>
          <w:noProof w:val="0"/>
          <w:sz w:val="22"/>
          <w:szCs w:val="22"/>
          <w:lang w:val="en-GB"/>
        </w:rPr>
        <w:t>In view of the idea of the DMAIC cycle in Six Sigma, this segment will give a thorough philosophy so as to characteri</w:t>
      </w:r>
      <w:r w:rsidRPr="4E774B5E" w:rsidR="4E774B5E">
        <w:rPr>
          <w:rFonts w:ascii="Arial" w:hAnsi="Arial" w:eastAsia="Arial" w:cs="Arial"/>
          <w:noProof w:val="0"/>
          <w:sz w:val="22"/>
          <w:szCs w:val="22"/>
          <w:lang w:val="en-GB"/>
        </w:rPr>
        <w:t>s</w:t>
      </w:r>
      <w:r w:rsidRPr="4E774B5E" w:rsidR="4E774B5E">
        <w:rPr>
          <w:rFonts w:ascii="Arial" w:hAnsi="Arial" w:eastAsia="Arial" w:cs="Arial"/>
          <w:noProof w:val="0"/>
          <w:sz w:val="22"/>
          <w:szCs w:val="22"/>
          <w:lang w:val="en-GB"/>
        </w:rPr>
        <w:t>e, measure and break down limit usage in the passenger railroad task area with a specific spotlight on South Western Rail. The methodology is generally utili</w:t>
      </w:r>
      <w:r w:rsidRPr="4E774B5E" w:rsidR="4E774B5E">
        <w:rPr>
          <w:rFonts w:ascii="Arial" w:hAnsi="Arial" w:eastAsia="Arial" w:cs="Arial"/>
          <w:noProof w:val="0"/>
          <w:sz w:val="22"/>
          <w:szCs w:val="22"/>
          <w:lang w:val="en-GB"/>
        </w:rPr>
        <w:t>s</w:t>
      </w:r>
      <w:r w:rsidRPr="4E774B5E" w:rsidR="4E774B5E">
        <w:rPr>
          <w:rFonts w:ascii="Arial" w:hAnsi="Arial" w:eastAsia="Arial" w:cs="Arial"/>
          <w:noProof w:val="0"/>
          <w:sz w:val="22"/>
          <w:szCs w:val="22"/>
          <w:lang w:val="en-GB"/>
        </w:rPr>
        <w:t xml:space="preserve">ed as an administration procedure for expanding proficiency and quality while diminishing expenses.  </w:t>
      </w:r>
    </w:p>
    <w:p w:rsidR="279B3FB0" w:rsidP="279B3FB0" w:rsidRDefault="279B3FB0" w14:paraId="777858A4" w14:textId="52BCF3AE">
      <w:pPr>
        <w:rPr>
          <w:rFonts w:ascii="Arial" w:hAnsi="Arial" w:eastAsia="Arial" w:cs="Arial"/>
          <w:noProof w:val="0"/>
          <w:sz w:val="22"/>
          <w:szCs w:val="22"/>
          <w:u w:val="single"/>
          <w:lang w:val="en-GB"/>
        </w:rPr>
      </w:pPr>
      <w:r w:rsidRPr="279B3FB0" w:rsidR="279B3FB0">
        <w:rPr>
          <w:rFonts w:ascii="Arial" w:hAnsi="Arial" w:eastAsia="Arial" w:cs="Arial"/>
          <w:noProof w:val="0"/>
          <w:sz w:val="22"/>
          <w:szCs w:val="22"/>
          <w:u w:val="single"/>
          <w:lang w:val="en-GB"/>
        </w:rPr>
        <w:t>Defining Railway Capacity Utilization</w:t>
      </w:r>
      <w:r w:rsidRPr="279B3FB0" w:rsidR="279B3FB0">
        <w:rPr>
          <w:rFonts w:ascii="Arial" w:hAnsi="Arial" w:eastAsia="Arial" w:cs="Arial"/>
          <w:noProof w:val="0"/>
          <w:sz w:val="22"/>
          <w:szCs w:val="22"/>
          <w:lang w:val="en-GB"/>
        </w:rPr>
        <w:t xml:space="preserve">  </w:t>
      </w:r>
    </w:p>
    <w:p w:rsidR="279B3FB0" w:rsidP="279B3FB0" w:rsidRDefault="279B3FB0" w14:paraId="2B1D024F" w14:textId="33AD0626">
      <w:pPr>
        <w:pStyle w:val="Normal"/>
      </w:pPr>
      <w:r w:rsidRPr="4E774B5E" w:rsidR="4E774B5E">
        <w:rPr>
          <w:rFonts w:ascii="Arial" w:hAnsi="Arial" w:eastAsia="Arial" w:cs="Arial"/>
          <w:noProof w:val="0"/>
          <w:sz w:val="22"/>
          <w:szCs w:val="22"/>
          <w:lang w:val="en-GB"/>
        </w:rPr>
        <w:t>The centre of limit usage is to utili</w:t>
      </w:r>
      <w:r w:rsidRPr="4E774B5E" w:rsidR="4E774B5E">
        <w:rPr>
          <w:rFonts w:ascii="Arial" w:hAnsi="Arial" w:eastAsia="Arial" w:cs="Arial"/>
          <w:noProof w:val="0"/>
          <w:sz w:val="22"/>
          <w:szCs w:val="22"/>
          <w:lang w:val="en-GB"/>
        </w:rPr>
        <w:t>s</w:t>
      </w:r>
      <w:r w:rsidRPr="4E774B5E" w:rsidR="4E774B5E">
        <w:rPr>
          <w:rFonts w:ascii="Arial" w:hAnsi="Arial" w:eastAsia="Arial" w:cs="Arial"/>
          <w:noProof w:val="0"/>
          <w:sz w:val="22"/>
          <w:szCs w:val="22"/>
          <w:lang w:val="en-GB"/>
        </w:rPr>
        <w:t>e the foundation and to evade its waste. This thought is fundamentally the same as ' lean reasoning ' that looks to ' dispose of a wide range of waste ' (Moore, 2007).</w:t>
      </w:r>
    </w:p>
    <w:p w:rsidR="279B3FB0" w:rsidP="279B3FB0" w:rsidRDefault="279B3FB0" w14:paraId="0E6091FA" w14:textId="18BD4D23">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The railway infrastructure cannot be used directly by passengers and freight; instead, they are packed into trains. Railway capacity is used in discrete steps (as opposed to continuous use of highway capability until it is saturated at a standstill stage). In order to create added value, these discrete steps can be taken in distinct ways and distinct combinations of train kinds, velocity and service levels. Value is an expression of "the relationship between function and resources in which function is measured by the customer's performance requirements (such as service quality) and resources are measured in the materials, labour, price, time, etc. required to perform that function" (SAVE, 2007).</w:t>
      </w:r>
    </w:p>
    <w:p w:rsidR="2FEDF7BF" w:rsidP="279B3FB0" w:rsidRDefault="2FEDF7BF" w14:paraId="5594FF2A" w14:textId="0DFB5001">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This assignment defines lean railway capacity utilisation as: “The ability of the infrastructure to generate added value by enabling passengers to reach their destination as planned”. Therefore, the more passengers that can be transported further toward their destinations in the unit of time, the more added value is generated by utilising the capacity of the infrastructure. The term ‘as planned’ emphasises the quality aspects of capacity utilisation such as avoiding delays and ensuring safety. By this definition, whatever does not generate added value, i.e. whatever hinders, disturbs or negatively affects this process, is a waste of practical capacity. </w:t>
      </w:r>
    </w:p>
    <w:p w:rsidR="2FEDF7BF" w:rsidP="279B3FB0" w:rsidRDefault="2FEDF7BF" w14:paraId="6C1D3DF3" w14:textId="1B98651D">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T</w:t>
      </w:r>
      <w:r w:rsidRPr="279B3FB0" w:rsidR="279B3FB0">
        <w:rPr>
          <w:rFonts w:ascii="Arial" w:hAnsi="Arial" w:eastAsia="Arial" w:cs="Arial"/>
          <w:noProof w:val="0"/>
          <w:sz w:val="22"/>
          <w:szCs w:val="22"/>
          <w:lang w:val="en-GB"/>
        </w:rPr>
        <w:t>hrough utilising the de</w:t>
      </w:r>
      <w:r w:rsidRPr="279B3FB0" w:rsidR="279B3FB0">
        <w:rPr>
          <w:rFonts w:ascii="Arial" w:hAnsi="Arial" w:eastAsia="Arial" w:cs="Arial"/>
          <w:noProof w:val="0"/>
          <w:sz w:val="22"/>
          <w:szCs w:val="22"/>
          <w:lang w:val="en-GB"/>
        </w:rPr>
        <w:t>fini</w:t>
      </w:r>
      <w:r w:rsidRPr="279B3FB0" w:rsidR="279B3FB0">
        <w:rPr>
          <w:rFonts w:ascii="Arial" w:hAnsi="Arial" w:eastAsia="Arial" w:cs="Arial"/>
          <w:noProof w:val="0"/>
          <w:sz w:val="22"/>
          <w:szCs w:val="22"/>
          <w:lang w:val="en-GB"/>
        </w:rPr>
        <w:t>tion of lean railway capacity, it is possible to identify major areas of waste within the industry. Sources include: scheduled waiting times, buffer times between trains, delays, dwell time at stations</w:t>
      </w:r>
      <w:r w:rsidRPr="279B3FB0" w:rsidR="279B3FB0">
        <w:rPr>
          <w:rFonts w:ascii="Arial" w:hAnsi="Arial" w:eastAsia="Arial" w:cs="Arial"/>
          <w:noProof w:val="0"/>
          <w:sz w:val="22"/>
          <w:szCs w:val="22"/>
          <w:lang w:val="en-GB"/>
        </w:rPr>
        <w:t>,</w:t>
      </w:r>
      <w:r w:rsidRPr="279B3FB0" w:rsidR="279B3FB0">
        <w:rPr>
          <w:rFonts w:ascii="Arial" w:hAnsi="Arial" w:eastAsia="Arial" w:cs="Arial"/>
          <w:noProof w:val="0"/>
          <w:sz w:val="22"/>
          <w:szCs w:val="22"/>
          <w:lang w:val="en-GB"/>
        </w:rPr>
        <w:t xml:space="preserve"> </w:t>
      </w:r>
      <w:r w:rsidRPr="279B3FB0" w:rsidR="279B3FB0">
        <w:rPr>
          <w:rFonts w:ascii="Arial" w:hAnsi="Arial" w:eastAsia="Arial" w:cs="Arial"/>
          <w:noProof w:val="0"/>
          <w:sz w:val="22"/>
          <w:szCs w:val="22"/>
          <w:lang w:val="en-GB"/>
        </w:rPr>
        <w:t>s</w:t>
      </w:r>
      <w:r w:rsidRPr="279B3FB0" w:rsidR="279B3FB0">
        <w:rPr>
          <w:rFonts w:ascii="Arial" w:hAnsi="Arial" w:eastAsia="Arial" w:cs="Arial"/>
          <w:noProof w:val="0"/>
          <w:sz w:val="22"/>
          <w:szCs w:val="22"/>
          <w:lang w:val="en-GB"/>
        </w:rPr>
        <w:t>peed restrictions</w:t>
      </w:r>
      <w:r w:rsidRPr="279B3FB0" w:rsidR="279B3FB0">
        <w:rPr>
          <w:rFonts w:ascii="Arial" w:hAnsi="Arial" w:eastAsia="Arial" w:cs="Arial"/>
          <w:noProof w:val="0"/>
          <w:sz w:val="22"/>
          <w:szCs w:val="22"/>
          <w:lang w:val="en-GB"/>
        </w:rPr>
        <w:t>, i</w:t>
      </w:r>
      <w:r w:rsidRPr="279B3FB0" w:rsidR="279B3FB0">
        <w:rPr>
          <w:rFonts w:ascii="Arial" w:hAnsi="Arial" w:eastAsia="Arial" w:cs="Arial"/>
          <w:noProof w:val="0"/>
          <w:sz w:val="22"/>
          <w:szCs w:val="22"/>
          <w:lang w:val="en-GB"/>
        </w:rPr>
        <w:t xml:space="preserve">nefficient signalling systems </w:t>
      </w:r>
      <w:r w:rsidRPr="279B3FB0" w:rsidR="279B3FB0">
        <w:rPr>
          <w:rFonts w:ascii="Arial" w:hAnsi="Arial" w:eastAsia="Arial" w:cs="Arial"/>
          <w:noProof w:val="0"/>
          <w:sz w:val="22"/>
          <w:szCs w:val="22"/>
          <w:lang w:val="en-GB"/>
        </w:rPr>
        <w:t>and c</w:t>
      </w:r>
      <w:r w:rsidRPr="279B3FB0" w:rsidR="279B3FB0">
        <w:rPr>
          <w:rFonts w:ascii="Arial" w:hAnsi="Arial" w:eastAsia="Arial" w:cs="Arial"/>
          <w:noProof w:val="0"/>
          <w:sz w:val="22"/>
          <w:szCs w:val="22"/>
          <w:lang w:val="en-GB"/>
        </w:rPr>
        <w:t>onflicting train routes</w:t>
      </w:r>
      <w:r w:rsidRPr="279B3FB0" w:rsidR="279B3FB0">
        <w:rPr>
          <w:rFonts w:ascii="Arial" w:hAnsi="Arial" w:eastAsia="Arial" w:cs="Arial"/>
          <w:noProof w:val="0"/>
          <w:sz w:val="22"/>
          <w:szCs w:val="22"/>
          <w:lang w:val="en-GB"/>
        </w:rPr>
        <w:t>.</w:t>
      </w:r>
    </w:p>
    <w:p w:rsidR="2FEDF7BF" w:rsidP="279B3FB0" w:rsidRDefault="2FEDF7BF" w14:paraId="09F38CA7" w14:textId="0557392D">
      <w:pPr>
        <w:pStyle w:val="Heading1"/>
        <w:rPr>
          <w:rFonts w:ascii="Arial" w:hAnsi="Arial" w:eastAsia="Arial" w:cs="Arial"/>
          <w:noProof w:val="0"/>
          <w:lang w:val="en-GB"/>
        </w:rPr>
      </w:pPr>
      <w:r w:rsidRPr="279B3FB0" w:rsidR="279B3FB0">
        <w:rPr>
          <w:rFonts w:ascii="Arial" w:hAnsi="Arial" w:eastAsia="Arial" w:cs="Arial"/>
          <w:noProof w:val="0"/>
          <w:lang w:val="en-GB"/>
        </w:rPr>
        <w:t>Measuring</w:t>
      </w:r>
      <w:r w:rsidRPr="279B3FB0" w:rsidR="279B3FB0">
        <w:rPr>
          <w:rFonts w:ascii="Arial" w:hAnsi="Arial" w:eastAsia="Arial" w:cs="Arial"/>
          <w:noProof w:val="0"/>
          <w:lang w:val="en-GB"/>
        </w:rPr>
        <w:t xml:space="preserve"> </w:t>
      </w:r>
      <w:r w:rsidRPr="279B3FB0" w:rsidR="279B3FB0">
        <w:rPr>
          <w:rFonts w:ascii="Arial" w:hAnsi="Arial" w:eastAsia="Arial" w:cs="Arial"/>
          <w:noProof w:val="0"/>
          <w:lang w:val="en-GB"/>
        </w:rPr>
        <w:t>Stage</w:t>
      </w:r>
      <w:r w:rsidRPr="279B3FB0" w:rsidR="279B3FB0">
        <w:rPr>
          <w:rFonts w:ascii="Arial" w:hAnsi="Arial" w:eastAsia="Arial" w:cs="Arial"/>
          <w:noProof w:val="0"/>
          <w:lang w:val="en-GB"/>
        </w:rPr>
        <w:t xml:space="preserve"> </w:t>
      </w:r>
      <w:r w:rsidRPr="279B3FB0" w:rsidR="279B3FB0">
        <w:rPr>
          <w:rFonts w:ascii="Arial" w:hAnsi="Arial" w:eastAsia="Arial" w:cs="Arial"/>
          <w:noProof w:val="0"/>
          <w:lang w:val="en-GB"/>
        </w:rPr>
        <w:t xml:space="preserve"> </w:t>
      </w:r>
    </w:p>
    <w:p w:rsidR="2FEDF7BF" w:rsidP="279B3FB0" w:rsidRDefault="2FEDF7BF" w14:paraId="4FC94FE7" w14:textId="22C0DCCE">
      <w:pPr>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The second phase of the DMAIC cycle focuses on measuring data gathered to establish the current state of the environment in order to allow the third phase ‘analyse’ to take place (George, 2002). The method used to present the capacity utilisation analysis at stations </w:t>
      </w:r>
      <w:r w:rsidRPr="279B3FB0" w:rsidR="279B3FB0">
        <w:rPr>
          <w:rFonts w:ascii="Arial" w:hAnsi="Arial" w:eastAsia="Arial" w:cs="Arial"/>
          <w:noProof w:val="0"/>
          <w:sz w:val="22"/>
          <w:szCs w:val="22"/>
          <w:lang w:val="en-GB"/>
        </w:rPr>
        <w:t>serviced</w:t>
      </w:r>
      <w:r w:rsidRPr="279B3FB0" w:rsidR="279B3FB0">
        <w:rPr>
          <w:rFonts w:ascii="Arial" w:hAnsi="Arial" w:eastAsia="Arial" w:cs="Arial"/>
          <w:noProof w:val="0"/>
          <w:sz w:val="22"/>
          <w:szCs w:val="22"/>
          <w:lang w:val="en-GB"/>
        </w:rPr>
        <w:t xml:space="preserve"> by South Western Rail and for passenger trains operated by them will be based on the data envelopment analysis (DEA).</w:t>
      </w:r>
    </w:p>
    <w:p w:rsidR="2FEDF7BF" w:rsidP="279B3FB0" w:rsidRDefault="2FEDF7BF" w14:paraId="36A288DC" w14:textId="5C84225D">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Analysis of data envelopment is a widely used performance assessment technique and a breakthrough in comparative effectiveness assessment (Farrell, 1957). It is particularly useful in assessing efficiency where various inputs and various outputs have complicated (or unknown) relationships.</w:t>
      </w:r>
    </w:p>
    <w:p w:rsidR="2FEDF7BF" w:rsidP="279B3FB0" w:rsidRDefault="2FEDF7BF" w14:paraId="244AE4B4" w14:textId="72D6A844">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The ratio of generated outputs to inputs is commonly used to assess efficiency (Cooper et al., 2006). If it is regarded in the broader value-for-money context, it can be part of the chain of' economy,'' efficiency' and' effectiveness' or' three E's' as defined by Booz &amp; Company (2011): economy: how cheaply inputs are supplied, efficiency: how much production is generated by inputs and how efficiently outputs are generated</w:t>
      </w:r>
      <w:r w:rsidRPr="279B3FB0" w:rsidR="279B3FB0">
        <w:rPr>
          <w:rFonts w:ascii="Arial" w:hAnsi="Arial" w:eastAsia="Arial" w:cs="Arial"/>
          <w:noProof w:val="0"/>
          <w:sz w:val="22"/>
          <w:szCs w:val="22"/>
          <w:lang w:val="en-GB"/>
        </w:rPr>
        <w:t xml:space="preserve"> </w:t>
      </w:r>
      <w:r w:rsidRPr="279B3FB0" w:rsidR="279B3FB0">
        <w:rPr>
          <w:rFonts w:ascii="Arial" w:hAnsi="Arial" w:eastAsia="Arial" w:cs="Arial"/>
          <w:noProof w:val="0"/>
          <w:sz w:val="22"/>
          <w:szCs w:val="22"/>
          <w:lang w:val="en-GB"/>
        </w:rPr>
        <w:t xml:space="preserve">and </w:t>
      </w:r>
      <w:r w:rsidRPr="279B3FB0" w:rsidR="279B3FB0">
        <w:rPr>
          <w:rFonts w:ascii="Arial" w:hAnsi="Arial" w:eastAsia="Arial" w:cs="Arial"/>
          <w:noProof w:val="0"/>
          <w:sz w:val="22"/>
          <w:szCs w:val="22"/>
          <w:lang w:val="en-GB"/>
        </w:rPr>
        <w:t>effectiveness: the extent of delivering desired outcomes by the cost of producing outputs.</w:t>
      </w:r>
    </w:p>
    <w:p w:rsidR="279B3FB0" w:rsidP="279B3FB0" w:rsidRDefault="279B3FB0" w14:paraId="5D04A530" w14:textId="6B548F82">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In this example, both inner and external sources would include inputs. For instance, external inputs would consist of time slots to use the infrastructure, public franchise payments, while inner inputs would include employees, rolling stock, route distances, and stations. During the intermediate phase–the half-way point from inputs to outputs business are compelled into making valuable decisions by considering the effects of route distance and government franchise payments. The final phase consists of the amounts of passengers per km and the number of delays.</w:t>
      </w:r>
    </w:p>
    <w:p w:rsidR="2FEDF7BF" w:rsidP="279B3FB0" w:rsidRDefault="2FEDF7BF" w14:paraId="2D9549F5" w14:textId="0C0CD77A">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u w:val="single"/>
          <w:lang w:val="en-GB"/>
        </w:rPr>
        <w:t>Stakeholders</w:t>
      </w:r>
    </w:p>
    <w:p w:rsidR="2FEDF7BF" w:rsidP="279B3FB0" w:rsidRDefault="2FEDF7BF" w14:paraId="216A5D1A" w14:textId="0830C6B9">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Government as the rail network regulator gets franchise payments from rail companies working on their infrastructure. These payments were down 400 million pounds from 700 million in the financial year 2017-2018 as a consequence of delays in infrastructure upgrades and reduced industry-wide income development (ORR, 2019).  Hence, the DEA model's main stakeholder in </w:t>
      </w:r>
      <w:r w:rsidRPr="279B3FB0" w:rsidR="279B3FB0">
        <w:rPr>
          <w:rFonts w:ascii="Arial" w:hAnsi="Arial" w:eastAsia="Arial" w:cs="Arial"/>
          <w:noProof w:val="0"/>
          <w:sz w:val="22"/>
          <w:szCs w:val="22"/>
          <w:lang w:val="en-GB"/>
        </w:rPr>
        <w:t>analysing</w:t>
      </w:r>
      <w:r w:rsidRPr="279B3FB0" w:rsidR="279B3FB0">
        <w:rPr>
          <w:rFonts w:ascii="Arial" w:hAnsi="Arial" w:eastAsia="Arial" w:cs="Arial"/>
          <w:noProof w:val="0"/>
          <w:sz w:val="22"/>
          <w:szCs w:val="22"/>
          <w:lang w:val="en-GB"/>
        </w:rPr>
        <w:t xml:space="preserve"> effectiveness</w:t>
      </w:r>
      <w:r w:rsidRPr="279B3FB0" w:rsidR="279B3FB0">
        <w:rPr>
          <w:rFonts w:ascii="Arial" w:hAnsi="Arial" w:eastAsia="Arial" w:cs="Arial"/>
          <w:noProof w:val="0"/>
          <w:sz w:val="22"/>
          <w:szCs w:val="22"/>
          <w:lang w:val="en-GB"/>
        </w:rPr>
        <w:t xml:space="preserve"> of South Western Rails passenger train service's is the government.</w:t>
      </w:r>
    </w:p>
    <w:p w:rsidR="2FEDF7BF" w:rsidP="279B3FB0" w:rsidRDefault="2FEDF7BF" w14:paraId="44A049C4" w14:textId="147536AC">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u w:val="single"/>
          <w:lang w:val="en-GB"/>
        </w:rPr>
        <w:t>Controllable Inputs</w:t>
      </w:r>
    </w:p>
    <w:p w:rsidR="279B3FB0" w:rsidP="279B3FB0" w:rsidRDefault="279B3FB0" w14:paraId="268E740B" w14:textId="26120C38">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Since the government is South Western Rail's key stakeholder, there are two main categories of controllable inputs that can be given to the company. One is the franchise payments that allow passenger train services to be operated. The other primary input category is the </w:t>
      </w:r>
      <w:r w:rsidRPr="279B3FB0" w:rsidR="279B3FB0">
        <w:rPr>
          <w:rFonts w:ascii="Arial" w:hAnsi="Arial" w:eastAsia="Arial" w:cs="Arial"/>
          <w:noProof w:val="0"/>
          <w:sz w:val="22"/>
          <w:szCs w:val="22"/>
          <w:lang w:val="en-GB"/>
        </w:rPr>
        <w:t>number</w:t>
      </w:r>
      <w:r w:rsidRPr="279B3FB0" w:rsidR="279B3FB0">
        <w:rPr>
          <w:rFonts w:ascii="Arial" w:hAnsi="Arial" w:eastAsia="Arial" w:cs="Arial"/>
          <w:noProof w:val="0"/>
          <w:sz w:val="22"/>
          <w:szCs w:val="22"/>
          <w:lang w:val="en-GB"/>
        </w:rPr>
        <w:t xml:space="preserve"> of timeslots assigned for using state-owned railway </w:t>
      </w:r>
      <w:r w:rsidRPr="279B3FB0" w:rsidR="279B3FB0">
        <w:rPr>
          <w:rFonts w:ascii="Arial" w:hAnsi="Arial" w:eastAsia="Arial" w:cs="Arial"/>
          <w:noProof w:val="0"/>
          <w:sz w:val="22"/>
          <w:szCs w:val="22"/>
          <w:lang w:val="en-GB"/>
        </w:rPr>
        <w:t>tracks.</w:t>
      </w:r>
    </w:p>
    <w:p w:rsidR="2FEDF7BF" w:rsidP="279B3FB0" w:rsidRDefault="2FEDF7BF" w14:paraId="7D6C82F2" w14:textId="65B9B377">
      <w:pPr>
        <w:pStyle w:val="Normal"/>
        <w:rPr>
          <w:rFonts w:ascii="Arial" w:hAnsi="Arial" w:eastAsia="Arial" w:cs="Arial"/>
          <w:b w:val="0"/>
          <w:bCs w:val="0"/>
          <w:noProof w:val="0"/>
          <w:sz w:val="22"/>
          <w:szCs w:val="22"/>
          <w:u w:val="single"/>
          <w:lang w:val="en-GB"/>
        </w:rPr>
      </w:pPr>
      <w:r w:rsidRPr="279B3FB0" w:rsidR="279B3FB0">
        <w:rPr>
          <w:rFonts w:ascii="Arial" w:hAnsi="Arial" w:eastAsia="Arial" w:cs="Arial"/>
          <w:b w:val="0"/>
          <w:bCs w:val="0"/>
          <w:noProof w:val="0"/>
          <w:sz w:val="22"/>
          <w:szCs w:val="22"/>
          <w:u w:val="single"/>
          <w:lang w:val="en-GB"/>
        </w:rPr>
        <w:t>Output Priorities</w:t>
      </w:r>
    </w:p>
    <w:p w:rsidR="279B3FB0" w:rsidP="279B3FB0" w:rsidRDefault="279B3FB0" w14:paraId="3B7D9ABC" w14:textId="79151622">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To enable the government to evaluate South Western Rail's efficiency, it can analyse the amount and quality of services it provides. The </w:t>
      </w:r>
      <w:r w:rsidRPr="279B3FB0" w:rsidR="279B3FB0">
        <w:rPr>
          <w:rFonts w:ascii="Arial" w:hAnsi="Arial" w:eastAsia="Arial" w:cs="Arial"/>
          <w:noProof w:val="0"/>
          <w:sz w:val="22"/>
          <w:szCs w:val="22"/>
          <w:lang w:val="en-GB"/>
        </w:rPr>
        <w:t>number</w:t>
      </w:r>
      <w:r w:rsidRPr="279B3FB0" w:rsidR="279B3FB0">
        <w:rPr>
          <w:rFonts w:ascii="Arial" w:hAnsi="Arial" w:eastAsia="Arial" w:cs="Arial"/>
          <w:noProof w:val="0"/>
          <w:sz w:val="22"/>
          <w:szCs w:val="22"/>
          <w:lang w:val="en-GB"/>
        </w:rPr>
        <w:t xml:space="preserve"> of travellers and the duration of travel can be the quantity of facilities. However, Public Performance Measure (percentage of passenger trains arriving on time at their destination) is the primary industry standard for quality assessment.</w:t>
      </w:r>
    </w:p>
    <w:p w:rsidR="2FEDF7BF" w:rsidP="279B3FB0" w:rsidRDefault="2FEDF7BF" w14:paraId="03254D67" w14:textId="1AF5364B">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u w:val="single"/>
          <w:lang w:val="en-GB"/>
        </w:rPr>
        <w:t>Choosing DEA Inputs and Outputs</w:t>
      </w:r>
    </w:p>
    <w:p w:rsidR="2FEDF7BF" w:rsidP="279B3FB0" w:rsidRDefault="2FEDF7BF" w14:paraId="466F2BB0" w14:textId="07FCE37F">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"Inputs are described in the DEA model as assets used by DMUs or circumstances that affect DMU output (Ramanathan, 2003). Timetabled train-km is the best proxy variable to reflect a train operator's use of infrastructure: the more trains it runs on the infrastructure and the longer it runs, the more it uses this valuable resource, the more inputs and opportunities it has to make useful results. As the primary objective of this study is to analyse capacity utilization effectiveness, train-km is selected as an input for the assessment of capacity utilization.</w:t>
      </w:r>
    </w:p>
    <w:p w:rsidR="2FEDF7BF" w:rsidP="279B3FB0" w:rsidRDefault="2FEDF7BF" w14:paraId="078B972C" w14:textId="2C65816A">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Outputs are the advantages produced by DMU activities (Ramanathan, 2003). South Western Rail's produced value can be evaluated in various ways. Considering the income produced by ticket sales is the first alternative that comes to mind. This cannot, however, be a good "operational efficiency" index. Trains running low load factor but high tariffs</w:t>
      </w:r>
      <w:r w:rsidRPr="279B3FB0" w:rsidR="279B3FB0">
        <w:rPr>
          <w:rFonts w:ascii="Arial" w:hAnsi="Arial" w:eastAsia="Arial" w:cs="Arial"/>
          <w:noProof w:val="0"/>
          <w:sz w:val="22"/>
          <w:szCs w:val="22"/>
          <w:lang w:val="en-GB"/>
        </w:rPr>
        <w:t xml:space="preserve"> </w:t>
      </w:r>
      <w:r w:rsidRPr="279B3FB0" w:rsidR="279B3FB0">
        <w:rPr>
          <w:rFonts w:ascii="Arial" w:hAnsi="Arial" w:eastAsia="Arial" w:cs="Arial"/>
          <w:noProof w:val="0"/>
          <w:sz w:val="22"/>
          <w:szCs w:val="22"/>
          <w:lang w:val="en-GB"/>
        </w:rPr>
        <w:t xml:space="preserve">could </w:t>
      </w:r>
      <w:r w:rsidRPr="279B3FB0" w:rsidR="279B3FB0">
        <w:rPr>
          <w:rFonts w:ascii="Arial" w:hAnsi="Arial" w:eastAsia="Arial" w:cs="Arial"/>
          <w:noProof w:val="0"/>
          <w:sz w:val="22"/>
          <w:szCs w:val="22"/>
          <w:lang w:val="en-GB"/>
        </w:rPr>
        <w:t>be 'effective economically,' but not' effective operationally.' Transported passengers (the amount of passenger travel) are not informative on their own: one person could use the train for a very brief distance; one could bring the train for a very lengthy distance. The best measure to estimate the value produced by South Western Rail using the infrastructure is therefore</w:t>
      </w:r>
      <w:r w:rsidRPr="279B3FB0" w:rsidR="279B3FB0">
        <w:rPr>
          <w:rFonts w:ascii="Arial" w:hAnsi="Arial" w:eastAsia="Arial" w:cs="Arial"/>
          <w:noProof w:val="0"/>
          <w:sz w:val="22"/>
          <w:szCs w:val="22"/>
          <w:lang w:val="en-GB"/>
        </w:rPr>
        <w:t xml:space="preserve"> passenger-km. </w:t>
      </w:r>
    </w:p>
    <w:p w:rsidR="279B3FB0" w:rsidP="279B3FB0" w:rsidRDefault="279B3FB0" w14:paraId="70AA5ACD" w14:textId="439E7044">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There is a wide range of quality of service data available for each train operator: number of complaints received per 100,000 passenger journeys, national passenger survey results, measurement of public performance and delay minutes</w:t>
      </w:r>
    </w:p>
    <w:p w:rsidR="279B3FB0" w:rsidP="279B3FB0" w:rsidRDefault="279B3FB0" w14:paraId="23DB6582" w14:textId="65E84DAD">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The amount of complaints is not a useful measure to be included in the DEA model for quality of service. Complaints can be subjective, mostly from the performance of the train. A train performance indicator is therefore a better estimate of the operator's quality of service. The quality of facilities on board and at stations is important, but passengers ' first priority is</w:t>
      </w:r>
      <w:r w:rsidRPr="279B3FB0" w:rsidR="279B3FB0">
        <w:rPr>
          <w:rFonts w:ascii="Arial" w:hAnsi="Arial" w:eastAsia="Arial" w:cs="Arial"/>
          <w:noProof w:val="0"/>
          <w:sz w:val="22"/>
          <w:szCs w:val="22"/>
          <w:lang w:val="en-GB"/>
        </w:rPr>
        <w:t xml:space="preserve"> </w:t>
      </w:r>
      <w:r w:rsidRPr="279B3FB0" w:rsidR="279B3FB0">
        <w:rPr>
          <w:rFonts w:ascii="Arial" w:hAnsi="Arial" w:eastAsia="Arial" w:cs="Arial"/>
          <w:noProof w:val="0"/>
          <w:sz w:val="22"/>
          <w:szCs w:val="22"/>
          <w:lang w:val="en-GB"/>
        </w:rPr>
        <w:t xml:space="preserve">getting on time to their destinations. The Public Performance Measure is a comparative index, which is why delay minutes were selected to show the service quality that is essential for both </w:t>
      </w:r>
      <w:r w:rsidRPr="279B3FB0" w:rsidR="279B3FB0">
        <w:rPr>
          <w:rFonts w:ascii="Arial" w:hAnsi="Arial" w:eastAsia="Arial" w:cs="Arial"/>
          <w:noProof w:val="0"/>
          <w:sz w:val="22"/>
          <w:szCs w:val="22"/>
          <w:lang w:val="en-GB"/>
        </w:rPr>
        <w:t>travellers</w:t>
      </w:r>
      <w:r w:rsidRPr="279B3FB0" w:rsidR="279B3FB0">
        <w:rPr>
          <w:rFonts w:ascii="Arial" w:hAnsi="Arial" w:eastAsia="Arial" w:cs="Arial"/>
          <w:noProof w:val="0"/>
          <w:sz w:val="22"/>
          <w:szCs w:val="22"/>
          <w:lang w:val="en-GB"/>
        </w:rPr>
        <w:t xml:space="preserve"> and the owner of the network. The' Annual Return ' report released by Network Rail (2019) provides data on train delay minutes for South Western Rail.</w:t>
      </w:r>
    </w:p>
    <w:p w:rsidR="279B3FB0" w:rsidP="279B3FB0" w:rsidRDefault="279B3FB0" w14:paraId="771443D8" w14:textId="1A8AC392">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Train delay is not a beneficial result, it should be observed. Negative results in DEA terminology are called' unwanted effects' and cannot be used as inputs directly in the model. </w:t>
      </w:r>
      <w:r w:rsidRPr="279B3FB0" w:rsidR="279B3FB0">
        <w:rPr>
          <w:rFonts w:ascii="Arial" w:hAnsi="Arial" w:eastAsia="Arial" w:cs="Arial"/>
          <w:noProof w:val="0"/>
          <w:sz w:val="22"/>
          <w:szCs w:val="22"/>
          <w:lang w:val="en-GB"/>
        </w:rPr>
        <w:t>Seiford</w:t>
      </w:r>
      <w:r w:rsidRPr="279B3FB0" w:rsidR="279B3FB0">
        <w:rPr>
          <w:rFonts w:ascii="Arial" w:hAnsi="Arial" w:eastAsia="Arial" w:cs="Arial"/>
          <w:noProof w:val="0"/>
          <w:sz w:val="22"/>
          <w:szCs w:val="22"/>
          <w:lang w:val="en-GB"/>
        </w:rPr>
        <w:t xml:space="preserve"> and Zhu (2002) surveyed methods for handling them. The most common techniques are: transfer unwanted impacts to the input side (as DEA attempts to minimize input usage) Or use ' unwanted impacts ' inverted as inputs (as DEA attempts to maximize returns).</w:t>
      </w:r>
    </w:p>
    <w:p w:rsidR="2FEDF7BF" w:rsidP="279B3FB0" w:rsidRDefault="2FEDF7BF" w14:paraId="55E8EDA4" w14:textId="40AB2ACA">
      <w:pPr>
        <w:pStyle w:val="Heading1"/>
        <w:rPr>
          <w:rFonts w:ascii="Arial" w:hAnsi="Arial" w:eastAsia="Arial" w:cs="Arial"/>
          <w:noProof w:val="0"/>
          <w:lang w:val="en-GB"/>
        </w:rPr>
      </w:pPr>
      <w:r w:rsidRPr="279B3FB0" w:rsidR="279B3FB0">
        <w:rPr>
          <w:rFonts w:ascii="Arial" w:hAnsi="Arial" w:eastAsia="Arial" w:cs="Arial"/>
          <w:noProof w:val="0"/>
          <w:lang w:val="en-GB"/>
        </w:rPr>
        <w:t>Analysing Stage</w:t>
      </w:r>
    </w:p>
    <w:p w:rsidR="2FEDF7BF" w:rsidP="279B3FB0" w:rsidRDefault="2FEDF7BF" w14:paraId="2DA28381" w14:textId="479F046F">
      <w:pPr>
        <w:pStyle w:val="Normal"/>
        <w:rPr>
          <w:rFonts w:ascii="Arial" w:hAnsi="Arial" w:eastAsia="Arial" w:cs="Arial"/>
          <w:noProof w:val="0"/>
          <w:sz w:val="22"/>
          <w:szCs w:val="22"/>
          <w:lang w:val="en-GB"/>
        </w:rPr>
      </w:pPr>
      <w:r>
        <w:drawing>
          <wp:inline wp14:editId="16687FF2" wp14:anchorId="48C4B66D">
            <wp:extent cx="5837296" cy="2455301"/>
            <wp:effectExtent l="0" t="0" r="0" b="0"/>
            <wp:docPr id="993287820" name="" title=""/>
            <wp:cNvGraphicFramePr>
              <a:graphicFrameLocks noChangeAspect="1"/>
            </wp:cNvGraphicFramePr>
            <a:graphic>
              <a:graphicData uri="http://schemas.openxmlformats.org/drawingml/2006/picture">
                <pic:pic>
                  <pic:nvPicPr>
                    <pic:cNvPr id="0" name=""/>
                    <pic:cNvPicPr/>
                  </pic:nvPicPr>
                  <pic:blipFill>
                    <a:blip r:embed="Ra69270f89b2b44eb">
                      <a:extLst>
                        <a:ext xmlns:a="http://schemas.openxmlformats.org/drawingml/2006/main" uri="{28A0092B-C50C-407E-A947-70E740481C1C}">
                          <a14:useLocalDpi val="0"/>
                        </a:ext>
                      </a:extLst>
                    </a:blip>
                    <a:srcRect l="24500" t="44940" r="26000" b="25297"/>
                    <a:stretch>
                      <a:fillRect/>
                    </a:stretch>
                  </pic:blipFill>
                  <pic:spPr xmlns:pic="http://schemas.openxmlformats.org/drawingml/2006/picture">
                    <a:xfrm xmlns:a="http://schemas.openxmlformats.org/drawingml/2006/main" rot="0" flipH="0" flipV="0">
                      <a:off x="0" y="0"/>
                      <a:ext cx="5837296" cy="2455301"/>
                    </a:xfrm>
                    <a:prstGeom xmlns:a="http://schemas.openxmlformats.org/drawingml/2006/main" prst="rect">
                      <a:avLst/>
                    </a:prstGeom>
                  </pic:spPr>
                </pic:pic>
              </a:graphicData>
            </a:graphic>
          </wp:inline>
        </w:drawing>
      </w:r>
      <w:r w:rsidRPr="279B3FB0" w:rsidR="2FEDF7BF">
        <w:rPr>
          <w:rFonts w:ascii="Arial" w:hAnsi="Arial" w:eastAsia="Arial" w:cs="Arial"/>
        </w:rPr>
        <w:t xml:space="preserve">Figure 4 - illustrates </w:t>
      </w:r>
      <w:r w:rsidRPr="279B3FB0" w:rsidR="2FEDF7BF">
        <w:rPr>
          <w:rFonts w:ascii="Arial" w:hAnsi="Arial" w:eastAsia="Arial" w:cs="Arial"/>
        </w:rPr>
        <w:t>Punctuality</w:t>
      </w:r>
      <w:r w:rsidRPr="279B3FB0" w:rsidR="2FEDF7BF">
        <w:rPr>
          <w:rFonts w:ascii="Arial" w:hAnsi="Arial" w:eastAsia="Arial" w:cs="Arial"/>
        </w:rPr>
        <w:t xml:space="preserve"> (</w:t>
      </w:r>
      <w:r w:rsidRPr="279B3FB0" w:rsidR="2FEDF7BF">
        <w:rPr>
          <w:rFonts w:ascii="Arial" w:hAnsi="Arial" w:eastAsia="Arial" w:cs="Arial"/>
          <w:noProof w:val="0"/>
          <w:sz w:val="22"/>
          <w:szCs w:val="22"/>
          <w:lang w:val="en-GB"/>
        </w:rPr>
        <w:t>PPM) and Reliability (</w:t>
      </w:r>
      <w:proofErr w:type="spellStart"/>
      <w:r w:rsidRPr="279B3FB0" w:rsidR="2FEDF7BF">
        <w:rPr>
          <w:rFonts w:ascii="Arial" w:hAnsi="Arial" w:eastAsia="Arial" w:cs="Arial"/>
          <w:noProof w:val="0"/>
          <w:sz w:val="22"/>
          <w:szCs w:val="22"/>
          <w:lang w:val="en-GB"/>
        </w:rPr>
        <w:t>CaSL</w:t>
      </w:r>
      <w:proofErr w:type="spellEnd"/>
      <w:r w:rsidRPr="279B3FB0" w:rsidR="2FEDF7BF">
        <w:rPr>
          <w:rFonts w:ascii="Arial" w:hAnsi="Arial" w:eastAsia="Arial" w:cs="Arial"/>
          <w:noProof w:val="0"/>
          <w:sz w:val="22"/>
          <w:szCs w:val="22"/>
          <w:lang w:val="en-GB"/>
        </w:rPr>
        <w:t>) for, South Western Railway between, 2013-14 Q4 to 2018-19 Q4. The change shown is from 2017-2018 Q4 to 2018-2019 Q4.</w:t>
      </w:r>
    </w:p>
    <w:p w:rsidR="2FEDF7BF" w:rsidP="279B3FB0" w:rsidRDefault="2FEDF7BF" w14:paraId="6BB9DD6E" w14:textId="30831915">
      <w:pPr>
        <w:pStyle w:val="Normal"/>
        <w:rPr>
          <w:rFonts w:ascii="Arial" w:hAnsi="Arial" w:eastAsia="Arial" w:cs="Arial"/>
        </w:rPr>
      </w:pPr>
      <w:r>
        <w:drawing>
          <wp:inline wp14:editId="343F04DE" wp14:anchorId="67491930">
            <wp:extent cx="5438335" cy="5238201"/>
            <wp:effectExtent l="0" t="0" r="0" b="0"/>
            <wp:docPr id="432815292" name="" title=""/>
            <wp:cNvGraphicFramePr>
              <a:graphicFrameLocks noChangeAspect="1"/>
            </wp:cNvGraphicFramePr>
            <a:graphic>
              <a:graphicData uri="http://schemas.openxmlformats.org/drawingml/2006/picture">
                <pic:pic>
                  <pic:nvPicPr>
                    <pic:cNvPr id="0" name=""/>
                    <pic:cNvPicPr/>
                  </pic:nvPicPr>
                  <pic:blipFill>
                    <a:blip r:embed="R49729a9ae94f4560">
                      <a:extLst>
                        <a:ext xmlns:a="http://schemas.openxmlformats.org/drawingml/2006/main" uri="{28A0092B-C50C-407E-A947-70E740481C1C}">
                          <a14:useLocalDpi val="0"/>
                        </a:ext>
                      </a:extLst>
                    </a:blip>
                    <a:srcRect l="24833" t="10714" r="27000" b="6547"/>
                    <a:stretch>
                      <a:fillRect/>
                    </a:stretch>
                  </pic:blipFill>
                  <pic:spPr xmlns:pic="http://schemas.openxmlformats.org/drawingml/2006/picture">
                    <a:xfrm xmlns:a="http://schemas.openxmlformats.org/drawingml/2006/main" rot="0" flipH="0" flipV="0">
                      <a:off x="0" y="0"/>
                      <a:ext cx="5438335" cy="5238201"/>
                    </a:xfrm>
                    <a:prstGeom xmlns:a="http://schemas.openxmlformats.org/drawingml/2006/main" prst="rect">
                      <a:avLst/>
                    </a:prstGeom>
                  </pic:spPr>
                </pic:pic>
              </a:graphicData>
            </a:graphic>
          </wp:inline>
        </w:drawing>
      </w:r>
    </w:p>
    <w:p w:rsidR="2FEDF7BF" w:rsidP="279B3FB0" w:rsidRDefault="2FEDF7BF" w14:paraId="12BCF3CE" w14:textId="54CEA47F">
      <w:pPr>
        <w:pStyle w:val="Normal"/>
        <w:rPr>
          <w:rFonts w:ascii="Arial" w:hAnsi="Arial" w:eastAsia="Arial" w:cs="Arial"/>
          <w:noProof w:val="0"/>
          <w:sz w:val="22"/>
          <w:szCs w:val="22"/>
          <w:lang w:val="en-GB"/>
        </w:rPr>
      </w:pPr>
      <w:r w:rsidRPr="279B3FB0" w:rsidR="279B3FB0">
        <w:rPr>
          <w:rFonts w:ascii="Arial" w:hAnsi="Arial" w:eastAsia="Arial" w:cs="Arial"/>
        </w:rPr>
        <w:t>Figure 5 – illustrates Punctuality (</w:t>
      </w:r>
      <w:r w:rsidRPr="279B3FB0" w:rsidR="279B3FB0">
        <w:rPr>
          <w:rFonts w:ascii="Arial" w:hAnsi="Arial" w:eastAsia="Arial" w:cs="Arial"/>
          <w:noProof w:val="0"/>
          <w:sz w:val="22"/>
          <w:szCs w:val="22"/>
          <w:lang w:val="en-GB"/>
        </w:rPr>
        <w:t>PPM) variation change per rail operators in Great Britain from 2017-18 Q4 to 2018-19 Q4</w:t>
      </w:r>
      <w:r w:rsidRPr="279B3FB0" w:rsidR="279B3FB0">
        <w:rPr>
          <w:rFonts w:ascii="Arial" w:hAnsi="Arial" w:eastAsia="Arial" w:cs="Arial"/>
          <w:noProof w:val="0"/>
          <w:sz w:val="22"/>
          <w:szCs w:val="22"/>
          <w:lang w:val="en-GB"/>
        </w:rPr>
        <w:t>, (ORR, 2019)</w:t>
      </w:r>
    </w:p>
    <w:p w:rsidR="2FEDF7BF" w:rsidP="279B3FB0" w:rsidRDefault="2FEDF7BF" w14:paraId="5B0A24A4" w14:textId="797493B4">
      <w:pPr>
        <w:pStyle w:val="Normal"/>
        <w:rPr>
          <w:rFonts w:ascii="Arial" w:hAnsi="Arial" w:eastAsia="Arial" w:cs="Arial"/>
        </w:rPr>
      </w:pPr>
      <w:r>
        <w:drawing>
          <wp:inline wp14:editId="481B9327" wp14:anchorId="0872713D">
            <wp:extent cx="5381166" cy="5330786"/>
            <wp:effectExtent l="0" t="0" r="0" b="0"/>
            <wp:docPr id="539580780" name="" title=""/>
            <wp:cNvGraphicFramePr>
              <a:graphicFrameLocks noChangeAspect="1"/>
            </wp:cNvGraphicFramePr>
            <a:graphic>
              <a:graphicData uri="http://schemas.openxmlformats.org/drawingml/2006/picture">
                <pic:pic>
                  <pic:nvPicPr>
                    <pic:cNvPr id="0" name=""/>
                    <pic:cNvPicPr/>
                  </pic:nvPicPr>
                  <pic:blipFill>
                    <a:blip r:embed="Rfbf708b4cc434874">
                      <a:extLst>
                        <a:ext xmlns:a="http://schemas.openxmlformats.org/drawingml/2006/main" uri="{28A0092B-C50C-407E-A947-70E740481C1C}">
                          <a14:useLocalDpi val="0"/>
                        </a:ext>
                      </a:extLst>
                    </a:blip>
                    <a:srcRect l="25166" t="10119" r="27833" b="6845"/>
                    <a:stretch>
                      <a:fillRect/>
                    </a:stretch>
                  </pic:blipFill>
                  <pic:spPr xmlns:pic="http://schemas.openxmlformats.org/drawingml/2006/picture">
                    <a:xfrm xmlns:a="http://schemas.openxmlformats.org/drawingml/2006/main" rot="0" flipH="0" flipV="0">
                      <a:off x="0" y="0"/>
                      <a:ext cx="5381166" cy="5330786"/>
                    </a:xfrm>
                    <a:prstGeom xmlns:a="http://schemas.openxmlformats.org/drawingml/2006/main" prst="rect">
                      <a:avLst/>
                    </a:prstGeom>
                  </pic:spPr>
                </pic:pic>
              </a:graphicData>
            </a:graphic>
          </wp:inline>
        </w:drawing>
      </w:r>
    </w:p>
    <w:p w:rsidR="2FEDF7BF" w:rsidP="279B3FB0" w:rsidRDefault="2FEDF7BF" w14:paraId="7C96D930" w14:textId="50E5E390">
      <w:pPr>
        <w:pStyle w:val="Normal"/>
        <w:rPr>
          <w:rFonts w:ascii="Arial" w:hAnsi="Arial" w:eastAsia="Arial" w:cs="Arial"/>
          <w:noProof w:val="0"/>
          <w:sz w:val="22"/>
          <w:szCs w:val="22"/>
          <w:lang w:val="en-GB"/>
        </w:rPr>
      </w:pPr>
      <w:r w:rsidRPr="279B3FB0" w:rsidR="279B3FB0">
        <w:rPr>
          <w:rFonts w:ascii="Arial" w:hAnsi="Arial" w:eastAsia="Arial" w:cs="Arial"/>
        </w:rPr>
        <w:t>Figure 6 – illustrates Reliability  (</w:t>
      </w:r>
      <w:proofErr w:type="spellStart"/>
      <w:r w:rsidRPr="279B3FB0" w:rsidR="279B3FB0">
        <w:rPr>
          <w:rFonts w:ascii="Arial" w:hAnsi="Arial" w:eastAsia="Arial" w:cs="Arial"/>
        </w:rPr>
        <w:t>CaSL</w:t>
      </w:r>
      <w:proofErr w:type="spellEnd"/>
      <w:r w:rsidRPr="279B3FB0" w:rsidR="279B3FB0">
        <w:rPr>
          <w:rFonts w:ascii="Arial" w:hAnsi="Arial" w:eastAsia="Arial" w:cs="Arial"/>
          <w:noProof w:val="0"/>
          <w:sz w:val="22"/>
          <w:szCs w:val="22"/>
          <w:lang w:val="en-GB"/>
        </w:rPr>
        <w:t>) variation change per rail operators in Great Britain from 2017-18 Q4 to 2018-19 Q4</w:t>
      </w:r>
      <w:r w:rsidRPr="279B3FB0" w:rsidR="279B3FB0">
        <w:rPr>
          <w:rFonts w:ascii="Arial" w:hAnsi="Arial" w:eastAsia="Arial" w:cs="Arial"/>
          <w:noProof w:val="0"/>
          <w:sz w:val="22"/>
          <w:szCs w:val="22"/>
          <w:lang w:val="en-GB"/>
        </w:rPr>
        <w:t>, (ORR, 2019)</w:t>
      </w:r>
    </w:p>
    <w:p w:rsidR="2FEDF7BF" w:rsidP="279B3FB0" w:rsidRDefault="2FEDF7BF" w14:paraId="60E4887A" w14:textId="283680AE">
      <w:pPr>
        <w:pStyle w:val="Normal"/>
        <w:rPr>
          <w:rFonts w:ascii="Arial" w:hAnsi="Arial" w:eastAsia="Arial" w:cs="Arial"/>
        </w:rPr>
      </w:pPr>
      <w:r>
        <w:drawing>
          <wp:inline wp14:editId="67057C0C" wp14:anchorId="475CEE5C">
            <wp:extent cx="5774382" cy="3305533"/>
            <wp:effectExtent l="0" t="0" r="0" b="0"/>
            <wp:docPr id="1759516836" name="" title=""/>
            <wp:cNvGraphicFramePr>
              <a:graphicFrameLocks noChangeAspect="1"/>
            </wp:cNvGraphicFramePr>
            <a:graphic>
              <a:graphicData uri="http://schemas.openxmlformats.org/drawingml/2006/picture">
                <pic:pic>
                  <pic:nvPicPr>
                    <pic:cNvPr id="0" name=""/>
                    <pic:cNvPicPr/>
                  </pic:nvPicPr>
                  <pic:blipFill>
                    <a:blip r:embed="Rbead4fa828c7444f">
                      <a:extLst>
                        <a:ext xmlns:a="http://schemas.openxmlformats.org/drawingml/2006/main" uri="{28A0092B-C50C-407E-A947-70E740481C1C}">
                          <a14:useLocalDpi val="0"/>
                        </a:ext>
                      </a:extLst>
                    </a:blip>
                    <a:srcRect l="22500" t="21726" r="24500" b="32142"/>
                    <a:stretch>
                      <a:fillRect/>
                    </a:stretch>
                  </pic:blipFill>
                  <pic:spPr xmlns:pic="http://schemas.openxmlformats.org/drawingml/2006/picture">
                    <a:xfrm xmlns:a="http://schemas.openxmlformats.org/drawingml/2006/main" rot="0" flipH="0" flipV="0">
                      <a:off x="0" y="0"/>
                      <a:ext cx="5774382" cy="3305533"/>
                    </a:xfrm>
                    <a:prstGeom xmlns:a="http://schemas.openxmlformats.org/drawingml/2006/main" prst="rect">
                      <a:avLst/>
                    </a:prstGeom>
                  </pic:spPr>
                </pic:pic>
              </a:graphicData>
            </a:graphic>
          </wp:inline>
        </w:drawing>
      </w:r>
    </w:p>
    <w:p w:rsidR="2FEDF7BF" w:rsidP="279B3FB0" w:rsidRDefault="2FEDF7BF" w14:paraId="1B160288" w14:textId="67707E9F">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Figure 7 - illustrates Passenger journeys (millions) for 2018-19 and percentage change compared to 2017/18, by train operator, London and South East sector</w:t>
      </w:r>
      <w:r w:rsidRPr="279B3FB0" w:rsidR="279B3FB0">
        <w:rPr>
          <w:rFonts w:ascii="Arial" w:hAnsi="Arial" w:eastAsia="Arial" w:cs="Arial"/>
          <w:noProof w:val="0"/>
          <w:sz w:val="22"/>
          <w:szCs w:val="22"/>
          <w:lang w:val="en-GB"/>
        </w:rPr>
        <w:t xml:space="preserve"> (ORR, 2019)</w:t>
      </w:r>
    </w:p>
    <w:p w:rsidR="2FEDF7BF" w:rsidP="279B3FB0" w:rsidRDefault="2FEDF7BF" w14:paraId="4A235334" w14:textId="4C056C7F">
      <w:pPr>
        <w:pStyle w:val="Normal"/>
        <w:rPr>
          <w:rFonts w:ascii="Arial" w:hAnsi="Arial" w:eastAsia="Arial" w:cs="Arial"/>
        </w:rPr>
      </w:pPr>
      <w:r>
        <w:drawing>
          <wp:inline wp14:editId="45F45C0B" wp14:anchorId="3334E569">
            <wp:extent cx="5720718" cy="3353244"/>
            <wp:effectExtent l="0" t="0" r="0" b="0"/>
            <wp:docPr id="521390765" name="" title=""/>
            <wp:cNvGraphicFramePr>
              <a:graphicFrameLocks noChangeAspect="1"/>
            </wp:cNvGraphicFramePr>
            <a:graphic>
              <a:graphicData uri="http://schemas.openxmlformats.org/drawingml/2006/picture">
                <pic:pic>
                  <pic:nvPicPr>
                    <pic:cNvPr id="0" name=""/>
                    <pic:cNvPicPr/>
                  </pic:nvPicPr>
                  <pic:blipFill>
                    <a:blip r:embed="R4babcc3cb5374567">
                      <a:extLst>
                        <a:ext xmlns:a="http://schemas.openxmlformats.org/drawingml/2006/main" uri="{28A0092B-C50C-407E-A947-70E740481C1C}">
                          <a14:useLocalDpi val="0"/>
                        </a:ext>
                      </a:extLst>
                    </a:blip>
                    <a:srcRect l="23166" t="21726" r="23166" b="26488"/>
                    <a:stretch>
                      <a:fillRect/>
                    </a:stretch>
                  </pic:blipFill>
                  <pic:spPr xmlns:pic="http://schemas.openxmlformats.org/drawingml/2006/picture">
                    <a:xfrm xmlns:a="http://schemas.openxmlformats.org/drawingml/2006/main" rot="0" flipH="0" flipV="0">
                      <a:off x="0" y="0"/>
                      <a:ext cx="5720718" cy="3353244"/>
                    </a:xfrm>
                    <a:prstGeom xmlns:a="http://schemas.openxmlformats.org/drawingml/2006/main" prst="rect">
                      <a:avLst/>
                    </a:prstGeom>
                  </pic:spPr>
                </pic:pic>
              </a:graphicData>
            </a:graphic>
          </wp:inline>
        </w:drawing>
      </w:r>
    </w:p>
    <w:p w:rsidR="2FEDF7BF" w:rsidP="279B3FB0" w:rsidRDefault="2FEDF7BF" w14:paraId="27EDE0D8" w14:textId="409851EA">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Figure 8 - illustrates Passenger kilometres (billion kms) by operator for 2018-19 and percentage change compared to 2017/18</w:t>
      </w:r>
      <w:r w:rsidRPr="279B3FB0" w:rsidR="279B3FB0">
        <w:rPr>
          <w:rFonts w:ascii="Arial" w:hAnsi="Arial" w:eastAsia="Arial" w:cs="Arial"/>
          <w:noProof w:val="0"/>
          <w:sz w:val="22"/>
          <w:szCs w:val="22"/>
          <w:lang w:val="en-GB"/>
        </w:rPr>
        <w:t xml:space="preserve"> (ORR, 2019)</w:t>
      </w:r>
    </w:p>
    <w:p w:rsidR="279B3FB0" w:rsidP="279B3FB0" w:rsidRDefault="279B3FB0" w14:paraId="340586F9" w14:textId="77C32364">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Train operating firms with the greatest average use of trains tend to achieve greater efficiency ratings. For instance, Govia Thameslink Rail, which carries the largest number of passengers per year (Figure 7), also got a greater PPM and </w:t>
      </w:r>
      <w:proofErr w:type="spellStart"/>
      <w:r w:rsidRPr="279B3FB0" w:rsidR="279B3FB0">
        <w:rPr>
          <w:rFonts w:ascii="Arial" w:hAnsi="Arial" w:eastAsia="Arial" w:cs="Arial"/>
          <w:noProof w:val="0"/>
          <w:sz w:val="22"/>
          <w:szCs w:val="22"/>
          <w:lang w:val="en-GB"/>
        </w:rPr>
        <w:t>CaSL</w:t>
      </w:r>
      <w:proofErr w:type="spellEnd"/>
      <w:r w:rsidRPr="279B3FB0" w:rsidR="279B3FB0">
        <w:rPr>
          <w:rFonts w:ascii="Arial" w:hAnsi="Arial" w:eastAsia="Arial" w:cs="Arial"/>
          <w:noProof w:val="0"/>
          <w:sz w:val="22"/>
          <w:szCs w:val="22"/>
          <w:lang w:val="en-GB"/>
        </w:rPr>
        <w:t xml:space="preserve"> score in the South East Sector relative to South Western Rail (Figures 5 and 6).</w:t>
      </w:r>
      <w:r w:rsidRPr="279B3FB0" w:rsidR="279B3FB0">
        <w:rPr>
          <w:rFonts w:ascii="Arial" w:hAnsi="Arial" w:eastAsia="Arial" w:cs="Arial"/>
          <w:noProof w:val="0"/>
          <w:sz w:val="22"/>
          <w:szCs w:val="22"/>
          <w:lang w:val="en-GB"/>
        </w:rPr>
        <w:t xml:space="preserve"> </w:t>
      </w:r>
      <w:r w:rsidRPr="279B3FB0" w:rsidR="279B3FB0">
        <w:rPr>
          <w:rFonts w:ascii="Arial" w:hAnsi="Arial" w:eastAsia="Arial" w:cs="Arial"/>
          <w:noProof w:val="0"/>
          <w:sz w:val="22"/>
          <w:szCs w:val="22"/>
          <w:lang w:val="en-GB"/>
        </w:rPr>
        <w:t>However, when considering delay-minutes and franchise payments, the ranking is not precisely the same as a train-operating company may not have done well enough to provide timely services or be cost-effective.</w:t>
      </w:r>
    </w:p>
    <w:p w:rsidR="2FEDF7BF" w:rsidP="279B3FB0" w:rsidRDefault="2FEDF7BF" w14:paraId="44E6F069" w14:textId="32838A41">
      <w:pPr>
        <w:pStyle w:val="Normal"/>
        <w:rPr>
          <w:rFonts w:ascii="Arial" w:hAnsi="Arial" w:eastAsia="Arial" w:cs="Arial"/>
        </w:rPr>
      </w:pPr>
      <w:r>
        <w:drawing>
          <wp:inline wp14:editId="13D883B0" wp14:anchorId="0570995B">
            <wp:extent cx="5209358" cy="3711119"/>
            <wp:effectExtent l="0" t="0" r="0" b="0"/>
            <wp:docPr id="1205024316" name="" title=""/>
            <wp:cNvGraphicFramePr>
              <a:graphicFrameLocks noChangeAspect="1"/>
            </wp:cNvGraphicFramePr>
            <a:graphic>
              <a:graphicData uri="http://schemas.openxmlformats.org/drawingml/2006/picture">
                <pic:pic>
                  <pic:nvPicPr>
                    <pic:cNvPr id="0" name=""/>
                    <pic:cNvPicPr/>
                  </pic:nvPicPr>
                  <pic:blipFill>
                    <a:blip r:embed="R6e496ffafae34eb2">
                      <a:extLst>
                        <a:ext xmlns:a="http://schemas.openxmlformats.org/drawingml/2006/main" uri="{28A0092B-C50C-407E-A947-70E740481C1C}">
                          <a14:useLocalDpi val="0"/>
                        </a:ext>
                      </a:extLst>
                    </a:blip>
                    <a:srcRect l="28333" t="20833" r="29500" b="25595"/>
                    <a:stretch>
                      <a:fillRect/>
                    </a:stretch>
                  </pic:blipFill>
                  <pic:spPr xmlns:pic="http://schemas.openxmlformats.org/drawingml/2006/picture">
                    <a:xfrm xmlns:a="http://schemas.openxmlformats.org/drawingml/2006/main" rot="0" flipH="0" flipV="0">
                      <a:off x="0" y="0"/>
                      <a:ext cx="5209358" cy="3711119"/>
                    </a:xfrm>
                    <a:prstGeom xmlns:a="http://schemas.openxmlformats.org/drawingml/2006/main" prst="rect">
                      <a:avLst/>
                    </a:prstGeom>
                  </pic:spPr>
                </pic:pic>
              </a:graphicData>
            </a:graphic>
          </wp:inline>
        </w:drawing>
      </w:r>
    </w:p>
    <w:p w:rsidR="2FEDF7BF" w:rsidP="279B3FB0" w:rsidRDefault="2FEDF7BF" w14:paraId="4F9D1F42" w14:textId="083F9255">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Figure 9 – compares timetabled train km’s vs passenger km’s</w:t>
      </w:r>
      <w:r w:rsidRPr="279B3FB0" w:rsidR="279B3FB0">
        <w:rPr>
          <w:rFonts w:ascii="Arial" w:hAnsi="Arial" w:eastAsia="Arial" w:cs="Arial"/>
          <w:noProof w:val="0"/>
          <w:sz w:val="22"/>
          <w:szCs w:val="22"/>
          <w:lang w:val="en-GB"/>
        </w:rPr>
        <w:t>, (ORR, 2019)</w:t>
      </w:r>
    </w:p>
    <w:p w:rsidR="279B3FB0" w:rsidP="4E774B5E" w:rsidRDefault="279B3FB0" w14:paraId="5AEC04AF" w14:textId="6CB7AF39">
      <w:pPr>
        <w:pStyle w:val="Normal"/>
        <w:rPr>
          <w:rFonts w:ascii="Arial" w:hAnsi="Arial" w:eastAsia="Arial" w:cs="Arial"/>
          <w:noProof w:val="0"/>
          <w:sz w:val="22"/>
          <w:szCs w:val="22"/>
          <w:lang w:val="en-GB"/>
        </w:rPr>
      </w:pPr>
      <w:r w:rsidRPr="4E774B5E" w:rsidR="4E774B5E">
        <w:rPr>
          <w:rFonts w:ascii="Arial" w:hAnsi="Arial" w:eastAsia="Arial" w:cs="Arial"/>
          <w:noProof w:val="0"/>
          <w:sz w:val="22"/>
          <w:szCs w:val="22"/>
          <w:lang w:val="en-GB"/>
        </w:rPr>
        <w:t>Less effective operators use more track capacities (expressed by train-km scheduled) than is essential to produce passenger-km or are less effective in generating timely services or receiving more franchise payments than is essential. Reducing timetabled train kilomet</w:t>
      </w:r>
      <w:r w:rsidRPr="4E774B5E" w:rsidR="4E774B5E">
        <w:rPr>
          <w:rFonts w:ascii="Arial" w:hAnsi="Arial" w:eastAsia="Arial" w:cs="Arial"/>
          <w:noProof w:val="0"/>
          <w:sz w:val="22"/>
          <w:szCs w:val="22"/>
          <w:lang w:val="en-GB"/>
        </w:rPr>
        <w:t>re</w:t>
      </w:r>
      <w:r w:rsidRPr="4E774B5E" w:rsidR="4E774B5E">
        <w:rPr>
          <w:rFonts w:ascii="Arial" w:hAnsi="Arial" w:eastAsia="Arial" w:cs="Arial"/>
          <w:noProof w:val="0"/>
          <w:sz w:val="22"/>
          <w:szCs w:val="22"/>
          <w:lang w:val="en-GB"/>
        </w:rPr>
        <w:t>s inefficient would increase train load factor and capacity utilization efficiency. Operators who are not operationally efficient, as indicated by Smith (2009), may: have a low overall load factor, carry a lot of empty off-peak seats or carry empty long</w:t>
      </w:r>
      <w:r w:rsidRPr="4E774B5E" w:rsidR="4E774B5E">
        <w:rPr>
          <w:rFonts w:ascii="Arial" w:hAnsi="Arial" w:eastAsia="Arial" w:cs="Arial"/>
          <w:noProof w:val="0"/>
          <w:sz w:val="22"/>
          <w:szCs w:val="22"/>
          <w:lang w:val="en-GB"/>
        </w:rPr>
        <w:t>-</w:t>
      </w:r>
      <w:r w:rsidRPr="4E774B5E" w:rsidR="4E774B5E">
        <w:rPr>
          <w:rFonts w:ascii="Arial" w:hAnsi="Arial" w:eastAsia="Arial" w:cs="Arial"/>
          <w:noProof w:val="0"/>
          <w:sz w:val="22"/>
          <w:szCs w:val="22"/>
          <w:lang w:val="en-GB"/>
        </w:rPr>
        <w:t>distance seats to meet short distance demand.</w:t>
      </w:r>
    </w:p>
    <w:p w:rsidR="279B3FB0" w:rsidP="279B3FB0" w:rsidRDefault="279B3FB0" w14:paraId="627ABB82" w14:textId="69347BCB">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Some of the ways South Western Rail could increase its efficiency is to: reduce its train frequency to increase its load factor (passenger per train), use marketing techniques to attract more passengers to their current services and increase the load factor, increase the reliability of their train services to reduce delays.</w:t>
      </w:r>
    </w:p>
    <w:p w:rsidR="279B3FB0" w:rsidP="279B3FB0" w:rsidRDefault="279B3FB0" w14:paraId="2AD3F024" w14:textId="4A6D0113">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The findings can also provide railway officials with useful ideas to plan infrastructure and franchise payments better. For example, Figure 5 findings show a very low level of operational efficiency across the South and South East Sector. In the punctuality ratings, </w:t>
      </w:r>
      <w:proofErr w:type="spellStart"/>
      <w:r w:rsidRPr="279B3FB0" w:rsidR="279B3FB0">
        <w:rPr>
          <w:rFonts w:ascii="Arial" w:hAnsi="Arial" w:eastAsia="Arial" w:cs="Arial"/>
          <w:noProof w:val="0"/>
          <w:sz w:val="22"/>
          <w:szCs w:val="22"/>
          <w:lang w:val="en-GB"/>
        </w:rPr>
        <w:t>Meresey</w:t>
      </w:r>
      <w:proofErr w:type="spellEnd"/>
      <w:r w:rsidRPr="279B3FB0" w:rsidR="279B3FB0">
        <w:rPr>
          <w:rFonts w:ascii="Arial" w:hAnsi="Arial" w:eastAsia="Arial" w:cs="Arial"/>
          <w:noProof w:val="0"/>
          <w:sz w:val="22"/>
          <w:szCs w:val="22"/>
          <w:lang w:val="en-GB"/>
        </w:rPr>
        <w:t xml:space="preserve"> Rail and Chiltern Railways performed extremely well, with 95.5 percent and 92.9 percent respectively. While 82.7% and 82.3% were managed by both Govia and South Western Railways. This also shows South Western Rail's need to cut its franchise payments and allocate kilometres of timetable. A closer look at South Western Rail's geographic region of operation demonstrates </w:t>
      </w:r>
      <w:proofErr w:type="gramStart"/>
      <w:r w:rsidRPr="279B3FB0" w:rsidR="279B3FB0">
        <w:rPr>
          <w:rFonts w:ascii="Arial" w:hAnsi="Arial" w:eastAsia="Arial" w:cs="Arial"/>
          <w:noProof w:val="0"/>
          <w:sz w:val="22"/>
          <w:szCs w:val="22"/>
          <w:lang w:val="en-GB"/>
        </w:rPr>
        <w:t>a</w:t>
      </w:r>
      <w:proofErr w:type="gramEnd"/>
      <w:r w:rsidRPr="279B3FB0" w:rsidR="279B3FB0">
        <w:rPr>
          <w:rFonts w:ascii="Arial" w:hAnsi="Arial" w:eastAsia="Arial" w:cs="Arial"/>
          <w:noProof w:val="0"/>
          <w:sz w:val="22"/>
          <w:szCs w:val="22"/>
          <w:lang w:val="en-GB"/>
        </w:rPr>
        <w:t xml:space="preserve"> overlap with two other train operating companies, most notably TfL and London Overground (figures 5 and 7). This suggests that South Western Rail is not an operationally efficient route and needs greater investment from National Rail. </w:t>
      </w:r>
    </w:p>
    <w:p w:rsidR="279B3FB0" w:rsidP="279B3FB0" w:rsidRDefault="279B3FB0" w14:paraId="124E6900" w14:textId="0DA9EF11">
      <w:pPr>
        <w:pStyle w:val="Heading1"/>
        <w:rPr>
          <w:rFonts w:ascii="Arial" w:hAnsi="Arial" w:eastAsia="Arial" w:cs="Arial"/>
          <w:noProof w:val="0"/>
          <w:lang w:val="en-GB"/>
        </w:rPr>
      </w:pPr>
      <w:r w:rsidRPr="279B3FB0" w:rsidR="279B3FB0">
        <w:rPr>
          <w:rFonts w:ascii="Arial" w:hAnsi="Arial" w:eastAsia="Arial" w:cs="Arial"/>
          <w:noProof w:val="0"/>
          <w:lang w:val="en-GB"/>
        </w:rPr>
        <w:t>Improve</w:t>
      </w:r>
    </w:p>
    <w:p w:rsidR="279B3FB0" w:rsidP="279B3FB0" w:rsidRDefault="279B3FB0" w14:paraId="126A6D09" w14:textId="736D341D">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Overall, the use of ability can be enhanced by enhancing any of the parameters affecting the use of ability. The South West Main Line is one of London's main shuttle routes, as well as significant for freight from Southampton Port (South Western Railway, 2019). Figure 10 shows its geographical location.</w:t>
      </w:r>
    </w:p>
    <w:p w:rsidR="279B3FB0" w:rsidP="279B3FB0" w:rsidRDefault="279B3FB0" w14:paraId="25CB61B0" w14:textId="5E78E379">
      <w:pPr>
        <w:pStyle w:val="Normal"/>
        <w:rPr>
          <w:rFonts w:ascii="Arial" w:hAnsi="Arial" w:eastAsia="Arial" w:cs="Arial"/>
        </w:rPr>
      </w:pPr>
      <w:r>
        <w:drawing>
          <wp:inline wp14:editId="1B2C942E" wp14:anchorId="230DE800">
            <wp:extent cx="5236798" cy="3599796"/>
            <wp:effectExtent l="0" t="0" r="0" b="0"/>
            <wp:docPr id="732144824" name="" title=""/>
            <wp:cNvGraphicFramePr>
              <a:graphicFrameLocks noChangeAspect="1"/>
            </wp:cNvGraphicFramePr>
            <a:graphic>
              <a:graphicData uri="http://schemas.openxmlformats.org/drawingml/2006/picture">
                <pic:pic>
                  <pic:nvPicPr>
                    <pic:cNvPr id="0" name=""/>
                    <pic:cNvPicPr/>
                  </pic:nvPicPr>
                  <pic:blipFill>
                    <a:blip r:embed="Rb7418cb7348847fa">
                      <a:extLst>
                        <a:ext xmlns:a="http://schemas.openxmlformats.org/drawingml/2006/main" uri="{28A0092B-C50C-407E-A947-70E740481C1C}">
                          <a14:useLocalDpi val="0"/>
                        </a:ext>
                      </a:extLst>
                    </a:blip>
                    <a:srcRect l="16133" t="11666" r="16666" b="5952"/>
                    <a:stretch>
                      <a:fillRect/>
                    </a:stretch>
                  </pic:blipFill>
                  <pic:spPr xmlns:pic="http://schemas.openxmlformats.org/drawingml/2006/picture">
                    <a:xfrm xmlns:a="http://schemas.openxmlformats.org/drawingml/2006/main" rot="0" flipH="0" flipV="0">
                      <a:off x="0" y="0"/>
                      <a:ext cx="5236798" cy="3599796"/>
                    </a:xfrm>
                    <a:prstGeom xmlns:a="http://schemas.openxmlformats.org/drawingml/2006/main" prst="rect">
                      <a:avLst/>
                    </a:prstGeom>
                  </pic:spPr>
                </pic:pic>
              </a:graphicData>
            </a:graphic>
          </wp:inline>
        </w:drawing>
      </w:r>
    </w:p>
    <w:p w:rsidR="279B3FB0" w:rsidP="279B3FB0" w:rsidRDefault="279B3FB0" w14:paraId="72E030CF" w14:textId="0E426B0A">
      <w:pPr>
        <w:pStyle w:val="Normal"/>
        <w:rPr>
          <w:rFonts w:ascii="Arial" w:hAnsi="Arial" w:eastAsia="Arial" w:cs="Arial"/>
          <w:noProof w:val="0"/>
          <w:lang w:val="en-GB"/>
        </w:rPr>
      </w:pPr>
      <w:r w:rsidRPr="279B3FB0" w:rsidR="279B3FB0">
        <w:rPr>
          <w:rFonts w:ascii="Arial" w:hAnsi="Arial" w:eastAsia="Arial" w:cs="Arial"/>
          <w:noProof w:val="0"/>
          <w:lang w:val="en-GB"/>
        </w:rPr>
        <w:t>Figure 10 – South Western Main Line</w:t>
      </w:r>
    </w:p>
    <w:p w:rsidR="279B3FB0" w:rsidP="279B3FB0" w:rsidRDefault="279B3FB0" w14:paraId="69DBD37B" w14:textId="0CD2F16F">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To improve any system, it is necessary to constantly ask and answer three fundamental questions: What to change? What's going to change? How can the change be caused? (McMullen, 1998)' the weakest link in the chain' should be recognized to enhance this line segment. Capacity utilization assessment is performed to locate the weakest line segment.</w:t>
      </w:r>
    </w:p>
    <w:p w:rsidR="279B3FB0" w:rsidP="279B3FB0" w:rsidRDefault="279B3FB0" w14:paraId="5520AE72" w14:textId="471BCF55">
      <w:pPr>
        <w:pStyle w:val="Normal"/>
        <w:rPr>
          <w:rFonts w:ascii="Arial" w:hAnsi="Arial" w:eastAsia="Arial" w:cs="Arial"/>
          <w:noProof w:val="0"/>
          <w:sz w:val="22"/>
          <w:szCs w:val="22"/>
          <w:lang w:val="en-GB"/>
        </w:rPr>
      </w:pPr>
      <w:r>
        <w:drawing>
          <wp:inline wp14:editId="526230F1" wp14:anchorId="0959A667">
            <wp:extent cx="6074778" cy="1630600"/>
            <wp:effectExtent l="0" t="0" r="0" b="0"/>
            <wp:docPr id="1608453055" name="" title=""/>
            <wp:cNvGraphicFramePr>
              <a:graphicFrameLocks noChangeAspect="1"/>
            </wp:cNvGraphicFramePr>
            <a:graphic>
              <a:graphicData uri="http://schemas.openxmlformats.org/drawingml/2006/picture">
                <pic:pic>
                  <pic:nvPicPr>
                    <pic:cNvPr id="0" name=""/>
                    <pic:cNvPicPr/>
                  </pic:nvPicPr>
                  <pic:blipFill>
                    <a:blip r:embed="R5d53a163e3084d86">
                      <a:extLst>
                        <a:ext xmlns:a="http://schemas.openxmlformats.org/drawingml/2006/main" uri="{28A0092B-C50C-407E-A947-70E740481C1C}">
                          <a14:useLocalDpi val="0"/>
                        </a:ext>
                      </a:extLst>
                    </a:blip>
                    <a:srcRect l="27866" t="35476" r="27866" b="43333"/>
                    <a:stretch>
                      <a:fillRect/>
                    </a:stretch>
                  </pic:blipFill>
                  <pic:spPr xmlns:pic="http://schemas.openxmlformats.org/drawingml/2006/picture">
                    <a:xfrm xmlns:a="http://schemas.openxmlformats.org/drawingml/2006/main" rot="0" flipH="0" flipV="0">
                      <a:off x="0" y="0"/>
                      <a:ext cx="6074778" cy="1630600"/>
                    </a:xfrm>
                    <a:prstGeom xmlns:a="http://schemas.openxmlformats.org/drawingml/2006/main" prst="rect">
                      <a:avLst/>
                    </a:prstGeom>
                  </pic:spPr>
                </pic:pic>
              </a:graphicData>
            </a:graphic>
          </wp:inline>
        </w:drawing>
      </w:r>
      <w:r w:rsidRPr="279B3FB0" w:rsidR="279B3FB0">
        <w:rPr>
          <w:rFonts w:ascii="Arial" w:hAnsi="Arial" w:eastAsia="Arial" w:cs="Arial"/>
        </w:rPr>
        <w:t>Figure 11 – illustrates</w:t>
      </w:r>
      <w:r w:rsidRPr="279B3FB0" w:rsidR="279B3FB0">
        <w:rPr>
          <w:rFonts w:ascii="Arial" w:hAnsi="Arial" w:eastAsia="Arial" w:cs="Arial"/>
          <w:noProof w:val="0"/>
          <w:sz w:val="22"/>
          <w:szCs w:val="22"/>
          <w:lang w:val="en-GB"/>
        </w:rPr>
        <w:t xml:space="preserve"> the 8 service groups SWR operates and the approximate percentage of the total daily service (SWR, 2018)</w:t>
      </w:r>
    </w:p>
    <w:p w:rsidR="279B3FB0" w:rsidP="279B3FB0" w:rsidRDefault="279B3FB0" w14:paraId="79B143F7" w14:textId="01702AA6">
      <w:pPr>
        <w:pStyle w:val="Normal"/>
        <w:rPr>
          <w:rFonts w:ascii="Arial" w:hAnsi="Arial" w:eastAsia="Arial" w:cs="Arial"/>
          <w:noProof w:val="0"/>
          <w:sz w:val="22"/>
          <w:szCs w:val="22"/>
          <w:lang w:val="en-GB"/>
        </w:rPr>
      </w:pPr>
      <w:r w:rsidRPr="279B3FB0" w:rsidR="279B3FB0">
        <w:rPr>
          <w:rFonts w:ascii="Arial" w:hAnsi="Arial" w:eastAsia="Arial" w:cs="Arial"/>
        </w:rPr>
        <w:t>Analysis of the shift in percentage from 2016/17 to 2017/2018 demonstrates a widening of the spectrum</w:t>
      </w:r>
      <w:r w:rsidRPr="279B3FB0" w:rsidR="279B3FB0">
        <w:rPr>
          <w:rFonts w:ascii="Arial" w:hAnsi="Arial" w:eastAsia="Arial" w:cs="Arial"/>
          <w:noProof w:val="0"/>
          <w:sz w:val="22"/>
          <w:szCs w:val="22"/>
          <w:lang w:val="en-GB"/>
        </w:rPr>
        <w:t xml:space="preserve">. Long-distance journeys are covered by the worst performing service organizations: HY08 Waterloo- Weymouth, HY03 Waterloo West England and HY07 Waterloo West Portsmouth. </w:t>
      </w:r>
      <w:r w:rsidRPr="279B3FB0" w:rsidR="279B3FB0">
        <w:rPr>
          <w:rFonts w:ascii="Arial" w:hAnsi="Arial" w:eastAsia="Arial" w:cs="Arial"/>
          <w:noProof w:val="0"/>
          <w:sz w:val="22"/>
          <w:szCs w:val="22"/>
          <w:lang w:val="en-GB"/>
        </w:rPr>
        <w:t>These service organizations are also the ones that have seen the fastest results decrease over the past two years (SWR, 2019).</w:t>
      </w:r>
    </w:p>
    <w:p w:rsidR="279B3FB0" w:rsidP="279B3FB0" w:rsidRDefault="279B3FB0" w14:paraId="7D14A204" w14:textId="0A27F583">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As the line with the biggest percentage swing modifications, the line from Weymouth to Waterloo will be further analysed to define reasons for the worsening of the PPM. The last stop on this line is London Waterloo, a dead-end station, which implies that if accessibility to the platform is poor, the approaching lines pose a danger of serious capacity delays. SWR could therefore identify the weakest line section by analysing which stations are experiencing congestion on platforms before Waterloo, either because the line is a junction or a change in track number. Particular attention could be given to Raynes Park— Clapham Junction, which sees a shift in the number of tracks (4-8) and, moreover, a prominent junction in the line.</w:t>
      </w:r>
    </w:p>
    <w:p w:rsidR="279B3FB0" w:rsidP="279B3FB0" w:rsidRDefault="279B3FB0" w14:paraId="2AC79906" w14:textId="211551D9">
      <w:pPr>
        <w:pStyle w:val="Heading1"/>
        <w:rPr>
          <w:rFonts w:ascii="Arial" w:hAnsi="Arial" w:eastAsia="Arial" w:cs="Arial"/>
          <w:noProof w:val="0"/>
          <w:lang w:val="en-GB"/>
        </w:rPr>
      </w:pPr>
      <w:r w:rsidRPr="279B3FB0" w:rsidR="279B3FB0">
        <w:rPr>
          <w:rFonts w:ascii="Arial" w:hAnsi="Arial" w:eastAsia="Arial" w:cs="Arial"/>
          <w:noProof w:val="0"/>
          <w:lang w:val="en-GB"/>
        </w:rPr>
        <w:t xml:space="preserve">Conclusion </w:t>
      </w:r>
    </w:p>
    <w:p w:rsidR="279B3FB0" w:rsidP="279B3FB0" w:rsidRDefault="279B3FB0" w14:paraId="3DCCF04C" w14:textId="62D4C684">
      <w:pPr>
        <w:pStyle w:val="Normal"/>
        <w:rPr>
          <w:rFonts w:ascii="Arial" w:hAnsi="Arial" w:eastAsia="Arial" w:cs="Arial"/>
          <w:noProof w:val="0"/>
          <w:lang w:val="en-GB"/>
        </w:rPr>
      </w:pPr>
    </w:p>
    <w:p w:rsidR="279B3FB0" w:rsidP="279B3FB0" w:rsidRDefault="279B3FB0" w14:paraId="06BDE3D7" w14:textId="6ADB4B13">
      <w:pPr>
        <w:pStyle w:val="Normal"/>
        <w:rPr>
          <w:rFonts w:ascii="Arial" w:hAnsi="Arial" w:eastAsia="Arial" w:cs="Arial"/>
          <w:noProof w:val="0"/>
          <w:lang w:val="en-GB"/>
        </w:rPr>
      </w:pPr>
      <w:r w:rsidRPr="279B3FB0" w:rsidR="279B3FB0">
        <w:rPr>
          <w:rFonts w:ascii="Arial" w:hAnsi="Arial" w:eastAsia="Arial" w:cs="Arial"/>
          <w:noProof w:val="0"/>
          <w:lang w:val="en-GB"/>
        </w:rPr>
        <w:t>Growth in demand for rail passengers outweighs the rise in railway track ability on the supply side. As a result, many railways are facing a capability challenge globally. Faced with this scenario, adequate measurement and management of capacity utilization is very crucial.</w:t>
      </w:r>
    </w:p>
    <w:p w:rsidR="279B3FB0" w:rsidP="279B3FB0" w:rsidRDefault="279B3FB0" w14:paraId="066F93E6" w14:textId="3165083E">
      <w:pPr>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The report indicates adopting Six Sigma's DMAIC cycle to define, measure, </w:t>
      </w:r>
      <w:r w:rsidRPr="279B3FB0" w:rsidR="279B3FB0">
        <w:rPr>
          <w:rFonts w:ascii="Arial" w:hAnsi="Arial" w:eastAsia="Arial" w:cs="Arial"/>
          <w:noProof w:val="0"/>
          <w:sz w:val="22"/>
          <w:szCs w:val="22"/>
          <w:lang w:val="en-GB"/>
        </w:rPr>
        <w:t>analyse</w:t>
      </w:r>
      <w:r w:rsidRPr="279B3FB0" w:rsidR="279B3FB0">
        <w:rPr>
          <w:rFonts w:ascii="Arial" w:hAnsi="Arial" w:eastAsia="Arial" w:cs="Arial"/>
          <w:noProof w:val="0"/>
          <w:sz w:val="22"/>
          <w:szCs w:val="22"/>
          <w:lang w:val="en-GB"/>
        </w:rPr>
        <w:t xml:space="preserve"> and enhance tactical capacity utilization.  </w:t>
      </w:r>
    </w:p>
    <w:p w:rsidR="279B3FB0" w:rsidP="279B3FB0" w:rsidRDefault="279B3FB0" w14:paraId="026DCE84" w14:textId="16D56996">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Differentiating micro-and macro-capacity use is emphasized as the first step. In this regard, macro-capacity use is defined as the quantity of discrete steps to use railway capacity such as the number of trains and train paths, while micro-capacity use is defined as the quality of discrete steps to use railway capacity such as train load factor. Lean capacity utilization is therefore described as' the capacity of the infrastructure to produce added value by allowing passengers or freight to reach their destination as planned”.</w:t>
      </w:r>
    </w:p>
    <w:p w:rsidR="279B3FB0" w:rsidP="279B3FB0" w:rsidRDefault="279B3FB0" w14:paraId="3562471D" w14:textId="450888AB">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To assess the comparative use of train operators ' ability, it is suggested that public franchise payments and timetabled train-kilometres be considered as inputs for the DEA model. Passenger kilometres and delay minutes (unwanted impact) are discussed and regarded as excellent indicators of lean capacity utilization and service quality.</w:t>
      </w:r>
    </w:p>
    <w:p w:rsidR="279B3FB0" w:rsidP="279B3FB0" w:rsidRDefault="279B3FB0" w14:paraId="5F78C523" w14:textId="291A3F72">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The reduction of waste in stations and by trains is also a significant practical implication. In stations that take train trips longer, boost road occupancy and do not attract enough </w:t>
      </w:r>
      <w:r w:rsidRPr="279B3FB0" w:rsidR="279B3FB0">
        <w:rPr>
          <w:rFonts w:ascii="Arial" w:hAnsi="Arial" w:eastAsia="Arial" w:cs="Arial"/>
          <w:noProof w:val="0"/>
          <w:sz w:val="22"/>
          <w:szCs w:val="22"/>
          <w:lang w:val="en-GB"/>
        </w:rPr>
        <w:t>travellers</w:t>
      </w:r>
      <w:r w:rsidRPr="279B3FB0" w:rsidR="279B3FB0">
        <w:rPr>
          <w:rFonts w:ascii="Arial" w:hAnsi="Arial" w:eastAsia="Arial" w:cs="Arial"/>
          <w:noProof w:val="0"/>
          <w:sz w:val="22"/>
          <w:szCs w:val="22"/>
          <w:lang w:val="en-GB"/>
        </w:rPr>
        <w:t>, there is some unnecessary train stops. The domestic DEA methodology can be implemented to evaluate the comparative operating efficiency and efficiency of stations at the domestic level. Model target values can be fed into tactical calendar scheduling and train activities can be improved.</w:t>
      </w:r>
    </w:p>
    <w:p w:rsidR="279B3FB0" w:rsidP="279B3FB0" w:rsidRDefault="279B3FB0" w14:paraId="6A9C4E03" w14:textId="213EE6BF">
      <w:pPr>
        <w:pStyle w:val="Normal"/>
        <w:rPr>
          <w:rFonts w:ascii="Arial" w:hAnsi="Arial" w:eastAsia="Arial" w:cs="Arial"/>
          <w:noProof w:val="0"/>
          <w:lang w:val="en-GB"/>
        </w:rPr>
      </w:pPr>
    </w:p>
    <w:p w:rsidR="57A91123" w:rsidP="279B3FB0" w:rsidRDefault="57A91123" w14:paraId="0E7224B5" w14:textId="24A7A8C1">
      <w:pPr>
        <w:pStyle w:val="Heading1"/>
        <w:rPr>
          <w:rFonts w:ascii="Arial" w:hAnsi="Arial" w:eastAsia="Arial" w:cs="Arial"/>
          <w:noProof w:val="0"/>
          <w:lang w:val="en-GB"/>
        </w:rPr>
      </w:pPr>
      <w:r w:rsidRPr="279B3FB0" w:rsidR="279B3FB0">
        <w:rPr>
          <w:rFonts w:ascii="Arial" w:hAnsi="Arial" w:eastAsia="Arial" w:cs="Arial"/>
          <w:noProof w:val="0"/>
          <w:lang w:val="en-GB"/>
        </w:rPr>
        <w:t>References</w:t>
      </w:r>
    </w:p>
    <w:p w:rsidR="2FEDF7BF" w:rsidP="279B3FB0" w:rsidRDefault="2FEDF7BF" w14:paraId="0B4679CC" w14:textId="4A7126E2">
      <w:pPr>
        <w:pStyle w:val="Normal"/>
        <w:rPr>
          <w:rFonts w:ascii="Arial" w:hAnsi="Arial" w:eastAsia="Arial" w:cs="Arial"/>
          <w:noProof w:val="0"/>
          <w:lang w:val="en-GB"/>
        </w:rPr>
      </w:pPr>
    </w:p>
    <w:p w:rsidR="279B3FB0" w:rsidP="279B3FB0" w:rsidRDefault="279B3FB0" w14:paraId="5E3D36D0" w14:textId="3776E235">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LARSON, A. 2003. Demystifying six </w:t>
      </w:r>
      <w:proofErr w:type="gramStart"/>
      <w:r w:rsidRPr="279B3FB0" w:rsidR="279B3FB0">
        <w:rPr>
          <w:rFonts w:ascii="Arial" w:hAnsi="Arial" w:eastAsia="Arial" w:cs="Arial"/>
          <w:noProof w:val="0"/>
          <w:sz w:val="22"/>
          <w:szCs w:val="22"/>
          <w:lang w:val="en-GB"/>
        </w:rPr>
        <w:t>sigma</w:t>
      </w:r>
      <w:proofErr w:type="gramEnd"/>
      <w:r w:rsidRPr="279B3FB0" w:rsidR="279B3FB0">
        <w:rPr>
          <w:rFonts w:ascii="Arial" w:hAnsi="Arial" w:eastAsia="Arial" w:cs="Arial"/>
          <w:noProof w:val="0"/>
          <w:sz w:val="22"/>
          <w:szCs w:val="22"/>
          <w:lang w:val="en-GB"/>
        </w:rPr>
        <w:t>: a company-wide approach to continuous improvement, AMACOM/American Management Association.</w:t>
      </w:r>
    </w:p>
    <w:p w:rsidR="279B3FB0" w:rsidP="279B3FB0" w:rsidRDefault="279B3FB0" w14:paraId="1B21A3C7" w14:textId="3B77FDA8">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SASSER, W. E., OLSEN, R. P., WYCKOFF, D. D. &amp; </w:t>
      </w:r>
      <w:r w:rsidRPr="279B3FB0" w:rsidR="279B3FB0">
        <w:rPr>
          <w:rFonts w:ascii="Arial" w:hAnsi="Arial" w:eastAsia="Arial" w:cs="Arial"/>
          <w:noProof w:val="0"/>
          <w:sz w:val="22"/>
          <w:szCs w:val="22"/>
          <w:lang w:val="en-GB"/>
        </w:rPr>
        <w:t>SERVICES</w:t>
      </w:r>
      <w:r w:rsidRPr="279B3FB0" w:rsidR="279B3FB0">
        <w:rPr>
          <w:rFonts w:ascii="Arial" w:hAnsi="Arial" w:eastAsia="Arial" w:cs="Arial"/>
          <w:noProof w:val="0"/>
          <w:sz w:val="22"/>
          <w:szCs w:val="22"/>
          <w:lang w:val="en-GB"/>
        </w:rPr>
        <w:t xml:space="preserve">, H. U. G. S. O. B. 1978. Management of service operations: Text, cases, and readings, </w:t>
      </w:r>
      <w:proofErr w:type="spellStart"/>
      <w:r w:rsidRPr="279B3FB0" w:rsidR="279B3FB0">
        <w:rPr>
          <w:rFonts w:ascii="Arial" w:hAnsi="Arial" w:eastAsia="Arial" w:cs="Arial"/>
          <w:noProof w:val="0"/>
          <w:sz w:val="22"/>
          <w:szCs w:val="22"/>
          <w:lang w:val="en-GB"/>
        </w:rPr>
        <w:t>Allyn</w:t>
      </w:r>
      <w:proofErr w:type="spellEnd"/>
      <w:r w:rsidRPr="279B3FB0" w:rsidR="279B3FB0">
        <w:rPr>
          <w:rFonts w:ascii="Arial" w:hAnsi="Arial" w:eastAsia="Arial" w:cs="Arial"/>
          <w:noProof w:val="0"/>
          <w:sz w:val="22"/>
          <w:szCs w:val="22"/>
          <w:lang w:val="en-GB"/>
        </w:rPr>
        <w:t xml:space="preserve"> and Bacon Boston.</w:t>
      </w:r>
    </w:p>
    <w:p w:rsidR="279B3FB0" w:rsidP="279B3FB0" w:rsidRDefault="279B3FB0" w14:paraId="53B0798C" w14:textId="213424CA">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CHARANTIMATH, P. M. 2011. Total Quality Management, New Delhi, Dorling Kindersley </w:t>
      </w:r>
      <w:proofErr w:type="spellStart"/>
      <w:r w:rsidRPr="279B3FB0" w:rsidR="279B3FB0">
        <w:rPr>
          <w:rFonts w:ascii="Arial" w:hAnsi="Arial" w:eastAsia="Arial" w:cs="Arial"/>
          <w:noProof w:val="0"/>
          <w:sz w:val="22"/>
          <w:szCs w:val="22"/>
          <w:lang w:val="en-GB"/>
        </w:rPr>
        <w:t>Pvt.</w:t>
      </w:r>
      <w:proofErr w:type="spellEnd"/>
      <w:r w:rsidRPr="279B3FB0" w:rsidR="279B3FB0">
        <w:rPr>
          <w:rFonts w:ascii="Arial" w:hAnsi="Arial" w:eastAsia="Arial" w:cs="Arial"/>
          <w:noProof w:val="0"/>
          <w:sz w:val="22"/>
          <w:szCs w:val="22"/>
          <w:lang w:val="en-GB"/>
        </w:rPr>
        <w:t xml:space="preserve"> Ltd.</w:t>
      </w:r>
    </w:p>
    <w:p w:rsidR="57A91123" w:rsidP="279B3FB0" w:rsidRDefault="57A91123" w14:paraId="3F9E0D16" w14:textId="0066A9DF">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T. </w:t>
      </w:r>
      <w:proofErr w:type="spellStart"/>
      <w:r w:rsidRPr="279B3FB0" w:rsidR="279B3FB0">
        <w:rPr>
          <w:rFonts w:ascii="Arial" w:hAnsi="Arial" w:eastAsia="Arial" w:cs="Arial"/>
          <w:noProof w:val="0"/>
          <w:sz w:val="22"/>
          <w:szCs w:val="22"/>
          <w:lang w:val="en-GB"/>
        </w:rPr>
        <w:t>Pyzdek</w:t>
      </w:r>
      <w:proofErr w:type="spellEnd"/>
      <w:r w:rsidRPr="279B3FB0" w:rsidR="279B3FB0">
        <w:rPr>
          <w:rFonts w:ascii="Arial" w:hAnsi="Arial" w:eastAsia="Arial" w:cs="Arial"/>
          <w:noProof w:val="0"/>
          <w:sz w:val="22"/>
          <w:szCs w:val="22"/>
          <w:lang w:val="en-GB"/>
        </w:rPr>
        <w:t>, P. Keller (2003) The Six Sigma handbook: a complete guide for green belts, black belts, and managers at all levels, McGraw-Hill Companies Inc., New York, NY.</w:t>
      </w:r>
    </w:p>
    <w:p w:rsidR="57A91123" w:rsidP="279B3FB0" w:rsidRDefault="57A91123" w14:paraId="3BB5B0DD" w14:textId="730F8A8F">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ISIXSIGMA, Process Sigma Calculator, 2019, </w:t>
      </w:r>
      <w:hyperlink r:id="R7941039f44c949c8">
        <w:r w:rsidRPr="279B3FB0" w:rsidR="279B3FB0">
          <w:rPr>
            <w:rStyle w:val="Hyperlink"/>
            <w:rFonts w:ascii="Arial" w:hAnsi="Arial" w:eastAsia="Arial" w:cs="Arial"/>
            <w:noProof w:val="0"/>
            <w:sz w:val="22"/>
            <w:szCs w:val="22"/>
            <w:lang w:val="en-GB"/>
          </w:rPr>
          <w:t>https://www.isixsigma.com/process-sigma-calculator/</w:t>
        </w:r>
      </w:hyperlink>
      <w:r w:rsidRPr="279B3FB0" w:rsidR="279B3FB0">
        <w:rPr>
          <w:rFonts w:ascii="Arial" w:hAnsi="Arial" w:eastAsia="Arial" w:cs="Arial"/>
          <w:noProof w:val="0"/>
          <w:sz w:val="22"/>
          <w:szCs w:val="22"/>
          <w:lang w:val="en-GB"/>
        </w:rPr>
        <w:t xml:space="preserve"> </w:t>
      </w:r>
    </w:p>
    <w:p w:rsidR="57A91123" w:rsidP="279B3FB0" w:rsidRDefault="57A91123" w14:paraId="609F81B7" w14:textId="4979BF24">
      <w:pPr>
        <w:pStyle w:val="Normal"/>
        <w:rPr>
          <w:rFonts w:ascii="Arial" w:hAnsi="Arial" w:eastAsia="Arial" w:cs="Arial"/>
        </w:rPr>
      </w:pPr>
      <w:r w:rsidRPr="279B3FB0" w:rsidR="279B3FB0">
        <w:rPr>
          <w:rFonts w:ascii="Arial" w:hAnsi="Arial" w:eastAsia="Arial" w:cs="Arial"/>
        </w:rPr>
        <w:t>P. Keller, Six Sigma Demystified, Second Edition, 2011</w:t>
      </w:r>
    </w:p>
    <w:p w:rsidR="57A91123" w:rsidP="279B3FB0" w:rsidRDefault="57A91123" w14:paraId="66F80407" w14:textId="37570482">
      <w:pPr>
        <w:pStyle w:val="Normal"/>
        <w:rPr>
          <w:rFonts w:ascii="Arial" w:hAnsi="Arial" w:eastAsia="Arial" w:cs="Arial"/>
        </w:rPr>
      </w:pPr>
      <w:r w:rsidRPr="279B3FB0" w:rsidR="279B3FB0">
        <w:rPr>
          <w:rFonts w:ascii="Arial" w:hAnsi="Arial" w:eastAsia="Arial" w:cs="Arial"/>
          <w:noProof w:val="0"/>
          <w:sz w:val="22"/>
          <w:szCs w:val="22"/>
          <w:lang w:val="en-GB"/>
        </w:rPr>
        <w:t xml:space="preserve">Rail Alliance, Golden Spanner Awards, 2018, </w:t>
      </w:r>
      <w:hyperlink r:id="Rf76396821af44e04">
        <w:r w:rsidRPr="279B3FB0" w:rsidR="279B3FB0">
          <w:rPr>
            <w:rStyle w:val="Hyperlink"/>
            <w:rFonts w:ascii="Arial" w:hAnsi="Arial" w:eastAsia="Arial" w:cs="Arial"/>
            <w:noProof w:val="0"/>
            <w:sz w:val="22"/>
            <w:szCs w:val="22"/>
            <w:lang w:val="en-GB"/>
          </w:rPr>
          <w:t>https://www.railalliance.co.uk/event/golden-spanner-awards/</w:t>
        </w:r>
      </w:hyperlink>
    </w:p>
    <w:p w:rsidR="57A91123" w:rsidP="279B3FB0" w:rsidRDefault="57A91123" w14:paraId="3AB7BD21" w14:textId="4D1E8671">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Network Rail, </w:t>
      </w:r>
      <w:r w:rsidRPr="279B3FB0" w:rsidR="279B3FB0">
        <w:rPr>
          <w:rFonts w:ascii="Arial" w:hAnsi="Arial" w:eastAsia="Arial" w:cs="Arial"/>
          <w:noProof w:val="0"/>
          <w:sz w:val="22"/>
          <w:szCs w:val="22"/>
          <w:lang w:val="en-GB"/>
        </w:rPr>
        <w:t xml:space="preserve">Public Performance Measure and Delay Responsibility, 2019, </w:t>
      </w:r>
      <w:hyperlink r:id="R55a24a559f5b46c1">
        <w:r w:rsidRPr="279B3FB0" w:rsidR="279B3FB0">
          <w:rPr>
            <w:rStyle w:val="Hyperlink"/>
            <w:rFonts w:ascii="Arial" w:hAnsi="Arial" w:eastAsia="Arial" w:cs="Arial"/>
            <w:noProof w:val="0"/>
            <w:sz w:val="22"/>
            <w:szCs w:val="22"/>
            <w:lang w:val="en-GB"/>
          </w:rPr>
          <w:t>https://www.networkrail.co.uk/who-we-are/how-we-work/performance/railway-performance/public-performance-measure-and-delay-responsibility/</w:t>
        </w:r>
      </w:hyperlink>
      <w:r w:rsidRPr="279B3FB0" w:rsidR="279B3FB0">
        <w:rPr>
          <w:rFonts w:ascii="Arial" w:hAnsi="Arial" w:eastAsia="Arial" w:cs="Arial"/>
          <w:noProof w:val="0"/>
          <w:sz w:val="22"/>
          <w:szCs w:val="22"/>
          <w:lang w:val="en-GB"/>
        </w:rPr>
        <w:t xml:space="preserve"> </w:t>
      </w:r>
    </w:p>
    <w:p w:rsidR="2FEDF7BF" w:rsidP="279B3FB0" w:rsidRDefault="2FEDF7BF" w14:paraId="637C43DF" w14:textId="4BB04434">
      <w:pPr>
        <w:pStyle w:val="Normal"/>
        <w:rPr>
          <w:rFonts w:ascii="Arial" w:hAnsi="Arial" w:eastAsia="Arial" w:cs="Arial"/>
        </w:rPr>
      </w:pPr>
      <w:r w:rsidRPr="279B3FB0" w:rsidR="279B3FB0">
        <w:rPr>
          <w:rFonts w:ascii="Arial" w:hAnsi="Arial" w:eastAsia="Arial" w:cs="Arial"/>
          <w:noProof w:val="0"/>
          <w:sz w:val="22"/>
          <w:szCs w:val="22"/>
          <w:lang w:val="en-GB"/>
        </w:rPr>
        <w:t xml:space="preserve">Office for Rail and Road, UK rail industry financial information 2017-1, 2019, </w:t>
      </w:r>
      <w:hyperlink r:id="R01b33ac04d384ad3">
        <w:r w:rsidRPr="279B3FB0" w:rsidR="279B3FB0">
          <w:rPr>
            <w:rStyle w:val="Hyperlink"/>
            <w:rFonts w:ascii="Arial" w:hAnsi="Arial" w:eastAsia="Arial" w:cs="Arial"/>
            <w:noProof w:val="0"/>
            <w:sz w:val="22"/>
            <w:szCs w:val="22"/>
            <w:lang w:val="en-GB"/>
          </w:rPr>
          <w:t>https://orr.gov.uk/__data/assets/pdf_file/0013/40351/uk-rail-industry-financial-information-2017-18.pdf</w:t>
        </w:r>
      </w:hyperlink>
    </w:p>
    <w:p w:rsidR="279B3FB0" w:rsidP="279B3FB0" w:rsidRDefault="279B3FB0" w14:paraId="38B686BC" w14:textId="01AC97ED">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MOORE, R. 2007. Selecting the right manufacturing improvement tools: what tool? </w:t>
      </w:r>
      <w:proofErr w:type="gramStart"/>
      <w:r w:rsidRPr="279B3FB0" w:rsidR="279B3FB0">
        <w:rPr>
          <w:rFonts w:ascii="Arial" w:hAnsi="Arial" w:eastAsia="Arial" w:cs="Arial"/>
          <w:noProof w:val="0"/>
          <w:sz w:val="22"/>
          <w:szCs w:val="22"/>
          <w:lang w:val="en-GB"/>
        </w:rPr>
        <w:t>when?,</w:t>
      </w:r>
      <w:proofErr w:type="gramEnd"/>
      <w:r w:rsidRPr="279B3FB0" w:rsidR="279B3FB0">
        <w:rPr>
          <w:rFonts w:ascii="Arial" w:hAnsi="Arial" w:eastAsia="Arial" w:cs="Arial"/>
          <w:noProof w:val="0"/>
          <w:sz w:val="22"/>
          <w:szCs w:val="22"/>
          <w:lang w:val="en-GB"/>
        </w:rPr>
        <w:t xml:space="preserve"> Burlington, MA, Elsevier Butterworth-Heineman.</w:t>
      </w:r>
    </w:p>
    <w:p w:rsidR="279B3FB0" w:rsidP="279B3FB0" w:rsidRDefault="279B3FB0" w14:paraId="4AD83CC5" w14:textId="5DAEF14F">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SAVE 2007. Value standard and body of knowledge. USA: SAVE International.</w:t>
      </w:r>
    </w:p>
    <w:p w:rsidR="279B3FB0" w:rsidP="279B3FB0" w:rsidRDefault="279B3FB0" w14:paraId="1D02BDB7" w14:textId="61C56710">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GEORGE, M. L. 2002. Lean Six </w:t>
      </w:r>
      <w:proofErr w:type="gramStart"/>
      <w:r w:rsidRPr="279B3FB0" w:rsidR="279B3FB0">
        <w:rPr>
          <w:rFonts w:ascii="Arial" w:hAnsi="Arial" w:eastAsia="Arial" w:cs="Arial"/>
          <w:noProof w:val="0"/>
          <w:sz w:val="22"/>
          <w:szCs w:val="22"/>
          <w:lang w:val="en-GB"/>
        </w:rPr>
        <w:t>Sigma :</w:t>
      </w:r>
      <w:proofErr w:type="gramEnd"/>
      <w:r w:rsidRPr="279B3FB0" w:rsidR="279B3FB0">
        <w:rPr>
          <w:rFonts w:ascii="Arial" w:hAnsi="Arial" w:eastAsia="Arial" w:cs="Arial"/>
          <w:noProof w:val="0"/>
          <w:sz w:val="22"/>
          <w:szCs w:val="22"/>
          <w:lang w:val="en-GB"/>
        </w:rPr>
        <w:t xml:space="preserve"> Combining Six Sigma Quality with Lean Production Speed, Blacklick, OH, USA, McGraw-Hill Professional Publishing.</w:t>
      </w:r>
    </w:p>
    <w:p w:rsidR="279B3FB0" w:rsidP="279B3FB0" w:rsidRDefault="279B3FB0" w14:paraId="5177651D" w14:textId="57330492">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FARRELL, M. J. 1957. The Measurement of Productive Efficiency. Journal of the Royal Statistical Society. Series A (General), 120, 253-290.</w:t>
      </w:r>
    </w:p>
    <w:p w:rsidR="279B3FB0" w:rsidP="279B3FB0" w:rsidRDefault="279B3FB0" w14:paraId="73B4EC34" w14:textId="15103F2D">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BOOZ &amp; COMPANY 2011. Rail Value for Money Study: Research on Value for Money Assessment London: Commissioned by Department for Transport </w:t>
      </w:r>
      <w:proofErr w:type="gramStart"/>
      <w:r w:rsidRPr="279B3FB0" w:rsidR="279B3FB0">
        <w:rPr>
          <w:rFonts w:ascii="Arial" w:hAnsi="Arial" w:eastAsia="Arial" w:cs="Arial"/>
          <w:noProof w:val="0"/>
          <w:sz w:val="22"/>
          <w:szCs w:val="22"/>
          <w:lang w:val="en-GB"/>
        </w:rPr>
        <w:t>and  Office</w:t>
      </w:r>
      <w:proofErr w:type="gramEnd"/>
      <w:r w:rsidRPr="279B3FB0" w:rsidR="279B3FB0">
        <w:rPr>
          <w:rFonts w:ascii="Arial" w:hAnsi="Arial" w:eastAsia="Arial" w:cs="Arial"/>
          <w:noProof w:val="0"/>
          <w:sz w:val="22"/>
          <w:szCs w:val="22"/>
          <w:lang w:val="en-GB"/>
        </w:rPr>
        <w:t xml:space="preserve"> of Rail Regulation. Available online at </w:t>
      </w:r>
      <w:hyperlink r:id="R711f1eb520e44e25">
        <w:r w:rsidRPr="279B3FB0" w:rsidR="279B3FB0">
          <w:rPr>
            <w:rStyle w:val="Hyperlink"/>
            <w:rFonts w:ascii="Arial" w:hAnsi="Arial" w:eastAsia="Arial" w:cs="Arial"/>
            <w:noProof w:val="0"/>
            <w:sz w:val="22"/>
            <w:szCs w:val="22"/>
            <w:lang w:val="en-GB"/>
          </w:rPr>
          <w:t>www.dft.gov.uk</w:t>
        </w:r>
      </w:hyperlink>
      <w:r w:rsidRPr="279B3FB0" w:rsidR="279B3FB0">
        <w:rPr>
          <w:rFonts w:ascii="Arial" w:hAnsi="Arial" w:eastAsia="Arial" w:cs="Arial"/>
          <w:noProof w:val="0"/>
          <w:sz w:val="22"/>
          <w:szCs w:val="22"/>
          <w:lang w:val="en-GB"/>
        </w:rPr>
        <w:t>.</w:t>
      </w:r>
    </w:p>
    <w:p w:rsidR="279B3FB0" w:rsidP="279B3FB0" w:rsidRDefault="279B3FB0" w14:paraId="55DD8014" w14:textId="448DFC1E">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RAMANATHAN, R. 2003. An introduction to data envelopment analysis: a tool for performance measurement, Sage Publications </w:t>
      </w:r>
      <w:proofErr w:type="spellStart"/>
      <w:r w:rsidRPr="279B3FB0" w:rsidR="279B3FB0">
        <w:rPr>
          <w:rFonts w:ascii="Arial" w:hAnsi="Arial" w:eastAsia="Arial" w:cs="Arial"/>
          <w:noProof w:val="0"/>
          <w:sz w:val="22"/>
          <w:szCs w:val="22"/>
          <w:lang w:val="en-GB"/>
        </w:rPr>
        <w:t>Pvt.</w:t>
      </w:r>
      <w:proofErr w:type="spellEnd"/>
      <w:r w:rsidRPr="279B3FB0" w:rsidR="279B3FB0">
        <w:rPr>
          <w:rFonts w:ascii="Arial" w:hAnsi="Arial" w:eastAsia="Arial" w:cs="Arial"/>
          <w:noProof w:val="0"/>
          <w:sz w:val="22"/>
          <w:szCs w:val="22"/>
          <w:lang w:val="en-GB"/>
        </w:rPr>
        <w:t xml:space="preserve"> Ltd.</w:t>
      </w:r>
    </w:p>
    <w:p w:rsidR="279B3FB0" w:rsidP="279B3FB0" w:rsidRDefault="279B3FB0" w14:paraId="792088E9" w14:textId="23CA111B">
      <w:pPr>
        <w:pStyle w:val="Normal"/>
        <w:rPr>
          <w:rFonts w:ascii="Arial" w:hAnsi="Arial" w:eastAsia="Arial" w:cs="Arial"/>
        </w:rPr>
      </w:pPr>
      <w:r w:rsidRPr="279B3FB0" w:rsidR="279B3FB0">
        <w:rPr>
          <w:rFonts w:ascii="Arial" w:hAnsi="Arial" w:eastAsia="Arial" w:cs="Arial"/>
          <w:noProof w:val="0"/>
          <w:sz w:val="22"/>
          <w:szCs w:val="22"/>
          <w:lang w:val="en-GB"/>
        </w:rPr>
        <w:t xml:space="preserve">South Western Railway, About Us, 2019, </w:t>
      </w:r>
      <w:hyperlink r:id="R85e0241366b4405d">
        <w:r w:rsidRPr="279B3FB0" w:rsidR="279B3FB0">
          <w:rPr>
            <w:rStyle w:val="Hyperlink"/>
            <w:rFonts w:ascii="Arial" w:hAnsi="Arial" w:eastAsia="Arial" w:cs="Arial"/>
            <w:noProof w:val="0"/>
            <w:sz w:val="22"/>
            <w:szCs w:val="22"/>
            <w:lang w:val="en-GB"/>
          </w:rPr>
          <w:t>https://www.southwesternrailway.com/plan-my-journey/our-network</w:t>
        </w:r>
      </w:hyperlink>
    </w:p>
    <w:p w:rsidR="279B3FB0" w:rsidP="279B3FB0" w:rsidRDefault="279B3FB0" w14:paraId="4BF9DC90" w14:textId="6BB46810">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Office of Rail and Road, Passenger Rail Usage 2018-19 Q4 Statistical Release, 2019, </w:t>
      </w:r>
      <w:hyperlink r:id="R5b0988ec775a4ae1">
        <w:r w:rsidRPr="279B3FB0" w:rsidR="279B3FB0">
          <w:rPr>
            <w:rStyle w:val="Hyperlink"/>
            <w:rFonts w:ascii="Arial" w:hAnsi="Arial" w:eastAsia="Arial" w:cs="Arial"/>
            <w:noProof w:val="0"/>
            <w:sz w:val="22"/>
            <w:szCs w:val="22"/>
            <w:lang w:val="en-GB"/>
          </w:rPr>
          <w:t>https://dataportal.orr.gov.uk/media/1240/passenger-rail-usage-2018-19-q4.pdf</w:t>
        </w:r>
      </w:hyperlink>
      <w:r w:rsidRPr="279B3FB0" w:rsidR="279B3FB0">
        <w:rPr>
          <w:rFonts w:ascii="Arial" w:hAnsi="Arial" w:eastAsia="Arial" w:cs="Arial"/>
          <w:noProof w:val="0"/>
          <w:sz w:val="22"/>
          <w:szCs w:val="22"/>
          <w:lang w:val="en-GB"/>
        </w:rPr>
        <w:t xml:space="preserve"> </w:t>
      </w:r>
    </w:p>
    <w:p w:rsidR="279B3FB0" w:rsidP="279B3FB0" w:rsidRDefault="279B3FB0" w14:paraId="5B2FCACA" w14:textId="3EF9C29E">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Office of Rail and Road, Passenger and Freight Rail Performance 2018-19 Q4 Statistical Release , 2019, </w:t>
      </w:r>
      <w:hyperlink r:id="Rdb9e3665c87642ee">
        <w:r w:rsidRPr="279B3FB0" w:rsidR="279B3FB0">
          <w:rPr>
            <w:rStyle w:val="Hyperlink"/>
            <w:rFonts w:ascii="Arial" w:hAnsi="Arial" w:eastAsia="Arial" w:cs="Arial"/>
            <w:noProof w:val="0"/>
            <w:sz w:val="22"/>
            <w:szCs w:val="22"/>
            <w:lang w:val="en-GB"/>
          </w:rPr>
          <w:t>https://dataportal.orr.gov.uk/media/1240/passenger-freight-performance-2018-19-q4.pdf</w:t>
        </w:r>
      </w:hyperlink>
      <w:r w:rsidRPr="279B3FB0" w:rsidR="279B3FB0">
        <w:rPr>
          <w:rFonts w:ascii="Arial" w:hAnsi="Arial" w:eastAsia="Arial" w:cs="Arial"/>
          <w:noProof w:val="0"/>
          <w:sz w:val="22"/>
          <w:szCs w:val="22"/>
          <w:lang w:val="en-GB"/>
        </w:rPr>
        <w:t xml:space="preserve"> </w:t>
      </w:r>
    </w:p>
    <w:p w:rsidR="279B3FB0" w:rsidP="279B3FB0" w:rsidRDefault="279B3FB0" w14:paraId="12319042" w14:textId="30667BFB">
      <w:pPr>
        <w:pStyle w:val="Normal"/>
        <w:rPr>
          <w:rFonts w:ascii="Arial" w:hAnsi="Arial" w:eastAsia="Arial" w:cs="Arial"/>
          <w:noProof w:val="0"/>
          <w:sz w:val="22"/>
          <w:szCs w:val="22"/>
          <w:lang w:val="en-GB"/>
        </w:rPr>
      </w:pPr>
      <w:r w:rsidRPr="279B3FB0" w:rsidR="279B3FB0">
        <w:rPr>
          <w:rFonts w:ascii="Arial" w:hAnsi="Arial" w:eastAsia="Arial" w:cs="Arial"/>
          <w:noProof w:val="0"/>
          <w:sz w:val="22"/>
          <w:szCs w:val="22"/>
          <w:lang w:val="en-GB"/>
        </w:rPr>
        <w:t xml:space="preserve">SWR, </w:t>
      </w:r>
      <w:r w:rsidRPr="279B3FB0" w:rsidR="279B3FB0">
        <w:rPr>
          <w:rFonts w:ascii="Arial" w:hAnsi="Arial" w:eastAsia="Arial" w:cs="Arial"/>
          <w:noProof w:val="0"/>
          <w:sz w:val="22"/>
          <w:szCs w:val="22"/>
          <w:lang w:val="en-GB"/>
        </w:rPr>
        <w:t>South Western Railway Independent Performance Review, 2019,</w:t>
      </w:r>
      <w:r w:rsidRPr="279B3FB0" w:rsidR="279B3FB0">
        <w:rPr>
          <w:rFonts w:ascii="Arial" w:hAnsi="Arial" w:eastAsia="Arial" w:cs="Arial"/>
          <w:noProof w:val="0"/>
          <w:sz w:val="22"/>
          <w:szCs w:val="22"/>
          <w:lang w:val="en-GB"/>
        </w:rPr>
        <w:t xml:space="preserve"> </w:t>
      </w:r>
      <w:hyperlink r:id="R5c90b9c62b264efc">
        <w:r w:rsidRPr="279B3FB0" w:rsidR="279B3FB0">
          <w:rPr>
            <w:rStyle w:val="Hyperlink"/>
            <w:rFonts w:ascii="Arial" w:hAnsi="Arial" w:eastAsia="Arial" w:cs="Arial"/>
            <w:noProof w:val="0"/>
            <w:sz w:val="22"/>
            <w:szCs w:val="22"/>
            <w:lang w:val="en-GB"/>
          </w:rPr>
          <w:t>file:///C:/Users/Andrew%20English/AppData/Local/Packages/Microsoft.MicrosoftEdge_8wekyb3d8bbwe/TempState/Downloads/SWR%20Performance%20Review%20report%20(1).pdf</w:t>
        </w:r>
      </w:hyperlink>
      <w:r w:rsidRPr="279B3FB0" w:rsidR="279B3FB0">
        <w:rPr>
          <w:rFonts w:ascii="Arial" w:hAnsi="Arial" w:eastAsia="Arial" w:cs="Arial"/>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7827BB9"/>
  <w15:docId w15:val="{f73ef96f-96f1-4e00-bbb1-a3fafcb8eb62}"/>
  <w:rsids>
    <w:rsidRoot w:val="5BD67DCF"/>
    <w:rsid w:val="279B3FB0"/>
    <w:rsid w:val="2FEDF7BF"/>
    <w:rsid w:val="4E774B5E"/>
    <w:rsid w:val="57827BB9"/>
    <w:rsid w:val="57A91123"/>
    <w:rsid w:val="5BD67DC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c0f32ba4ba041af" /><Relationship Type="http://schemas.openxmlformats.org/officeDocument/2006/relationships/image" Target="/media/image2.png" Id="Rcff0180735f148b2" /><Relationship Type="http://schemas.openxmlformats.org/officeDocument/2006/relationships/image" Target="/media/image3.png" Id="Ra4a92750b44a4aa5" /><Relationship Type="http://schemas.openxmlformats.org/officeDocument/2006/relationships/numbering" Target="/word/numbering.xml" Id="Re81d65805b154a35" /><Relationship Type="http://schemas.openxmlformats.org/officeDocument/2006/relationships/image" Target="/media/image4.png" Id="Ra69270f89b2b44eb" /><Relationship Type="http://schemas.openxmlformats.org/officeDocument/2006/relationships/image" Target="/media/image5.png" Id="R49729a9ae94f4560" /><Relationship Type="http://schemas.openxmlformats.org/officeDocument/2006/relationships/image" Target="/media/image6.png" Id="Rfbf708b4cc434874" /><Relationship Type="http://schemas.openxmlformats.org/officeDocument/2006/relationships/image" Target="/media/image7.png" Id="Rbead4fa828c7444f" /><Relationship Type="http://schemas.openxmlformats.org/officeDocument/2006/relationships/image" Target="/media/image8.png" Id="R4babcc3cb5374567" /><Relationship Type="http://schemas.openxmlformats.org/officeDocument/2006/relationships/image" Target="/media/image9.png" Id="R6e496ffafae34eb2" /><Relationship Type="http://schemas.openxmlformats.org/officeDocument/2006/relationships/image" Target="/media/imagea.png" Id="Rb7418cb7348847fa" /><Relationship Type="http://schemas.openxmlformats.org/officeDocument/2006/relationships/image" Target="/media/imageb.png" Id="R5d53a163e3084d86" /><Relationship Type="http://schemas.openxmlformats.org/officeDocument/2006/relationships/hyperlink" Target="https://www.isixsigma.com/process-sigma-calculator/" TargetMode="External" Id="R7941039f44c949c8" /><Relationship Type="http://schemas.openxmlformats.org/officeDocument/2006/relationships/hyperlink" Target="https://www.railalliance.co.uk/event/golden-spanner-awards/" TargetMode="External" Id="Rf76396821af44e04" /><Relationship Type="http://schemas.openxmlformats.org/officeDocument/2006/relationships/hyperlink" Target="https://www.networkrail.co.uk/who-we-are/how-we-work/performance/railway-performance/public-performance-measure-and-delay-responsibility/" TargetMode="External" Id="R55a24a559f5b46c1" /><Relationship Type="http://schemas.openxmlformats.org/officeDocument/2006/relationships/hyperlink" Target="https://orr.gov.uk/__data/assets/pdf_file/0013/40351/uk-rail-industry-financial-information-2017-18.pdf" TargetMode="External" Id="R01b33ac04d384ad3" /><Relationship Type="http://schemas.openxmlformats.org/officeDocument/2006/relationships/hyperlink" Target="http://www.dft.gov.uk" TargetMode="External" Id="R711f1eb520e44e25" /><Relationship Type="http://schemas.openxmlformats.org/officeDocument/2006/relationships/hyperlink" Target="https://www.southwesternrailway.com/plan-my-journey/our-network" TargetMode="External" Id="R85e0241366b4405d" /><Relationship Type="http://schemas.openxmlformats.org/officeDocument/2006/relationships/hyperlink" Target="https://dataportal.orr.gov.uk/media/1240/passenger-rail-usage-2018-19-q4.pdf" TargetMode="External" Id="R5b0988ec775a4ae1" /><Relationship Type="http://schemas.openxmlformats.org/officeDocument/2006/relationships/hyperlink" Target="https://dataportal.orr.gov.uk/media/1240/passenger-freight-performance-2018-19-q4.pdf" TargetMode="External" Id="Rdb9e3665c87642ee" /><Relationship Type="http://schemas.openxmlformats.org/officeDocument/2006/relationships/hyperlink" Target="file:///C:/Users/Andrew%20English/AppData/Local/Packages/Microsoft.MicrosoftEdge_8wekyb3d8bbwe/TempState/Downloads/SWR%20Performance%20Review%20report%20(1).pdf" TargetMode="External" Id="R5c90b9c62b264e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English</dc:creator>
  <keywords/>
  <dc:description/>
  <lastModifiedBy>Andrew English</lastModifiedBy>
  <revision>5</revision>
  <dcterms:created xsi:type="dcterms:W3CDTF">2019-07-16T14:52:42.3615418Z</dcterms:created>
  <dcterms:modified xsi:type="dcterms:W3CDTF">2019-07-16T14:55:36.6938325Z</dcterms:modified>
</coreProperties>
</file>