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FD1C39" w14:textId="3C5EF1FA" w:rsidR="00D05A67" w:rsidRPr="00D05A67" w:rsidRDefault="00D05A67" w:rsidP="00D05A67">
      <w:pPr>
        <w:spacing w:after="0" w:line="240" w:lineRule="auto"/>
        <w:ind w:left="-180" w:right="-334"/>
        <w:rPr>
          <w:rFonts w:ascii="Georgia" w:eastAsia="SimSun" w:hAnsi="Georgia" w:cs="Times New Roman"/>
          <w:color w:val="000000"/>
          <w:sz w:val="21"/>
          <w:szCs w:val="21"/>
          <w:lang w:eastAsia="zh-CN"/>
        </w:rPr>
      </w:pPr>
      <w:r w:rsidRPr="00D05A67">
        <w:rPr>
          <w:rFonts w:ascii="Georgia" w:eastAsia="SimSun" w:hAnsi="Georgia" w:cs="Times New Roman"/>
          <w:noProof/>
          <w:color w:val="000000"/>
          <w:sz w:val="21"/>
          <w:szCs w:val="21"/>
          <w:lang w:eastAsia="zh-CN"/>
        </w:rPr>
        <w:drawing>
          <wp:inline distT="0" distB="0" distL="0" distR="0" wp14:anchorId="48620F98" wp14:editId="6CA62178">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D30A707" w14:textId="77777777" w:rsidR="00D05A67" w:rsidRPr="00D05A67" w:rsidRDefault="00D05A67" w:rsidP="00D05A67">
      <w:pPr>
        <w:spacing w:after="0" w:line="240" w:lineRule="auto"/>
        <w:ind w:left="-180" w:right="-334"/>
        <w:rPr>
          <w:rFonts w:ascii="Georgia" w:eastAsia="SimSun" w:hAnsi="Georgia" w:cs="Times New Roman"/>
          <w:color w:val="000000"/>
          <w:sz w:val="21"/>
          <w:szCs w:val="21"/>
          <w:lang w:eastAsia="zh-CN"/>
        </w:rPr>
      </w:pPr>
    </w:p>
    <w:p w14:paraId="3E8475CF" w14:textId="77777777" w:rsidR="00D05A67" w:rsidRPr="00D05A67" w:rsidRDefault="00D05A67" w:rsidP="00D05A67">
      <w:pPr>
        <w:spacing w:after="0" w:line="240" w:lineRule="auto"/>
        <w:ind w:left="-180" w:right="-334"/>
        <w:rPr>
          <w:rFonts w:ascii="Georgia" w:eastAsia="SimSun" w:hAnsi="Georgia" w:cs="Times New Roman"/>
          <w:color w:val="000000"/>
          <w:sz w:val="21"/>
          <w:szCs w:val="21"/>
          <w:lang w:eastAsia="zh-CN"/>
        </w:rPr>
      </w:pPr>
    </w:p>
    <w:p w14:paraId="7AA85DDD" w14:textId="77777777" w:rsidR="00D05A67" w:rsidRPr="00D05A67" w:rsidRDefault="00D05A67" w:rsidP="00D05A67">
      <w:pPr>
        <w:spacing w:after="0" w:line="240" w:lineRule="auto"/>
        <w:ind w:left="-180" w:right="-334"/>
        <w:jc w:val="center"/>
        <w:rPr>
          <w:rFonts w:ascii="Arial" w:eastAsia="SimSun" w:hAnsi="Arial" w:cs="Arial"/>
          <w:b/>
          <w:color w:val="000000"/>
          <w:sz w:val="28"/>
          <w:szCs w:val="28"/>
          <w:lang w:val="cy-GB" w:eastAsia="zh-CN"/>
        </w:rPr>
      </w:pPr>
      <w:r w:rsidRPr="00D05A67">
        <w:rPr>
          <w:rFonts w:ascii="Arial" w:eastAsia="SimSun" w:hAnsi="Arial" w:cs="Arial"/>
          <w:b/>
          <w:color w:val="000000"/>
          <w:sz w:val="28"/>
          <w:szCs w:val="28"/>
          <w:lang w:val="cy-GB" w:eastAsia="zh-CN"/>
        </w:rPr>
        <w:t xml:space="preserve">Postgraduate/Distance Learning </w:t>
      </w:r>
    </w:p>
    <w:p w14:paraId="2825D50F" w14:textId="77777777" w:rsidR="00D05A67" w:rsidRPr="00D05A67" w:rsidRDefault="00D05A67" w:rsidP="00D05A67">
      <w:pPr>
        <w:spacing w:after="0" w:line="240" w:lineRule="auto"/>
        <w:ind w:left="-180" w:right="-334"/>
        <w:jc w:val="center"/>
        <w:rPr>
          <w:rFonts w:ascii="Arial" w:eastAsia="SimSun" w:hAnsi="Arial" w:cs="Arial"/>
          <w:b/>
          <w:color w:val="000000"/>
          <w:sz w:val="28"/>
          <w:szCs w:val="28"/>
          <w:lang w:eastAsia="zh-CN"/>
        </w:rPr>
      </w:pPr>
      <w:r w:rsidRPr="00D05A67">
        <w:rPr>
          <w:rFonts w:ascii="Arial" w:eastAsia="SimSun" w:hAnsi="Arial" w:cs="Arial"/>
          <w:b/>
          <w:color w:val="000000"/>
          <w:sz w:val="28"/>
          <w:szCs w:val="28"/>
          <w:lang w:val="cy-GB" w:eastAsia="zh-CN"/>
        </w:rPr>
        <w:t>Assignment coversheet &amp; feedback form</w:t>
      </w:r>
    </w:p>
    <w:p w14:paraId="4E6B57F8" w14:textId="77777777" w:rsidR="00D05A67" w:rsidRPr="00D05A67" w:rsidRDefault="00D05A67" w:rsidP="00D05A67">
      <w:pPr>
        <w:spacing w:after="0" w:line="240" w:lineRule="auto"/>
        <w:rPr>
          <w:rFonts w:ascii="Arial" w:eastAsia="SimSun" w:hAnsi="Arial" w:cs="Arial"/>
          <w:sz w:val="28"/>
          <w:szCs w:val="28"/>
          <w:lang w:val="cy-GB" w:eastAsia="zh-CN"/>
        </w:rPr>
      </w:pPr>
    </w:p>
    <w:p w14:paraId="071AB5CA" w14:textId="07C1DCBD" w:rsidR="00D05A67" w:rsidRPr="00D05A67" w:rsidRDefault="00D05A67" w:rsidP="00D05A67">
      <w:pPr>
        <w:keepNext/>
        <w:spacing w:after="0" w:line="240" w:lineRule="auto"/>
        <w:ind w:left="720"/>
        <w:jc w:val="center"/>
        <w:outlineLvl w:val="2"/>
        <w:rPr>
          <w:rFonts w:ascii="Tahoma" w:eastAsia="SimSun" w:hAnsi="Tahoma" w:cs="Tahoma"/>
          <w:b/>
          <w:bCs/>
          <w:sz w:val="20"/>
          <w:szCs w:val="20"/>
          <w:lang w:val="cy-GB" w:eastAsia="zh-CN"/>
        </w:rPr>
      </w:pPr>
      <w:r w:rsidRPr="00D05A67">
        <w:rPr>
          <w:rFonts w:ascii="Tahoma" w:eastAsia="SimSun" w:hAnsi="Tahoma" w:cs="Tahoma"/>
          <w:b/>
          <w:bCs/>
          <w:sz w:val="20"/>
          <w:szCs w:val="20"/>
          <w:lang w:val="cy-GB" w:eastAsia="zh-CN"/>
        </w:rPr>
        <w:t>THIS SHEET MUST BE THE FIRST PAGE OF THE ASSIGNMENT YOU ARE SUBMITTING  (DO NOT SEND AS A SEPARATE FILE)</w:t>
      </w:r>
      <w:r>
        <w:rPr>
          <w:rFonts w:ascii="Tahoma" w:eastAsia="SimSun" w:hAnsi="Tahoma" w:cs="Tahoma"/>
          <w:b/>
          <w:bCs/>
          <w:sz w:val="20"/>
          <w:szCs w:val="20"/>
          <w:lang w:val="cy-GB" w:eastAsia="zh-CN"/>
        </w:rPr>
        <w:t xml:space="preserve">   </w:t>
      </w:r>
    </w:p>
    <w:p w14:paraId="26BCC10E" w14:textId="77777777" w:rsidR="00D05A67" w:rsidRPr="00D05A67" w:rsidRDefault="00D05A67" w:rsidP="00D05A6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5A67" w:rsidRPr="00D05A67" w14:paraId="66C59C1C" w14:textId="77777777" w:rsidTr="00AF3581">
        <w:trPr>
          <w:trHeight w:val="614"/>
        </w:trPr>
        <w:tc>
          <w:tcPr>
            <w:tcW w:w="8856" w:type="dxa"/>
            <w:gridSpan w:val="5"/>
          </w:tcPr>
          <w:p w14:paraId="3246F22E"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b/>
                <w:color w:val="000000"/>
                <w:lang w:eastAsia="zh-CN"/>
              </w:rPr>
              <w:t>For completion by the student</w:t>
            </w:r>
            <w:r w:rsidRPr="00D05A67">
              <w:rPr>
                <w:rFonts w:ascii="Arial" w:eastAsia="SimSun" w:hAnsi="Arial" w:cs="Arial"/>
                <w:color w:val="000000"/>
                <w:lang w:eastAsia="zh-CN"/>
              </w:rPr>
              <w:t>:</w:t>
            </w:r>
          </w:p>
        </w:tc>
      </w:tr>
      <w:tr w:rsidR="00D05A67" w:rsidRPr="00D05A67" w14:paraId="2872ACB2" w14:textId="77777777" w:rsidTr="00AF3581">
        <w:trPr>
          <w:trHeight w:val="718"/>
        </w:trPr>
        <w:tc>
          <w:tcPr>
            <w:tcW w:w="8856" w:type="dxa"/>
            <w:gridSpan w:val="5"/>
          </w:tcPr>
          <w:p w14:paraId="4602D05D"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 xml:space="preserve">Student Name: George Gillson-Gant </w:t>
            </w:r>
          </w:p>
          <w:p w14:paraId="750052BA" w14:textId="77777777" w:rsidR="00D05A67" w:rsidRPr="00D05A67" w:rsidRDefault="00D05A67" w:rsidP="00D05A67">
            <w:pPr>
              <w:spacing w:after="0" w:line="240" w:lineRule="auto"/>
              <w:ind w:right="34"/>
              <w:rPr>
                <w:rFonts w:ascii="Arial" w:eastAsia="SimSun" w:hAnsi="Arial" w:cs="Arial"/>
                <w:color w:val="000000"/>
                <w:lang w:eastAsia="zh-CN"/>
              </w:rPr>
            </w:pPr>
          </w:p>
        </w:tc>
      </w:tr>
      <w:tr w:rsidR="00D05A67" w:rsidRPr="00D05A67" w14:paraId="698CDE9B" w14:textId="77777777" w:rsidTr="00AF3581">
        <w:trPr>
          <w:trHeight w:val="849"/>
        </w:trPr>
        <w:tc>
          <w:tcPr>
            <w:tcW w:w="4788" w:type="dxa"/>
          </w:tcPr>
          <w:p w14:paraId="5257FDB5"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Module code:</w:t>
            </w:r>
            <w:r w:rsidRPr="00D05A67">
              <w:rPr>
                <w:rFonts w:ascii="Georgia" w:eastAsia="SimSun" w:hAnsi="Georgia" w:cs="Times New Roman"/>
                <w:color w:val="000000"/>
                <w:sz w:val="21"/>
                <w:szCs w:val="21"/>
                <w:lang w:eastAsia="zh-CN"/>
              </w:rPr>
              <w:t xml:space="preserve"> </w:t>
            </w:r>
            <w:r w:rsidRPr="00D05A67">
              <w:rPr>
                <w:rFonts w:ascii="Arial" w:eastAsia="SimSun" w:hAnsi="Arial" w:cs="Arial"/>
                <w:color w:val="000000"/>
                <w:lang w:eastAsia="zh-CN"/>
              </w:rPr>
              <w:t>HPHI7015</w:t>
            </w:r>
          </w:p>
          <w:p w14:paraId="14ACE8D1" w14:textId="77777777" w:rsidR="00D05A67" w:rsidRPr="00D05A67" w:rsidRDefault="00D05A67" w:rsidP="00D05A67">
            <w:pPr>
              <w:spacing w:after="0" w:line="240" w:lineRule="auto"/>
              <w:ind w:right="34"/>
              <w:rPr>
                <w:rFonts w:ascii="Arial" w:eastAsia="SimSun" w:hAnsi="Arial" w:cs="Arial"/>
                <w:color w:val="000000"/>
                <w:lang w:eastAsia="zh-CN"/>
              </w:rPr>
            </w:pPr>
          </w:p>
          <w:p w14:paraId="486C4828"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Module title:</w:t>
            </w:r>
            <w:r w:rsidRPr="00D05A67">
              <w:rPr>
                <w:rFonts w:ascii="Georgia" w:eastAsia="SimSun" w:hAnsi="Georgia" w:cs="Times New Roman"/>
                <w:color w:val="000000"/>
                <w:sz w:val="21"/>
                <w:szCs w:val="21"/>
                <w:lang w:eastAsia="zh-CN"/>
              </w:rPr>
              <w:t xml:space="preserve"> </w:t>
            </w:r>
            <w:r w:rsidRPr="00D05A67">
              <w:rPr>
                <w:rFonts w:ascii="Arial" w:eastAsia="SimSun" w:hAnsi="Arial" w:cs="Arial"/>
                <w:color w:val="000000"/>
                <w:lang w:eastAsia="zh-CN"/>
              </w:rPr>
              <w:t>Past Peoples, Present Societies</w:t>
            </w:r>
          </w:p>
          <w:p w14:paraId="7D190324" w14:textId="77777777" w:rsidR="00D05A67" w:rsidRPr="00D05A67" w:rsidRDefault="00D05A67" w:rsidP="00D05A67">
            <w:pPr>
              <w:spacing w:after="0" w:line="240" w:lineRule="auto"/>
              <w:ind w:right="34"/>
              <w:rPr>
                <w:rFonts w:ascii="Arial" w:eastAsia="SimSun" w:hAnsi="Arial" w:cs="Arial"/>
                <w:color w:val="000000"/>
                <w:lang w:eastAsia="zh-CN"/>
              </w:rPr>
            </w:pPr>
          </w:p>
          <w:p w14:paraId="439A6966" w14:textId="77777777" w:rsidR="00D05A67" w:rsidRPr="00D05A67" w:rsidRDefault="00D05A67" w:rsidP="00D05A67">
            <w:pPr>
              <w:spacing w:after="0" w:line="240" w:lineRule="auto"/>
              <w:ind w:right="34"/>
              <w:rPr>
                <w:rFonts w:ascii="Arial" w:eastAsia="SimSun" w:hAnsi="Arial" w:cs="Arial"/>
                <w:color w:val="000000"/>
                <w:lang w:eastAsia="zh-CN"/>
              </w:rPr>
            </w:pPr>
          </w:p>
        </w:tc>
        <w:tc>
          <w:tcPr>
            <w:tcW w:w="2266" w:type="dxa"/>
            <w:gridSpan w:val="3"/>
          </w:tcPr>
          <w:p w14:paraId="15CA487F"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Student ID number:</w:t>
            </w:r>
          </w:p>
          <w:p w14:paraId="0C4BECD5"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1500337</w:t>
            </w:r>
          </w:p>
        </w:tc>
        <w:tc>
          <w:tcPr>
            <w:tcW w:w="1802" w:type="dxa"/>
          </w:tcPr>
          <w:p w14:paraId="57C95FCC"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Educational support needs:</w:t>
            </w:r>
          </w:p>
          <w:p w14:paraId="636D0CB1"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highlight w:val="yellow"/>
                <w:lang w:eastAsia="zh-CN"/>
              </w:rPr>
              <w:t>Yes</w:t>
            </w:r>
            <w:r w:rsidRPr="00D05A67">
              <w:rPr>
                <w:rFonts w:ascii="Arial" w:eastAsia="SimSun" w:hAnsi="Arial" w:cs="Arial"/>
                <w:color w:val="000000"/>
                <w:lang w:eastAsia="zh-CN"/>
              </w:rPr>
              <w:t>/No</w:t>
            </w:r>
          </w:p>
        </w:tc>
      </w:tr>
      <w:tr w:rsidR="00D05A67" w:rsidRPr="00D05A67" w14:paraId="0B08CB4D" w14:textId="77777777" w:rsidTr="00AF3581">
        <w:trPr>
          <w:trHeight w:val="1139"/>
        </w:trPr>
        <w:tc>
          <w:tcPr>
            <w:tcW w:w="8856" w:type="dxa"/>
            <w:gridSpan w:val="5"/>
          </w:tcPr>
          <w:p w14:paraId="5C44C742"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 xml:space="preserve">Module tutor: Alexander Scott </w:t>
            </w:r>
          </w:p>
          <w:p w14:paraId="559D1ED8" w14:textId="77777777" w:rsidR="00D05A67" w:rsidRPr="00D05A67" w:rsidRDefault="00D05A67" w:rsidP="00D05A67">
            <w:pPr>
              <w:spacing w:after="0" w:line="240" w:lineRule="auto"/>
              <w:ind w:right="34"/>
              <w:rPr>
                <w:rFonts w:ascii="Arial" w:eastAsia="SimSun" w:hAnsi="Arial" w:cs="Arial"/>
                <w:color w:val="000000"/>
                <w:lang w:eastAsia="zh-CN"/>
              </w:rPr>
            </w:pPr>
          </w:p>
          <w:p w14:paraId="07B52594" w14:textId="77777777" w:rsidR="00D05A67" w:rsidRPr="00D05A67" w:rsidRDefault="00D05A67" w:rsidP="00D05A67">
            <w:pPr>
              <w:spacing w:after="0" w:line="240" w:lineRule="auto"/>
              <w:ind w:right="34"/>
              <w:rPr>
                <w:rFonts w:ascii="Arial" w:eastAsia="SimSun" w:hAnsi="Arial" w:cs="Arial"/>
                <w:color w:val="000000"/>
                <w:lang w:eastAsia="zh-CN"/>
              </w:rPr>
            </w:pPr>
          </w:p>
          <w:p w14:paraId="4B6F61D3"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Assignment due date: 8</w:t>
            </w:r>
            <w:r w:rsidRPr="00D05A67">
              <w:rPr>
                <w:rFonts w:ascii="Arial" w:eastAsia="SimSun" w:hAnsi="Arial" w:cs="Arial"/>
                <w:color w:val="000000"/>
                <w:vertAlign w:val="superscript"/>
                <w:lang w:eastAsia="zh-CN"/>
              </w:rPr>
              <w:t>th</w:t>
            </w:r>
            <w:r w:rsidRPr="00D05A67">
              <w:rPr>
                <w:rFonts w:ascii="Arial" w:eastAsia="SimSun" w:hAnsi="Arial" w:cs="Arial"/>
                <w:color w:val="000000"/>
                <w:lang w:eastAsia="zh-CN"/>
              </w:rPr>
              <w:t xml:space="preserve"> November 2020 </w:t>
            </w:r>
          </w:p>
        </w:tc>
      </w:tr>
      <w:tr w:rsidR="00D05A67" w:rsidRPr="00D05A67" w14:paraId="6B0AFCF1" w14:textId="77777777" w:rsidTr="00AF3581">
        <w:trPr>
          <w:trHeight w:val="978"/>
        </w:trPr>
        <w:tc>
          <w:tcPr>
            <w:tcW w:w="8856" w:type="dxa"/>
            <w:gridSpan w:val="5"/>
            <w:tcBorders>
              <w:bottom w:val="single" w:sz="4" w:space="0" w:color="000000"/>
            </w:tcBorders>
          </w:tcPr>
          <w:p w14:paraId="6B6BEECF" w14:textId="77777777" w:rsidR="00D05A67" w:rsidRPr="00D05A67" w:rsidRDefault="00D05A67" w:rsidP="00D05A67">
            <w:pPr>
              <w:spacing w:after="0" w:line="240" w:lineRule="auto"/>
              <w:rPr>
                <w:rFonts w:ascii="Arial" w:eastAsia="SimSun" w:hAnsi="Arial" w:cs="Arial"/>
                <w:lang w:eastAsia="zh-CN"/>
              </w:rPr>
            </w:pPr>
            <w:r w:rsidRPr="00D05A67">
              <w:rPr>
                <w:rFonts w:ascii="Arial" w:eastAsia="SimSun" w:hAnsi="Arial" w:cs="Arial"/>
                <w:lang w:eastAsia="zh-CN"/>
              </w:rPr>
              <w:t xml:space="preserve">If your module has multiple </w:t>
            </w:r>
            <w:proofErr w:type="gramStart"/>
            <w:r w:rsidRPr="00D05A67">
              <w:rPr>
                <w:rFonts w:ascii="Arial" w:eastAsia="SimSun" w:hAnsi="Arial" w:cs="Arial"/>
                <w:lang w:eastAsia="zh-CN"/>
              </w:rPr>
              <w:t>submissions</w:t>
            </w:r>
            <w:proofErr w:type="gramEnd"/>
            <w:r w:rsidRPr="00D05A67">
              <w:rPr>
                <w:rFonts w:ascii="Arial" w:eastAsia="SimSun" w:hAnsi="Arial" w:cs="Arial"/>
                <w:lang w:eastAsia="zh-CN"/>
              </w:rPr>
              <w:t xml:space="preserve"> please indicate which piece of work this is.</w:t>
            </w:r>
          </w:p>
          <w:p w14:paraId="26B570FD" w14:textId="63A056F3" w:rsidR="00D05A67" w:rsidRPr="00D05A67" w:rsidRDefault="00D05A67" w:rsidP="00D05A67">
            <w:pPr>
              <w:spacing w:after="0" w:line="240" w:lineRule="auto"/>
              <w:rPr>
                <w:rFonts w:ascii="Arial" w:eastAsia="SimSun" w:hAnsi="Arial" w:cs="Arial"/>
                <w:lang w:eastAsia="zh-CN"/>
              </w:rPr>
            </w:pPr>
            <w:r w:rsidRPr="00D05A67">
              <w:rPr>
                <w:rFonts w:ascii="Arial" w:eastAsia="SimSun" w:hAnsi="Arial" w:cs="Arial"/>
                <w:noProof/>
                <w:lang w:eastAsia="zh-CN"/>
              </w:rPr>
              <mc:AlternateContent>
                <mc:Choice Requires="wps">
                  <w:drawing>
                    <wp:anchor distT="0" distB="0" distL="114300" distR="114300" simplePos="0" relativeHeight="251659264" behindDoc="0" locked="0" layoutInCell="1" allowOverlap="1" wp14:anchorId="0EBE4AE7" wp14:editId="1443CFFB">
                      <wp:simplePos x="0" y="0"/>
                      <wp:positionH relativeFrom="column">
                        <wp:posOffset>154305</wp:posOffset>
                      </wp:positionH>
                      <wp:positionV relativeFrom="paragraph">
                        <wp:posOffset>69850</wp:posOffset>
                      </wp:positionV>
                      <wp:extent cx="219075" cy="219075"/>
                      <wp:effectExtent l="9525" t="9525" r="9525" b="19050"/>
                      <wp:wrapNone/>
                      <wp:docPr id="3"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9075" cy="219075"/>
                              </a:xfrm>
                              <a:custGeom>
                                <a:avLst/>
                                <a:gdLst>
                                  <a:gd name="T0" fmla="*/ 0 w 345"/>
                                  <a:gd name="T1" fmla="*/ 195 h 345"/>
                                  <a:gd name="T2" fmla="*/ 120 w 345"/>
                                  <a:gd name="T3" fmla="*/ 345 h 345"/>
                                  <a:gd name="T4" fmla="*/ 180 w 345"/>
                                  <a:gd name="T5" fmla="*/ 330 h 345"/>
                                  <a:gd name="T6" fmla="*/ 270 w 345"/>
                                  <a:gd name="T7" fmla="*/ 180 h 345"/>
                                  <a:gd name="T8" fmla="*/ 345 w 345"/>
                                  <a:gd name="T9" fmla="*/ 0 h 345"/>
                                </a:gdLst>
                                <a:ahLst/>
                                <a:cxnLst>
                                  <a:cxn ang="0">
                                    <a:pos x="T0" y="T1"/>
                                  </a:cxn>
                                  <a:cxn ang="0">
                                    <a:pos x="T2" y="T3"/>
                                  </a:cxn>
                                  <a:cxn ang="0">
                                    <a:pos x="T4" y="T5"/>
                                  </a:cxn>
                                  <a:cxn ang="0">
                                    <a:pos x="T6" y="T7"/>
                                  </a:cxn>
                                  <a:cxn ang="0">
                                    <a:pos x="T8" y="T9"/>
                                  </a:cxn>
                                </a:cxnLst>
                                <a:rect l="0" t="0" r="r" b="b"/>
                                <a:pathLst>
                                  <a:path w="345" h="345">
                                    <a:moveTo>
                                      <a:pt x="0" y="195"/>
                                    </a:moveTo>
                                    <a:cubicBezTo>
                                      <a:pt x="39" y="260"/>
                                      <a:pt x="58" y="304"/>
                                      <a:pt x="120" y="345"/>
                                    </a:cubicBezTo>
                                    <a:cubicBezTo>
                                      <a:pt x="140" y="340"/>
                                      <a:pt x="163" y="341"/>
                                      <a:pt x="180" y="330"/>
                                    </a:cubicBezTo>
                                    <a:cubicBezTo>
                                      <a:pt x="209" y="311"/>
                                      <a:pt x="248" y="214"/>
                                      <a:pt x="270" y="180"/>
                                    </a:cubicBezTo>
                                    <a:cubicBezTo>
                                      <a:pt x="287" y="112"/>
                                      <a:pt x="295" y="50"/>
                                      <a:pt x="345"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4B3188" id="Freeform: Shape 3" o:spid="_x0000_s1026" style="position:absolute;margin-left:12.15pt;margin-top:5.5pt;width:17.25pt;height: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45,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" path="m,195v39,65,58,109,120,150c140,340,163,341,180,330v29,-19,68,-116,90,-150c287,112,295,50,345,e" filled="f">
                      <v:path arrowok="t" o:connecttype="custom" o:connectlocs="0,123825;76200,219075;114300,209550;171450,114300;219075,0" o:connectangles="0,0,0,0,0"/>
                    </v:shape>
                  </w:pict>
                </mc:Fallback>
              </mc:AlternateContent>
            </w:r>
          </w:p>
          <w:p w14:paraId="19BC6212" w14:textId="77777777" w:rsidR="00D05A67" w:rsidRPr="00D05A67" w:rsidRDefault="00D05A67" w:rsidP="00D05A67">
            <w:pPr>
              <w:spacing w:after="0" w:line="240" w:lineRule="auto"/>
              <w:rPr>
                <w:rFonts w:ascii="Arial" w:eastAsia="SimSun" w:hAnsi="Arial" w:cs="Arial"/>
                <w:lang w:eastAsia="zh-CN"/>
              </w:rPr>
            </w:pPr>
            <w:r w:rsidRPr="00D05A67">
              <w:rPr>
                <w:rFonts w:ascii="Arial" w:eastAsia="SimSun" w:hAnsi="Arial" w:cs="Arial"/>
                <w:lang w:eastAsia="zh-CN"/>
              </w:rPr>
              <w:t>1</w:t>
            </w:r>
            <w:r w:rsidRPr="00D05A67">
              <w:rPr>
                <w:rFonts w:ascii="Arial" w:eastAsia="SimSun" w:hAnsi="Arial" w:cs="Arial"/>
                <w:vertAlign w:val="superscript"/>
                <w:lang w:eastAsia="zh-CN"/>
              </w:rPr>
              <w:t xml:space="preserve">st </w:t>
            </w:r>
            <w:r w:rsidRPr="00D05A67">
              <w:rPr>
                <w:rFonts w:ascii="Arial" w:eastAsia="SimSun" w:hAnsi="Arial" w:cs="Arial"/>
                <w:lang w:eastAsia="zh-CN"/>
              </w:rPr>
              <w:fldChar w:fldCharType="begin">
                <w:ffData>
                  <w:name w:val="Check13"/>
                  <w:enabled/>
                  <w:calcOnExit w:val="0"/>
                  <w:checkBox>
                    <w:sizeAuto/>
                    <w:default w:val="0"/>
                  </w:checkBox>
                </w:ffData>
              </w:fldChar>
            </w:r>
            <w:bookmarkStart w:id="0" w:name="Check13"/>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0"/>
            <w:r w:rsidRPr="00D05A67">
              <w:rPr>
                <w:rFonts w:ascii="Arial" w:eastAsia="SimSun" w:hAnsi="Arial" w:cs="Arial"/>
                <w:lang w:eastAsia="zh-CN"/>
              </w:rPr>
              <w:t xml:space="preserve">    2</w:t>
            </w:r>
            <w:r w:rsidRPr="00D05A67">
              <w:rPr>
                <w:rFonts w:ascii="Arial" w:eastAsia="SimSun" w:hAnsi="Arial" w:cs="Arial"/>
                <w:vertAlign w:val="superscript"/>
                <w:lang w:eastAsia="zh-CN"/>
              </w:rPr>
              <w:t>nd</w:t>
            </w:r>
            <w:r w:rsidRPr="00D05A67">
              <w:rPr>
                <w:rFonts w:ascii="Arial" w:eastAsia="SimSun" w:hAnsi="Arial" w:cs="Arial"/>
                <w:lang w:eastAsia="zh-CN"/>
              </w:rPr>
              <w:t xml:space="preserve">  </w:t>
            </w:r>
            <w:r w:rsidRPr="00D05A67">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1"/>
            <w:r w:rsidRPr="00D05A67">
              <w:rPr>
                <w:rFonts w:ascii="Arial" w:eastAsia="SimSun" w:hAnsi="Arial" w:cs="Arial"/>
                <w:lang w:eastAsia="zh-CN"/>
              </w:rPr>
              <w:t xml:space="preserve">     3</w:t>
            </w:r>
            <w:r w:rsidRPr="00D05A67">
              <w:rPr>
                <w:rFonts w:ascii="Arial" w:eastAsia="SimSun" w:hAnsi="Arial" w:cs="Arial"/>
                <w:vertAlign w:val="superscript"/>
                <w:lang w:eastAsia="zh-CN"/>
              </w:rPr>
              <w:t>rd</w:t>
            </w:r>
            <w:r w:rsidRPr="00D05A67">
              <w:rPr>
                <w:rFonts w:ascii="Arial" w:eastAsia="SimSun" w:hAnsi="Arial" w:cs="Arial"/>
                <w:lang w:eastAsia="zh-CN"/>
              </w:rPr>
              <w:t xml:space="preserve">  </w:t>
            </w:r>
            <w:r w:rsidRPr="00D05A67">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2"/>
            <w:r w:rsidRPr="00D05A67">
              <w:rPr>
                <w:rFonts w:ascii="Arial" w:eastAsia="SimSun" w:hAnsi="Arial" w:cs="Arial"/>
                <w:lang w:eastAsia="zh-CN"/>
              </w:rPr>
              <w:t xml:space="preserve">      4</w:t>
            </w:r>
            <w:r w:rsidRPr="00D05A67">
              <w:rPr>
                <w:rFonts w:ascii="Arial" w:eastAsia="SimSun" w:hAnsi="Arial" w:cs="Arial"/>
                <w:vertAlign w:val="superscript"/>
                <w:lang w:eastAsia="zh-CN"/>
              </w:rPr>
              <w:t>th</w:t>
            </w:r>
            <w:r w:rsidRPr="00D05A67">
              <w:rPr>
                <w:rFonts w:ascii="Arial" w:eastAsia="SimSun" w:hAnsi="Arial" w:cs="Arial"/>
                <w:lang w:eastAsia="zh-CN"/>
              </w:rPr>
              <w:t xml:space="preserve"> </w:t>
            </w:r>
            <w:r w:rsidRPr="00D05A67">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3"/>
            <w:r w:rsidRPr="00D05A67">
              <w:rPr>
                <w:rFonts w:ascii="Arial" w:eastAsia="SimSun" w:hAnsi="Arial" w:cs="Arial"/>
                <w:lang w:eastAsia="zh-CN"/>
              </w:rPr>
              <w:t xml:space="preserve">      5</w:t>
            </w:r>
            <w:r w:rsidRPr="00D05A67">
              <w:rPr>
                <w:rFonts w:ascii="Arial" w:eastAsia="SimSun" w:hAnsi="Arial" w:cs="Arial"/>
                <w:vertAlign w:val="superscript"/>
                <w:lang w:eastAsia="zh-CN"/>
              </w:rPr>
              <w:t>th</w:t>
            </w:r>
            <w:r w:rsidRPr="00D05A67">
              <w:rPr>
                <w:rFonts w:ascii="Arial" w:eastAsia="SimSun" w:hAnsi="Arial" w:cs="Arial"/>
                <w:lang w:eastAsia="zh-CN"/>
              </w:rPr>
              <w:t xml:space="preserve"> </w:t>
            </w:r>
            <w:r w:rsidRPr="00D05A67">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4"/>
            <w:r w:rsidRPr="00D05A67">
              <w:rPr>
                <w:rFonts w:ascii="Arial" w:eastAsia="SimSun" w:hAnsi="Arial" w:cs="Arial"/>
                <w:lang w:eastAsia="zh-CN"/>
              </w:rPr>
              <w:t xml:space="preserve">      6</w:t>
            </w:r>
            <w:r w:rsidRPr="00D05A67">
              <w:rPr>
                <w:rFonts w:ascii="Arial" w:eastAsia="SimSun" w:hAnsi="Arial" w:cs="Arial"/>
                <w:vertAlign w:val="superscript"/>
                <w:lang w:eastAsia="zh-CN"/>
              </w:rPr>
              <w:t>th</w:t>
            </w:r>
            <w:r w:rsidRPr="00D05A67">
              <w:rPr>
                <w:rFonts w:ascii="Arial" w:eastAsia="SimSun" w:hAnsi="Arial" w:cs="Arial"/>
                <w:lang w:eastAsia="zh-CN"/>
              </w:rPr>
              <w:t xml:space="preserve"> </w:t>
            </w:r>
            <w:r w:rsidRPr="00D05A67">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05A67">
              <w:rPr>
                <w:rFonts w:ascii="Arial" w:eastAsia="SimSun" w:hAnsi="Arial" w:cs="Arial"/>
                <w:lang w:eastAsia="zh-CN"/>
              </w:rPr>
              <w:instrText xml:space="preserve"> FORMCHECKBOX </w:instrText>
            </w:r>
            <w:r w:rsidRPr="00D05A67">
              <w:rPr>
                <w:rFonts w:ascii="Arial" w:eastAsia="SimSun" w:hAnsi="Arial" w:cs="Arial"/>
                <w:lang w:eastAsia="zh-CN"/>
              </w:rPr>
            </w:r>
            <w:r w:rsidRPr="00D05A67">
              <w:rPr>
                <w:rFonts w:ascii="Arial" w:eastAsia="SimSun" w:hAnsi="Arial" w:cs="Arial"/>
                <w:lang w:eastAsia="zh-CN"/>
              </w:rPr>
              <w:fldChar w:fldCharType="end"/>
            </w:r>
            <w:bookmarkEnd w:id="5"/>
          </w:p>
        </w:tc>
      </w:tr>
      <w:tr w:rsidR="00D05A67" w:rsidRPr="00D05A67" w14:paraId="7C3181BE" w14:textId="77777777" w:rsidTr="00AF3581">
        <w:trPr>
          <w:trHeight w:val="978"/>
        </w:trPr>
        <w:tc>
          <w:tcPr>
            <w:tcW w:w="8856" w:type="dxa"/>
            <w:gridSpan w:val="5"/>
            <w:shd w:val="clear" w:color="auto" w:fill="D9D9D9"/>
          </w:tcPr>
          <w:p w14:paraId="1F96906E" w14:textId="2A4C5161"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noProof/>
                <w:color w:val="000000"/>
                <w:lang w:eastAsia="zh-CN"/>
              </w:rPr>
              <mc:AlternateContent>
                <mc:Choice Requires="wps">
                  <w:drawing>
                    <wp:anchor distT="0" distB="0" distL="114300" distR="114300" simplePos="0" relativeHeight="251660288" behindDoc="0" locked="0" layoutInCell="1" allowOverlap="1" wp14:anchorId="354C3A37" wp14:editId="644AF2AA">
                      <wp:simplePos x="0" y="0"/>
                      <wp:positionH relativeFrom="column">
                        <wp:posOffset>678180</wp:posOffset>
                      </wp:positionH>
                      <wp:positionV relativeFrom="paragraph">
                        <wp:posOffset>155575</wp:posOffset>
                      </wp:positionV>
                      <wp:extent cx="1238250" cy="383540"/>
                      <wp:effectExtent l="19050" t="9525" r="9525" b="6985"/>
                      <wp:wrapNone/>
                      <wp:docPr id="2"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38250" cy="383540"/>
                              </a:xfrm>
                              <a:custGeom>
                                <a:avLst/>
                                <a:gdLst>
                                  <a:gd name="T0" fmla="*/ 270 w 1950"/>
                                  <a:gd name="T1" fmla="*/ 0 h 604"/>
                                  <a:gd name="T2" fmla="*/ 180 w 1950"/>
                                  <a:gd name="T3" fmla="*/ 30 h 604"/>
                                  <a:gd name="T4" fmla="*/ 30 w 1950"/>
                                  <a:gd name="T5" fmla="*/ 300 h 604"/>
                                  <a:gd name="T6" fmla="*/ 315 w 1950"/>
                                  <a:gd name="T7" fmla="*/ 375 h 604"/>
                                  <a:gd name="T8" fmla="*/ 330 w 1950"/>
                                  <a:gd name="T9" fmla="*/ 255 h 604"/>
                                  <a:gd name="T10" fmla="*/ 480 w 1950"/>
                                  <a:gd name="T11" fmla="*/ 225 h 604"/>
                                  <a:gd name="T12" fmla="*/ 525 w 1950"/>
                                  <a:gd name="T13" fmla="*/ 195 h 604"/>
                                  <a:gd name="T14" fmla="*/ 555 w 1950"/>
                                  <a:gd name="T15" fmla="*/ 150 h 604"/>
                                  <a:gd name="T16" fmla="*/ 600 w 1950"/>
                                  <a:gd name="T17" fmla="*/ 135 h 604"/>
                                  <a:gd name="T18" fmla="*/ 690 w 1950"/>
                                  <a:gd name="T19" fmla="*/ 75 h 604"/>
                                  <a:gd name="T20" fmla="*/ 510 w 1950"/>
                                  <a:gd name="T21" fmla="*/ 105 h 604"/>
                                  <a:gd name="T22" fmla="*/ 630 w 1950"/>
                                  <a:gd name="T23" fmla="*/ 510 h 604"/>
                                  <a:gd name="T24" fmla="*/ 765 w 1950"/>
                                  <a:gd name="T25" fmla="*/ 495 h 604"/>
                                  <a:gd name="T26" fmla="*/ 780 w 1950"/>
                                  <a:gd name="T27" fmla="*/ 450 h 604"/>
                                  <a:gd name="T28" fmla="*/ 795 w 1950"/>
                                  <a:gd name="T29" fmla="*/ 345 h 604"/>
                                  <a:gd name="T30" fmla="*/ 855 w 1950"/>
                                  <a:gd name="T31" fmla="*/ 330 h 604"/>
                                  <a:gd name="T32" fmla="*/ 915 w 1950"/>
                                  <a:gd name="T33" fmla="*/ 285 h 604"/>
                                  <a:gd name="T34" fmla="*/ 945 w 1950"/>
                                  <a:gd name="T35" fmla="*/ 240 h 604"/>
                                  <a:gd name="T36" fmla="*/ 1035 w 1950"/>
                                  <a:gd name="T37" fmla="*/ 195 h 604"/>
                                  <a:gd name="T38" fmla="*/ 1125 w 1950"/>
                                  <a:gd name="T39" fmla="*/ 135 h 604"/>
                                  <a:gd name="T40" fmla="*/ 930 w 1950"/>
                                  <a:gd name="T41" fmla="*/ 195 h 604"/>
                                  <a:gd name="T42" fmla="*/ 1065 w 1950"/>
                                  <a:gd name="T43" fmla="*/ 555 h 604"/>
                                  <a:gd name="T44" fmla="*/ 1200 w 1950"/>
                                  <a:gd name="T45" fmla="*/ 540 h 604"/>
                                  <a:gd name="T46" fmla="*/ 1140 w 1950"/>
                                  <a:gd name="T47" fmla="*/ 405 h 604"/>
                                  <a:gd name="T48" fmla="*/ 1485 w 1950"/>
                                  <a:gd name="T49" fmla="*/ 390 h 604"/>
                                  <a:gd name="T50" fmla="*/ 1545 w 1950"/>
                                  <a:gd name="T51" fmla="*/ 525 h 604"/>
                                  <a:gd name="T52" fmla="*/ 1425 w 1950"/>
                                  <a:gd name="T53" fmla="*/ 585 h 604"/>
                                  <a:gd name="T54" fmla="*/ 540 w 1950"/>
                                  <a:gd name="T55" fmla="*/ 570 h 604"/>
                                  <a:gd name="T56" fmla="*/ 0 w 1950"/>
                                  <a:gd name="T57" fmla="*/ 450 h 604"/>
                                  <a:gd name="T58" fmla="*/ 30 w 1950"/>
                                  <a:gd name="T59" fmla="*/ 375 h 604"/>
                                  <a:gd name="T60" fmla="*/ 525 w 1950"/>
                                  <a:gd name="T61" fmla="*/ 375 h 604"/>
                                  <a:gd name="T62" fmla="*/ 1950 w 1950"/>
                                  <a:gd name="T63" fmla="*/ 375 h 60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950" h="604">
                                    <a:moveTo>
                                      <a:pt x="270" y="0"/>
                                    </a:moveTo>
                                    <a:cubicBezTo>
                                      <a:pt x="240" y="10"/>
                                      <a:pt x="199" y="5"/>
                                      <a:pt x="180" y="30"/>
                                    </a:cubicBezTo>
                                    <a:cubicBezTo>
                                      <a:pt x="119" y="111"/>
                                      <a:pt x="62" y="204"/>
                                      <a:pt x="30" y="300"/>
                                    </a:cubicBezTo>
                                    <a:cubicBezTo>
                                      <a:pt x="80" y="451"/>
                                      <a:pt x="104" y="388"/>
                                      <a:pt x="315" y="375"/>
                                    </a:cubicBezTo>
                                    <a:cubicBezTo>
                                      <a:pt x="320" y="335"/>
                                      <a:pt x="300" y="282"/>
                                      <a:pt x="330" y="255"/>
                                    </a:cubicBezTo>
                                    <a:cubicBezTo>
                                      <a:pt x="368" y="221"/>
                                      <a:pt x="480" y="225"/>
                                      <a:pt x="480" y="225"/>
                                    </a:cubicBezTo>
                                    <a:cubicBezTo>
                                      <a:pt x="495" y="215"/>
                                      <a:pt x="512" y="208"/>
                                      <a:pt x="525" y="195"/>
                                    </a:cubicBezTo>
                                    <a:cubicBezTo>
                                      <a:pt x="538" y="182"/>
                                      <a:pt x="541" y="161"/>
                                      <a:pt x="555" y="150"/>
                                    </a:cubicBezTo>
                                    <a:cubicBezTo>
                                      <a:pt x="567" y="140"/>
                                      <a:pt x="586" y="143"/>
                                      <a:pt x="600" y="135"/>
                                    </a:cubicBezTo>
                                    <a:cubicBezTo>
                                      <a:pt x="632" y="117"/>
                                      <a:pt x="725" y="68"/>
                                      <a:pt x="690" y="75"/>
                                    </a:cubicBezTo>
                                    <a:cubicBezTo>
                                      <a:pt x="580" y="97"/>
                                      <a:pt x="640" y="86"/>
                                      <a:pt x="510" y="105"/>
                                    </a:cubicBezTo>
                                    <a:cubicBezTo>
                                      <a:pt x="470" y="225"/>
                                      <a:pt x="483" y="461"/>
                                      <a:pt x="630" y="510"/>
                                    </a:cubicBezTo>
                                    <a:cubicBezTo>
                                      <a:pt x="675" y="505"/>
                                      <a:pt x="723" y="512"/>
                                      <a:pt x="765" y="495"/>
                                    </a:cubicBezTo>
                                    <a:cubicBezTo>
                                      <a:pt x="780" y="489"/>
                                      <a:pt x="777" y="466"/>
                                      <a:pt x="780" y="450"/>
                                    </a:cubicBezTo>
                                    <a:cubicBezTo>
                                      <a:pt x="787" y="415"/>
                                      <a:pt x="776" y="375"/>
                                      <a:pt x="795" y="345"/>
                                    </a:cubicBezTo>
                                    <a:cubicBezTo>
                                      <a:pt x="806" y="328"/>
                                      <a:pt x="835" y="335"/>
                                      <a:pt x="855" y="330"/>
                                    </a:cubicBezTo>
                                    <a:cubicBezTo>
                                      <a:pt x="875" y="315"/>
                                      <a:pt x="897" y="303"/>
                                      <a:pt x="915" y="285"/>
                                    </a:cubicBezTo>
                                    <a:cubicBezTo>
                                      <a:pt x="928" y="272"/>
                                      <a:pt x="932" y="253"/>
                                      <a:pt x="945" y="240"/>
                                    </a:cubicBezTo>
                                    <a:cubicBezTo>
                                      <a:pt x="995" y="190"/>
                                      <a:pt x="980" y="225"/>
                                      <a:pt x="1035" y="195"/>
                                    </a:cubicBezTo>
                                    <a:cubicBezTo>
                                      <a:pt x="1067" y="177"/>
                                      <a:pt x="1125" y="135"/>
                                      <a:pt x="1125" y="135"/>
                                    </a:cubicBezTo>
                                    <a:cubicBezTo>
                                      <a:pt x="1035" y="113"/>
                                      <a:pt x="985" y="112"/>
                                      <a:pt x="930" y="195"/>
                                    </a:cubicBezTo>
                                    <a:cubicBezTo>
                                      <a:pt x="941" y="385"/>
                                      <a:pt x="891" y="497"/>
                                      <a:pt x="1065" y="555"/>
                                    </a:cubicBezTo>
                                    <a:cubicBezTo>
                                      <a:pt x="1110" y="550"/>
                                      <a:pt x="1166" y="570"/>
                                      <a:pt x="1200" y="540"/>
                                    </a:cubicBezTo>
                                    <a:cubicBezTo>
                                      <a:pt x="1249" y="497"/>
                                      <a:pt x="1159" y="424"/>
                                      <a:pt x="1140" y="405"/>
                                    </a:cubicBezTo>
                                    <a:cubicBezTo>
                                      <a:pt x="1259" y="325"/>
                                      <a:pt x="1216" y="341"/>
                                      <a:pt x="1485" y="390"/>
                                    </a:cubicBezTo>
                                    <a:cubicBezTo>
                                      <a:pt x="1533" y="399"/>
                                      <a:pt x="1545" y="525"/>
                                      <a:pt x="1545" y="525"/>
                                    </a:cubicBezTo>
                                    <a:cubicBezTo>
                                      <a:pt x="1498" y="572"/>
                                      <a:pt x="1502" y="585"/>
                                      <a:pt x="1425" y="585"/>
                                    </a:cubicBezTo>
                                    <a:cubicBezTo>
                                      <a:pt x="1130" y="585"/>
                                      <a:pt x="835" y="575"/>
                                      <a:pt x="540" y="570"/>
                                    </a:cubicBezTo>
                                    <a:cubicBezTo>
                                      <a:pt x="308" y="560"/>
                                      <a:pt x="154" y="604"/>
                                      <a:pt x="0" y="450"/>
                                    </a:cubicBezTo>
                                    <a:cubicBezTo>
                                      <a:pt x="10" y="425"/>
                                      <a:pt x="5" y="386"/>
                                      <a:pt x="30" y="375"/>
                                    </a:cubicBezTo>
                                    <a:cubicBezTo>
                                      <a:pt x="109" y="341"/>
                                      <a:pt x="509" y="375"/>
                                      <a:pt x="525" y="375"/>
                                    </a:cubicBezTo>
                                    <a:cubicBezTo>
                                      <a:pt x="1000" y="379"/>
                                      <a:pt x="1475" y="375"/>
                                      <a:pt x="1950" y="375"/>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7480D7" id="Freeform: Shape 2" o:spid="_x0000_s1026" style="position:absolute;margin-left:53.4pt;margin-top:12.25pt;width:97.5pt;height:3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50,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" path="m270,c240,10,199,5,180,30,119,111,62,204,30,300v50,151,74,88,285,75c320,335,300,282,330,255v38,-34,150,-30,150,-30c495,215,512,208,525,195v13,-13,16,-34,30,-45c567,140,586,143,600,135,632,117,725,68,690,75,580,97,640,86,510,105,470,225,483,461,630,510v45,-5,93,2,135,-15c780,489,777,466,780,450v7,-35,-4,-75,15,-105c806,328,835,335,855,330v20,-15,42,-27,60,-45c928,272,932,253,945,240v50,-50,35,-15,90,-45c1067,177,1125,135,1125,135,1035,113,985,112,930,195v11,190,-39,302,135,360c1110,550,1166,570,1200,540v49,-43,-41,-116,-60,-135c1259,325,1216,341,1485,390v48,9,60,135,60,135c1498,572,1502,585,1425,585v-295,,-590,-10,-885,-15c308,560,154,604,,450,10,425,5,386,30,375v79,-34,479,,495,c1000,379,1475,375,1950,375e" filled="f">
                      <v:path arrowok="t" o:connecttype="custom" o:connectlocs="171450,0;114300,19050;19050,190500;200025,238125;209550,161925;304800,142875;333375,123825;352425,95250;381000,85725;438150,47625;323850,66675;400050,323850;485775,314325;495300,285750;504825,219075;542925,209550;581025,180975;600075,152400;657225,123825;714375,85725;590550,123825;676275,352425;762000,342900;723900,257175;942975,247650;981075,333375;904875,371475;342900,361950;0,285750;19050,238125;333375,238125;1238250,238125" o:connectangles="0,0,0,0,0,0,0,0,0,0,0,0,0,0,0,0,0,0,0,0,0,0,0,0,0,0,0,0,0,0,0,0"/>
                    </v:shape>
                  </w:pict>
                </mc:Fallback>
              </mc:AlternateContent>
            </w:r>
            <w:r w:rsidRPr="00D05A67">
              <w:rPr>
                <w:rFonts w:ascii="Arial" w:eastAsia="SimSun" w:hAnsi="Arial" w:cs="Arial"/>
                <w:color w:val="000000"/>
                <w:lang w:eastAsia="zh-CN"/>
              </w:rPr>
              <w:t>I confirm that this is my original work and that I have adhered to the University policy on plagiarism.</w:t>
            </w:r>
          </w:p>
          <w:p w14:paraId="6E2F8E92"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Arial" w:eastAsia="SimSun" w:hAnsi="Arial" w:cs="Arial"/>
                <w:color w:val="000000"/>
                <w:lang w:eastAsia="zh-CN"/>
              </w:rPr>
              <w:t>Signed ……………………………………………………………</w:t>
            </w:r>
          </w:p>
          <w:p w14:paraId="317D633D" w14:textId="77777777" w:rsidR="00D05A67" w:rsidRPr="00D05A67" w:rsidRDefault="00D05A67" w:rsidP="00D05A67">
            <w:pPr>
              <w:spacing w:after="0" w:line="240" w:lineRule="auto"/>
              <w:ind w:right="34"/>
              <w:rPr>
                <w:rFonts w:ascii="Calibri" w:eastAsia="SimSun" w:hAnsi="Calibri" w:cs="Calibri"/>
                <w:b/>
                <w:color w:val="000000"/>
                <w:sz w:val="44"/>
                <w:szCs w:val="44"/>
                <w:lang w:eastAsia="zh-CN"/>
              </w:rPr>
            </w:pPr>
            <w:r w:rsidRPr="00D05A67">
              <w:rPr>
                <w:rFonts w:ascii="Calibri" w:eastAsia="SimSun" w:hAnsi="Calibri" w:cs="Tahoma"/>
                <w:b/>
                <w:color w:val="000000"/>
                <w:sz w:val="24"/>
                <w:szCs w:val="24"/>
                <w:lang w:eastAsia="zh-CN"/>
              </w:rPr>
              <w:t xml:space="preserve">Email submission: if you are submitting this form via email, please tick this box </w:t>
            </w:r>
            <w:r w:rsidRPr="00D05A67">
              <w:rPr>
                <w:rFonts w:ascii="Calibri" w:eastAsia="SimSun" w:hAnsi="Calibri" w:cs="Calibri"/>
                <w:b/>
                <w:color w:val="000000"/>
                <w:sz w:val="44"/>
                <w:szCs w:val="44"/>
                <w:lang w:eastAsia="zh-CN"/>
              </w:rPr>
              <w:t>□</w:t>
            </w:r>
          </w:p>
          <w:p w14:paraId="3254D9BA" w14:textId="77777777" w:rsidR="00D05A67" w:rsidRPr="00D05A67" w:rsidRDefault="00D05A67" w:rsidP="00D05A67">
            <w:pPr>
              <w:spacing w:after="0" w:line="240" w:lineRule="auto"/>
              <w:ind w:right="34"/>
              <w:rPr>
                <w:rFonts w:ascii="Arial" w:eastAsia="SimSun" w:hAnsi="Arial" w:cs="Arial"/>
                <w:color w:val="000000"/>
                <w:lang w:eastAsia="zh-CN"/>
              </w:rPr>
            </w:pPr>
            <w:r w:rsidRPr="00D05A67">
              <w:rPr>
                <w:rFonts w:ascii="Calibri" w:eastAsia="SimSun" w:hAnsi="Calibri" w:cs="Tahoma"/>
                <w:b/>
                <w:color w:val="000000"/>
                <w:sz w:val="24"/>
                <w:szCs w:val="24"/>
                <w:lang w:eastAsia="zh-CN"/>
              </w:rPr>
              <w:t>(as a substitute for your signature) to confirm that you agree to the above declaration.</w:t>
            </w:r>
          </w:p>
        </w:tc>
      </w:tr>
      <w:tr w:rsidR="00D05A67" w:rsidRPr="00D05A67" w14:paraId="334B142D" w14:textId="77777777" w:rsidTr="00AF3581">
        <w:trPr>
          <w:trHeight w:val="3972"/>
        </w:trPr>
        <w:tc>
          <w:tcPr>
            <w:tcW w:w="8856" w:type="dxa"/>
            <w:gridSpan w:val="5"/>
          </w:tcPr>
          <w:p w14:paraId="124B59AD" w14:textId="77777777" w:rsidR="00D05A67" w:rsidRPr="00D05A67" w:rsidRDefault="00D05A67" w:rsidP="00D05A67">
            <w:pPr>
              <w:spacing w:after="0" w:line="240" w:lineRule="auto"/>
              <w:rPr>
                <w:rFonts w:ascii="Arial" w:eastAsia="SimSun" w:hAnsi="Arial" w:cs="Times New Roman"/>
                <w:b/>
                <w:sz w:val="24"/>
                <w:szCs w:val="24"/>
                <w:lang w:eastAsia="zh-CN"/>
              </w:rPr>
            </w:pPr>
          </w:p>
          <w:p w14:paraId="6FBBFADE" w14:textId="77777777" w:rsidR="00D05A67" w:rsidRPr="00D05A67" w:rsidRDefault="00D05A67" w:rsidP="00D05A67">
            <w:pPr>
              <w:spacing w:after="0" w:line="240" w:lineRule="auto"/>
              <w:rPr>
                <w:rFonts w:ascii="Arial" w:eastAsia="SimSun" w:hAnsi="Arial" w:cs="Times New Roman"/>
                <w:sz w:val="24"/>
                <w:szCs w:val="24"/>
                <w:lang w:eastAsia="zh-CN"/>
              </w:rPr>
            </w:pPr>
            <w:r w:rsidRPr="00D05A67">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5A67" w:rsidRPr="00D05A67" w14:paraId="7EDA3DC3" w14:textId="77777777" w:rsidTr="00AF3581">
              <w:tc>
                <w:tcPr>
                  <w:tcW w:w="6970" w:type="dxa"/>
                </w:tcPr>
                <w:p w14:paraId="1993F942" w14:textId="77777777" w:rsidR="00D05A67" w:rsidRPr="00D05A67" w:rsidRDefault="00D05A67" w:rsidP="00D05A67">
                  <w:pPr>
                    <w:spacing w:after="0" w:line="240" w:lineRule="auto"/>
                    <w:rPr>
                      <w:rFonts w:ascii="Arial" w:eastAsia="SimSun" w:hAnsi="Arial" w:cs="Times New Roman"/>
                      <w:sz w:val="20"/>
                      <w:szCs w:val="20"/>
                      <w:lang w:eastAsia="zh-CN"/>
                    </w:rPr>
                  </w:pPr>
                </w:p>
                <w:p w14:paraId="5CCE0DF3" w14:textId="77777777" w:rsidR="00D05A67" w:rsidRPr="00D05A67" w:rsidRDefault="00D05A67" w:rsidP="00D05A67">
                  <w:pPr>
                    <w:spacing w:after="0" w:line="240" w:lineRule="auto"/>
                    <w:rPr>
                      <w:rFonts w:ascii="Arial" w:eastAsia="SimSun" w:hAnsi="Arial" w:cs="Times New Roman"/>
                      <w:sz w:val="20"/>
                      <w:szCs w:val="20"/>
                      <w:lang w:eastAsia="zh-CN"/>
                    </w:rPr>
                  </w:pPr>
                  <w:r w:rsidRPr="00D05A67">
                    <w:rPr>
                      <w:rFonts w:ascii="Arial" w:eastAsia="SimSun" w:hAnsi="Arial" w:cs="Times New Roman"/>
                      <w:sz w:val="20"/>
                      <w:szCs w:val="20"/>
                      <w:lang w:eastAsia="zh-CN"/>
                    </w:rPr>
                    <w:t>1</w:t>
                  </w:r>
                  <w:r w:rsidRPr="00D05A67">
                    <w:rPr>
                      <w:rFonts w:ascii="Arial" w:eastAsia="SimSun" w:hAnsi="Arial" w:cs="Times New Roman"/>
                      <w:sz w:val="20"/>
                      <w:szCs w:val="20"/>
                      <w:vertAlign w:val="superscript"/>
                      <w:lang w:eastAsia="zh-CN"/>
                    </w:rPr>
                    <w:t>st</w:t>
                  </w:r>
                  <w:r w:rsidRPr="00D05A67">
                    <w:rPr>
                      <w:rFonts w:ascii="Arial" w:eastAsia="SimSun" w:hAnsi="Arial" w:cs="Times New Roman"/>
                      <w:sz w:val="20"/>
                      <w:szCs w:val="20"/>
                      <w:lang w:eastAsia="zh-CN"/>
                    </w:rPr>
                    <w:t xml:space="preserve"> Marker’s Provisional mark</w:t>
                  </w:r>
                </w:p>
              </w:tc>
              <w:tc>
                <w:tcPr>
                  <w:tcW w:w="1660" w:type="dxa"/>
                </w:tcPr>
                <w:p w14:paraId="67FA0D39" w14:textId="77777777" w:rsidR="00D05A67" w:rsidRPr="00D05A67" w:rsidRDefault="00D05A67" w:rsidP="00D05A67">
                  <w:pPr>
                    <w:spacing w:after="0" w:line="240" w:lineRule="auto"/>
                    <w:rPr>
                      <w:rFonts w:ascii="Arial" w:eastAsia="SimSun" w:hAnsi="Arial" w:cs="Times New Roman"/>
                      <w:sz w:val="20"/>
                      <w:szCs w:val="20"/>
                      <w:lang w:eastAsia="zh-CN"/>
                    </w:rPr>
                  </w:pPr>
                </w:p>
              </w:tc>
            </w:tr>
            <w:tr w:rsidR="00D05A67" w:rsidRPr="00D05A67" w14:paraId="2BF382D0" w14:textId="77777777" w:rsidTr="00AF3581">
              <w:tc>
                <w:tcPr>
                  <w:tcW w:w="6970" w:type="dxa"/>
                </w:tcPr>
                <w:p w14:paraId="15805DED" w14:textId="77777777" w:rsidR="00D05A67" w:rsidRPr="00D05A67" w:rsidRDefault="00D05A67" w:rsidP="00D05A67">
                  <w:pPr>
                    <w:spacing w:after="0" w:line="240" w:lineRule="auto"/>
                    <w:rPr>
                      <w:rFonts w:ascii="Arial" w:eastAsia="SimSun" w:hAnsi="Arial" w:cs="Times New Roman"/>
                      <w:sz w:val="20"/>
                      <w:szCs w:val="20"/>
                      <w:lang w:eastAsia="zh-CN"/>
                    </w:rPr>
                  </w:pPr>
                </w:p>
                <w:p w14:paraId="789FF8C7" w14:textId="77777777" w:rsidR="00D05A67" w:rsidRPr="00D05A67" w:rsidRDefault="00D05A67" w:rsidP="00D05A67">
                  <w:pPr>
                    <w:spacing w:after="0" w:line="240" w:lineRule="auto"/>
                    <w:rPr>
                      <w:rFonts w:ascii="Arial" w:eastAsia="SimSun" w:hAnsi="Arial" w:cs="Times New Roman"/>
                      <w:sz w:val="20"/>
                      <w:szCs w:val="20"/>
                      <w:lang w:eastAsia="zh-CN"/>
                    </w:rPr>
                  </w:pPr>
                  <w:r w:rsidRPr="00D05A67">
                    <w:rPr>
                      <w:rFonts w:ascii="Arial" w:eastAsia="SimSun" w:hAnsi="Arial" w:cs="Times New Roman"/>
                      <w:sz w:val="20"/>
                      <w:szCs w:val="20"/>
                      <w:lang w:eastAsia="zh-CN"/>
                    </w:rPr>
                    <w:t>2</w:t>
                  </w:r>
                  <w:r w:rsidRPr="00D05A67">
                    <w:rPr>
                      <w:rFonts w:ascii="Arial" w:eastAsia="SimSun" w:hAnsi="Arial" w:cs="Times New Roman"/>
                      <w:sz w:val="20"/>
                      <w:szCs w:val="20"/>
                      <w:vertAlign w:val="superscript"/>
                      <w:lang w:eastAsia="zh-CN"/>
                    </w:rPr>
                    <w:t>nd</w:t>
                  </w:r>
                  <w:r w:rsidRPr="00D05A67">
                    <w:rPr>
                      <w:rFonts w:ascii="Arial" w:eastAsia="SimSun" w:hAnsi="Arial" w:cs="Times New Roman"/>
                      <w:sz w:val="20"/>
                      <w:szCs w:val="20"/>
                      <w:lang w:eastAsia="zh-CN"/>
                    </w:rPr>
                    <w:t xml:space="preserve"> Marker’s/Moderator’s provisional mark</w:t>
                  </w:r>
                </w:p>
              </w:tc>
              <w:tc>
                <w:tcPr>
                  <w:tcW w:w="1660" w:type="dxa"/>
                </w:tcPr>
                <w:p w14:paraId="2C17E687" w14:textId="77777777" w:rsidR="00D05A67" w:rsidRPr="00D05A67" w:rsidRDefault="00D05A67" w:rsidP="00D05A67">
                  <w:pPr>
                    <w:spacing w:after="0" w:line="240" w:lineRule="auto"/>
                    <w:rPr>
                      <w:rFonts w:ascii="Arial" w:eastAsia="SimSun" w:hAnsi="Arial" w:cs="Times New Roman"/>
                      <w:sz w:val="20"/>
                      <w:szCs w:val="20"/>
                      <w:lang w:eastAsia="zh-CN"/>
                    </w:rPr>
                  </w:pPr>
                </w:p>
              </w:tc>
            </w:tr>
            <w:tr w:rsidR="00D05A67" w:rsidRPr="00D05A67" w14:paraId="711D2546" w14:textId="77777777" w:rsidTr="00AF3581">
              <w:tc>
                <w:tcPr>
                  <w:tcW w:w="6970" w:type="dxa"/>
                </w:tcPr>
                <w:p w14:paraId="37EE4120" w14:textId="77777777" w:rsidR="00D05A67" w:rsidRPr="00D05A67" w:rsidRDefault="00D05A67" w:rsidP="00D05A67">
                  <w:pPr>
                    <w:spacing w:after="0" w:line="240" w:lineRule="auto"/>
                    <w:rPr>
                      <w:rFonts w:ascii="Arial" w:eastAsia="SimSun" w:hAnsi="Arial" w:cs="Times New Roman"/>
                      <w:sz w:val="20"/>
                      <w:szCs w:val="20"/>
                      <w:lang w:eastAsia="zh-CN"/>
                    </w:rPr>
                  </w:pPr>
                </w:p>
                <w:p w14:paraId="4A45411D" w14:textId="77777777" w:rsidR="00D05A67" w:rsidRPr="00D05A67" w:rsidRDefault="00D05A67" w:rsidP="00D05A67">
                  <w:pPr>
                    <w:spacing w:after="0" w:line="240" w:lineRule="auto"/>
                    <w:rPr>
                      <w:rFonts w:ascii="Arial" w:eastAsia="SimSun" w:hAnsi="Arial" w:cs="Times New Roman"/>
                      <w:sz w:val="20"/>
                      <w:szCs w:val="20"/>
                      <w:lang w:eastAsia="zh-CN"/>
                    </w:rPr>
                  </w:pPr>
                  <w:r w:rsidRPr="00D05A67">
                    <w:rPr>
                      <w:rFonts w:ascii="Arial" w:eastAsia="SimSun" w:hAnsi="Arial" w:cs="Times New Roman"/>
                      <w:sz w:val="20"/>
                      <w:szCs w:val="20"/>
                      <w:lang w:eastAsia="zh-CN"/>
                    </w:rPr>
                    <w:t>External Examiner’s mark (if relevant)</w:t>
                  </w:r>
                </w:p>
              </w:tc>
              <w:tc>
                <w:tcPr>
                  <w:tcW w:w="1660" w:type="dxa"/>
                </w:tcPr>
                <w:p w14:paraId="5DDFE33B" w14:textId="77777777" w:rsidR="00D05A67" w:rsidRPr="00D05A67" w:rsidRDefault="00D05A67" w:rsidP="00D05A67">
                  <w:pPr>
                    <w:spacing w:after="0" w:line="240" w:lineRule="auto"/>
                    <w:rPr>
                      <w:rFonts w:ascii="Arial" w:eastAsia="SimSun" w:hAnsi="Arial" w:cs="Times New Roman"/>
                      <w:sz w:val="20"/>
                      <w:szCs w:val="20"/>
                      <w:lang w:eastAsia="zh-CN"/>
                    </w:rPr>
                  </w:pPr>
                </w:p>
              </w:tc>
            </w:tr>
            <w:tr w:rsidR="00D05A67" w:rsidRPr="00D05A67" w14:paraId="5B1FD1F5" w14:textId="77777777" w:rsidTr="00AF3581">
              <w:tc>
                <w:tcPr>
                  <w:tcW w:w="6970" w:type="dxa"/>
                </w:tcPr>
                <w:p w14:paraId="062BDC47" w14:textId="77777777" w:rsidR="00D05A67" w:rsidRPr="00D05A67" w:rsidRDefault="00D05A67" w:rsidP="00D05A67">
                  <w:pPr>
                    <w:spacing w:after="0" w:line="240" w:lineRule="auto"/>
                    <w:rPr>
                      <w:rFonts w:ascii="Arial" w:eastAsia="SimSun" w:hAnsi="Arial" w:cs="Times New Roman"/>
                      <w:sz w:val="20"/>
                      <w:szCs w:val="20"/>
                      <w:lang w:eastAsia="zh-CN"/>
                    </w:rPr>
                  </w:pPr>
                </w:p>
                <w:p w14:paraId="5BAE4E5B" w14:textId="77777777" w:rsidR="00D05A67" w:rsidRPr="00D05A67" w:rsidRDefault="00D05A67" w:rsidP="00D05A67">
                  <w:pPr>
                    <w:spacing w:after="0" w:line="240" w:lineRule="auto"/>
                    <w:rPr>
                      <w:rFonts w:ascii="Arial" w:eastAsia="SimSun" w:hAnsi="Arial" w:cs="Times New Roman"/>
                      <w:b/>
                      <w:sz w:val="20"/>
                      <w:szCs w:val="20"/>
                      <w:lang w:eastAsia="zh-CN"/>
                    </w:rPr>
                  </w:pPr>
                  <w:r w:rsidRPr="00D05A67">
                    <w:rPr>
                      <w:rFonts w:ascii="Arial" w:eastAsia="SimSun" w:hAnsi="Arial" w:cs="Times New Roman"/>
                      <w:b/>
                      <w:sz w:val="20"/>
                      <w:szCs w:val="20"/>
                      <w:lang w:eastAsia="zh-CN"/>
                    </w:rPr>
                    <w:t>Final Mark</w:t>
                  </w:r>
                </w:p>
                <w:p w14:paraId="4900EC99" w14:textId="77777777" w:rsidR="00D05A67" w:rsidRPr="00D05A67" w:rsidRDefault="00D05A67" w:rsidP="00D05A67">
                  <w:pPr>
                    <w:spacing w:after="0" w:line="240" w:lineRule="auto"/>
                    <w:rPr>
                      <w:rFonts w:ascii="Arial" w:eastAsia="SimSun" w:hAnsi="Arial" w:cs="Times New Roman"/>
                      <w:sz w:val="20"/>
                      <w:szCs w:val="20"/>
                      <w:lang w:eastAsia="zh-CN"/>
                    </w:rPr>
                  </w:pPr>
                </w:p>
              </w:tc>
              <w:tc>
                <w:tcPr>
                  <w:tcW w:w="1660" w:type="dxa"/>
                </w:tcPr>
                <w:p w14:paraId="438186DE" w14:textId="77777777" w:rsidR="00D05A67" w:rsidRPr="00D05A67" w:rsidRDefault="00D05A67" w:rsidP="00D05A67">
                  <w:pPr>
                    <w:spacing w:after="0" w:line="240" w:lineRule="auto"/>
                    <w:rPr>
                      <w:rFonts w:ascii="Arial" w:eastAsia="SimSun" w:hAnsi="Arial" w:cs="Times New Roman"/>
                      <w:sz w:val="20"/>
                      <w:szCs w:val="20"/>
                      <w:lang w:eastAsia="zh-CN"/>
                    </w:rPr>
                  </w:pPr>
                </w:p>
              </w:tc>
            </w:tr>
          </w:tbl>
          <w:p w14:paraId="6EC67FA4" w14:textId="77777777" w:rsidR="00D05A67" w:rsidRPr="00D05A67" w:rsidRDefault="00D05A67" w:rsidP="00D05A67">
            <w:pPr>
              <w:spacing w:after="0" w:line="240" w:lineRule="auto"/>
              <w:ind w:left="142" w:right="34"/>
              <w:rPr>
                <w:rFonts w:ascii="Arial" w:eastAsia="SimSun" w:hAnsi="Arial" w:cs="Arial"/>
                <w:b/>
                <w:color w:val="000000"/>
                <w:lang w:eastAsia="zh-CN"/>
              </w:rPr>
            </w:pPr>
          </w:p>
          <w:p w14:paraId="501B9609" w14:textId="77777777" w:rsidR="00D05A67" w:rsidRPr="00D05A67" w:rsidRDefault="00D05A67" w:rsidP="00D05A67">
            <w:pPr>
              <w:spacing w:after="0" w:line="240" w:lineRule="auto"/>
              <w:ind w:left="142" w:right="34"/>
              <w:rPr>
                <w:rFonts w:ascii="Arial" w:eastAsia="SimSun" w:hAnsi="Arial" w:cs="Arial"/>
                <w:color w:val="000000"/>
                <w:lang w:eastAsia="zh-CN"/>
              </w:rPr>
            </w:pPr>
            <w:r w:rsidRPr="00D05A67">
              <w:rPr>
                <w:rFonts w:ascii="Arial" w:eastAsia="SimSun" w:hAnsi="Arial" w:cs="Arial"/>
                <w:b/>
                <w:color w:val="000000"/>
                <w:lang w:eastAsia="zh-CN"/>
              </w:rPr>
              <w:t>NB.</w:t>
            </w:r>
            <w:r w:rsidRPr="00D05A67">
              <w:rPr>
                <w:rFonts w:ascii="Arial" w:eastAsia="SimSun" w:hAnsi="Arial" w:cs="Arial"/>
                <w:color w:val="000000"/>
                <w:lang w:eastAsia="zh-CN"/>
              </w:rPr>
              <w:t xml:space="preserve">  All marks are provisional until confirmed by the Final Examination Board.</w:t>
            </w:r>
          </w:p>
          <w:p w14:paraId="4D57C0FE" w14:textId="77777777" w:rsidR="00D05A67" w:rsidRPr="00D05A67" w:rsidRDefault="00D05A67" w:rsidP="00D05A67">
            <w:pPr>
              <w:spacing w:after="0" w:line="240" w:lineRule="auto"/>
              <w:rPr>
                <w:rFonts w:ascii="Arial" w:eastAsia="SimSun" w:hAnsi="Arial" w:cs="Arial"/>
                <w:b/>
                <w:color w:val="000000"/>
                <w:lang w:eastAsia="zh-CN"/>
              </w:rPr>
            </w:pPr>
          </w:p>
          <w:p w14:paraId="3A93B56D" w14:textId="77777777" w:rsidR="00D05A67" w:rsidRPr="00D05A67" w:rsidRDefault="00D05A67" w:rsidP="00D05A67">
            <w:pPr>
              <w:spacing w:after="0" w:line="240" w:lineRule="auto"/>
              <w:rPr>
                <w:rFonts w:ascii="Arial" w:eastAsia="SimSun" w:hAnsi="Arial" w:cs="Arial"/>
                <w:b/>
                <w:color w:val="000000"/>
                <w:lang w:eastAsia="zh-CN"/>
              </w:rPr>
            </w:pPr>
          </w:p>
          <w:p w14:paraId="4FA3F8AE" w14:textId="77777777" w:rsidR="00D05A67" w:rsidRPr="00D05A67" w:rsidRDefault="00D05A67" w:rsidP="00D05A67">
            <w:pPr>
              <w:spacing w:after="0" w:line="240" w:lineRule="auto"/>
              <w:rPr>
                <w:rFonts w:ascii="Arial" w:eastAsia="SimSun" w:hAnsi="Arial" w:cs="Arial"/>
                <w:b/>
                <w:color w:val="000000"/>
                <w:lang w:eastAsia="zh-CN"/>
              </w:rPr>
            </w:pPr>
          </w:p>
          <w:p w14:paraId="6087FC22" w14:textId="77777777" w:rsidR="00D05A67" w:rsidRPr="00D05A67" w:rsidRDefault="00D05A67" w:rsidP="00D05A67">
            <w:pPr>
              <w:spacing w:after="0" w:line="240" w:lineRule="auto"/>
              <w:rPr>
                <w:rFonts w:ascii="Arial" w:eastAsia="SimSun" w:hAnsi="Arial" w:cs="Arial"/>
                <w:b/>
                <w:color w:val="000000"/>
                <w:lang w:eastAsia="zh-CN"/>
              </w:rPr>
            </w:pPr>
          </w:p>
          <w:p w14:paraId="5BE084C8" w14:textId="77777777" w:rsidR="00D05A67" w:rsidRPr="00D05A67" w:rsidRDefault="00D05A67" w:rsidP="00D05A67">
            <w:pPr>
              <w:spacing w:after="0" w:line="240" w:lineRule="auto"/>
              <w:rPr>
                <w:rFonts w:ascii="Arial" w:eastAsia="SimSun" w:hAnsi="Arial" w:cs="Arial"/>
                <w:b/>
                <w:color w:val="000000"/>
                <w:lang w:eastAsia="zh-CN"/>
              </w:rPr>
            </w:pPr>
          </w:p>
          <w:p w14:paraId="4F52E417" w14:textId="77777777" w:rsidR="00D05A67" w:rsidRPr="00D05A67" w:rsidRDefault="00D05A67" w:rsidP="00D05A67">
            <w:pPr>
              <w:spacing w:after="0" w:line="240" w:lineRule="auto"/>
              <w:rPr>
                <w:rFonts w:ascii="Arial" w:eastAsia="SimSun" w:hAnsi="Arial" w:cs="Arial"/>
                <w:b/>
                <w:color w:val="000000"/>
                <w:lang w:eastAsia="zh-CN"/>
              </w:rPr>
            </w:pPr>
            <w:r w:rsidRPr="00D05A67">
              <w:rPr>
                <w:rFonts w:ascii="Arial" w:eastAsia="SimSun" w:hAnsi="Arial" w:cs="Arial"/>
                <w:b/>
                <w:color w:val="000000"/>
                <w:lang w:eastAsia="zh-CN"/>
              </w:rPr>
              <w:t xml:space="preserve">For completion by Marker </w:t>
            </w:r>
            <w:proofErr w:type="gramStart"/>
            <w:r w:rsidRPr="00D05A67">
              <w:rPr>
                <w:rFonts w:ascii="Arial" w:eastAsia="SimSun" w:hAnsi="Arial" w:cs="Arial"/>
                <w:b/>
                <w:color w:val="000000"/>
                <w:lang w:eastAsia="zh-CN"/>
              </w:rPr>
              <w:t>1 :</w:t>
            </w:r>
            <w:proofErr w:type="gramEnd"/>
          </w:p>
          <w:p w14:paraId="3A0534BA" w14:textId="77777777" w:rsidR="00D05A67" w:rsidRPr="00D05A67" w:rsidRDefault="00D05A67" w:rsidP="00D05A67">
            <w:pPr>
              <w:spacing w:before="100" w:beforeAutospacing="1" w:after="100" w:afterAutospacing="1" w:line="240" w:lineRule="auto"/>
              <w:rPr>
                <w:rFonts w:ascii="Arial" w:eastAsia="SimSun" w:hAnsi="Arial" w:cs="Arial"/>
                <w:color w:val="000000"/>
                <w:lang w:eastAsia="zh-CN"/>
              </w:rPr>
            </w:pPr>
            <w:r w:rsidRPr="00D05A67">
              <w:rPr>
                <w:rFonts w:ascii="Arial" w:eastAsia="SimSun" w:hAnsi="Arial" w:cs="Arial"/>
                <w:color w:val="000000"/>
                <w:lang w:eastAsia="zh-CN"/>
              </w:rPr>
              <w:t>Comments:</w:t>
            </w:r>
          </w:p>
          <w:p w14:paraId="74C48C66" w14:textId="77777777" w:rsidR="00D05A67" w:rsidRPr="00D05A67" w:rsidRDefault="00D05A67" w:rsidP="00D05A67">
            <w:pPr>
              <w:spacing w:before="100" w:beforeAutospacing="1" w:after="100" w:afterAutospacing="1" w:line="240" w:lineRule="auto"/>
              <w:rPr>
                <w:rFonts w:ascii="Arial" w:eastAsia="SimSun" w:hAnsi="Arial" w:cs="Arial"/>
                <w:color w:val="000000"/>
                <w:lang w:eastAsia="zh-CN"/>
              </w:rPr>
            </w:pPr>
          </w:p>
        </w:tc>
      </w:tr>
      <w:tr w:rsidR="00D05A67" w:rsidRPr="00D05A67" w14:paraId="5775818C" w14:textId="77777777" w:rsidTr="00AF3581">
        <w:trPr>
          <w:trHeight w:val="492"/>
        </w:trPr>
        <w:tc>
          <w:tcPr>
            <w:tcW w:w="6768" w:type="dxa"/>
            <w:gridSpan w:val="3"/>
          </w:tcPr>
          <w:p w14:paraId="6251C435" w14:textId="77777777" w:rsidR="00D05A67" w:rsidRPr="00D05A67" w:rsidRDefault="00D05A67" w:rsidP="00D05A67">
            <w:pPr>
              <w:spacing w:before="100" w:beforeAutospacing="1" w:after="100" w:afterAutospacing="1" w:line="240" w:lineRule="auto"/>
              <w:ind w:left="142" w:right="34"/>
              <w:rPr>
                <w:rFonts w:ascii="Arial" w:eastAsia="SimSun" w:hAnsi="Arial" w:cs="Arial"/>
                <w:color w:val="000000"/>
                <w:lang w:eastAsia="zh-CN"/>
              </w:rPr>
            </w:pPr>
            <w:r w:rsidRPr="00D05A67">
              <w:rPr>
                <w:rFonts w:ascii="Arial" w:eastAsia="SimSun" w:hAnsi="Arial" w:cs="Arial"/>
                <w:color w:val="000000"/>
                <w:lang w:eastAsia="zh-CN"/>
              </w:rPr>
              <w:lastRenderedPageBreak/>
              <w:t>Marker’s signature:</w:t>
            </w:r>
          </w:p>
        </w:tc>
        <w:tc>
          <w:tcPr>
            <w:tcW w:w="2088" w:type="dxa"/>
            <w:gridSpan w:val="2"/>
          </w:tcPr>
          <w:p w14:paraId="75E1187E" w14:textId="77777777" w:rsidR="00D05A67" w:rsidRPr="00D05A67" w:rsidRDefault="00D05A67" w:rsidP="00D05A67">
            <w:pPr>
              <w:spacing w:before="100" w:beforeAutospacing="1" w:after="0" w:afterAutospacing="1" w:line="240" w:lineRule="auto"/>
              <w:ind w:left="142" w:right="34"/>
              <w:rPr>
                <w:rFonts w:ascii="Arial" w:eastAsia="SimSun" w:hAnsi="Arial" w:cs="Arial"/>
                <w:color w:val="000000"/>
                <w:lang w:eastAsia="zh-CN"/>
              </w:rPr>
            </w:pPr>
            <w:r w:rsidRPr="00D05A67">
              <w:rPr>
                <w:rFonts w:ascii="Arial" w:eastAsia="SimSun" w:hAnsi="Arial" w:cs="Arial"/>
                <w:color w:val="000000"/>
                <w:lang w:eastAsia="zh-CN"/>
              </w:rPr>
              <w:t>Date:</w:t>
            </w:r>
          </w:p>
        </w:tc>
      </w:tr>
      <w:tr w:rsidR="00D05A67" w:rsidRPr="00D05A67" w14:paraId="3B98957B" w14:textId="77777777" w:rsidTr="00AF3581">
        <w:tc>
          <w:tcPr>
            <w:tcW w:w="8856" w:type="dxa"/>
            <w:gridSpan w:val="5"/>
          </w:tcPr>
          <w:p w14:paraId="51F7C7BA" w14:textId="77777777" w:rsidR="00D05A67" w:rsidRPr="00D05A67" w:rsidRDefault="00D05A67" w:rsidP="00D05A67">
            <w:pPr>
              <w:spacing w:after="0" w:line="240" w:lineRule="auto"/>
              <w:ind w:right="-334"/>
              <w:rPr>
                <w:rFonts w:ascii="Arial" w:eastAsia="SimSun" w:hAnsi="Arial" w:cs="Arial"/>
                <w:bCs/>
                <w:i/>
                <w:color w:val="000000"/>
                <w:lang w:eastAsia="zh-CN"/>
              </w:rPr>
            </w:pPr>
          </w:p>
          <w:p w14:paraId="29B60BAE" w14:textId="77777777" w:rsidR="00D05A67" w:rsidRPr="00D05A67" w:rsidRDefault="00D05A67" w:rsidP="00D05A67">
            <w:pPr>
              <w:spacing w:after="0" w:line="240" w:lineRule="auto"/>
              <w:ind w:right="-334"/>
              <w:rPr>
                <w:rFonts w:ascii="Arial" w:eastAsia="SimSun" w:hAnsi="Arial" w:cs="Arial"/>
                <w:b/>
                <w:bCs/>
                <w:color w:val="000000"/>
                <w:lang w:eastAsia="zh-CN"/>
              </w:rPr>
            </w:pPr>
            <w:r w:rsidRPr="00D05A67">
              <w:rPr>
                <w:rFonts w:ascii="Arial" w:eastAsia="SimSun" w:hAnsi="Arial" w:cs="Arial"/>
                <w:b/>
                <w:bCs/>
                <w:color w:val="000000"/>
                <w:lang w:eastAsia="zh-CN"/>
              </w:rPr>
              <w:t>For completion by Marker 2/Moderator:</w:t>
            </w:r>
          </w:p>
          <w:p w14:paraId="47EAD546" w14:textId="77777777" w:rsidR="00D05A67" w:rsidRPr="00D05A67" w:rsidRDefault="00D05A67" w:rsidP="00D05A67">
            <w:pPr>
              <w:spacing w:after="0" w:line="240" w:lineRule="auto"/>
              <w:ind w:right="-334"/>
              <w:rPr>
                <w:rFonts w:ascii="Arial" w:eastAsia="SimSun" w:hAnsi="Arial" w:cs="Arial"/>
                <w:b/>
                <w:bCs/>
                <w:color w:val="000000"/>
                <w:lang w:eastAsia="zh-CN"/>
              </w:rPr>
            </w:pPr>
          </w:p>
          <w:p w14:paraId="1704A7B6" w14:textId="77777777" w:rsidR="00D05A67" w:rsidRPr="00D05A67" w:rsidRDefault="00D05A67" w:rsidP="00D05A67">
            <w:pPr>
              <w:spacing w:after="0" w:line="240" w:lineRule="auto"/>
              <w:ind w:right="-334"/>
              <w:rPr>
                <w:rFonts w:ascii="Arial" w:eastAsia="SimSun" w:hAnsi="Arial" w:cs="Arial"/>
                <w:bCs/>
                <w:color w:val="000000"/>
                <w:lang w:eastAsia="zh-CN"/>
              </w:rPr>
            </w:pPr>
            <w:r w:rsidRPr="00D05A67">
              <w:rPr>
                <w:rFonts w:ascii="Arial" w:eastAsia="SimSun" w:hAnsi="Arial" w:cs="Arial"/>
                <w:bCs/>
                <w:color w:val="000000"/>
                <w:lang w:eastAsia="zh-CN"/>
              </w:rPr>
              <w:t>Comments:</w:t>
            </w:r>
          </w:p>
          <w:p w14:paraId="28A2BD52" w14:textId="77777777" w:rsidR="00D05A67" w:rsidRPr="00D05A67" w:rsidRDefault="00D05A67" w:rsidP="00D05A67">
            <w:pPr>
              <w:spacing w:after="0" w:line="240" w:lineRule="auto"/>
              <w:ind w:right="-334"/>
              <w:rPr>
                <w:rFonts w:ascii="Arial" w:eastAsia="SimSun" w:hAnsi="Arial" w:cs="Arial"/>
                <w:bCs/>
                <w:color w:val="000000"/>
                <w:lang w:eastAsia="zh-CN"/>
              </w:rPr>
            </w:pPr>
          </w:p>
          <w:p w14:paraId="0645C238" w14:textId="77777777" w:rsidR="00D05A67" w:rsidRPr="00D05A67" w:rsidRDefault="00D05A67" w:rsidP="00D05A67">
            <w:pPr>
              <w:spacing w:after="0" w:line="240" w:lineRule="auto"/>
              <w:ind w:right="-334"/>
              <w:rPr>
                <w:rFonts w:ascii="Arial" w:eastAsia="SimSun" w:hAnsi="Arial" w:cs="Arial"/>
                <w:bCs/>
                <w:color w:val="000000"/>
                <w:lang w:eastAsia="zh-CN"/>
              </w:rPr>
            </w:pPr>
          </w:p>
          <w:p w14:paraId="3D388023" w14:textId="77777777" w:rsidR="00D05A67" w:rsidRPr="00D05A67" w:rsidRDefault="00D05A67" w:rsidP="00D05A67">
            <w:pPr>
              <w:spacing w:after="0" w:line="240" w:lineRule="auto"/>
              <w:ind w:right="-334"/>
              <w:rPr>
                <w:rFonts w:ascii="Arial" w:eastAsia="SimSun" w:hAnsi="Arial" w:cs="Arial"/>
                <w:bCs/>
                <w:color w:val="000000"/>
                <w:lang w:eastAsia="zh-CN"/>
              </w:rPr>
            </w:pPr>
          </w:p>
        </w:tc>
      </w:tr>
      <w:tr w:rsidR="00D05A67" w:rsidRPr="00D05A67" w14:paraId="15284E10" w14:textId="77777777" w:rsidTr="00AF3581">
        <w:trPr>
          <w:trHeight w:val="720"/>
        </w:trPr>
        <w:tc>
          <w:tcPr>
            <w:tcW w:w="5211" w:type="dxa"/>
            <w:gridSpan w:val="2"/>
          </w:tcPr>
          <w:p w14:paraId="67AB768F" w14:textId="77777777" w:rsidR="00D05A67" w:rsidRPr="00D05A67" w:rsidRDefault="00D05A67" w:rsidP="00D05A67">
            <w:pPr>
              <w:spacing w:after="0" w:line="240" w:lineRule="auto"/>
              <w:ind w:right="-334"/>
              <w:rPr>
                <w:rFonts w:ascii="Arial" w:eastAsia="SimSun" w:hAnsi="Arial" w:cs="Arial"/>
                <w:bCs/>
                <w:color w:val="000000"/>
                <w:lang w:eastAsia="zh-CN"/>
              </w:rPr>
            </w:pPr>
            <w:r w:rsidRPr="00D05A67">
              <w:rPr>
                <w:rFonts w:ascii="Arial" w:eastAsia="SimSun" w:hAnsi="Arial" w:cs="Arial"/>
                <w:bCs/>
                <w:color w:val="000000"/>
                <w:lang w:eastAsia="zh-CN"/>
              </w:rPr>
              <w:t>Marker’s Signature:</w:t>
            </w:r>
          </w:p>
        </w:tc>
        <w:tc>
          <w:tcPr>
            <w:tcW w:w="3645" w:type="dxa"/>
            <w:gridSpan w:val="3"/>
          </w:tcPr>
          <w:p w14:paraId="37F034DA" w14:textId="77777777" w:rsidR="00D05A67" w:rsidRPr="00D05A67" w:rsidRDefault="00D05A67" w:rsidP="00D05A67">
            <w:pPr>
              <w:spacing w:after="0" w:line="240" w:lineRule="auto"/>
              <w:ind w:right="-334"/>
              <w:rPr>
                <w:rFonts w:ascii="Arial" w:eastAsia="SimSun" w:hAnsi="Arial" w:cs="Arial"/>
                <w:bCs/>
                <w:color w:val="000000"/>
                <w:lang w:eastAsia="zh-CN"/>
              </w:rPr>
            </w:pPr>
            <w:r w:rsidRPr="00D05A67">
              <w:rPr>
                <w:rFonts w:ascii="Arial" w:eastAsia="SimSun" w:hAnsi="Arial" w:cs="Arial"/>
                <w:bCs/>
                <w:color w:val="000000"/>
                <w:lang w:eastAsia="zh-CN"/>
              </w:rPr>
              <w:t>Date:</w:t>
            </w:r>
          </w:p>
        </w:tc>
      </w:tr>
      <w:tr w:rsidR="00D05A67" w:rsidRPr="00D05A67" w14:paraId="7E37B804" w14:textId="77777777" w:rsidTr="00AF3581">
        <w:trPr>
          <w:trHeight w:val="720"/>
        </w:trPr>
        <w:tc>
          <w:tcPr>
            <w:tcW w:w="8856" w:type="dxa"/>
            <w:gridSpan w:val="5"/>
          </w:tcPr>
          <w:p w14:paraId="46477E80" w14:textId="77777777" w:rsidR="00D05A67" w:rsidRPr="00D05A67" w:rsidRDefault="00D05A67" w:rsidP="00D05A67">
            <w:pPr>
              <w:spacing w:after="0" w:line="240" w:lineRule="auto"/>
              <w:rPr>
                <w:rFonts w:ascii="Arial" w:eastAsia="SimSun" w:hAnsi="Arial" w:cs="Arial"/>
                <w:b/>
                <w:lang w:eastAsia="zh-CN"/>
              </w:rPr>
            </w:pPr>
            <w:r w:rsidRPr="00D05A67">
              <w:rPr>
                <w:rFonts w:ascii="Arial" w:eastAsia="SimSun" w:hAnsi="Arial" w:cs="Arial"/>
                <w:b/>
                <w:lang w:eastAsia="zh-CN"/>
              </w:rPr>
              <w:t>External Examiner’s comments (if relevant)</w:t>
            </w:r>
          </w:p>
          <w:p w14:paraId="3FCCC14D" w14:textId="77777777" w:rsidR="00D05A67" w:rsidRPr="00D05A67" w:rsidRDefault="00D05A67" w:rsidP="00D05A67">
            <w:pPr>
              <w:spacing w:after="0" w:line="240" w:lineRule="auto"/>
              <w:ind w:right="-334"/>
              <w:rPr>
                <w:rFonts w:ascii="Arial" w:eastAsia="SimSun" w:hAnsi="Arial" w:cs="Arial"/>
                <w:bCs/>
                <w:color w:val="000000"/>
                <w:lang w:eastAsia="zh-CN"/>
              </w:rPr>
            </w:pPr>
          </w:p>
          <w:p w14:paraId="2D2087C8" w14:textId="77777777" w:rsidR="00D05A67" w:rsidRPr="00D05A67" w:rsidRDefault="00D05A67" w:rsidP="00D05A67">
            <w:pPr>
              <w:spacing w:after="0" w:line="240" w:lineRule="auto"/>
              <w:ind w:right="-334"/>
              <w:rPr>
                <w:rFonts w:ascii="Arial" w:eastAsia="SimSun" w:hAnsi="Arial" w:cs="Arial"/>
                <w:bCs/>
                <w:color w:val="000000"/>
                <w:lang w:eastAsia="zh-CN"/>
              </w:rPr>
            </w:pPr>
          </w:p>
          <w:p w14:paraId="5405D135" w14:textId="77777777" w:rsidR="00D05A67" w:rsidRPr="00D05A67" w:rsidRDefault="00D05A67" w:rsidP="00D05A67">
            <w:pPr>
              <w:spacing w:after="0" w:line="240" w:lineRule="auto"/>
              <w:ind w:right="-334"/>
              <w:rPr>
                <w:rFonts w:ascii="Arial" w:eastAsia="SimSun" w:hAnsi="Arial" w:cs="Arial"/>
                <w:bCs/>
                <w:color w:val="000000"/>
                <w:lang w:eastAsia="zh-CN"/>
              </w:rPr>
            </w:pPr>
          </w:p>
        </w:tc>
      </w:tr>
      <w:tr w:rsidR="00D05A67" w:rsidRPr="00D05A67" w14:paraId="2D9523BD" w14:textId="77777777" w:rsidTr="00AF3581">
        <w:trPr>
          <w:trHeight w:val="720"/>
        </w:trPr>
        <w:tc>
          <w:tcPr>
            <w:tcW w:w="5211" w:type="dxa"/>
            <w:gridSpan w:val="2"/>
          </w:tcPr>
          <w:p w14:paraId="3A9B6285" w14:textId="77777777" w:rsidR="00D05A67" w:rsidRPr="00D05A67" w:rsidRDefault="00D05A67" w:rsidP="00D05A67">
            <w:pPr>
              <w:spacing w:after="0" w:line="240" w:lineRule="auto"/>
              <w:rPr>
                <w:rFonts w:ascii="Arial" w:eastAsia="SimSun" w:hAnsi="Arial" w:cs="Arial"/>
                <w:lang w:eastAsia="zh-CN"/>
              </w:rPr>
            </w:pPr>
            <w:r w:rsidRPr="00D05A67">
              <w:rPr>
                <w:rFonts w:ascii="Arial" w:eastAsia="SimSun" w:hAnsi="Arial" w:cs="Arial"/>
                <w:lang w:eastAsia="zh-CN"/>
              </w:rPr>
              <w:t>External Examiner’s Signature:</w:t>
            </w:r>
          </w:p>
        </w:tc>
        <w:tc>
          <w:tcPr>
            <w:tcW w:w="3645" w:type="dxa"/>
            <w:gridSpan w:val="3"/>
          </w:tcPr>
          <w:p w14:paraId="761F65E6" w14:textId="77777777" w:rsidR="00D05A67" w:rsidRPr="00D05A67" w:rsidRDefault="00D05A67" w:rsidP="00D05A67">
            <w:pPr>
              <w:spacing w:after="0" w:line="240" w:lineRule="auto"/>
              <w:rPr>
                <w:rFonts w:ascii="Arial" w:eastAsia="SimSun" w:hAnsi="Arial" w:cs="Arial"/>
                <w:lang w:eastAsia="zh-CN"/>
              </w:rPr>
            </w:pPr>
            <w:r w:rsidRPr="00D05A67">
              <w:rPr>
                <w:rFonts w:ascii="Arial" w:eastAsia="SimSun" w:hAnsi="Arial" w:cs="Arial"/>
                <w:lang w:eastAsia="zh-CN"/>
              </w:rPr>
              <w:t>Date:</w:t>
            </w:r>
          </w:p>
        </w:tc>
      </w:tr>
    </w:tbl>
    <w:p w14:paraId="4D88D4D0" w14:textId="77777777" w:rsidR="00D05A67" w:rsidRPr="00D05A67" w:rsidRDefault="00D05A67" w:rsidP="00D05A67">
      <w:pPr>
        <w:spacing w:after="0" w:line="240" w:lineRule="auto"/>
        <w:ind w:right="-334"/>
        <w:rPr>
          <w:rFonts w:ascii="Trebuchet MS" w:eastAsia="SimSun" w:hAnsi="Trebuchet MS" w:cs="Tahoma"/>
          <w:bCs/>
          <w:color w:val="000000"/>
          <w:sz w:val="24"/>
          <w:szCs w:val="24"/>
          <w:lang w:eastAsia="zh-CN"/>
        </w:rPr>
      </w:pPr>
    </w:p>
    <w:p w14:paraId="54AE59EE" w14:textId="77777777" w:rsidR="00D05A67" w:rsidRDefault="00D05A67" w:rsidP="001850D5">
      <w:pPr>
        <w:pStyle w:val="NoSpacing"/>
        <w:jc w:val="center"/>
        <w:rPr>
          <w:rFonts w:asciiTheme="majorHAnsi" w:hAnsiTheme="majorHAnsi" w:cstheme="majorHAnsi"/>
          <w:sz w:val="36"/>
          <w:szCs w:val="36"/>
        </w:rPr>
      </w:pPr>
    </w:p>
    <w:p w14:paraId="4E9AE619" w14:textId="77777777" w:rsidR="00D05A67" w:rsidRDefault="00D05A67" w:rsidP="001850D5">
      <w:pPr>
        <w:pStyle w:val="NoSpacing"/>
        <w:jc w:val="center"/>
        <w:rPr>
          <w:rFonts w:asciiTheme="majorHAnsi" w:hAnsiTheme="majorHAnsi" w:cstheme="majorHAnsi"/>
          <w:sz w:val="36"/>
          <w:szCs w:val="36"/>
        </w:rPr>
      </w:pPr>
    </w:p>
    <w:p w14:paraId="122BB4D1" w14:textId="77777777" w:rsidR="00D05A67" w:rsidRDefault="00D05A67" w:rsidP="001850D5">
      <w:pPr>
        <w:pStyle w:val="NoSpacing"/>
        <w:jc w:val="center"/>
        <w:rPr>
          <w:rFonts w:asciiTheme="majorHAnsi" w:hAnsiTheme="majorHAnsi" w:cstheme="majorHAnsi"/>
          <w:sz w:val="36"/>
          <w:szCs w:val="36"/>
        </w:rPr>
      </w:pPr>
    </w:p>
    <w:p w14:paraId="5987A982" w14:textId="77777777" w:rsidR="00D05A67" w:rsidRDefault="00D05A67" w:rsidP="001850D5">
      <w:pPr>
        <w:pStyle w:val="NoSpacing"/>
        <w:jc w:val="center"/>
        <w:rPr>
          <w:rFonts w:asciiTheme="majorHAnsi" w:hAnsiTheme="majorHAnsi" w:cstheme="majorHAnsi"/>
          <w:sz w:val="36"/>
          <w:szCs w:val="36"/>
        </w:rPr>
      </w:pPr>
    </w:p>
    <w:p w14:paraId="4E21FF6C" w14:textId="77777777" w:rsidR="00D05A67" w:rsidRDefault="00D05A67" w:rsidP="001850D5">
      <w:pPr>
        <w:pStyle w:val="NoSpacing"/>
        <w:jc w:val="center"/>
        <w:rPr>
          <w:rFonts w:asciiTheme="majorHAnsi" w:hAnsiTheme="majorHAnsi" w:cstheme="majorHAnsi"/>
          <w:sz w:val="36"/>
          <w:szCs w:val="36"/>
        </w:rPr>
      </w:pPr>
    </w:p>
    <w:p w14:paraId="78E2EFAE" w14:textId="77777777" w:rsidR="00D05A67" w:rsidRDefault="00D05A67" w:rsidP="001850D5">
      <w:pPr>
        <w:pStyle w:val="NoSpacing"/>
        <w:jc w:val="center"/>
        <w:rPr>
          <w:rFonts w:asciiTheme="majorHAnsi" w:hAnsiTheme="majorHAnsi" w:cstheme="majorHAnsi"/>
          <w:sz w:val="36"/>
          <w:szCs w:val="36"/>
        </w:rPr>
      </w:pPr>
    </w:p>
    <w:p w14:paraId="0A9BE404" w14:textId="77777777" w:rsidR="00D05A67" w:rsidRDefault="00D05A67" w:rsidP="001850D5">
      <w:pPr>
        <w:pStyle w:val="NoSpacing"/>
        <w:jc w:val="center"/>
        <w:rPr>
          <w:rFonts w:asciiTheme="majorHAnsi" w:hAnsiTheme="majorHAnsi" w:cstheme="majorHAnsi"/>
          <w:sz w:val="36"/>
          <w:szCs w:val="36"/>
        </w:rPr>
      </w:pPr>
    </w:p>
    <w:p w14:paraId="6E944CD0" w14:textId="77777777" w:rsidR="00D05A67" w:rsidRDefault="00D05A67" w:rsidP="001850D5">
      <w:pPr>
        <w:pStyle w:val="NoSpacing"/>
        <w:jc w:val="center"/>
        <w:rPr>
          <w:rFonts w:asciiTheme="majorHAnsi" w:hAnsiTheme="majorHAnsi" w:cstheme="majorHAnsi"/>
          <w:sz w:val="36"/>
          <w:szCs w:val="36"/>
        </w:rPr>
      </w:pPr>
    </w:p>
    <w:p w14:paraId="0A406618" w14:textId="77777777" w:rsidR="00D05A67" w:rsidRDefault="00D05A67" w:rsidP="001850D5">
      <w:pPr>
        <w:pStyle w:val="NoSpacing"/>
        <w:jc w:val="center"/>
        <w:rPr>
          <w:rFonts w:asciiTheme="majorHAnsi" w:hAnsiTheme="majorHAnsi" w:cstheme="majorHAnsi"/>
          <w:sz w:val="36"/>
          <w:szCs w:val="36"/>
        </w:rPr>
      </w:pPr>
    </w:p>
    <w:p w14:paraId="0FE0826A" w14:textId="77777777" w:rsidR="00D05A67" w:rsidRDefault="00D05A67" w:rsidP="001850D5">
      <w:pPr>
        <w:pStyle w:val="NoSpacing"/>
        <w:jc w:val="center"/>
        <w:rPr>
          <w:rFonts w:asciiTheme="majorHAnsi" w:hAnsiTheme="majorHAnsi" w:cstheme="majorHAnsi"/>
          <w:sz w:val="36"/>
          <w:szCs w:val="36"/>
        </w:rPr>
      </w:pPr>
    </w:p>
    <w:p w14:paraId="67492FD9" w14:textId="77777777" w:rsidR="00D05A67" w:rsidRDefault="00D05A67" w:rsidP="001850D5">
      <w:pPr>
        <w:pStyle w:val="NoSpacing"/>
        <w:jc w:val="center"/>
        <w:rPr>
          <w:rFonts w:asciiTheme="majorHAnsi" w:hAnsiTheme="majorHAnsi" w:cstheme="majorHAnsi"/>
          <w:sz w:val="36"/>
          <w:szCs w:val="36"/>
        </w:rPr>
      </w:pPr>
    </w:p>
    <w:p w14:paraId="3B861D9D" w14:textId="32F7CB90" w:rsidR="001850D5" w:rsidRDefault="001850D5" w:rsidP="001850D5">
      <w:pPr>
        <w:pStyle w:val="NoSpacing"/>
        <w:jc w:val="center"/>
        <w:rPr>
          <w:rFonts w:asciiTheme="majorHAnsi" w:hAnsiTheme="majorHAnsi" w:cstheme="majorHAnsi"/>
          <w:sz w:val="36"/>
          <w:szCs w:val="36"/>
        </w:rPr>
      </w:pPr>
      <w:r>
        <w:rPr>
          <w:rFonts w:asciiTheme="majorHAnsi" w:hAnsiTheme="majorHAnsi" w:cstheme="majorHAnsi"/>
          <w:sz w:val="36"/>
          <w:szCs w:val="36"/>
        </w:rPr>
        <w:lastRenderedPageBreak/>
        <w:t xml:space="preserve">Archival Research Assessment on William Wilberforce. </w:t>
      </w:r>
    </w:p>
    <w:p w14:paraId="7B958E66" w14:textId="40C1C709" w:rsidR="001850D5" w:rsidRDefault="001850D5" w:rsidP="001850D5">
      <w:pPr>
        <w:pStyle w:val="NoSpacing"/>
        <w:jc w:val="center"/>
        <w:rPr>
          <w:rFonts w:asciiTheme="majorHAnsi" w:hAnsiTheme="majorHAnsi" w:cstheme="majorHAnsi"/>
          <w:sz w:val="36"/>
          <w:szCs w:val="36"/>
        </w:rPr>
      </w:pPr>
    </w:p>
    <w:p w14:paraId="122A1BC8" w14:textId="482B95A2" w:rsidR="001850D5" w:rsidRPr="001850D5" w:rsidRDefault="001850D5" w:rsidP="001850D5">
      <w:pPr>
        <w:pStyle w:val="NoSpacing"/>
        <w:rPr>
          <w:rFonts w:asciiTheme="majorHAnsi" w:hAnsiTheme="majorHAnsi" w:cstheme="majorHAnsi"/>
          <w:sz w:val="28"/>
          <w:szCs w:val="28"/>
        </w:rPr>
      </w:pPr>
      <w:r w:rsidRPr="001850D5">
        <w:rPr>
          <w:rFonts w:asciiTheme="majorHAnsi" w:hAnsiTheme="majorHAnsi" w:cstheme="majorHAnsi"/>
          <w:sz w:val="28"/>
          <w:szCs w:val="28"/>
        </w:rPr>
        <w:t>Introduction and Methodology:</w:t>
      </w:r>
      <w:r w:rsidR="00EE5B70">
        <w:rPr>
          <w:rFonts w:asciiTheme="majorHAnsi" w:hAnsiTheme="majorHAnsi" w:cstheme="majorHAnsi"/>
          <w:sz w:val="28"/>
          <w:szCs w:val="28"/>
        </w:rPr>
        <w:t xml:space="preserve">  </w:t>
      </w:r>
      <w:r w:rsidR="00AF25D3">
        <w:rPr>
          <w:rFonts w:asciiTheme="majorHAnsi" w:hAnsiTheme="majorHAnsi" w:cstheme="majorHAnsi"/>
          <w:sz w:val="28"/>
          <w:szCs w:val="28"/>
        </w:rPr>
        <w:t xml:space="preserve">  </w:t>
      </w:r>
      <w:r w:rsidR="00CF2E2E">
        <w:rPr>
          <w:rFonts w:asciiTheme="majorHAnsi" w:hAnsiTheme="majorHAnsi" w:cstheme="majorHAnsi"/>
          <w:sz w:val="28"/>
          <w:szCs w:val="28"/>
        </w:rPr>
        <w:t xml:space="preserve">  </w:t>
      </w:r>
      <w:r w:rsidR="00DD1042">
        <w:rPr>
          <w:rFonts w:asciiTheme="majorHAnsi" w:hAnsiTheme="majorHAnsi" w:cstheme="majorHAnsi"/>
          <w:sz w:val="28"/>
          <w:szCs w:val="28"/>
        </w:rPr>
        <w:t xml:space="preserve">  </w:t>
      </w:r>
    </w:p>
    <w:p w14:paraId="74788219" w14:textId="77777777" w:rsidR="001850D5" w:rsidRPr="001850D5" w:rsidRDefault="001850D5" w:rsidP="001850D5">
      <w:pPr>
        <w:pStyle w:val="NoSpacing"/>
        <w:rPr>
          <w:rFonts w:asciiTheme="majorHAnsi" w:hAnsiTheme="majorHAnsi" w:cstheme="majorHAnsi"/>
          <w:sz w:val="24"/>
          <w:szCs w:val="24"/>
        </w:rPr>
      </w:pPr>
    </w:p>
    <w:p w14:paraId="64FD7112" w14:textId="68998BDD" w:rsidR="001850D5" w:rsidRPr="00EC0EC1" w:rsidRDefault="001850D5" w:rsidP="001850D5">
      <w:pPr>
        <w:pStyle w:val="NoSpacing"/>
        <w:rPr>
          <w:rFonts w:asciiTheme="majorHAnsi" w:hAnsiTheme="majorHAnsi" w:cstheme="majorHAnsi"/>
          <w:i/>
          <w:iCs/>
          <w:sz w:val="24"/>
          <w:szCs w:val="24"/>
        </w:rPr>
      </w:pPr>
      <w:r w:rsidRPr="001850D5">
        <w:rPr>
          <w:rFonts w:asciiTheme="majorHAnsi" w:hAnsiTheme="majorHAnsi" w:cstheme="majorHAnsi"/>
          <w:sz w:val="24"/>
          <w:szCs w:val="24"/>
        </w:rPr>
        <w:t>This list was mostly compiled through the utilisation of the National Archive Discovery Tool and the databases of national, local, and foreign archives.</w:t>
      </w:r>
      <w:r w:rsidR="00F85201">
        <w:rPr>
          <w:rStyle w:val="FootnoteReference"/>
          <w:rFonts w:asciiTheme="majorHAnsi" w:hAnsiTheme="majorHAnsi" w:cstheme="majorHAnsi"/>
          <w:sz w:val="24"/>
          <w:szCs w:val="24"/>
        </w:rPr>
        <w:footnoteReference w:id="1"/>
      </w:r>
      <w:r w:rsidRPr="001850D5">
        <w:rPr>
          <w:rFonts w:asciiTheme="majorHAnsi" w:hAnsiTheme="majorHAnsi" w:cstheme="majorHAnsi"/>
          <w:sz w:val="24"/>
          <w:szCs w:val="24"/>
        </w:rPr>
        <w:t xml:space="preserve"> The Discovery Tool was used to determine which archives contained documents pertaining to the life, political career, and doings of W. Wilberforce.</w:t>
      </w:r>
      <w:r w:rsidR="00F85201">
        <w:rPr>
          <w:rStyle w:val="FootnoteReference"/>
          <w:rFonts w:asciiTheme="majorHAnsi" w:hAnsiTheme="majorHAnsi" w:cstheme="majorHAnsi"/>
          <w:sz w:val="24"/>
          <w:szCs w:val="24"/>
        </w:rPr>
        <w:footnoteReference w:id="2"/>
      </w:r>
      <w:r w:rsidRPr="001850D5">
        <w:rPr>
          <w:rFonts w:asciiTheme="majorHAnsi" w:hAnsiTheme="majorHAnsi" w:cstheme="majorHAnsi"/>
          <w:sz w:val="24"/>
          <w:szCs w:val="24"/>
        </w:rPr>
        <w:t xml:space="preserve"> Thorough searches of these archives were then conducted to gather material with criteria of the searches, such the time period</w:t>
      </w:r>
      <w:r w:rsidR="002C7BC7">
        <w:rPr>
          <w:rFonts w:asciiTheme="majorHAnsi" w:hAnsiTheme="majorHAnsi" w:cstheme="majorHAnsi"/>
          <w:sz w:val="24"/>
          <w:szCs w:val="24"/>
        </w:rPr>
        <w:t>,</w:t>
      </w:r>
      <w:r w:rsidRPr="001850D5">
        <w:rPr>
          <w:rFonts w:asciiTheme="majorHAnsi" w:hAnsiTheme="majorHAnsi" w:cstheme="majorHAnsi"/>
          <w:sz w:val="24"/>
          <w:szCs w:val="24"/>
        </w:rPr>
        <w:t xml:space="preserve"> or the type of document, being changed when appropriate.</w:t>
      </w:r>
      <w:r w:rsidR="00F85201">
        <w:rPr>
          <w:rStyle w:val="FootnoteReference"/>
          <w:rFonts w:asciiTheme="majorHAnsi" w:hAnsiTheme="majorHAnsi" w:cstheme="majorHAnsi"/>
          <w:sz w:val="24"/>
          <w:szCs w:val="24"/>
        </w:rPr>
        <w:footnoteReference w:id="3"/>
      </w:r>
      <w:r w:rsidRPr="001850D5">
        <w:rPr>
          <w:rFonts w:asciiTheme="majorHAnsi" w:hAnsiTheme="majorHAnsi" w:cstheme="majorHAnsi"/>
          <w:sz w:val="24"/>
          <w:szCs w:val="24"/>
        </w:rPr>
        <w:t xml:space="preserve"> This allowed for archived material to be authenticated and identified for inclusion on </w:t>
      </w:r>
      <w:r w:rsidR="00EC0EC1" w:rsidRPr="001850D5">
        <w:rPr>
          <w:rFonts w:asciiTheme="majorHAnsi" w:hAnsiTheme="majorHAnsi" w:cstheme="majorHAnsi"/>
          <w:sz w:val="24"/>
          <w:szCs w:val="24"/>
        </w:rPr>
        <w:t>this lis</w:t>
      </w:r>
      <w:r w:rsidR="00EC0EC1">
        <w:rPr>
          <w:rFonts w:asciiTheme="majorHAnsi" w:hAnsiTheme="majorHAnsi" w:cstheme="majorHAnsi"/>
          <w:sz w:val="24"/>
          <w:szCs w:val="24"/>
        </w:rPr>
        <w:t>t. Other search sites including Ji</w:t>
      </w:r>
      <w:r w:rsidR="00F85201">
        <w:rPr>
          <w:rFonts w:asciiTheme="majorHAnsi" w:hAnsiTheme="majorHAnsi" w:cstheme="majorHAnsi"/>
          <w:sz w:val="24"/>
          <w:szCs w:val="24"/>
        </w:rPr>
        <w:t>s</w:t>
      </w:r>
      <w:r w:rsidR="0099773E">
        <w:rPr>
          <w:rFonts w:asciiTheme="majorHAnsi" w:hAnsiTheme="majorHAnsi" w:cstheme="majorHAnsi"/>
          <w:sz w:val="24"/>
          <w:szCs w:val="24"/>
        </w:rPr>
        <w:t>c</w:t>
      </w:r>
      <w:r w:rsidR="00F85201">
        <w:rPr>
          <w:rFonts w:asciiTheme="majorHAnsi" w:hAnsiTheme="majorHAnsi" w:cstheme="majorHAnsi"/>
          <w:sz w:val="24"/>
          <w:szCs w:val="24"/>
        </w:rPr>
        <w:t xml:space="preserve"> </w:t>
      </w:r>
      <w:r w:rsidR="00EC0EC1">
        <w:rPr>
          <w:rFonts w:asciiTheme="majorHAnsi" w:hAnsiTheme="majorHAnsi" w:cstheme="majorHAnsi"/>
          <w:sz w:val="24"/>
          <w:szCs w:val="24"/>
        </w:rPr>
        <w:t>were also used and will mentioned as necessary within the list.</w:t>
      </w:r>
      <w:r w:rsidR="00F85201">
        <w:rPr>
          <w:rStyle w:val="FootnoteReference"/>
          <w:rFonts w:asciiTheme="majorHAnsi" w:hAnsiTheme="majorHAnsi" w:cstheme="majorHAnsi"/>
          <w:sz w:val="24"/>
          <w:szCs w:val="24"/>
        </w:rPr>
        <w:footnoteReference w:id="4"/>
      </w:r>
      <w:r w:rsidR="00EC0EC1">
        <w:rPr>
          <w:rFonts w:asciiTheme="majorHAnsi" w:hAnsiTheme="majorHAnsi" w:cstheme="majorHAnsi"/>
          <w:sz w:val="24"/>
          <w:szCs w:val="24"/>
        </w:rPr>
        <w:t xml:space="preserve">  </w:t>
      </w:r>
      <w:r w:rsidR="00E27EF1">
        <w:rPr>
          <w:rFonts w:asciiTheme="majorHAnsi" w:hAnsiTheme="majorHAnsi" w:cstheme="majorHAnsi"/>
          <w:sz w:val="24"/>
          <w:szCs w:val="24"/>
        </w:rPr>
        <w:t xml:space="preserve">  </w:t>
      </w:r>
    </w:p>
    <w:p w14:paraId="047C35FF" w14:textId="2C302AAA" w:rsidR="001850D5" w:rsidRDefault="001850D5" w:rsidP="001850D5">
      <w:pPr>
        <w:pStyle w:val="NoSpacing"/>
        <w:rPr>
          <w:rFonts w:asciiTheme="majorHAnsi" w:hAnsiTheme="majorHAnsi" w:cstheme="majorHAnsi"/>
          <w:sz w:val="24"/>
          <w:szCs w:val="24"/>
        </w:rPr>
      </w:pPr>
      <w:bookmarkStart w:id="9" w:name="_Hlk56095986"/>
    </w:p>
    <w:p w14:paraId="4E7A935B" w14:textId="0E7EC7E4" w:rsidR="001850D5" w:rsidRPr="001850D5" w:rsidRDefault="002C7BC7" w:rsidP="001850D5">
      <w:pPr>
        <w:pStyle w:val="NoSpacing"/>
        <w:rPr>
          <w:rFonts w:asciiTheme="majorHAnsi" w:hAnsiTheme="majorHAnsi" w:cstheme="majorHAnsi"/>
          <w:sz w:val="28"/>
          <w:szCs w:val="28"/>
        </w:rPr>
      </w:pPr>
      <w:bookmarkStart w:id="10" w:name="_Hlk56281392"/>
      <w:bookmarkStart w:id="11" w:name="_Hlk56087355"/>
      <w:r>
        <w:rPr>
          <w:rFonts w:asciiTheme="majorHAnsi" w:hAnsiTheme="majorHAnsi" w:cstheme="majorHAnsi"/>
          <w:sz w:val="28"/>
          <w:szCs w:val="28"/>
        </w:rPr>
        <w:t>‘</w:t>
      </w:r>
      <w:r w:rsidRPr="002C7BC7">
        <w:rPr>
          <w:rFonts w:asciiTheme="majorHAnsi" w:hAnsiTheme="majorHAnsi" w:cstheme="majorHAnsi"/>
          <w:sz w:val="28"/>
          <w:szCs w:val="28"/>
        </w:rPr>
        <w:t>William Wilberforce letter, 6 August 1782</w:t>
      </w:r>
      <w:r>
        <w:rPr>
          <w:rFonts w:asciiTheme="majorHAnsi" w:hAnsiTheme="majorHAnsi" w:cstheme="majorHAnsi"/>
          <w:sz w:val="28"/>
          <w:szCs w:val="28"/>
        </w:rPr>
        <w:t xml:space="preserve">.’ </w:t>
      </w:r>
      <w:bookmarkEnd w:id="10"/>
      <w:r w:rsidR="001850D5" w:rsidRPr="001850D5">
        <w:rPr>
          <w:rFonts w:asciiTheme="majorHAnsi" w:hAnsiTheme="majorHAnsi" w:cstheme="majorHAnsi"/>
          <w:sz w:val="28"/>
          <w:szCs w:val="28"/>
        </w:rPr>
        <w:t xml:space="preserve">Durham, North Carolina, David M. Rubenstein Rare Book &amp; Manuscript Library, duke:443225. </w:t>
      </w:r>
    </w:p>
    <w:bookmarkEnd w:id="9"/>
    <w:bookmarkEnd w:id="11"/>
    <w:p w14:paraId="2BCCC24C" w14:textId="77777777" w:rsidR="001850D5" w:rsidRDefault="001850D5" w:rsidP="001850D5">
      <w:pPr>
        <w:pStyle w:val="NoSpacing"/>
        <w:rPr>
          <w:rFonts w:asciiTheme="majorHAnsi" w:hAnsiTheme="majorHAnsi" w:cstheme="majorHAnsi"/>
          <w:sz w:val="24"/>
          <w:szCs w:val="24"/>
        </w:rPr>
      </w:pPr>
    </w:p>
    <w:p w14:paraId="4EE189FB" w14:textId="5DDFC97A" w:rsidR="001850D5" w:rsidRDefault="001850D5" w:rsidP="001850D5">
      <w:pPr>
        <w:pStyle w:val="NoSpacing"/>
        <w:rPr>
          <w:rFonts w:asciiTheme="majorHAnsi" w:hAnsiTheme="majorHAnsi" w:cstheme="majorHAnsi"/>
          <w:sz w:val="24"/>
          <w:szCs w:val="24"/>
        </w:rPr>
      </w:pPr>
      <w:r w:rsidRPr="001850D5">
        <w:rPr>
          <w:rFonts w:asciiTheme="majorHAnsi" w:hAnsiTheme="majorHAnsi" w:cstheme="majorHAnsi"/>
          <w:sz w:val="24"/>
          <w:szCs w:val="24"/>
        </w:rPr>
        <w:t>This document was discovered through National Archive Discovery Tool which identified these documents as being part of the William Wilberforce Papers, 1782-1837 and Undated which are available at the David M. Rubenstein Rare Book &amp; Manuscript Library which is part of the Duke University Libraries Group.</w:t>
      </w:r>
      <w:r w:rsidR="00F85201">
        <w:rPr>
          <w:rStyle w:val="FootnoteReference"/>
          <w:rFonts w:asciiTheme="majorHAnsi" w:hAnsiTheme="majorHAnsi" w:cstheme="majorHAnsi"/>
          <w:sz w:val="24"/>
          <w:szCs w:val="24"/>
        </w:rPr>
        <w:footnoteReference w:id="5"/>
      </w:r>
      <w:r w:rsidRPr="001850D5">
        <w:rPr>
          <w:rFonts w:asciiTheme="majorHAnsi" w:hAnsiTheme="majorHAnsi" w:cstheme="majorHAnsi"/>
          <w:sz w:val="24"/>
          <w:szCs w:val="24"/>
        </w:rPr>
        <w:t xml:space="preserve"> The cited item was discovered by allowing the Discovery To</w:t>
      </w:r>
      <w:r w:rsidR="005E184F">
        <w:rPr>
          <w:rFonts w:asciiTheme="majorHAnsi" w:hAnsiTheme="majorHAnsi" w:cstheme="majorHAnsi"/>
          <w:sz w:val="24"/>
          <w:szCs w:val="24"/>
        </w:rPr>
        <w:t xml:space="preserve">ol </w:t>
      </w:r>
      <w:r w:rsidRPr="001850D5">
        <w:rPr>
          <w:rFonts w:asciiTheme="majorHAnsi" w:hAnsiTheme="majorHAnsi" w:cstheme="majorHAnsi"/>
          <w:sz w:val="24"/>
          <w:szCs w:val="24"/>
        </w:rPr>
        <w:t>to search archives from outside the UK. In this instance it identified the above manuscript in an archive that is in the United States of America.</w:t>
      </w:r>
      <w:r w:rsidR="00F85201">
        <w:rPr>
          <w:rStyle w:val="FootnoteReference"/>
          <w:rFonts w:asciiTheme="majorHAnsi" w:hAnsiTheme="majorHAnsi" w:cstheme="majorHAnsi"/>
          <w:sz w:val="24"/>
          <w:szCs w:val="24"/>
        </w:rPr>
        <w:footnoteReference w:id="6"/>
      </w:r>
      <w:r w:rsidRPr="001850D5">
        <w:rPr>
          <w:rFonts w:asciiTheme="majorHAnsi" w:hAnsiTheme="majorHAnsi" w:cstheme="majorHAnsi"/>
          <w:sz w:val="24"/>
          <w:szCs w:val="24"/>
        </w:rPr>
        <w:t xml:space="preserve"> The item is a short letter written by Wilberforce on August 6th 1782 in </w:t>
      </w:r>
      <w:r w:rsidR="005E184F">
        <w:rPr>
          <w:rFonts w:asciiTheme="majorHAnsi" w:hAnsiTheme="majorHAnsi" w:cstheme="majorHAnsi"/>
          <w:sz w:val="24"/>
          <w:szCs w:val="24"/>
        </w:rPr>
        <w:t xml:space="preserve">response </w:t>
      </w:r>
      <w:r w:rsidRPr="001850D5">
        <w:rPr>
          <w:rFonts w:asciiTheme="majorHAnsi" w:hAnsiTheme="majorHAnsi" w:cstheme="majorHAnsi"/>
          <w:sz w:val="24"/>
          <w:szCs w:val="24"/>
        </w:rPr>
        <w:t>a letter he received on the morning of the given date.</w:t>
      </w:r>
      <w:r w:rsidR="00F85201">
        <w:rPr>
          <w:rStyle w:val="FootnoteReference"/>
          <w:rFonts w:asciiTheme="majorHAnsi" w:hAnsiTheme="majorHAnsi" w:cstheme="majorHAnsi"/>
          <w:sz w:val="24"/>
          <w:szCs w:val="24"/>
        </w:rPr>
        <w:footnoteReference w:id="7"/>
      </w:r>
      <w:r w:rsidRPr="001850D5">
        <w:rPr>
          <w:rFonts w:asciiTheme="majorHAnsi" w:hAnsiTheme="majorHAnsi" w:cstheme="majorHAnsi"/>
          <w:sz w:val="24"/>
          <w:szCs w:val="24"/>
        </w:rPr>
        <w:t xml:space="preserve"> This document is of interest to </w:t>
      </w:r>
      <w:r>
        <w:rPr>
          <w:rFonts w:asciiTheme="majorHAnsi" w:hAnsiTheme="majorHAnsi" w:cstheme="majorHAnsi"/>
          <w:sz w:val="24"/>
          <w:szCs w:val="24"/>
        </w:rPr>
        <w:t xml:space="preserve">those </w:t>
      </w:r>
      <w:r w:rsidRPr="001850D5">
        <w:rPr>
          <w:rFonts w:asciiTheme="majorHAnsi" w:hAnsiTheme="majorHAnsi" w:cstheme="majorHAnsi"/>
          <w:sz w:val="24"/>
          <w:szCs w:val="24"/>
        </w:rPr>
        <w:t xml:space="preserve">looking at Wilberforce’s </w:t>
      </w:r>
      <w:r w:rsidR="00C22811">
        <w:rPr>
          <w:rFonts w:asciiTheme="majorHAnsi" w:hAnsiTheme="majorHAnsi" w:cstheme="majorHAnsi"/>
          <w:sz w:val="24"/>
          <w:szCs w:val="24"/>
        </w:rPr>
        <w:t xml:space="preserve">the </w:t>
      </w:r>
      <w:r w:rsidRPr="001850D5">
        <w:rPr>
          <w:rFonts w:asciiTheme="majorHAnsi" w:hAnsiTheme="majorHAnsi" w:cstheme="majorHAnsi"/>
          <w:sz w:val="24"/>
          <w:szCs w:val="24"/>
        </w:rPr>
        <w:t>correspondence and it is best used when compared to other examples.</w:t>
      </w:r>
    </w:p>
    <w:p w14:paraId="6F42F445" w14:textId="76A1EEE7" w:rsidR="001850D5" w:rsidRDefault="001850D5" w:rsidP="001850D5">
      <w:pPr>
        <w:pStyle w:val="NoSpacing"/>
        <w:rPr>
          <w:rFonts w:asciiTheme="majorHAnsi" w:hAnsiTheme="majorHAnsi" w:cstheme="majorHAnsi"/>
          <w:sz w:val="24"/>
          <w:szCs w:val="24"/>
        </w:rPr>
      </w:pPr>
    </w:p>
    <w:p w14:paraId="4F65D051" w14:textId="77777777" w:rsidR="00335014" w:rsidRDefault="00335014" w:rsidP="001850D5">
      <w:pPr>
        <w:pStyle w:val="NoSpacing"/>
        <w:rPr>
          <w:rFonts w:asciiTheme="majorHAnsi" w:hAnsiTheme="majorHAnsi" w:cstheme="majorHAnsi"/>
          <w:sz w:val="28"/>
          <w:szCs w:val="28"/>
        </w:rPr>
      </w:pPr>
      <w:bookmarkStart w:id="14" w:name="_Hlk56087729"/>
      <w:bookmarkStart w:id="15" w:name="_Hlk56080272"/>
    </w:p>
    <w:p w14:paraId="5B55CE92" w14:textId="77777777" w:rsidR="00335014" w:rsidRDefault="00335014" w:rsidP="001850D5">
      <w:pPr>
        <w:pStyle w:val="NoSpacing"/>
        <w:rPr>
          <w:rFonts w:asciiTheme="majorHAnsi" w:hAnsiTheme="majorHAnsi" w:cstheme="majorHAnsi"/>
          <w:sz w:val="28"/>
          <w:szCs w:val="28"/>
        </w:rPr>
      </w:pPr>
    </w:p>
    <w:p w14:paraId="61E52200" w14:textId="77777777" w:rsidR="00335014" w:rsidRDefault="00335014" w:rsidP="001850D5">
      <w:pPr>
        <w:pStyle w:val="NoSpacing"/>
        <w:rPr>
          <w:rFonts w:asciiTheme="majorHAnsi" w:hAnsiTheme="majorHAnsi" w:cstheme="majorHAnsi"/>
          <w:sz w:val="28"/>
          <w:szCs w:val="28"/>
        </w:rPr>
      </w:pPr>
    </w:p>
    <w:p w14:paraId="3F318CB2" w14:textId="77777777" w:rsidR="00335014" w:rsidRDefault="00335014" w:rsidP="001850D5">
      <w:pPr>
        <w:pStyle w:val="NoSpacing"/>
        <w:rPr>
          <w:rFonts w:asciiTheme="majorHAnsi" w:hAnsiTheme="majorHAnsi" w:cstheme="majorHAnsi"/>
          <w:sz w:val="28"/>
          <w:szCs w:val="28"/>
        </w:rPr>
      </w:pPr>
    </w:p>
    <w:p w14:paraId="1B9C6FC4" w14:textId="2E5648BF" w:rsidR="001850D5" w:rsidRPr="001850D5" w:rsidRDefault="00DB2937" w:rsidP="001850D5">
      <w:pPr>
        <w:pStyle w:val="NoSpacing"/>
        <w:rPr>
          <w:rFonts w:asciiTheme="majorHAnsi" w:hAnsiTheme="majorHAnsi" w:cstheme="majorHAnsi"/>
          <w:sz w:val="28"/>
          <w:szCs w:val="28"/>
        </w:rPr>
      </w:pPr>
      <w:bookmarkStart w:id="16" w:name="_Hlk56281651"/>
      <w:r>
        <w:rPr>
          <w:rFonts w:asciiTheme="majorHAnsi" w:hAnsiTheme="majorHAnsi" w:cstheme="majorHAnsi"/>
          <w:sz w:val="28"/>
          <w:szCs w:val="28"/>
        </w:rPr>
        <w:lastRenderedPageBreak/>
        <w:t>‘</w:t>
      </w:r>
      <w:r w:rsidRPr="00DB2937">
        <w:rPr>
          <w:rFonts w:asciiTheme="majorHAnsi" w:hAnsiTheme="majorHAnsi" w:cstheme="majorHAnsi"/>
          <w:sz w:val="28"/>
          <w:szCs w:val="28"/>
        </w:rPr>
        <w:t xml:space="preserve">William Wilberforce </w:t>
      </w:r>
      <w:r>
        <w:rPr>
          <w:rFonts w:asciiTheme="majorHAnsi" w:hAnsiTheme="majorHAnsi" w:cstheme="majorHAnsi"/>
          <w:sz w:val="28"/>
          <w:szCs w:val="28"/>
        </w:rPr>
        <w:t>P</w:t>
      </w:r>
      <w:r w:rsidRPr="00DB2937">
        <w:rPr>
          <w:rFonts w:asciiTheme="majorHAnsi" w:hAnsiTheme="majorHAnsi" w:cstheme="majorHAnsi"/>
          <w:sz w:val="28"/>
          <w:szCs w:val="28"/>
        </w:rPr>
        <w:t xml:space="preserve">apers, 1782-1837 and </w:t>
      </w:r>
      <w:r>
        <w:rPr>
          <w:rFonts w:asciiTheme="majorHAnsi" w:hAnsiTheme="majorHAnsi" w:cstheme="majorHAnsi"/>
          <w:sz w:val="28"/>
          <w:szCs w:val="28"/>
        </w:rPr>
        <w:t>U</w:t>
      </w:r>
      <w:r w:rsidRPr="00DB2937">
        <w:rPr>
          <w:rFonts w:asciiTheme="majorHAnsi" w:hAnsiTheme="majorHAnsi" w:cstheme="majorHAnsi"/>
          <w:sz w:val="28"/>
          <w:szCs w:val="28"/>
        </w:rPr>
        <w:t>ndated</w:t>
      </w:r>
      <w:r>
        <w:rPr>
          <w:rFonts w:asciiTheme="majorHAnsi" w:hAnsiTheme="majorHAnsi" w:cstheme="majorHAnsi"/>
          <w:sz w:val="28"/>
          <w:szCs w:val="28"/>
        </w:rPr>
        <w:t xml:space="preserve">.’ </w:t>
      </w:r>
      <w:r w:rsidR="001850D5" w:rsidRPr="001850D5">
        <w:rPr>
          <w:rFonts w:asciiTheme="majorHAnsi" w:hAnsiTheme="majorHAnsi" w:cstheme="majorHAnsi"/>
          <w:sz w:val="28"/>
          <w:szCs w:val="28"/>
        </w:rPr>
        <w:t>Durham, North Carolina, David M, Rubenstein Rare Book &amp; Manuscript Library,</w:t>
      </w:r>
      <w:r w:rsidR="00F85201" w:rsidRPr="00F85201">
        <w:t xml:space="preserve"> </w:t>
      </w:r>
      <w:r w:rsidR="00F85201" w:rsidRPr="00F85201">
        <w:rPr>
          <w:rFonts w:asciiTheme="majorHAnsi" w:hAnsiTheme="majorHAnsi" w:cstheme="majorHAnsi"/>
          <w:sz w:val="28"/>
          <w:szCs w:val="28"/>
        </w:rPr>
        <w:t>RL.01381.</w:t>
      </w:r>
      <w:r w:rsidR="001850D5" w:rsidRPr="001850D5">
        <w:rPr>
          <w:rFonts w:asciiTheme="majorHAnsi" w:hAnsiTheme="majorHAnsi" w:cstheme="majorHAnsi"/>
          <w:sz w:val="28"/>
          <w:szCs w:val="28"/>
        </w:rPr>
        <w:t xml:space="preserve"> Available at: https://repository.duke.edu/dc/wilberf. (Accessed: 23rd November 2020).</w:t>
      </w:r>
    </w:p>
    <w:bookmarkEnd w:id="14"/>
    <w:bookmarkEnd w:id="16"/>
    <w:p w14:paraId="5B78624E" w14:textId="77777777" w:rsidR="001850D5" w:rsidRPr="001850D5" w:rsidRDefault="001850D5" w:rsidP="001850D5">
      <w:pPr>
        <w:pStyle w:val="NoSpacing"/>
        <w:rPr>
          <w:rFonts w:asciiTheme="majorHAnsi" w:hAnsiTheme="majorHAnsi" w:cstheme="majorHAnsi"/>
          <w:sz w:val="24"/>
          <w:szCs w:val="24"/>
        </w:rPr>
      </w:pPr>
    </w:p>
    <w:p w14:paraId="34603BB4" w14:textId="19015E5A" w:rsidR="001850D5" w:rsidRDefault="001850D5" w:rsidP="001850D5">
      <w:pPr>
        <w:pStyle w:val="NoSpacing"/>
        <w:rPr>
          <w:rFonts w:asciiTheme="majorHAnsi" w:hAnsiTheme="majorHAnsi" w:cstheme="majorHAnsi"/>
          <w:sz w:val="24"/>
          <w:szCs w:val="24"/>
        </w:rPr>
      </w:pPr>
      <w:r w:rsidRPr="001850D5">
        <w:rPr>
          <w:rFonts w:asciiTheme="majorHAnsi" w:hAnsiTheme="majorHAnsi" w:cstheme="majorHAnsi"/>
          <w:sz w:val="24"/>
          <w:szCs w:val="24"/>
        </w:rPr>
        <w:t>This is an online collection of correspondence by William Wilberforce between 1782 and 1837.</w:t>
      </w:r>
      <w:r w:rsidR="00F85201">
        <w:rPr>
          <w:rStyle w:val="FootnoteReference"/>
          <w:rFonts w:asciiTheme="majorHAnsi" w:hAnsiTheme="majorHAnsi" w:cstheme="majorHAnsi"/>
          <w:sz w:val="24"/>
          <w:szCs w:val="24"/>
        </w:rPr>
        <w:footnoteReference w:id="8"/>
      </w:r>
      <w:r w:rsidRPr="001850D5">
        <w:rPr>
          <w:rFonts w:asciiTheme="majorHAnsi" w:hAnsiTheme="majorHAnsi" w:cstheme="majorHAnsi"/>
          <w:sz w:val="24"/>
          <w:szCs w:val="24"/>
        </w:rPr>
        <w:t xml:space="preserve"> The collection </w:t>
      </w:r>
      <w:r w:rsidR="00F85201">
        <w:rPr>
          <w:rFonts w:asciiTheme="majorHAnsi" w:hAnsiTheme="majorHAnsi" w:cstheme="majorHAnsi"/>
          <w:sz w:val="24"/>
          <w:szCs w:val="24"/>
        </w:rPr>
        <w:t xml:space="preserve">was </w:t>
      </w:r>
      <w:r w:rsidRPr="001850D5">
        <w:rPr>
          <w:rFonts w:asciiTheme="majorHAnsi" w:hAnsiTheme="majorHAnsi" w:cstheme="majorHAnsi"/>
          <w:sz w:val="24"/>
          <w:szCs w:val="24"/>
        </w:rPr>
        <w:t>located through the use of the National Archive’s Discovery Tool with the search parameters set to look through international archives. The previous citation is a part of this collection as well as six hundred and thirty-nine other documents from the named period.</w:t>
      </w:r>
      <w:r w:rsidR="00F85201">
        <w:rPr>
          <w:rStyle w:val="FootnoteReference"/>
          <w:rFonts w:asciiTheme="majorHAnsi" w:hAnsiTheme="majorHAnsi" w:cstheme="majorHAnsi"/>
          <w:sz w:val="24"/>
          <w:szCs w:val="24"/>
        </w:rPr>
        <w:footnoteReference w:id="9"/>
      </w:r>
      <w:r w:rsidRPr="001850D5">
        <w:rPr>
          <w:rFonts w:asciiTheme="majorHAnsi" w:hAnsiTheme="majorHAnsi" w:cstheme="majorHAnsi"/>
          <w:sz w:val="24"/>
          <w:szCs w:val="24"/>
        </w:rPr>
        <w:t xml:space="preserve"> The collection is located on the Duke University Libraries Collections and </w:t>
      </w:r>
      <w:bookmarkEnd w:id="15"/>
      <w:r w:rsidRPr="001850D5">
        <w:rPr>
          <w:rFonts w:asciiTheme="majorHAnsi" w:hAnsiTheme="majorHAnsi" w:cstheme="majorHAnsi"/>
          <w:sz w:val="24"/>
          <w:szCs w:val="24"/>
        </w:rPr>
        <w:t>Repositories website which is the database that contains the Duke University Libraries’ catalogue of their collections.</w:t>
      </w:r>
      <w:r w:rsidR="00F85201">
        <w:rPr>
          <w:rStyle w:val="FootnoteReference"/>
          <w:rFonts w:asciiTheme="majorHAnsi" w:hAnsiTheme="majorHAnsi" w:cstheme="majorHAnsi"/>
          <w:sz w:val="24"/>
          <w:szCs w:val="24"/>
        </w:rPr>
        <w:footnoteReference w:id="10"/>
      </w:r>
      <w:r w:rsidRPr="001850D5">
        <w:rPr>
          <w:rFonts w:asciiTheme="majorHAnsi" w:hAnsiTheme="majorHAnsi" w:cstheme="majorHAnsi"/>
          <w:sz w:val="24"/>
          <w:szCs w:val="24"/>
        </w:rPr>
        <w:t xml:space="preserve"> The source is useful for anyone looking to examine Wilberforce’s correspondence as it features a search function which allows viewers to set specific conditions to assist their search through the collection. </w:t>
      </w:r>
    </w:p>
    <w:p w14:paraId="71027838" w14:textId="06CAFC2D" w:rsidR="001850D5" w:rsidRDefault="001850D5" w:rsidP="001850D5">
      <w:pPr>
        <w:pStyle w:val="NoSpacing"/>
        <w:rPr>
          <w:rFonts w:asciiTheme="majorHAnsi" w:hAnsiTheme="majorHAnsi" w:cstheme="majorHAnsi"/>
          <w:sz w:val="24"/>
          <w:szCs w:val="24"/>
        </w:rPr>
      </w:pPr>
    </w:p>
    <w:p w14:paraId="559B0049" w14:textId="70A6E0E1" w:rsidR="001850D5" w:rsidRPr="001850D5" w:rsidRDefault="002C7BC7" w:rsidP="001850D5">
      <w:pPr>
        <w:pStyle w:val="NoSpacing"/>
        <w:rPr>
          <w:rFonts w:asciiTheme="majorHAnsi" w:hAnsiTheme="majorHAnsi" w:cstheme="majorHAnsi"/>
          <w:sz w:val="28"/>
          <w:szCs w:val="28"/>
        </w:rPr>
      </w:pPr>
      <w:bookmarkStart w:id="19" w:name="_Hlk56281708"/>
      <w:bookmarkStart w:id="20" w:name="_Hlk56087957"/>
      <w:r>
        <w:rPr>
          <w:rFonts w:asciiTheme="majorHAnsi" w:hAnsiTheme="majorHAnsi" w:cstheme="majorHAnsi"/>
          <w:sz w:val="28"/>
          <w:szCs w:val="28"/>
        </w:rPr>
        <w:t>‘</w:t>
      </w:r>
      <w:r w:rsidRPr="002C7BC7">
        <w:rPr>
          <w:rFonts w:asciiTheme="majorHAnsi" w:hAnsiTheme="majorHAnsi" w:cstheme="majorHAnsi"/>
          <w:sz w:val="28"/>
          <w:szCs w:val="28"/>
        </w:rPr>
        <w:t>Paper. Draft and final copy, 'William Wilberforce', by John Saville</w:t>
      </w:r>
      <w:r>
        <w:rPr>
          <w:rFonts w:asciiTheme="majorHAnsi" w:hAnsiTheme="majorHAnsi" w:cstheme="majorHAnsi"/>
          <w:sz w:val="28"/>
          <w:szCs w:val="28"/>
        </w:rPr>
        <w:t xml:space="preserve">.’ </w:t>
      </w:r>
      <w:bookmarkEnd w:id="19"/>
      <w:r w:rsidR="001850D5" w:rsidRPr="001850D5">
        <w:rPr>
          <w:rFonts w:asciiTheme="majorHAnsi" w:hAnsiTheme="majorHAnsi" w:cstheme="majorHAnsi"/>
          <w:sz w:val="28"/>
          <w:szCs w:val="28"/>
        </w:rPr>
        <w:t xml:space="preserve">Hull, Hull History Centre, DTO/11/21. </w:t>
      </w:r>
    </w:p>
    <w:bookmarkEnd w:id="20"/>
    <w:p w14:paraId="2339BCE5" w14:textId="77777777" w:rsidR="001850D5" w:rsidRDefault="001850D5" w:rsidP="001850D5">
      <w:pPr>
        <w:pStyle w:val="NoSpacing"/>
        <w:rPr>
          <w:rFonts w:asciiTheme="majorHAnsi" w:hAnsiTheme="majorHAnsi" w:cstheme="majorHAnsi"/>
          <w:sz w:val="24"/>
          <w:szCs w:val="24"/>
        </w:rPr>
      </w:pPr>
    </w:p>
    <w:p w14:paraId="3438F954" w14:textId="515C8C3E" w:rsidR="001850D5" w:rsidRPr="001850D5" w:rsidRDefault="001850D5" w:rsidP="001850D5">
      <w:pPr>
        <w:pStyle w:val="NoSpacing"/>
        <w:rPr>
          <w:rFonts w:asciiTheme="majorHAnsi" w:hAnsiTheme="majorHAnsi" w:cstheme="majorHAnsi"/>
          <w:sz w:val="24"/>
          <w:szCs w:val="24"/>
        </w:rPr>
      </w:pPr>
      <w:r w:rsidRPr="001850D5">
        <w:rPr>
          <w:rFonts w:asciiTheme="majorHAnsi" w:hAnsiTheme="majorHAnsi" w:cstheme="majorHAnsi"/>
          <w:sz w:val="24"/>
          <w:szCs w:val="24"/>
        </w:rPr>
        <w:t>According to the description the document is held at the Hull History Centre.</w:t>
      </w:r>
      <w:r w:rsidR="00F85201">
        <w:rPr>
          <w:rStyle w:val="FootnoteReference"/>
          <w:rFonts w:asciiTheme="majorHAnsi" w:hAnsiTheme="majorHAnsi" w:cstheme="majorHAnsi"/>
          <w:sz w:val="24"/>
          <w:szCs w:val="24"/>
        </w:rPr>
        <w:footnoteReference w:id="11"/>
      </w:r>
      <w:r w:rsidRPr="001850D5">
        <w:rPr>
          <w:rFonts w:asciiTheme="majorHAnsi" w:hAnsiTheme="majorHAnsi" w:cstheme="majorHAnsi"/>
          <w:sz w:val="24"/>
          <w:szCs w:val="24"/>
        </w:rPr>
        <w:t xml:space="preserve"> This cited example was found by using the archive search engine ‘Jisc archive hub’. The document was found by setting the search engine to only search archives in Hull</w:t>
      </w:r>
      <w:r w:rsidR="002C7BC7">
        <w:rPr>
          <w:rFonts w:asciiTheme="majorHAnsi" w:hAnsiTheme="majorHAnsi" w:cstheme="majorHAnsi"/>
          <w:sz w:val="24"/>
          <w:szCs w:val="24"/>
        </w:rPr>
        <w:t>,</w:t>
      </w:r>
      <w:r w:rsidRPr="001850D5">
        <w:rPr>
          <w:rFonts w:asciiTheme="majorHAnsi" w:hAnsiTheme="majorHAnsi" w:cstheme="majorHAnsi"/>
          <w:sz w:val="24"/>
          <w:szCs w:val="24"/>
        </w:rPr>
        <w:t xml:space="preserve"> which contain</w:t>
      </w:r>
      <w:r w:rsidR="00F85201">
        <w:rPr>
          <w:rFonts w:asciiTheme="majorHAnsi" w:hAnsiTheme="majorHAnsi" w:cstheme="majorHAnsi"/>
          <w:sz w:val="24"/>
          <w:szCs w:val="24"/>
        </w:rPr>
        <w:t xml:space="preserve">s </w:t>
      </w:r>
      <w:r w:rsidRPr="001850D5">
        <w:rPr>
          <w:rFonts w:asciiTheme="majorHAnsi" w:hAnsiTheme="majorHAnsi" w:cstheme="majorHAnsi"/>
          <w:sz w:val="24"/>
          <w:szCs w:val="24"/>
        </w:rPr>
        <w:t>several archives that contain documents connected to Wilberforce.</w:t>
      </w:r>
      <w:r w:rsidR="00F85201">
        <w:rPr>
          <w:rStyle w:val="FootnoteReference"/>
          <w:rFonts w:asciiTheme="majorHAnsi" w:hAnsiTheme="majorHAnsi" w:cstheme="majorHAnsi"/>
          <w:sz w:val="24"/>
          <w:szCs w:val="24"/>
        </w:rPr>
        <w:footnoteReference w:id="12"/>
      </w:r>
      <w:r w:rsidRPr="001850D5">
        <w:rPr>
          <w:rFonts w:asciiTheme="majorHAnsi" w:hAnsiTheme="majorHAnsi" w:cstheme="majorHAnsi"/>
          <w:sz w:val="24"/>
          <w:szCs w:val="24"/>
        </w:rPr>
        <w:t xml:space="preserve"> The only issue was that the document’s reference number listed by ‘Jisc archive hub’ was incorrect.</w:t>
      </w:r>
      <w:r w:rsidR="00F85201">
        <w:rPr>
          <w:rStyle w:val="FootnoteReference"/>
          <w:rFonts w:asciiTheme="majorHAnsi" w:hAnsiTheme="majorHAnsi" w:cstheme="majorHAnsi"/>
          <w:sz w:val="24"/>
          <w:szCs w:val="24"/>
        </w:rPr>
        <w:footnoteReference w:id="13"/>
      </w:r>
      <w:r w:rsidRPr="001850D5">
        <w:rPr>
          <w:rFonts w:asciiTheme="majorHAnsi" w:hAnsiTheme="majorHAnsi" w:cstheme="majorHAnsi"/>
          <w:sz w:val="24"/>
          <w:szCs w:val="24"/>
        </w:rPr>
        <w:t xml:space="preserve"> This resulted in a search being made of the Hull History Centre’s</w:t>
      </w:r>
      <w:r w:rsidR="0088324A">
        <w:rPr>
          <w:rFonts w:asciiTheme="majorHAnsi" w:hAnsiTheme="majorHAnsi" w:cstheme="majorHAnsi"/>
          <w:sz w:val="24"/>
          <w:szCs w:val="24"/>
        </w:rPr>
        <w:t xml:space="preserve"> records </w:t>
      </w:r>
      <w:r w:rsidRPr="001850D5">
        <w:rPr>
          <w:rFonts w:asciiTheme="majorHAnsi" w:hAnsiTheme="majorHAnsi" w:cstheme="majorHAnsi"/>
          <w:sz w:val="24"/>
          <w:szCs w:val="24"/>
        </w:rPr>
        <w:t>to confirm the correct reference number.</w:t>
      </w:r>
      <w:r w:rsidR="00F85201">
        <w:rPr>
          <w:rStyle w:val="FootnoteReference"/>
          <w:rFonts w:asciiTheme="majorHAnsi" w:hAnsiTheme="majorHAnsi" w:cstheme="majorHAnsi"/>
          <w:sz w:val="24"/>
          <w:szCs w:val="24"/>
        </w:rPr>
        <w:footnoteReference w:id="14"/>
      </w:r>
      <w:r w:rsidRPr="001850D5">
        <w:rPr>
          <w:rFonts w:asciiTheme="majorHAnsi" w:hAnsiTheme="majorHAnsi" w:cstheme="majorHAnsi"/>
          <w:sz w:val="24"/>
          <w:szCs w:val="24"/>
        </w:rPr>
        <w:t xml:space="preserve"> This archive is best for those who may be interested in the historiography surrounding William Wilberforce as it appears to be a draft of a book describing the life of William Wilberforce.</w:t>
      </w:r>
      <w:r w:rsidR="00F85201">
        <w:rPr>
          <w:rStyle w:val="FootnoteReference"/>
          <w:rFonts w:asciiTheme="majorHAnsi" w:hAnsiTheme="majorHAnsi" w:cstheme="majorHAnsi"/>
          <w:sz w:val="24"/>
          <w:szCs w:val="24"/>
        </w:rPr>
        <w:footnoteReference w:id="15"/>
      </w:r>
    </w:p>
    <w:p w14:paraId="6ADF3B69" w14:textId="2FFC11C4" w:rsidR="001850D5" w:rsidRDefault="001850D5" w:rsidP="001850D5">
      <w:pPr>
        <w:pStyle w:val="NoSpacing"/>
        <w:rPr>
          <w:rFonts w:asciiTheme="majorHAnsi" w:hAnsiTheme="majorHAnsi" w:cstheme="majorHAnsi"/>
          <w:sz w:val="24"/>
          <w:szCs w:val="24"/>
        </w:rPr>
      </w:pPr>
    </w:p>
    <w:p w14:paraId="2AAD74BD" w14:textId="77777777" w:rsidR="001850D5" w:rsidRPr="001850D5" w:rsidRDefault="001850D5" w:rsidP="001850D5">
      <w:pPr>
        <w:pStyle w:val="NoSpacing"/>
        <w:rPr>
          <w:rFonts w:asciiTheme="majorHAnsi" w:hAnsiTheme="majorHAnsi" w:cstheme="majorHAnsi"/>
          <w:sz w:val="24"/>
          <w:szCs w:val="24"/>
        </w:rPr>
      </w:pPr>
      <w:bookmarkStart w:id="23" w:name="_Hlk56096049"/>
    </w:p>
    <w:p w14:paraId="7E6379AC" w14:textId="77777777" w:rsidR="00077902" w:rsidRDefault="00077902" w:rsidP="001850D5">
      <w:pPr>
        <w:pStyle w:val="NoSpacing"/>
        <w:rPr>
          <w:rFonts w:asciiTheme="majorHAnsi" w:hAnsiTheme="majorHAnsi" w:cstheme="majorHAnsi"/>
          <w:sz w:val="28"/>
          <w:szCs w:val="28"/>
        </w:rPr>
      </w:pPr>
      <w:bookmarkStart w:id="24" w:name="_Hlk56088519"/>
    </w:p>
    <w:p w14:paraId="75D1098D" w14:textId="3FED545A" w:rsidR="001850D5" w:rsidRPr="001850D5" w:rsidRDefault="002C7BC7" w:rsidP="001850D5">
      <w:pPr>
        <w:pStyle w:val="NoSpacing"/>
        <w:rPr>
          <w:rFonts w:asciiTheme="majorHAnsi" w:hAnsiTheme="majorHAnsi" w:cstheme="majorHAnsi"/>
          <w:sz w:val="28"/>
          <w:szCs w:val="28"/>
        </w:rPr>
      </w:pPr>
      <w:r>
        <w:rPr>
          <w:rFonts w:asciiTheme="majorHAnsi" w:hAnsiTheme="majorHAnsi" w:cstheme="majorHAnsi"/>
          <w:sz w:val="28"/>
          <w:szCs w:val="28"/>
        </w:rPr>
        <w:lastRenderedPageBreak/>
        <w:t xml:space="preserve">‘Correspondences of William Wilberforce regarding the Slave Trade, 1826-1838.’ </w:t>
      </w:r>
      <w:r w:rsidR="001850D5" w:rsidRPr="001850D5">
        <w:rPr>
          <w:rFonts w:asciiTheme="majorHAnsi" w:hAnsiTheme="majorHAnsi" w:cstheme="majorHAnsi"/>
          <w:sz w:val="28"/>
          <w:szCs w:val="28"/>
        </w:rPr>
        <w:t xml:space="preserve">Hull, Wilberforce House and Georgian Houses, NRA 10757 Wilberforce House. </w:t>
      </w:r>
      <w:r w:rsidR="0004092C">
        <w:rPr>
          <w:rFonts w:asciiTheme="majorHAnsi" w:hAnsiTheme="majorHAnsi" w:cstheme="majorHAnsi"/>
          <w:sz w:val="28"/>
          <w:szCs w:val="28"/>
        </w:rPr>
        <w:t xml:space="preserve">  </w:t>
      </w:r>
    </w:p>
    <w:bookmarkEnd w:id="23"/>
    <w:bookmarkEnd w:id="24"/>
    <w:p w14:paraId="14A10497" w14:textId="77777777" w:rsidR="001850D5" w:rsidRDefault="001850D5" w:rsidP="001850D5">
      <w:pPr>
        <w:pStyle w:val="NoSpacing"/>
        <w:rPr>
          <w:rFonts w:asciiTheme="majorHAnsi" w:hAnsiTheme="majorHAnsi" w:cstheme="majorHAnsi"/>
          <w:sz w:val="24"/>
          <w:szCs w:val="24"/>
        </w:rPr>
      </w:pPr>
    </w:p>
    <w:p w14:paraId="56FF20C1" w14:textId="14986A00" w:rsidR="005E2638" w:rsidRDefault="0000637D" w:rsidP="00914FA4">
      <w:pPr>
        <w:pStyle w:val="NoSpacing"/>
        <w:rPr>
          <w:rFonts w:asciiTheme="majorHAnsi" w:hAnsiTheme="majorHAnsi" w:cstheme="majorHAnsi"/>
          <w:sz w:val="24"/>
          <w:szCs w:val="24"/>
        </w:rPr>
      </w:pPr>
      <w:r>
        <w:rPr>
          <w:rFonts w:asciiTheme="majorHAnsi" w:hAnsiTheme="majorHAnsi" w:cstheme="majorHAnsi"/>
          <w:sz w:val="24"/>
          <w:szCs w:val="24"/>
        </w:rPr>
        <w:t>This</w:t>
      </w:r>
      <w:r w:rsidR="001850D5" w:rsidRPr="001850D5">
        <w:rPr>
          <w:rFonts w:asciiTheme="majorHAnsi" w:hAnsiTheme="majorHAnsi" w:cstheme="majorHAnsi"/>
          <w:sz w:val="24"/>
          <w:szCs w:val="24"/>
        </w:rPr>
        <w:t xml:space="preserve"> piece the file contains correspondents relating to the trans-Atlantic slave trade.</w:t>
      </w:r>
      <w:r w:rsidR="00F85201">
        <w:rPr>
          <w:rStyle w:val="FootnoteReference"/>
          <w:rFonts w:asciiTheme="majorHAnsi" w:hAnsiTheme="majorHAnsi" w:cstheme="majorHAnsi"/>
          <w:sz w:val="24"/>
          <w:szCs w:val="24"/>
        </w:rPr>
        <w:footnoteReference w:id="16"/>
      </w:r>
      <w:r w:rsidR="001850D5" w:rsidRPr="001850D5">
        <w:rPr>
          <w:rFonts w:asciiTheme="majorHAnsi" w:hAnsiTheme="majorHAnsi" w:cstheme="majorHAnsi"/>
          <w:sz w:val="24"/>
          <w:szCs w:val="24"/>
        </w:rPr>
        <w:t xml:space="preserve"> Specifically, it contains details about slave cargoes being sent to West Indies and to plantations on Grenada, Barbados, and Trinidad.</w:t>
      </w:r>
      <w:r w:rsidR="00F85201">
        <w:rPr>
          <w:rStyle w:val="FootnoteReference"/>
          <w:rFonts w:asciiTheme="majorHAnsi" w:hAnsiTheme="majorHAnsi" w:cstheme="majorHAnsi"/>
          <w:sz w:val="24"/>
          <w:szCs w:val="24"/>
        </w:rPr>
        <w:footnoteReference w:id="17"/>
      </w:r>
      <w:r w:rsidR="001850D5" w:rsidRPr="001850D5">
        <w:rPr>
          <w:rFonts w:asciiTheme="majorHAnsi" w:hAnsiTheme="majorHAnsi" w:cstheme="majorHAnsi"/>
          <w:sz w:val="24"/>
          <w:szCs w:val="24"/>
        </w:rPr>
        <w:t xml:space="preserve"> This document will be of value to historians as it contains details of the slave trade to the Caribbean possessions. The document is unavailable online so those wishing to view it will have to visit the archive in person.</w:t>
      </w:r>
      <w:r w:rsidR="00F85201">
        <w:rPr>
          <w:rStyle w:val="FootnoteReference"/>
          <w:rFonts w:asciiTheme="majorHAnsi" w:hAnsiTheme="majorHAnsi" w:cstheme="majorHAnsi"/>
          <w:sz w:val="24"/>
          <w:szCs w:val="24"/>
        </w:rPr>
        <w:footnoteReference w:id="18"/>
      </w:r>
      <w:r w:rsidR="001850D5" w:rsidRPr="001850D5">
        <w:rPr>
          <w:rFonts w:asciiTheme="majorHAnsi" w:hAnsiTheme="majorHAnsi" w:cstheme="majorHAnsi"/>
          <w:sz w:val="24"/>
          <w:szCs w:val="24"/>
        </w:rPr>
        <w:t xml:space="preserve"> The correspondence is dated between 1826 and 1838 so some of the correspondence comes after the 1807 act which abolished the slave trade and others come after the bill which abolished slavery.</w:t>
      </w:r>
      <w:r w:rsidR="00F85201">
        <w:rPr>
          <w:rStyle w:val="FootnoteReference"/>
          <w:rFonts w:asciiTheme="majorHAnsi" w:hAnsiTheme="majorHAnsi" w:cstheme="majorHAnsi"/>
          <w:sz w:val="24"/>
          <w:szCs w:val="24"/>
        </w:rPr>
        <w:footnoteReference w:id="19"/>
      </w:r>
      <w:r w:rsidR="001850D5" w:rsidRPr="001850D5">
        <w:rPr>
          <w:rFonts w:asciiTheme="majorHAnsi" w:hAnsiTheme="majorHAnsi" w:cstheme="majorHAnsi"/>
          <w:sz w:val="24"/>
          <w:szCs w:val="24"/>
        </w:rPr>
        <w:t xml:space="preserve"> This document will also be of use to historians looking to investigate Wilberforce’s correspondence which discuss</w:t>
      </w:r>
      <w:r w:rsidR="002C7BC7">
        <w:rPr>
          <w:rFonts w:asciiTheme="majorHAnsi" w:hAnsiTheme="majorHAnsi" w:cstheme="majorHAnsi"/>
          <w:sz w:val="24"/>
          <w:szCs w:val="24"/>
        </w:rPr>
        <w:t>es</w:t>
      </w:r>
      <w:r w:rsidR="001850D5" w:rsidRPr="001850D5">
        <w:rPr>
          <w:rFonts w:asciiTheme="majorHAnsi" w:hAnsiTheme="majorHAnsi" w:cstheme="majorHAnsi"/>
          <w:sz w:val="24"/>
          <w:szCs w:val="24"/>
        </w:rPr>
        <w:t xml:space="preserve"> the slave trade</w:t>
      </w:r>
      <w:bookmarkStart w:id="25" w:name="_Hlk56088680"/>
      <w:r w:rsidR="005E2638">
        <w:rPr>
          <w:rFonts w:asciiTheme="majorHAnsi" w:hAnsiTheme="majorHAnsi" w:cstheme="majorHAnsi"/>
          <w:sz w:val="24"/>
          <w:szCs w:val="24"/>
        </w:rPr>
        <w:t>.</w:t>
      </w:r>
    </w:p>
    <w:p w14:paraId="6CE63B76" w14:textId="77777777" w:rsidR="00077902" w:rsidRDefault="00077902" w:rsidP="00914FA4">
      <w:pPr>
        <w:pStyle w:val="NoSpacing"/>
        <w:rPr>
          <w:rFonts w:asciiTheme="majorHAnsi" w:hAnsiTheme="majorHAnsi" w:cstheme="majorHAnsi"/>
          <w:sz w:val="28"/>
          <w:szCs w:val="28"/>
        </w:rPr>
      </w:pPr>
      <w:bookmarkStart w:id="26" w:name="_Hlk56281109"/>
    </w:p>
    <w:p w14:paraId="38B3FE6A" w14:textId="3BACBD48" w:rsidR="00914FA4" w:rsidRPr="005E2638" w:rsidRDefault="002C7BC7" w:rsidP="00914FA4">
      <w:pPr>
        <w:pStyle w:val="NoSpacing"/>
        <w:rPr>
          <w:rFonts w:asciiTheme="majorHAnsi" w:hAnsiTheme="majorHAnsi" w:cstheme="majorHAnsi"/>
          <w:sz w:val="24"/>
          <w:szCs w:val="24"/>
        </w:rPr>
      </w:pPr>
      <w:bookmarkStart w:id="27" w:name="_Hlk56281843"/>
      <w:r>
        <w:rPr>
          <w:rFonts w:asciiTheme="majorHAnsi" w:hAnsiTheme="majorHAnsi" w:cstheme="majorHAnsi"/>
          <w:sz w:val="28"/>
          <w:szCs w:val="28"/>
        </w:rPr>
        <w:t>‘</w:t>
      </w:r>
      <w:r w:rsidRPr="002C7BC7">
        <w:rPr>
          <w:rFonts w:asciiTheme="majorHAnsi" w:hAnsiTheme="majorHAnsi" w:cstheme="majorHAnsi"/>
          <w:sz w:val="28"/>
          <w:szCs w:val="28"/>
        </w:rPr>
        <w:t>William Wilberforce letter to Richard R. Bramley, 23 May 1793</w:t>
      </w:r>
      <w:r>
        <w:rPr>
          <w:rFonts w:asciiTheme="majorHAnsi" w:hAnsiTheme="majorHAnsi" w:cstheme="majorHAnsi"/>
          <w:sz w:val="28"/>
          <w:szCs w:val="28"/>
        </w:rPr>
        <w:t>’</w:t>
      </w:r>
      <w:bookmarkEnd w:id="27"/>
      <w:r w:rsidRPr="002C7BC7">
        <w:rPr>
          <w:rFonts w:asciiTheme="majorHAnsi" w:hAnsiTheme="majorHAnsi" w:cstheme="majorHAnsi"/>
          <w:sz w:val="28"/>
          <w:szCs w:val="28"/>
        </w:rPr>
        <w:t>.</w:t>
      </w:r>
      <w:r>
        <w:rPr>
          <w:rFonts w:asciiTheme="majorHAnsi" w:hAnsiTheme="majorHAnsi" w:cstheme="majorHAnsi"/>
          <w:sz w:val="28"/>
          <w:szCs w:val="28"/>
        </w:rPr>
        <w:t xml:space="preserve"> </w:t>
      </w:r>
      <w:r w:rsidR="00914FA4" w:rsidRPr="00914FA4">
        <w:rPr>
          <w:rFonts w:asciiTheme="majorHAnsi" w:hAnsiTheme="majorHAnsi" w:cstheme="majorHAnsi"/>
          <w:sz w:val="28"/>
          <w:szCs w:val="28"/>
        </w:rPr>
        <w:t xml:space="preserve">Kew, The National Archives, HO 42/25/173. </w:t>
      </w:r>
    </w:p>
    <w:bookmarkEnd w:id="25"/>
    <w:bookmarkEnd w:id="26"/>
    <w:p w14:paraId="23D1D06B" w14:textId="77777777" w:rsidR="00914FA4" w:rsidRDefault="00914FA4" w:rsidP="00914FA4">
      <w:pPr>
        <w:pStyle w:val="NoSpacing"/>
        <w:rPr>
          <w:rFonts w:asciiTheme="majorHAnsi" w:hAnsiTheme="majorHAnsi" w:cstheme="majorHAnsi"/>
          <w:sz w:val="24"/>
          <w:szCs w:val="24"/>
        </w:rPr>
      </w:pPr>
    </w:p>
    <w:p w14:paraId="08A8FB3B" w14:textId="6C6B4C06" w:rsidR="00914FA4" w:rsidRDefault="00914FA4" w:rsidP="00914FA4">
      <w:pPr>
        <w:pStyle w:val="NoSpacing"/>
        <w:rPr>
          <w:rFonts w:asciiTheme="majorHAnsi" w:hAnsiTheme="majorHAnsi" w:cstheme="majorHAnsi"/>
          <w:sz w:val="24"/>
          <w:szCs w:val="24"/>
        </w:rPr>
      </w:pPr>
      <w:r w:rsidRPr="00914FA4">
        <w:rPr>
          <w:rFonts w:asciiTheme="majorHAnsi" w:hAnsiTheme="majorHAnsi" w:cstheme="majorHAnsi"/>
          <w:sz w:val="24"/>
          <w:szCs w:val="24"/>
        </w:rPr>
        <w:t xml:space="preserve">This document was found using the National Archive </w:t>
      </w:r>
      <w:r w:rsidR="00F85201">
        <w:rPr>
          <w:rFonts w:asciiTheme="majorHAnsi" w:hAnsiTheme="majorHAnsi" w:cstheme="majorHAnsi"/>
          <w:sz w:val="24"/>
          <w:szCs w:val="24"/>
        </w:rPr>
        <w:t>D</w:t>
      </w:r>
      <w:r w:rsidRPr="00914FA4">
        <w:rPr>
          <w:rFonts w:asciiTheme="majorHAnsi" w:hAnsiTheme="majorHAnsi" w:cstheme="majorHAnsi"/>
          <w:sz w:val="24"/>
          <w:szCs w:val="24"/>
        </w:rPr>
        <w:t xml:space="preserve">iscovery </w:t>
      </w:r>
      <w:r w:rsidR="00F85201">
        <w:rPr>
          <w:rFonts w:asciiTheme="majorHAnsi" w:hAnsiTheme="majorHAnsi" w:cstheme="majorHAnsi"/>
          <w:sz w:val="24"/>
          <w:szCs w:val="24"/>
        </w:rPr>
        <w:t>T</w:t>
      </w:r>
      <w:r w:rsidRPr="00914FA4">
        <w:rPr>
          <w:rFonts w:asciiTheme="majorHAnsi" w:hAnsiTheme="majorHAnsi" w:cstheme="majorHAnsi"/>
          <w:sz w:val="24"/>
          <w:szCs w:val="24"/>
        </w:rPr>
        <w:t>ool and it was generated by the Home Office. This document is a letter addressed to William Wilberforce in his capacity as MP for Yorkshire.</w:t>
      </w:r>
      <w:r w:rsidR="00F85201">
        <w:rPr>
          <w:rStyle w:val="FootnoteReference"/>
          <w:rFonts w:asciiTheme="majorHAnsi" w:hAnsiTheme="majorHAnsi" w:cstheme="majorHAnsi"/>
          <w:sz w:val="24"/>
          <w:szCs w:val="24"/>
        </w:rPr>
        <w:footnoteReference w:id="20"/>
      </w:r>
      <w:r w:rsidRPr="00914FA4">
        <w:rPr>
          <w:rFonts w:asciiTheme="majorHAnsi" w:hAnsiTheme="majorHAnsi" w:cstheme="majorHAnsi"/>
          <w:sz w:val="24"/>
          <w:szCs w:val="24"/>
        </w:rPr>
        <w:t xml:space="preserve"> It details a request from Richard R. </w:t>
      </w:r>
      <w:r w:rsidR="0000637D">
        <w:rPr>
          <w:rFonts w:asciiTheme="majorHAnsi" w:hAnsiTheme="majorHAnsi" w:cstheme="majorHAnsi"/>
          <w:sz w:val="24"/>
          <w:szCs w:val="24"/>
        </w:rPr>
        <w:t>Bramley</w:t>
      </w:r>
      <w:r w:rsidRPr="00914FA4">
        <w:rPr>
          <w:rFonts w:asciiTheme="majorHAnsi" w:hAnsiTheme="majorHAnsi" w:cstheme="majorHAnsi"/>
          <w:sz w:val="24"/>
          <w:szCs w:val="24"/>
        </w:rPr>
        <w:t xml:space="preserve"> asking Wilberforce to assist him in petitioning the Home Secretary to release a Frenchman from custody in Falmouth so that he can join Bramley’s firm.</w:t>
      </w:r>
      <w:r w:rsidR="00F85201">
        <w:rPr>
          <w:rStyle w:val="FootnoteReference"/>
          <w:rFonts w:asciiTheme="majorHAnsi" w:hAnsiTheme="majorHAnsi" w:cstheme="majorHAnsi"/>
          <w:sz w:val="24"/>
          <w:szCs w:val="24"/>
        </w:rPr>
        <w:footnoteReference w:id="21"/>
      </w:r>
      <w:r w:rsidRPr="00914FA4">
        <w:rPr>
          <w:rFonts w:asciiTheme="majorHAnsi" w:hAnsiTheme="majorHAnsi" w:cstheme="majorHAnsi"/>
          <w:sz w:val="24"/>
          <w:szCs w:val="24"/>
        </w:rPr>
        <w:t xml:space="preserve"> It is dated to May 23rd, 1793 which would suggest that the Frenchman’s detainment was caused by Britain’s entry into the French Revolutionary War.</w:t>
      </w:r>
      <w:r w:rsidR="00F85201">
        <w:rPr>
          <w:rStyle w:val="FootnoteReference"/>
          <w:rFonts w:asciiTheme="majorHAnsi" w:hAnsiTheme="majorHAnsi" w:cstheme="majorHAnsi"/>
          <w:sz w:val="24"/>
          <w:szCs w:val="24"/>
        </w:rPr>
        <w:footnoteReference w:id="22"/>
      </w:r>
      <w:r w:rsidRPr="00914FA4">
        <w:rPr>
          <w:rFonts w:asciiTheme="majorHAnsi" w:hAnsiTheme="majorHAnsi" w:cstheme="majorHAnsi"/>
          <w:sz w:val="24"/>
          <w:szCs w:val="24"/>
        </w:rPr>
        <w:t xml:space="preserve"> This document is useful for historians as it lets people look at one instance of Wilberforce’s constituents contacting him for assistance in his capacity as their representative in Parliament. This document is available online and access is free for those who have an account for the National Archive website.</w:t>
      </w:r>
      <w:r w:rsidR="00304E50">
        <w:rPr>
          <w:rStyle w:val="FootnoteReference"/>
          <w:rFonts w:asciiTheme="majorHAnsi" w:hAnsiTheme="majorHAnsi" w:cstheme="majorHAnsi"/>
          <w:sz w:val="24"/>
          <w:szCs w:val="24"/>
        </w:rPr>
        <w:footnoteReference w:id="23"/>
      </w:r>
      <w:r w:rsidRPr="00914FA4">
        <w:rPr>
          <w:rFonts w:asciiTheme="majorHAnsi" w:hAnsiTheme="majorHAnsi" w:cstheme="majorHAnsi"/>
          <w:sz w:val="24"/>
          <w:szCs w:val="24"/>
        </w:rPr>
        <w:t xml:space="preserve">  </w:t>
      </w:r>
    </w:p>
    <w:p w14:paraId="49E525AA" w14:textId="77777777" w:rsidR="00914FA4" w:rsidRDefault="00914FA4" w:rsidP="00914FA4">
      <w:pPr>
        <w:pStyle w:val="NoSpacing"/>
        <w:rPr>
          <w:rFonts w:asciiTheme="majorHAnsi" w:hAnsiTheme="majorHAnsi" w:cstheme="majorHAnsi"/>
          <w:sz w:val="24"/>
          <w:szCs w:val="24"/>
        </w:rPr>
      </w:pPr>
      <w:bookmarkStart w:id="29" w:name="_Hlk56281125"/>
    </w:p>
    <w:p w14:paraId="214FBD61" w14:textId="77777777" w:rsidR="00492835" w:rsidRDefault="00492835" w:rsidP="00914FA4">
      <w:pPr>
        <w:pStyle w:val="NoSpacing"/>
        <w:rPr>
          <w:rFonts w:asciiTheme="majorHAnsi" w:hAnsiTheme="majorHAnsi" w:cstheme="majorHAnsi"/>
          <w:sz w:val="28"/>
          <w:szCs w:val="28"/>
        </w:rPr>
      </w:pPr>
      <w:bookmarkStart w:id="30" w:name="_Hlk56088891"/>
    </w:p>
    <w:p w14:paraId="0B218C3D" w14:textId="77777777" w:rsidR="00492835" w:rsidRDefault="00492835" w:rsidP="00914FA4">
      <w:pPr>
        <w:pStyle w:val="NoSpacing"/>
        <w:rPr>
          <w:rFonts w:asciiTheme="majorHAnsi" w:hAnsiTheme="majorHAnsi" w:cstheme="majorHAnsi"/>
          <w:sz w:val="28"/>
          <w:szCs w:val="28"/>
        </w:rPr>
      </w:pPr>
    </w:p>
    <w:p w14:paraId="259A46EC" w14:textId="77777777" w:rsidR="00492835" w:rsidRDefault="00492835" w:rsidP="00914FA4">
      <w:pPr>
        <w:pStyle w:val="NoSpacing"/>
        <w:rPr>
          <w:rFonts w:asciiTheme="majorHAnsi" w:hAnsiTheme="majorHAnsi" w:cstheme="majorHAnsi"/>
          <w:sz w:val="28"/>
          <w:szCs w:val="28"/>
        </w:rPr>
      </w:pPr>
    </w:p>
    <w:p w14:paraId="48BF9429" w14:textId="77777777" w:rsidR="00492835" w:rsidRDefault="00492835" w:rsidP="00914FA4">
      <w:pPr>
        <w:pStyle w:val="NoSpacing"/>
        <w:rPr>
          <w:rFonts w:asciiTheme="majorHAnsi" w:hAnsiTheme="majorHAnsi" w:cstheme="majorHAnsi"/>
          <w:sz w:val="28"/>
          <w:szCs w:val="28"/>
        </w:rPr>
      </w:pPr>
    </w:p>
    <w:p w14:paraId="70F22AA7" w14:textId="67270213" w:rsidR="00914FA4" w:rsidRDefault="002C7BC7" w:rsidP="00914FA4">
      <w:pPr>
        <w:pStyle w:val="NoSpacing"/>
        <w:rPr>
          <w:rFonts w:asciiTheme="majorHAnsi" w:hAnsiTheme="majorHAnsi" w:cstheme="majorHAnsi"/>
          <w:sz w:val="28"/>
          <w:szCs w:val="28"/>
        </w:rPr>
      </w:pPr>
      <w:r>
        <w:rPr>
          <w:rFonts w:asciiTheme="majorHAnsi" w:hAnsiTheme="majorHAnsi" w:cstheme="majorHAnsi"/>
          <w:sz w:val="28"/>
          <w:szCs w:val="28"/>
        </w:rPr>
        <w:lastRenderedPageBreak/>
        <w:t>‘Letter from William Wilberforce to Lord Chatham</w:t>
      </w:r>
      <w:r w:rsidR="00492835">
        <w:rPr>
          <w:rFonts w:asciiTheme="majorHAnsi" w:hAnsiTheme="majorHAnsi" w:cstheme="majorHAnsi"/>
          <w:sz w:val="28"/>
          <w:szCs w:val="28"/>
        </w:rPr>
        <w:t>.</w:t>
      </w:r>
      <w:r>
        <w:rPr>
          <w:rFonts w:asciiTheme="majorHAnsi" w:hAnsiTheme="majorHAnsi" w:cstheme="majorHAnsi"/>
          <w:sz w:val="28"/>
          <w:szCs w:val="28"/>
        </w:rPr>
        <w:t xml:space="preserve">’ </w:t>
      </w:r>
      <w:r w:rsidR="00914FA4" w:rsidRPr="00914FA4">
        <w:rPr>
          <w:rFonts w:asciiTheme="majorHAnsi" w:hAnsiTheme="majorHAnsi" w:cstheme="majorHAnsi"/>
          <w:sz w:val="28"/>
          <w:szCs w:val="28"/>
        </w:rPr>
        <w:t xml:space="preserve">Kew, The National Archives, PRO 30/70/4/266. </w:t>
      </w:r>
    </w:p>
    <w:bookmarkEnd w:id="29"/>
    <w:bookmarkEnd w:id="30"/>
    <w:p w14:paraId="13D4A2F5" w14:textId="77777777" w:rsidR="00914FA4" w:rsidRDefault="00914FA4" w:rsidP="00914FA4">
      <w:pPr>
        <w:pStyle w:val="NoSpacing"/>
        <w:rPr>
          <w:rFonts w:asciiTheme="majorHAnsi" w:hAnsiTheme="majorHAnsi" w:cstheme="majorHAnsi"/>
          <w:sz w:val="28"/>
          <w:szCs w:val="28"/>
        </w:rPr>
      </w:pPr>
    </w:p>
    <w:p w14:paraId="55BAB6FC" w14:textId="48A4BBC4" w:rsidR="00914FA4" w:rsidRDefault="00914FA4" w:rsidP="00914FA4">
      <w:pPr>
        <w:pStyle w:val="NoSpacing"/>
        <w:rPr>
          <w:rFonts w:asciiTheme="majorHAnsi" w:hAnsiTheme="majorHAnsi" w:cstheme="majorHAnsi"/>
          <w:sz w:val="24"/>
          <w:szCs w:val="24"/>
        </w:rPr>
      </w:pPr>
      <w:r w:rsidRPr="00914FA4">
        <w:rPr>
          <w:rFonts w:asciiTheme="majorHAnsi" w:hAnsiTheme="majorHAnsi" w:cstheme="majorHAnsi"/>
          <w:sz w:val="24"/>
          <w:szCs w:val="24"/>
        </w:rPr>
        <w:t xml:space="preserve">This document is a letter that Wilberforce wrote to Lord Chatham offering his service to </w:t>
      </w:r>
      <w:r w:rsidR="0089434A">
        <w:rPr>
          <w:rFonts w:asciiTheme="majorHAnsi" w:hAnsiTheme="majorHAnsi" w:cstheme="majorHAnsi"/>
          <w:sz w:val="24"/>
          <w:szCs w:val="24"/>
        </w:rPr>
        <w:t xml:space="preserve">assist with </w:t>
      </w:r>
      <w:r w:rsidRPr="00914FA4">
        <w:rPr>
          <w:rFonts w:asciiTheme="majorHAnsi" w:hAnsiTheme="majorHAnsi" w:cstheme="majorHAnsi"/>
          <w:sz w:val="24"/>
          <w:szCs w:val="24"/>
        </w:rPr>
        <w:t>the funeral of William Pitt</w:t>
      </w:r>
      <w:r w:rsidR="0089434A">
        <w:rPr>
          <w:rFonts w:asciiTheme="majorHAnsi" w:hAnsiTheme="majorHAnsi" w:cstheme="majorHAnsi"/>
          <w:sz w:val="24"/>
          <w:szCs w:val="24"/>
        </w:rPr>
        <w:t>, the former Prime Minister</w:t>
      </w:r>
      <w:r w:rsidRPr="00914FA4">
        <w:rPr>
          <w:rFonts w:asciiTheme="majorHAnsi" w:hAnsiTheme="majorHAnsi" w:cstheme="majorHAnsi"/>
          <w:sz w:val="24"/>
          <w:szCs w:val="24"/>
        </w:rPr>
        <w:t>.</w:t>
      </w:r>
      <w:r w:rsidR="00304E50">
        <w:rPr>
          <w:rStyle w:val="FootnoteReference"/>
          <w:rFonts w:asciiTheme="majorHAnsi" w:hAnsiTheme="majorHAnsi" w:cstheme="majorHAnsi"/>
          <w:sz w:val="24"/>
          <w:szCs w:val="24"/>
        </w:rPr>
        <w:footnoteReference w:id="24"/>
      </w:r>
      <w:r w:rsidRPr="00914FA4">
        <w:rPr>
          <w:rFonts w:asciiTheme="majorHAnsi" w:hAnsiTheme="majorHAnsi" w:cstheme="majorHAnsi"/>
          <w:sz w:val="24"/>
          <w:szCs w:val="24"/>
        </w:rPr>
        <w:t xml:space="preserve"> It </w:t>
      </w:r>
      <w:r w:rsidR="0000637D">
        <w:rPr>
          <w:rFonts w:asciiTheme="majorHAnsi" w:hAnsiTheme="majorHAnsi" w:cstheme="majorHAnsi"/>
          <w:sz w:val="24"/>
          <w:szCs w:val="24"/>
        </w:rPr>
        <w:t>states</w:t>
      </w:r>
      <w:r w:rsidRPr="00914FA4">
        <w:rPr>
          <w:rFonts w:asciiTheme="majorHAnsi" w:hAnsiTheme="majorHAnsi" w:cstheme="majorHAnsi"/>
          <w:sz w:val="24"/>
          <w:szCs w:val="24"/>
        </w:rPr>
        <w:t xml:space="preserve"> </w:t>
      </w:r>
      <w:r w:rsidR="0000637D">
        <w:rPr>
          <w:rFonts w:asciiTheme="majorHAnsi" w:hAnsiTheme="majorHAnsi" w:cstheme="majorHAnsi"/>
          <w:sz w:val="24"/>
          <w:szCs w:val="24"/>
        </w:rPr>
        <w:t>that Wilberforce wished</w:t>
      </w:r>
      <w:r w:rsidRPr="00914FA4">
        <w:rPr>
          <w:rFonts w:asciiTheme="majorHAnsi" w:hAnsiTheme="majorHAnsi" w:cstheme="majorHAnsi"/>
          <w:sz w:val="24"/>
          <w:szCs w:val="24"/>
        </w:rPr>
        <w:t xml:space="preserve"> to be involved to show his respect </w:t>
      </w:r>
      <w:r w:rsidR="00304E50">
        <w:rPr>
          <w:rFonts w:asciiTheme="majorHAnsi" w:hAnsiTheme="majorHAnsi" w:cstheme="majorHAnsi"/>
          <w:sz w:val="24"/>
          <w:szCs w:val="24"/>
        </w:rPr>
        <w:t xml:space="preserve">for </w:t>
      </w:r>
      <w:r w:rsidRPr="00914FA4">
        <w:rPr>
          <w:rFonts w:asciiTheme="majorHAnsi" w:hAnsiTheme="majorHAnsi" w:cstheme="majorHAnsi"/>
          <w:sz w:val="24"/>
          <w:szCs w:val="24"/>
        </w:rPr>
        <w:t>the Prime Minister who was a known friend of Wilberforce.</w:t>
      </w:r>
      <w:r w:rsidR="00304E50">
        <w:rPr>
          <w:rStyle w:val="FootnoteReference"/>
          <w:rFonts w:asciiTheme="majorHAnsi" w:hAnsiTheme="majorHAnsi" w:cstheme="majorHAnsi"/>
          <w:sz w:val="24"/>
          <w:szCs w:val="24"/>
        </w:rPr>
        <w:footnoteReference w:id="25"/>
      </w:r>
      <w:r w:rsidRPr="00914FA4">
        <w:rPr>
          <w:rFonts w:asciiTheme="majorHAnsi" w:hAnsiTheme="majorHAnsi" w:cstheme="majorHAnsi"/>
          <w:sz w:val="24"/>
          <w:szCs w:val="24"/>
        </w:rPr>
        <w:t xml:space="preserve"> Unfortunately, this document is unavailable as it is not available for viewing as it is not classed as being a public record.</w:t>
      </w:r>
      <w:r w:rsidR="00304E50">
        <w:rPr>
          <w:rStyle w:val="FootnoteReference"/>
          <w:rFonts w:asciiTheme="majorHAnsi" w:hAnsiTheme="majorHAnsi" w:cstheme="majorHAnsi"/>
          <w:sz w:val="24"/>
          <w:szCs w:val="24"/>
        </w:rPr>
        <w:footnoteReference w:id="26"/>
      </w:r>
      <w:r w:rsidRPr="00914FA4">
        <w:rPr>
          <w:rFonts w:asciiTheme="majorHAnsi" w:hAnsiTheme="majorHAnsi" w:cstheme="majorHAnsi"/>
          <w:sz w:val="24"/>
          <w:szCs w:val="24"/>
        </w:rPr>
        <w:t xml:space="preserve"> If it were available this document could be used to look at how Wilberforce reacted to Pitt’s death.</w:t>
      </w:r>
      <w:r w:rsidR="00304E50">
        <w:rPr>
          <w:rStyle w:val="FootnoteReference"/>
          <w:rFonts w:asciiTheme="majorHAnsi" w:hAnsiTheme="majorHAnsi" w:cstheme="majorHAnsi"/>
          <w:sz w:val="24"/>
          <w:szCs w:val="24"/>
        </w:rPr>
        <w:footnoteReference w:id="27"/>
      </w:r>
      <w:r w:rsidRPr="00914FA4">
        <w:rPr>
          <w:rFonts w:asciiTheme="majorHAnsi" w:hAnsiTheme="majorHAnsi" w:cstheme="majorHAnsi"/>
          <w:sz w:val="24"/>
          <w:szCs w:val="24"/>
        </w:rPr>
        <w:t xml:space="preserve"> This is something which is perhaps ignored as historians tend to be more focused on his role in the abolition of slavery.</w:t>
      </w:r>
      <w:r w:rsidR="00032265">
        <w:rPr>
          <w:rFonts w:asciiTheme="majorHAnsi" w:hAnsiTheme="majorHAnsi" w:cstheme="majorHAnsi"/>
          <w:sz w:val="24"/>
          <w:szCs w:val="24"/>
        </w:rPr>
        <w:t xml:space="preserve"> The document was found using the National Archive’s Discovery Tool. </w:t>
      </w:r>
    </w:p>
    <w:p w14:paraId="7FD73267" w14:textId="77777777" w:rsidR="00914FA4" w:rsidRDefault="00914FA4" w:rsidP="00914FA4">
      <w:pPr>
        <w:pStyle w:val="NoSpacing"/>
        <w:rPr>
          <w:rFonts w:asciiTheme="majorHAnsi" w:hAnsiTheme="majorHAnsi" w:cstheme="majorHAnsi"/>
          <w:sz w:val="24"/>
          <w:szCs w:val="24"/>
        </w:rPr>
      </w:pPr>
    </w:p>
    <w:p w14:paraId="4AB6FF07" w14:textId="3602B77E" w:rsidR="00EC0EC1" w:rsidRPr="00EC0EC1" w:rsidRDefault="002C7BC7" w:rsidP="00914FA4">
      <w:pPr>
        <w:pStyle w:val="NoSpacing"/>
        <w:rPr>
          <w:rFonts w:asciiTheme="majorHAnsi" w:hAnsiTheme="majorHAnsi" w:cstheme="majorHAnsi"/>
          <w:sz w:val="28"/>
          <w:szCs w:val="28"/>
        </w:rPr>
      </w:pPr>
      <w:bookmarkStart w:id="32" w:name="_Hlk56089219"/>
      <w:r>
        <w:rPr>
          <w:rFonts w:asciiTheme="majorHAnsi" w:hAnsiTheme="majorHAnsi" w:cstheme="majorHAnsi"/>
          <w:sz w:val="28"/>
          <w:szCs w:val="28"/>
        </w:rPr>
        <w:t xml:space="preserve">‘Last Will and Testament of William Wilberforce.’ </w:t>
      </w:r>
      <w:r w:rsidR="00914FA4" w:rsidRPr="00EC0EC1">
        <w:rPr>
          <w:rFonts w:asciiTheme="majorHAnsi" w:hAnsiTheme="majorHAnsi" w:cstheme="majorHAnsi"/>
          <w:sz w:val="28"/>
          <w:szCs w:val="28"/>
        </w:rPr>
        <w:t>Kew, The National Archives, PROB 11/1825/373</w:t>
      </w:r>
      <w:r w:rsidR="009C1E11">
        <w:rPr>
          <w:rFonts w:asciiTheme="majorHAnsi" w:hAnsiTheme="majorHAnsi" w:cstheme="majorHAnsi"/>
          <w:sz w:val="28"/>
          <w:szCs w:val="28"/>
        </w:rPr>
        <w:t xml:space="preserve"> </w:t>
      </w:r>
      <w:r w:rsidR="00914FA4" w:rsidRPr="00EC0EC1">
        <w:rPr>
          <w:rFonts w:asciiTheme="majorHAnsi" w:hAnsiTheme="majorHAnsi" w:cstheme="majorHAnsi"/>
          <w:sz w:val="28"/>
          <w:szCs w:val="28"/>
        </w:rPr>
        <w:t>7</w:t>
      </w:r>
      <w:r w:rsidR="00EC0EC1" w:rsidRPr="00EC0EC1">
        <w:rPr>
          <w:rFonts w:asciiTheme="majorHAnsi" w:hAnsiTheme="majorHAnsi" w:cstheme="majorHAnsi"/>
          <w:sz w:val="28"/>
          <w:szCs w:val="28"/>
        </w:rPr>
        <w:t xml:space="preserve">. </w:t>
      </w:r>
      <w:bookmarkStart w:id="33" w:name="_Hlk56282041"/>
      <w:r w:rsidR="00914FA4" w:rsidRPr="00EC0EC1">
        <w:rPr>
          <w:rFonts w:asciiTheme="majorHAnsi" w:hAnsiTheme="majorHAnsi" w:cstheme="majorHAnsi"/>
          <w:sz w:val="28"/>
          <w:szCs w:val="28"/>
        </w:rPr>
        <w:t xml:space="preserve">Available at: https://discovery.nationalarchives.gov.uk/details/r/D261133 (Accessed: 21/10/2020.) </w:t>
      </w:r>
    </w:p>
    <w:bookmarkEnd w:id="32"/>
    <w:bookmarkEnd w:id="33"/>
    <w:p w14:paraId="0614B111" w14:textId="77777777" w:rsidR="00EC0EC1" w:rsidRDefault="00EC0EC1" w:rsidP="00914FA4">
      <w:pPr>
        <w:pStyle w:val="NoSpacing"/>
        <w:rPr>
          <w:rFonts w:asciiTheme="majorHAnsi" w:hAnsiTheme="majorHAnsi" w:cstheme="majorHAnsi"/>
          <w:sz w:val="24"/>
          <w:szCs w:val="24"/>
        </w:rPr>
      </w:pPr>
    </w:p>
    <w:p w14:paraId="770AD65B" w14:textId="259DC1BC" w:rsidR="00914FA4" w:rsidRDefault="00EC0EC1" w:rsidP="00914FA4">
      <w:pPr>
        <w:pStyle w:val="NoSpacing"/>
        <w:rPr>
          <w:rFonts w:asciiTheme="majorHAnsi" w:hAnsiTheme="majorHAnsi" w:cstheme="majorHAnsi"/>
          <w:sz w:val="24"/>
          <w:szCs w:val="24"/>
        </w:rPr>
      </w:pPr>
      <w:r>
        <w:rPr>
          <w:rFonts w:asciiTheme="majorHAnsi" w:hAnsiTheme="majorHAnsi" w:cstheme="majorHAnsi"/>
          <w:sz w:val="24"/>
          <w:szCs w:val="24"/>
        </w:rPr>
        <w:t>Th</w:t>
      </w:r>
      <w:r w:rsidR="00914FA4" w:rsidRPr="00914FA4">
        <w:rPr>
          <w:rFonts w:asciiTheme="majorHAnsi" w:hAnsiTheme="majorHAnsi" w:cstheme="majorHAnsi"/>
          <w:sz w:val="24"/>
          <w:szCs w:val="24"/>
        </w:rPr>
        <w:t>is document is the last will and testament of William Wilberforce Esquire.</w:t>
      </w:r>
      <w:r w:rsidR="00304E50">
        <w:rPr>
          <w:rStyle w:val="FootnoteReference"/>
          <w:rFonts w:asciiTheme="majorHAnsi" w:hAnsiTheme="majorHAnsi" w:cstheme="majorHAnsi"/>
          <w:sz w:val="24"/>
          <w:szCs w:val="24"/>
        </w:rPr>
        <w:footnoteReference w:id="28"/>
      </w:r>
      <w:r w:rsidR="00914FA4" w:rsidRPr="00914FA4">
        <w:rPr>
          <w:rFonts w:asciiTheme="majorHAnsi" w:hAnsiTheme="majorHAnsi" w:cstheme="majorHAnsi"/>
          <w:sz w:val="24"/>
          <w:szCs w:val="24"/>
        </w:rPr>
        <w:t xml:space="preserve"> It details the assets that he possessed at his death and how they were to be distributed.</w:t>
      </w:r>
      <w:r w:rsidR="00304E50">
        <w:rPr>
          <w:rStyle w:val="FootnoteReference"/>
          <w:rFonts w:asciiTheme="majorHAnsi" w:hAnsiTheme="majorHAnsi" w:cstheme="majorHAnsi"/>
          <w:sz w:val="24"/>
          <w:szCs w:val="24"/>
        </w:rPr>
        <w:footnoteReference w:id="29"/>
      </w:r>
      <w:r w:rsidR="00914FA4" w:rsidRPr="00914FA4">
        <w:rPr>
          <w:rFonts w:asciiTheme="majorHAnsi" w:hAnsiTheme="majorHAnsi" w:cstheme="majorHAnsi"/>
          <w:sz w:val="24"/>
          <w:szCs w:val="24"/>
        </w:rPr>
        <w:t xml:space="preserve"> The will is useful as it allows us to view what Wilberforce owned at his death and how he wanted his property to be divided up</w:t>
      </w:r>
      <w:r w:rsidR="00304E50">
        <w:rPr>
          <w:rFonts w:asciiTheme="majorHAnsi" w:hAnsiTheme="majorHAnsi" w:cstheme="majorHAnsi"/>
          <w:sz w:val="24"/>
          <w:szCs w:val="24"/>
        </w:rPr>
        <w:t>.</w:t>
      </w:r>
      <w:r w:rsidR="00304E50">
        <w:rPr>
          <w:rStyle w:val="FootnoteReference"/>
          <w:rFonts w:asciiTheme="majorHAnsi" w:hAnsiTheme="majorHAnsi" w:cstheme="majorHAnsi"/>
          <w:sz w:val="24"/>
          <w:szCs w:val="24"/>
        </w:rPr>
        <w:footnoteReference w:id="30"/>
      </w:r>
      <w:r w:rsidR="00914FA4" w:rsidRPr="00914FA4">
        <w:rPr>
          <w:rFonts w:asciiTheme="majorHAnsi" w:hAnsiTheme="majorHAnsi" w:cstheme="majorHAnsi"/>
          <w:sz w:val="24"/>
          <w:szCs w:val="24"/>
        </w:rPr>
        <w:t xml:space="preserve"> The text is clear to read so a transcription is possible with some degree of ease as none of the pages have fading text.</w:t>
      </w:r>
      <w:r w:rsidR="00304E50">
        <w:rPr>
          <w:rStyle w:val="FootnoteReference"/>
          <w:rFonts w:asciiTheme="majorHAnsi" w:hAnsiTheme="majorHAnsi" w:cstheme="majorHAnsi"/>
          <w:sz w:val="24"/>
          <w:szCs w:val="24"/>
        </w:rPr>
        <w:footnoteReference w:id="31"/>
      </w:r>
      <w:r w:rsidR="00914FA4" w:rsidRPr="00914FA4">
        <w:rPr>
          <w:rFonts w:asciiTheme="majorHAnsi" w:hAnsiTheme="majorHAnsi" w:cstheme="majorHAnsi"/>
          <w:sz w:val="24"/>
          <w:szCs w:val="24"/>
        </w:rPr>
        <w:t xml:space="preserve"> The document is currently available online on the National Archive</w:t>
      </w:r>
      <w:r w:rsidR="00304E50">
        <w:rPr>
          <w:rFonts w:asciiTheme="majorHAnsi" w:hAnsiTheme="majorHAnsi" w:cstheme="majorHAnsi"/>
          <w:sz w:val="24"/>
          <w:szCs w:val="24"/>
        </w:rPr>
        <w:t>’</w:t>
      </w:r>
      <w:r w:rsidR="00914FA4" w:rsidRPr="00914FA4">
        <w:rPr>
          <w:rFonts w:asciiTheme="majorHAnsi" w:hAnsiTheme="majorHAnsi" w:cstheme="majorHAnsi"/>
          <w:sz w:val="24"/>
          <w:szCs w:val="24"/>
        </w:rPr>
        <w:t>s website which any researcher can access for a small fee. Those who have accounts for the site though can access the document for free.</w:t>
      </w:r>
      <w:r w:rsidR="00304E50">
        <w:rPr>
          <w:rStyle w:val="FootnoteReference"/>
          <w:rFonts w:asciiTheme="majorHAnsi" w:hAnsiTheme="majorHAnsi" w:cstheme="majorHAnsi"/>
          <w:sz w:val="24"/>
          <w:szCs w:val="24"/>
        </w:rPr>
        <w:footnoteReference w:id="32"/>
      </w:r>
      <w:r w:rsidR="00914FA4" w:rsidRPr="00914FA4">
        <w:rPr>
          <w:rFonts w:asciiTheme="majorHAnsi" w:hAnsiTheme="majorHAnsi" w:cstheme="majorHAnsi"/>
          <w:sz w:val="24"/>
          <w:szCs w:val="24"/>
        </w:rPr>
        <w:t xml:space="preserve"> We know the document is legitimate as it is legal document which signed and seals by both witnesses and William Wilberforce’s name.</w:t>
      </w:r>
      <w:r w:rsidR="00304E50">
        <w:rPr>
          <w:rStyle w:val="FootnoteReference"/>
          <w:rFonts w:asciiTheme="majorHAnsi" w:hAnsiTheme="majorHAnsi" w:cstheme="majorHAnsi"/>
          <w:sz w:val="24"/>
          <w:szCs w:val="24"/>
        </w:rPr>
        <w:footnoteReference w:id="33"/>
      </w:r>
      <w:r w:rsidR="00AC2967">
        <w:rPr>
          <w:rFonts w:asciiTheme="majorHAnsi" w:hAnsiTheme="majorHAnsi" w:cstheme="majorHAnsi"/>
          <w:sz w:val="24"/>
          <w:szCs w:val="24"/>
        </w:rPr>
        <w:t xml:space="preserve">   </w:t>
      </w:r>
    </w:p>
    <w:p w14:paraId="44D0F28B" w14:textId="77777777" w:rsidR="00914FA4" w:rsidRDefault="00914FA4" w:rsidP="001850D5">
      <w:pPr>
        <w:pStyle w:val="NoSpacing"/>
        <w:rPr>
          <w:rFonts w:asciiTheme="majorHAnsi" w:hAnsiTheme="majorHAnsi" w:cstheme="majorHAnsi"/>
          <w:sz w:val="28"/>
          <w:szCs w:val="28"/>
        </w:rPr>
      </w:pPr>
    </w:p>
    <w:p w14:paraId="4487E563" w14:textId="77777777" w:rsidR="00492835" w:rsidRDefault="00492835" w:rsidP="001850D5">
      <w:pPr>
        <w:pStyle w:val="NoSpacing"/>
        <w:rPr>
          <w:rFonts w:asciiTheme="majorHAnsi" w:hAnsiTheme="majorHAnsi" w:cstheme="majorHAnsi"/>
          <w:sz w:val="28"/>
          <w:szCs w:val="28"/>
        </w:rPr>
      </w:pPr>
      <w:bookmarkStart w:id="37" w:name="_Hlk56089333"/>
    </w:p>
    <w:p w14:paraId="0F95FDE3" w14:textId="77777777" w:rsidR="00492835" w:rsidRDefault="00492835" w:rsidP="001850D5">
      <w:pPr>
        <w:pStyle w:val="NoSpacing"/>
        <w:rPr>
          <w:rFonts w:asciiTheme="majorHAnsi" w:hAnsiTheme="majorHAnsi" w:cstheme="majorHAnsi"/>
          <w:sz w:val="28"/>
          <w:szCs w:val="28"/>
        </w:rPr>
      </w:pPr>
    </w:p>
    <w:p w14:paraId="7230BC44" w14:textId="06A60C92" w:rsidR="001850D5" w:rsidRPr="001850D5" w:rsidRDefault="00DB2937" w:rsidP="001850D5">
      <w:pPr>
        <w:pStyle w:val="NoSpacing"/>
        <w:rPr>
          <w:rFonts w:asciiTheme="majorHAnsi" w:hAnsiTheme="majorHAnsi" w:cstheme="majorHAnsi"/>
          <w:sz w:val="28"/>
          <w:szCs w:val="28"/>
        </w:rPr>
      </w:pPr>
      <w:r>
        <w:rPr>
          <w:rFonts w:asciiTheme="majorHAnsi" w:hAnsiTheme="majorHAnsi" w:cstheme="majorHAnsi"/>
          <w:sz w:val="28"/>
          <w:szCs w:val="28"/>
        </w:rPr>
        <w:lastRenderedPageBreak/>
        <w:t>‘Anti-Slavery correspondence of William Wilberforce and Other</w:t>
      </w:r>
      <w:r w:rsidR="00492835">
        <w:rPr>
          <w:rFonts w:asciiTheme="majorHAnsi" w:hAnsiTheme="majorHAnsi" w:cstheme="majorHAnsi"/>
          <w:sz w:val="28"/>
          <w:szCs w:val="28"/>
        </w:rPr>
        <w:t>s.’</w:t>
      </w:r>
      <w:r>
        <w:rPr>
          <w:rFonts w:asciiTheme="majorHAnsi" w:hAnsiTheme="majorHAnsi" w:cstheme="majorHAnsi"/>
          <w:sz w:val="28"/>
          <w:szCs w:val="28"/>
        </w:rPr>
        <w:t xml:space="preserve"> </w:t>
      </w:r>
      <w:r w:rsidR="001850D5" w:rsidRPr="001850D5">
        <w:rPr>
          <w:rFonts w:asciiTheme="majorHAnsi" w:hAnsiTheme="majorHAnsi" w:cstheme="majorHAnsi"/>
          <w:sz w:val="28"/>
          <w:szCs w:val="28"/>
        </w:rPr>
        <w:t xml:space="preserve">Liverpool, Liverpool National Museums Liverpool: Maritime Archives and Library, D/CR/4/1-5. </w:t>
      </w:r>
    </w:p>
    <w:bookmarkEnd w:id="37"/>
    <w:p w14:paraId="4A1C49FE" w14:textId="77777777" w:rsidR="001850D5" w:rsidRDefault="001850D5" w:rsidP="001850D5">
      <w:pPr>
        <w:pStyle w:val="NoSpacing"/>
        <w:rPr>
          <w:rFonts w:asciiTheme="majorHAnsi" w:hAnsiTheme="majorHAnsi" w:cstheme="majorHAnsi"/>
          <w:sz w:val="24"/>
          <w:szCs w:val="24"/>
        </w:rPr>
      </w:pPr>
    </w:p>
    <w:p w14:paraId="7D610D3F" w14:textId="6FC4C5A8" w:rsidR="001850D5" w:rsidRPr="001850D5" w:rsidRDefault="001850D5" w:rsidP="001850D5">
      <w:pPr>
        <w:pStyle w:val="NoSpacing"/>
        <w:rPr>
          <w:rFonts w:asciiTheme="majorHAnsi" w:hAnsiTheme="majorHAnsi" w:cstheme="majorHAnsi"/>
          <w:sz w:val="24"/>
          <w:szCs w:val="24"/>
        </w:rPr>
      </w:pPr>
      <w:r w:rsidRPr="001850D5">
        <w:rPr>
          <w:rFonts w:asciiTheme="majorHAnsi" w:hAnsiTheme="majorHAnsi" w:cstheme="majorHAnsi"/>
          <w:sz w:val="24"/>
          <w:szCs w:val="24"/>
        </w:rPr>
        <w:t>This record located in Liverpool contains a number of correspondences relating to the slave trade.</w:t>
      </w:r>
      <w:r w:rsidR="00304E50">
        <w:rPr>
          <w:rStyle w:val="FootnoteReference"/>
          <w:rFonts w:asciiTheme="majorHAnsi" w:hAnsiTheme="majorHAnsi" w:cstheme="majorHAnsi"/>
          <w:sz w:val="24"/>
          <w:szCs w:val="24"/>
        </w:rPr>
        <w:footnoteReference w:id="34"/>
      </w:r>
      <w:r w:rsidRPr="001850D5">
        <w:rPr>
          <w:rFonts w:asciiTheme="majorHAnsi" w:hAnsiTheme="majorHAnsi" w:cstheme="majorHAnsi"/>
          <w:sz w:val="24"/>
          <w:szCs w:val="24"/>
        </w:rPr>
        <w:t xml:space="preserve"> It contains the correspondence of William Wilberforce and others who discuss the subject on the papers included in this record.</w:t>
      </w:r>
      <w:r w:rsidR="00304E50">
        <w:rPr>
          <w:rStyle w:val="FootnoteReference"/>
          <w:rFonts w:asciiTheme="majorHAnsi" w:hAnsiTheme="majorHAnsi" w:cstheme="majorHAnsi"/>
          <w:sz w:val="24"/>
          <w:szCs w:val="24"/>
        </w:rPr>
        <w:footnoteReference w:id="35"/>
      </w:r>
      <w:r w:rsidRPr="001850D5">
        <w:rPr>
          <w:rFonts w:asciiTheme="majorHAnsi" w:hAnsiTheme="majorHAnsi" w:cstheme="majorHAnsi"/>
          <w:sz w:val="24"/>
          <w:szCs w:val="24"/>
        </w:rPr>
        <w:t xml:space="preserve"> The record was located through the use of the National Archives Discovery Tool with the search parameters set to only show results from archives not related to the National Archies in Kew.</w:t>
      </w:r>
      <w:r w:rsidR="00304E50">
        <w:rPr>
          <w:rStyle w:val="FootnoteReference"/>
          <w:rFonts w:asciiTheme="majorHAnsi" w:hAnsiTheme="majorHAnsi" w:cstheme="majorHAnsi"/>
          <w:sz w:val="24"/>
          <w:szCs w:val="24"/>
        </w:rPr>
        <w:footnoteReference w:id="36"/>
      </w:r>
      <w:r w:rsidRPr="001850D5">
        <w:rPr>
          <w:rFonts w:asciiTheme="majorHAnsi" w:hAnsiTheme="majorHAnsi" w:cstheme="majorHAnsi"/>
          <w:sz w:val="24"/>
          <w:szCs w:val="24"/>
        </w:rPr>
        <w:t xml:space="preserve"> In this case </w:t>
      </w:r>
      <w:r w:rsidR="00304E50">
        <w:rPr>
          <w:rFonts w:asciiTheme="majorHAnsi" w:hAnsiTheme="majorHAnsi" w:cstheme="majorHAnsi"/>
          <w:sz w:val="24"/>
          <w:szCs w:val="24"/>
        </w:rPr>
        <w:t xml:space="preserve">the search </w:t>
      </w:r>
      <w:r w:rsidRPr="001850D5">
        <w:rPr>
          <w:rFonts w:asciiTheme="majorHAnsi" w:hAnsiTheme="majorHAnsi" w:cstheme="majorHAnsi"/>
          <w:sz w:val="24"/>
          <w:szCs w:val="24"/>
        </w:rPr>
        <w:t>yielded the above record which is located at the National Museum Liverpool: Maritime Archives and Library.</w:t>
      </w:r>
      <w:r w:rsidR="00304E50">
        <w:rPr>
          <w:rStyle w:val="FootnoteReference"/>
          <w:rFonts w:asciiTheme="majorHAnsi" w:hAnsiTheme="majorHAnsi" w:cstheme="majorHAnsi"/>
          <w:sz w:val="24"/>
          <w:szCs w:val="24"/>
        </w:rPr>
        <w:footnoteReference w:id="37"/>
      </w:r>
      <w:r w:rsidRPr="001850D5">
        <w:rPr>
          <w:rFonts w:asciiTheme="majorHAnsi" w:hAnsiTheme="majorHAnsi" w:cstheme="majorHAnsi"/>
          <w:sz w:val="24"/>
          <w:szCs w:val="24"/>
        </w:rPr>
        <w:t xml:space="preserve"> This record would be useful to those researching the slave trade as it includes papers written by a </w:t>
      </w:r>
      <w:proofErr w:type="spellStart"/>
      <w:r w:rsidRPr="001850D5">
        <w:rPr>
          <w:rFonts w:asciiTheme="majorHAnsi" w:hAnsiTheme="majorHAnsi" w:cstheme="majorHAnsi"/>
          <w:sz w:val="24"/>
          <w:szCs w:val="24"/>
        </w:rPr>
        <w:t>veri</w:t>
      </w:r>
      <w:r w:rsidR="002C7BC7">
        <w:rPr>
          <w:rFonts w:asciiTheme="majorHAnsi" w:hAnsiTheme="majorHAnsi" w:cstheme="majorHAnsi"/>
          <w:sz w:val="24"/>
          <w:szCs w:val="24"/>
        </w:rPr>
        <w:t>e</w:t>
      </w:r>
      <w:r w:rsidRPr="001850D5">
        <w:rPr>
          <w:rFonts w:asciiTheme="majorHAnsi" w:hAnsiTheme="majorHAnsi" w:cstheme="majorHAnsi"/>
          <w:sz w:val="24"/>
          <w:szCs w:val="24"/>
        </w:rPr>
        <w:t>ty</w:t>
      </w:r>
      <w:proofErr w:type="spellEnd"/>
      <w:r w:rsidRPr="001850D5">
        <w:rPr>
          <w:rFonts w:asciiTheme="majorHAnsi" w:hAnsiTheme="majorHAnsi" w:cstheme="majorHAnsi"/>
          <w:sz w:val="24"/>
          <w:szCs w:val="24"/>
        </w:rPr>
        <w:t xml:space="preserve"> of authors. This would allow a historian to compare the views of different people interested in the abolition of the slave trade.</w:t>
      </w:r>
      <w:r w:rsidR="00304E50">
        <w:rPr>
          <w:rStyle w:val="FootnoteReference"/>
          <w:rFonts w:asciiTheme="majorHAnsi" w:hAnsiTheme="majorHAnsi" w:cstheme="majorHAnsi"/>
          <w:sz w:val="24"/>
          <w:szCs w:val="24"/>
        </w:rPr>
        <w:footnoteReference w:id="38"/>
      </w:r>
    </w:p>
    <w:p w14:paraId="49EA96B6" w14:textId="34E7F0CD" w:rsidR="001850D5" w:rsidRDefault="001850D5" w:rsidP="001850D5">
      <w:pPr>
        <w:pStyle w:val="NoSpacing"/>
        <w:rPr>
          <w:rFonts w:asciiTheme="majorHAnsi" w:hAnsiTheme="majorHAnsi" w:cstheme="majorHAnsi"/>
          <w:sz w:val="28"/>
          <w:szCs w:val="28"/>
        </w:rPr>
      </w:pPr>
      <w:bookmarkStart w:id="38" w:name="_Hlk56281228"/>
    </w:p>
    <w:p w14:paraId="0F80A65F" w14:textId="23E3D3B2" w:rsidR="001850D5" w:rsidRPr="001850D5" w:rsidRDefault="00DB2937" w:rsidP="001850D5">
      <w:pPr>
        <w:pStyle w:val="NoSpacing"/>
        <w:rPr>
          <w:rFonts w:asciiTheme="majorHAnsi" w:hAnsiTheme="majorHAnsi" w:cstheme="majorHAnsi"/>
          <w:sz w:val="28"/>
          <w:szCs w:val="28"/>
        </w:rPr>
      </w:pPr>
      <w:bookmarkStart w:id="39" w:name="_Hlk56344228"/>
      <w:r>
        <w:rPr>
          <w:rFonts w:asciiTheme="majorHAnsi" w:hAnsiTheme="majorHAnsi" w:cstheme="majorHAnsi"/>
          <w:sz w:val="28"/>
          <w:szCs w:val="28"/>
        </w:rPr>
        <w:t xml:space="preserve">‘Letter by from William Wilberforce to an </w:t>
      </w:r>
      <w:r w:rsidR="00335014">
        <w:rPr>
          <w:rFonts w:asciiTheme="majorHAnsi" w:hAnsiTheme="majorHAnsi" w:cstheme="majorHAnsi"/>
          <w:sz w:val="28"/>
          <w:szCs w:val="28"/>
        </w:rPr>
        <w:t>U</w:t>
      </w:r>
      <w:r>
        <w:rPr>
          <w:rFonts w:asciiTheme="majorHAnsi" w:hAnsiTheme="majorHAnsi" w:cstheme="majorHAnsi"/>
          <w:sz w:val="28"/>
          <w:szCs w:val="28"/>
        </w:rPr>
        <w:t xml:space="preserve">nnamed </w:t>
      </w:r>
      <w:r w:rsidR="00335014">
        <w:rPr>
          <w:rFonts w:asciiTheme="majorHAnsi" w:hAnsiTheme="majorHAnsi" w:cstheme="majorHAnsi"/>
          <w:sz w:val="28"/>
          <w:szCs w:val="28"/>
        </w:rPr>
        <w:t>I</w:t>
      </w:r>
      <w:r>
        <w:rPr>
          <w:rFonts w:asciiTheme="majorHAnsi" w:hAnsiTheme="majorHAnsi" w:cstheme="majorHAnsi"/>
          <w:sz w:val="28"/>
          <w:szCs w:val="28"/>
        </w:rPr>
        <w:t xml:space="preserve">ndividual.’ </w:t>
      </w:r>
      <w:bookmarkEnd w:id="39"/>
      <w:r w:rsidR="001850D5" w:rsidRPr="001850D5">
        <w:rPr>
          <w:rFonts w:asciiTheme="majorHAnsi" w:hAnsiTheme="majorHAnsi" w:cstheme="majorHAnsi"/>
          <w:sz w:val="28"/>
          <w:szCs w:val="28"/>
        </w:rPr>
        <w:t xml:space="preserve">London, The British Library, RP 8305/4. </w:t>
      </w:r>
    </w:p>
    <w:bookmarkEnd w:id="38"/>
    <w:p w14:paraId="750898F1" w14:textId="77777777" w:rsidR="001850D5" w:rsidRDefault="001850D5" w:rsidP="001850D5">
      <w:pPr>
        <w:pStyle w:val="NoSpacing"/>
        <w:rPr>
          <w:rFonts w:asciiTheme="majorHAnsi" w:hAnsiTheme="majorHAnsi" w:cstheme="majorHAnsi"/>
          <w:sz w:val="24"/>
          <w:szCs w:val="24"/>
        </w:rPr>
      </w:pPr>
    </w:p>
    <w:p w14:paraId="0F462AD7" w14:textId="28A3F2C9" w:rsidR="001850D5" w:rsidRDefault="001850D5" w:rsidP="001850D5">
      <w:pPr>
        <w:pStyle w:val="NoSpacing"/>
        <w:rPr>
          <w:rFonts w:asciiTheme="majorHAnsi" w:hAnsiTheme="majorHAnsi" w:cstheme="majorHAnsi"/>
          <w:sz w:val="24"/>
          <w:szCs w:val="24"/>
        </w:rPr>
      </w:pPr>
      <w:r w:rsidRPr="001850D5">
        <w:rPr>
          <w:rFonts w:asciiTheme="majorHAnsi" w:hAnsiTheme="majorHAnsi" w:cstheme="majorHAnsi"/>
          <w:sz w:val="24"/>
          <w:szCs w:val="24"/>
        </w:rPr>
        <w:t>This document was written on 3rd August 1797 to an unnamed individual.</w:t>
      </w:r>
      <w:r w:rsidR="00304E50">
        <w:rPr>
          <w:rStyle w:val="FootnoteReference"/>
          <w:rFonts w:asciiTheme="majorHAnsi" w:hAnsiTheme="majorHAnsi" w:cstheme="majorHAnsi"/>
          <w:sz w:val="24"/>
          <w:szCs w:val="24"/>
        </w:rPr>
        <w:footnoteReference w:id="39"/>
      </w:r>
      <w:r w:rsidRPr="001850D5">
        <w:rPr>
          <w:rFonts w:asciiTheme="majorHAnsi" w:hAnsiTheme="majorHAnsi" w:cstheme="majorHAnsi"/>
          <w:sz w:val="24"/>
          <w:szCs w:val="24"/>
        </w:rPr>
        <w:t xml:space="preserve"> It is a letter that contains a text discussing the campaign for the abolition of slavery.</w:t>
      </w:r>
      <w:r w:rsidR="00304E50">
        <w:rPr>
          <w:rStyle w:val="FootnoteReference"/>
          <w:rFonts w:asciiTheme="majorHAnsi" w:hAnsiTheme="majorHAnsi" w:cstheme="majorHAnsi"/>
          <w:sz w:val="24"/>
          <w:szCs w:val="24"/>
        </w:rPr>
        <w:footnoteReference w:id="40"/>
      </w:r>
      <w:r w:rsidRPr="001850D5">
        <w:rPr>
          <w:rFonts w:asciiTheme="majorHAnsi" w:hAnsiTheme="majorHAnsi" w:cstheme="majorHAnsi"/>
          <w:sz w:val="24"/>
          <w:szCs w:val="24"/>
        </w:rPr>
        <w:t xml:space="preserve"> The document </w:t>
      </w:r>
      <w:r w:rsidR="00304E50">
        <w:rPr>
          <w:rFonts w:asciiTheme="majorHAnsi" w:hAnsiTheme="majorHAnsi" w:cstheme="majorHAnsi"/>
          <w:sz w:val="24"/>
          <w:szCs w:val="24"/>
        </w:rPr>
        <w:t xml:space="preserve">would </w:t>
      </w:r>
      <w:r w:rsidRPr="001850D5">
        <w:rPr>
          <w:rFonts w:asciiTheme="majorHAnsi" w:hAnsiTheme="majorHAnsi" w:cstheme="majorHAnsi"/>
          <w:sz w:val="24"/>
          <w:szCs w:val="24"/>
        </w:rPr>
        <w:t xml:space="preserve"> likely used by those who wish to examine Wilberforce’s correspondence discussing the abolition of the slave trade.</w:t>
      </w:r>
      <w:r w:rsidR="00304E50">
        <w:rPr>
          <w:rStyle w:val="FootnoteReference"/>
          <w:rFonts w:asciiTheme="majorHAnsi" w:hAnsiTheme="majorHAnsi" w:cstheme="majorHAnsi"/>
          <w:sz w:val="24"/>
          <w:szCs w:val="24"/>
        </w:rPr>
        <w:footnoteReference w:id="41"/>
      </w:r>
      <w:r w:rsidRPr="001850D5">
        <w:rPr>
          <w:rFonts w:asciiTheme="majorHAnsi" w:hAnsiTheme="majorHAnsi" w:cstheme="majorHAnsi"/>
          <w:sz w:val="24"/>
          <w:szCs w:val="24"/>
        </w:rPr>
        <w:t xml:space="preserve"> As it is only a letter, the information will be restricted, but it may useful when it is compared to other examples.</w:t>
      </w:r>
      <w:r w:rsidR="00304E50">
        <w:rPr>
          <w:rStyle w:val="FootnoteReference"/>
          <w:rFonts w:asciiTheme="majorHAnsi" w:hAnsiTheme="majorHAnsi" w:cstheme="majorHAnsi"/>
          <w:sz w:val="24"/>
          <w:szCs w:val="24"/>
        </w:rPr>
        <w:footnoteReference w:id="42"/>
      </w:r>
      <w:r w:rsidRPr="001850D5">
        <w:rPr>
          <w:rFonts w:asciiTheme="majorHAnsi" w:hAnsiTheme="majorHAnsi" w:cstheme="majorHAnsi"/>
          <w:sz w:val="24"/>
          <w:szCs w:val="24"/>
        </w:rPr>
        <w:t xml:space="preserve"> The letter is currently held in the British Library as part of the collection named ‘Copies of Exported Manuscripts Deposited under Government Export Regulations’.</w:t>
      </w:r>
      <w:r w:rsidR="00304E50">
        <w:rPr>
          <w:rStyle w:val="FootnoteReference"/>
          <w:rFonts w:asciiTheme="majorHAnsi" w:hAnsiTheme="majorHAnsi" w:cstheme="majorHAnsi"/>
          <w:sz w:val="24"/>
          <w:szCs w:val="24"/>
        </w:rPr>
        <w:footnoteReference w:id="43"/>
      </w:r>
      <w:r w:rsidRPr="001850D5">
        <w:rPr>
          <w:rFonts w:asciiTheme="majorHAnsi" w:hAnsiTheme="majorHAnsi" w:cstheme="majorHAnsi"/>
          <w:sz w:val="24"/>
          <w:szCs w:val="24"/>
        </w:rPr>
        <w:t xml:space="preserve"> </w:t>
      </w:r>
      <w:r>
        <w:rPr>
          <w:rFonts w:asciiTheme="majorHAnsi" w:hAnsiTheme="majorHAnsi" w:cstheme="majorHAnsi"/>
          <w:sz w:val="24"/>
          <w:szCs w:val="24"/>
        </w:rPr>
        <w:t xml:space="preserve">It was discovered though the use of the British Library’s search engine. </w:t>
      </w:r>
    </w:p>
    <w:p w14:paraId="5225BCB5" w14:textId="0CC55BB3" w:rsidR="00914FA4" w:rsidRDefault="00914FA4" w:rsidP="001850D5">
      <w:pPr>
        <w:pStyle w:val="NoSpacing"/>
        <w:rPr>
          <w:rFonts w:asciiTheme="majorHAnsi" w:hAnsiTheme="majorHAnsi" w:cstheme="majorHAnsi"/>
          <w:sz w:val="24"/>
          <w:szCs w:val="24"/>
        </w:rPr>
      </w:pPr>
    </w:p>
    <w:p w14:paraId="40632ECD" w14:textId="77777777" w:rsidR="00AF4036" w:rsidRDefault="00AF4036" w:rsidP="001850D5">
      <w:pPr>
        <w:pStyle w:val="NoSpacing"/>
        <w:rPr>
          <w:rFonts w:asciiTheme="majorHAnsi" w:hAnsiTheme="majorHAnsi" w:cstheme="majorHAnsi"/>
          <w:sz w:val="28"/>
          <w:szCs w:val="28"/>
        </w:rPr>
      </w:pPr>
      <w:bookmarkStart w:id="40" w:name="_Hlk56281250"/>
    </w:p>
    <w:p w14:paraId="5181EB0A" w14:textId="77777777" w:rsidR="00492835" w:rsidRDefault="00492835" w:rsidP="001850D5">
      <w:pPr>
        <w:pStyle w:val="NoSpacing"/>
        <w:rPr>
          <w:rFonts w:asciiTheme="majorHAnsi" w:hAnsiTheme="majorHAnsi" w:cstheme="majorHAnsi"/>
          <w:sz w:val="28"/>
          <w:szCs w:val="28"/>
        </w:rPr>
      </w:pPr>
      <w:bookmarkStart w:id="41" w:name="_Hlk56089945"/>
    </w:p>
    <w:p w14:paraId="4D625EC5" w14:textId="77777777" w:rsidR="00492835" w:rsidRDefault="00492835" w:rsidP="001850D5">
      <w:pPr>
        <w:pStyle w:val="NoSpacing"/>
        <w:rPr>
          <w:rFonts w:asciiTheme="majorHAnsi" w:hAnsiTheme="majorHAnsi" w:cstheme="majorHAnsi"/>
          <w:sz w:val="28"/>
          <w:szCs w:val="28"/>
        </w:rPr>
      </w:pPr>
    </w:p>
    <w:p w14:paraId="46960E57" w14:textId="77777777" w:rsidR="00492835" w:rsidRDefault="00492835" w:rsidP="001850D5">
      <w:pPr>
        <w:pStyle w:val="NoSpacing"/>
        <w:rPr>
          <w:rFonts w:asciiTheme="majorHAnsi" w:hAnsiTheme="majorHAnsi" w:cstheme="majorHAnsi"/>
          <w:sz w:val="28"/>
          <w:szCs w:val="28"/>
        </w:rPr>
      </w:pPr>
    </w:p>
    <w:p w14:paraId="6C789570" w14:textId="51DA810F" w:rsidR="00914FA4" w:rsidRPr="00914FA4" w:rsidRDefault="00DB2937" w:rsidP="001850D5">
      <w:pPr>
        <w:pStyle w:val="NoSpacing"/>
        <w:rPr>
          <w:rFonts w:asciiTheme="majorHAnsi" w:hAnsiTheme="majorHAnsi" w:cstheme="majorHAnsi"/>
          <w:sz w:val="28"/>
          <w:szCs w:val="28"/>
        </w:rPr>
      </w:pPr>
      <w:r>
        <w:rPr>
          <w:rFonts w:asciiTheme="majorHAnsi" w:hAnsiTheme="majorHAnsi" w:cstheme="majorHAnsi"/>
          <w:sz w:val="28"/>
          <w:szCs w:val="28"/>
        </w:rPr>
        <w:lastRenderedPageBreak/>
        <w:t>‘</w:t>
      </w:r>
      <w:r w:rsidRPr="00DB2937">
        <w:rPr>
          <w:rFonts w:asciiTheme="majorHAnsi" w:hAnsiTheme="majorHAnsi" w:cstheme="majorHAnsi"/>
          <w:sz w:val="28"/>
          <w:szCs w:val="28"/>
        </w:rPr>
        <w:t>Letter from William Wilberforce to Fitzwilliam</w:t>
      </w:r>
      <w:r>
        <w:rPr>
          <w:rFonts w:asciiTheme="majorHAnsi" w:hAnsiTheme="majorHAnsi" w:cstheme="majorHAnsi"/>
          <w:sz w:val="28"/>
          <w:szCs w:val="28"/>
        </w:rPr>
        <w:t xml:space="preserve"> </w:t>
      </w:r>
      <w:r w:rsidRPr="00DB2937">
        <w:rPr>
          <w:rFonts w:asciiTheme="majorHAnsi" w:hAnsiTheme="majorHAnsi" w:cstheme="majorHAnsi"/>
          <w:sz w:val="28"/>
          <w:szCs w:val="28"/>
        </w:rPr>
        <w:t>5th May 1802</w:t>
      </w:r>
      <w:r>
        <w:rPr>
          <w:rFonts w:asciiTheme="majorHAnsi" w:hAnsiTheme="majorHAnsi" w:cstheme="majorHAnsi"/>
          <w:sz w:val="28"/>
          <w:szCs w:val="28"/>
        </w:rPr>
        <w:t>.’</w:t>
      </w:r>
      <w:r w:rsidRPr="00DB2937">
        <w:rPr>
          <w:rFonts w:asciiTheme="majorHAnsi" w:hAnsiTheme="majorHAnsi" w:cstheme="majorHAnsi"/>
          <w:sz w:val="28"/>
          <w:szCs w:val="28"/>
        </w:rPr>
        <w:t xml:space="preserve"> </w:t>
      </w:r>
      <w:r w:rsidRPr="00914FA4">
        <w:rPr>
          <w:rFonts w:asciiTheme="majorHAnsi" w:hAnsiTheme="majorHAnsi" w:cstheme="majorHAnsi"/>
          <w:sz w:val="28"/>
          <w:szCs w:val="28"/>
        </w:rPr>
        <w:t>Sheffield</w:t>
      </w:r>
      <w:r w:rsidR="00914FA4" w:rsidRPr="00914FA4">
        <w:rPr>
          <w:rFonts w:asciiTheme="majorHAnsi" w:hAnsiTheme="majorHAnsi" w:cstheme="majorHAnsi"/>
          <w:sz w:val="28"/>
          <w:szCs w:val="28"/>
        </w:rPr>
        <w:t xml:space="preserve">, Sheffield City Archives, WWM/F/51/9. </w:t>
      </w:r>
    </w:p>
    <w:bookmarkEnd w:id="40"/>
    <w:bookmarkEnd w:id="41"/>
    <w:p w14:paraId="6526ADCC" w14:textId="77777777" w:rsidR="00914FA4" w:rsidRDefault="00914FA4" w:rsidP="001850D5">
      <w:pPr>
        <w:pStyle w:val="NoSpacing"/>
        <w:rPr>
          <w:rFonts w:asciiTheme="majorHAnsi" w:hAnsiTheme="majorHAnsi" w:cstheme="majorHAnsi"/>
          <w:sz w:val="24"/>
          <w:szCs w:val="24"/>
        </w:rPr>
      </w:pPr>
    </w:p>
    <w:p w14:paraId="3D93AEEB" w14:textId="4A151D0F" w:rsidR="00AF4036" w:rsidRDefault="00914FA4" w:rsidP="001850D5">
      <w:pPr>
        <w:pStyle w:val="NoSpacing"/>
        <w:rPr>
          <w:rFonts w:asciiTheme="majorHAnsi" w:hAnsiTheme="majorHAnsi" w:cstheme="majorHAnsi"/>
          <w:sz w:val="24"/>
          <w:szCs w:val="24"/>
        </w:rPr>
      </w:pPr>
      <w:r w:rsidRPr="00914FA4">
        <w:rPr>
          <w:rFonts w:asciiTheme="majorHAnsi" w:hAnsiTheme="majorHAnsi" w:cstheme="majorHAnsi"/>
          <w:sz w:val="24"/>
          <w:szCs w:val="24"/>
        </w:rPr>
        <w:t>This document is a letter that William Wilberforce wrote to a man referred to as Fitzwilliam recommending a Mr R. Ramsden for the position of Magistrate.</w:t>
      </w:r>
      <w:r w:rsidR="00304E50">
        <w:rPr>
          <w:rStyle w:val="FootnoteReference"/>
          <w:rFonts w:asciiTheme="majorHAnsi" w:hAnsiTheme="majorHAnsi" w:cstheme="majorHAnsi"/>
          <w:sz w:val="24"/>
          <w:szCs w:val="24"/>
        </w:rPr>
        <w:footnoteReference w:id="44"/>
      </w:r>
      <w:r w:rsidRPr="00914FA4">
        <w:rPr>
          <w:rFonts w:asciiTheme="majorHAnsi" w:hAnsiTheme="majorHAnsi" w:cstheme="majorHAnsi"/>
          <w:sz w:val="24"/>
          <w:szCs w:val="24"/>
        </w:rPr>
        <w:t xml:space="preserve"> This document was discovered through the use of the of the National Archives Discovery Tool which places it in the Sheffield City Archive. The document is three pages long and it is dated to 5th May 1802.</w:t>
      </w:r>
      <w:r w:rsidR="00304E50">
        <w:rPr>
          <w:rStyle w:val="FootnoteReference"/>
          <w:rFonts w:asciiTheme="majorHAnsi" w:hAnsiTheme="majorHAnsi" w:cstheme="majorHAnsi"/>
          <w:sz w:val="24"/>
          <w:szCs w:val="24"/>
        </w:rPr>
        <w:footnoteReference w:id="45"/>
      </w:r>
      <w:r w:rsidRPr="00914FA4">
        <w:rPr>
          <w:rFonts w:asciiTheme="majorHAnsi" w:hAnsiTheme="majorHAnsi" w:cstheme="majorHAnsi"/>
          <w:sz w:val="24"/>
          <w:szCs w:val="24"/>
        </w:rPr>
        <w:t xml:space="preserve"> This document shows historians a different side to Wilberforce as it shows the status that Wilberforce held within the society of the time.</w:t>
      </w:r>
      <w:r w:rsidR="00304E50">
        <w:rPr>
          <w:rStyle w:val="FootnoteReference"/>
          <w:rFonts w:asciiTheme="majorHAnsi" w:hAnsiTheme="majorHAnsi" w:cstheme="majorHAnsi"/>
          <w:sz w:val="24"/>
          <w:szCs w:val="24"/>
        </w:rPr>
        <w:footnoteReference w:id="46"/>
      </w:r>
      <w:r w:rsidRPr="00914FA4">
        <w:rPr>
          <w:rFonts w:asciiTheme="majorHAnsi" w:hAnsiTheme="majorHAnsi" w:cstheme="majorHAnsi"/>
          <w:sz w:val="24"/>
          <w:szCs w:val="24"/>
        </w:rPr>
        <w:t xml:space="preserve"> It confirms that, likely due to his position in Parliament, that Wilberforce had enough influence in society to recommend someone for the magistracy. This may seem a minor detail to some historians but since only men of consequence could recommend for someone to become a magistrate. The document can be used as evidence by historians </w:t>
      </w:r>
      <w:r w:rsidR="00304E50">
        <w:rPr>
          <w:rFonts w:asciiTheme="majorHAnsi" w:hAnsiTheme="majorHAnsi" w:cstheme="majorHAnsi"/>
          <w:sz w:val="24"/>
          <w:szCs w:val="24"/>
        </w:rPr>
        <w:t xml:space="preserve">to show </w:t>
      </w:r>
      <w:r w:rsidRPr="00914FA4">
        <w:rPr>
          <w:rFonts w:asciiTheme="majorHAnsi" w:hAnsiTheme="majorHAnsi" w:cstheme="majorHAnsi"/>
          <w:sz w:val="24"/>
          <w:szCs w:val="24"/>
        </w:rPr>
        <w:t xml:space="preserve">that Wilberforce maintained </w:t>
      </w:r>
      <w:r w:rsidR="00304E50">
        <w:rPr>
          <w:rFonts w:asciiTheme="majorHAnsi" w:hAnsiTheme="majorHAnsi" w:cstheme="majorHAnsi"/>
          <w:sz w:val="24"/>
          <w:szCs w:val="24"/>
        </w:rPr>
        <w:t xml:space="preserve">influence </w:t>
      </w:r>
      <w:r w:rsidRPr="00914FA4">
        <w:rPr>
          <w:rFonts w:asciiTheme="majorHAnsi" w:hAnsiTheme="majorHAnsi" w:cstheme="majorHAnsi"/>
          <w:sz w:val="24"/>
          <w:szCs w:val="24"/>
        </w:rPr>
        <w:t xml:space="preserve">not just the </w:t>
      </w:r>
      <w:r w:rsidR="00304E50">
        <w:rPr>
          <w:rFonts w:asciiTheme="majorHAnsi" w:hAnsiTheme="majorHAnsi" w:cstheme="majorHAnsi"/>
          <w:sz w:val="24"/>
          <w:szCs w:val="24"/>
        </w:rPr>
        <w:t>H</w:t>
      </w:r>
      <w:r w:rsidRPr="00914FA4">
        <w:rPr>
          <w:rFonts w:asciiTheme="majorHAnsi" w:hAnsiTheme="majorHAnsi" w:cstheme="majorHAnsi"/>
          <w:sz w:val="24"/>
          <w:szCs w:val="24"/>
        </w:rPr>
        <w:t xml:space="preserve">ouse of </w:t>
      </w:r>
      <w:r w:rsidR="00304E50">
        <w:rPr>
          <w:rFonts w:asciiTheme="majorHAnsi" w:hAnsiTheme="majorHAnsi" w:cstheme="majorHAnsi"/>
          <w:sz w:val="24"/>
          <w:szCs w:val="24"/>
        </w:rPr>
        <w:t>Commons</w:t>
      </w:r>
      <w:r w:rsidRPr="00914FA4">
        <w:rPr>
          <w:rFonts w:asciiTheme="majorHAnsi" w:hAnsiTheme="majorHAnsi" w:cstheme="majorHAnsi"/>
          <w:sz w:val="24"/>
          <w:szCs w:val="24"/>
        </w:rPr>
        <w:t xml:space="preserve"> but in wider society as well. </w:t>
      </w:r>
      <w:r w:rsidR="00304E50">
        <w:rPr>
          <w:rStyle w:val="FootnoteReference"/>
          <w:rFonts w:asciiTheme="majorHAnsi" w:hAnsiTheme="majorHAnsi" w:cstheme="majorHAnsi"/>
          <w:sz w:val="24"/>
          <w:szCs w:val="24"/>
        </w:rPr>
        <w:footnoteReference w:id="47"/>
      </w:r>
    </w:p>
    <w:p w14:paraId="5074F48C" w14:textId="77777777" w:rsidR="00AF4036" w:rsidRPr="00AF4036" w:rsidRDefault="00AF4036" w:rsidP="001850D5">
      <w:pPr>
        <w:pStyle w:val="NoSpacing"/>
        <w:rPr>
          <w:rFonts w:asciiTheme="majorHAnsi" w:hAnsiTheme="majorHAnsi" w:cstheme="majorHAnsi"/>
          <w:sz w:val="28"/>
          <w:szCs w:val="28"/>
        </w:rPr>
      </w:pPr>
    </w:p>
    <w:p w14:paraId="6F3014D9" w14:textId="02C04894" w:rsidR="00AF4036" w:rsidRPr="00AF4036" w:rsidRDefault="00AF4036" w:rsidP="00AF4036">
      <w:pPr>
        <w:pStyle w:val="NoSpacing"/>
        <w:rPr>
          <w:rFonts w:asciiTheme="majorHAnsi" w:hAnsiTheme="majorHAnsi" w:cstheme="majorHAnsi"/>
          <w:sz w:val="28"/>
          <w:szCs w:val="28"/>
        </w:rPr>
      </w:pPr>
      <w:r w:rsidRPr="00AF4036">
        <w:rPr>
          <w:rFonts w:asciiTheme="majorHAnsi" w:hAnsiTheme="majorHAnsi" w:cstheme="majorHAnsi"/>
          <w:sz w:val="28"/>
          <w:szCs w:val="28"/>
        </w:rPr>
        <w:t xml:space="preserve">Future Direction of Research: </w:t>
      </w:r>
    </w:p>
    <w:p w14:paraId="229CAF1C" w14:textId="77777777" w:rsidR="00AF4036" w:rsidRPr="00AF4036" w:rsidRDefault="00AF4036" w:rsidP="00AF4036">
      <w:pPr>
        <w:pStyle w:val="NoSpacing"/>
        <w:rPr>
          <w:rFonts w:asciiTheme="majorHAnsi" w:hAnsiTheme="majorHAnsi" w:cstheme="majorHAnsi"/>
          <w:sz w:val="24"/>
          <w:szCs w:val="24"/>
        </w:rPr>
      </w:pPr>
    </w:p>
    <w:p w14:paraId="6FF69CC3" w14:textId="77777777" w:rsidR="00AF4036" w:rsidRPr="00AF4036" w:rsidRDefault="00AF4036" w:rsidP="00AF4036">
      <w:pPr>
        <w:pStyle w:val="NoSpacing"/>
        <w:rPr>
          <w:rFonts w:asciiTheme="majorHAnsi" w:hAnsiTheme="majorHAnsi" w:cstheme="majorHAnsi"/>
          <w:sz w:val="24"/>
          <w:szCs w:val="24"/>
        </w:rPr>
      </w:pPr>
      <w:r w:rsidRPr="00AF4036">
        <w:rPr>
          <w:rFonts w:asciiTheme="majorHAnsi" w:hAnsiTheme="majorHAnsi" w:cstheme="majorHAnsi"/>
          <w:sz w:val="24"/>
          <w:szCs w:val="24"/>
        </w:rPr>
        <w:t xml:space="preserve">This report recommends that any future archival research into William Wilberforce should be extended to foreign archives. Most of the records on the list originate from the United Kingdom so some information that is available from foreign archives may have been missed. This can easily be done through the use of the National Archives Discovery tool which can be set up to show only the search results from foreign archives.   </w:t>
      </w:r>
    </w:p>
    <w:p w14:paraId="0A5BA3BE" w14:textId="62E8CBA4" w:rsidR="00914FA4" w:rsidRDefault="00914FA4" w:rsidP="001850D5">
      <w:pPr>
        <w:pStyle w:val="NoSpacing"/>
        <w:rPr>
          <w:rFonts w:asciiTheme="majorHAnsi" w:hAnsiTheme="majorHAnsi" w:cstheme="majorHAnsi"/>
          <w:sz w:val="24"/>
          <w:szCs w:val="24"/>
        </w:rPr>
      </w:pPr>
    </w:p>
    <w:p w14:paraId="797F896F" w14:textId="2CC861AF" w:rsidR="00914FA4" w:rsidRDefault="00914FA4" w:rsidP="001850D5">
      <w:pPr>
        <w:pStyle w:val="NoSpacing"/>
        <w:rPr>
          <w:rFonts w:asciiTheme="majorHAnsi" w:hAnsiTheme="majorHAnsi" w:cstheme="majorHAnsi"/>
          <w:sz w:val="24"/>
          <w:szCs w:val="24"/>
        </w:rPr>
      </w:pPr>
    </w:p>
    <w:p w14:paraId="1E5841E1" w14:textId="77777777" w:rsidR="00914FA4" w:rsidRDefault="00914FA4" w:rsidP="001850D5">
      <w:pPr>
        <w:pStyle w:val="NoSpacing"/>
        <w:rPr>
          <w:rFonts w:asciiTheme="majorHAnsi" w:hAnsiTheme="majorHAnsi" w:cstheme="majorHAnsi"/>
          <w:sz w:val="24"/>
          <w:szCs w:val="24"/>
        </w:rPr>
      </w:pPr>
    </w:p>
    <w:p w14:paraId="52B18C5D" w14:textId="0062A28E" w:rsidR="00914FA4" w:rsidRDefault="00914FA4" w:rsidP="001850D5">
      <w:pPr>
        <w:pStyle w:val="NoSpacing"/>
        <w:rPr>
          <w:rFonts w:asciiTheme="majorHAnsi" w:hAnsiTheme="majorHAnsi" w:cstheme="majorHAnsi"/>
          <w:sz w:val="24"/>
          <w:szCs w:val="24"/>
        </w:rPr>
      </w:pPr>
    </w:p>
    <w:p w14:paraId="6302E219" w14:textId="77777777" w:rsidR="00914FA4" w:rsidRDefault="00914FA4" w:rsidP="001850D5">
      <w:pPr>
        <w:pStyle w:val="NoSpacing"/>
        <w:rPr>
          <w:rFonts w:asciiTheme="majorHAnsi" w:hAnsiTheme="majorHAnsi" w:cstheme="majorHAnsi"/>
          <w:sz w:val="24"/>
          <w:szCs w:val="24"/>
        </w:rPr>
      </w:pPr>
    </w:p>
    <w:p w14:paraId="076F04FB" w14:textId="491ECCC0" w:rsidR="00914FA4" w:rsidRDefault="00914FA4" w:rsidP="001850D5">
      <w:pPr>
        <w:pStyle w:val="NoSpacing"/>
        <w:rPr>
          <w:rFonts w:asciiTheme="majorHAnsi" w:hAnsiTheme="majorHAnsi" w:cstheme="majorHAnsi"/>
          <w:sz w:val="24"/>
          <w:szCs w:val="24"/>
        </w:rPr>
      </w:pPr>
    </w:p>
    <w:p w14:paraId="3DA1CB1A" w14:textId="00BEECE1" w:rsidR="00914FA4" w:rsidRDefault="00914FA4" w:rsidP="001850D5">
      <w:pPr>
        <w:pStyle w:val="NoSpacing"/>
        <w:rPr>
          <w:rFonts w:asciiTheme="majorHAnsi" w:hAnsiTheme="majorHAnsi" w:cstheme="majorHAnsi"/>
          <w:sz w:val="24"/>
          <w:szCs w:val="24"/>
        </w:rPr>
      </w:pPr>
    </w:p>
    <w:p w14:paraId="379235C0" w14:textId="7F24E190" w:rsidR="0074702A" w:rsidRDefault="0074702A" w:rsidP="001850D5">
      <w:pPr>
        <w:pStyle w:val="NoSpacing"/>
        <w:rPr>
          <w:rFonts w:asciiTheme="majorHAnsi" w:hAnsiTheme="majorHAnsi" w:cstheme="majorHAnsi"/>
          <w:sz w:val="24"/>
          <w:szCs w:val="24"/>
        </w:rPr>
      </w:pPr>
    </w:p>
    <w:p w14:paraId="44EE3C4F" w14:textId="028C8B3A" w:rsidR="0074702A" w:rsidRDefault="0074702A" w:rsidP="001850D5">
      <w:pPr>
        <w:pStyle w:val="NoSpacing"/>
        <w:rPr>
          <w:rFonts w:asciiTheme="majorHAnsi" w:hAnsiTheme="majorHAnsi" w:cstheme="majorHAnsi"/>
          <w:sz w:val="24"/>
          <w:szCs w:val="24"/>
        </w:rPr>
      </w:pPr>
    </w:p>
    <w:p w14:paraId="64C5F274" w14:textId="18F349CD" w:rsidR="0074702A" w:rsidRDefault="0074702A" w:rsidP="001850D5">
      <w:pPr>
        <w:pStyle w:val="NoSpacing"/>
        <w:rPr>
          <w:rFonts w:asciiTheme="majorHAnsi" w:hAnsiTheme="majorHAnsi" w:cstheme="majorHAnsi"/>
          <w:sz w:val="24"/>
          <w:szCs w:val="24"/>
        </w:rPr>
      </w:pPr>
    </w:p>
    <w:p w14:paraId="4862F90A" w14:textId="17F8DDFC" w:rsidR="0074702A" w:rsidRDefault="0074702A" w:rsidP="001850D5">
      <w:pPr>
        <w:pStyle w:val="NoSpacing"/>
        <w:rPr>
          <w:rFonts w:asciiTheme="majorHAnsi" w:hAnsiTheme="majorHAnsi" w:cstheme="majorHAnsi"/>
          <w:sz w:val="24"/>
          <w:szCs w:val="24"/>
        </w:rPr>
      </w:pPr>
    </w:p>
    <w:p w14:paraId="4168CEDC" w14:textId="6CD49E3E" w:rsidR="0074702A" w:rsidRDefault="0074702A" w:rsidP="001850D5">
      <w:pPr>
        <w:pStyle w:val="NoSpacing"/>
        <w:rPr>
          <w:rFonts w:asciiTheme="majorHAnsi" w:hAnsiTheme="majorHAnsi" w:cstheme="majorHAnsi"/>
          <w:sz w:val="24"/>
          <w:szCs w:val="24"/>
        </w:rPr>
      </w:pPr>
    </w:p>
    <w:p w14:paraId="33C7A5F0" w14:textId="0D35B3F2" w:rsidR="0074702A" w:rsidRDefault="0074702A" w:rsidP="001850D5">
      <w:pPr>
        <w:pStyle w:val="NoSpacing"/>
        <w:rPr>
          <w:rFonts w:asciiTheme="majorHAnsi" w:hAnsiTheme="majorHAnsi" w:cstheme="majorHAnsi"/>
          <w:sz w:val="24"/>
          <w:szCs w:val="24"/>
        </w:rPr>
      </w:pPr>
    </w:p>
    <w:p w14:paraId="6044F087" w14:textId="4FCC4BED" w:rsidR="0074702A" w:rsidRDefault="0074702A" w:rsidP="001850D5">
      <w:pPr>
        <w:pStyle w:val="NoSpacing"/>
        <w:rPr>
          <w:rFonts w:asciiTheme="majorHAnsi" w:hAnsiTheme="majorHAnsi" w:cstheme="majorHAnsi"/>
          <w:sz w:val="24"/>
          <w:szCs w:val="24"/>
        </w:rPr>
      </w:pPr>
    </w:p>
    <w:p w14:paraId="6B89979D" w14:textId="188A5E0B" w:rsidR="0074702A" w:rsidRDefault="0074702A" w:rsidP="001850D5">
      <w:pPr>
        <w:pStyle w:val="NoSpacing"/>
        <w:rPr>
          <w:rFonts w:asciiTheme="majorHAnsi" w:hAnsiTheme="majorHAnsi" w:cstheme="majorHAnsi"/>
          <w:sz w:val="24"/>
          <w:szCs w:val="24"/>
        </w:rPr>
      </w:pPr>
    </w:p>
    <w:p w14:paraId="0F469727" w14:textId="22216DC4" w:rsidR="0074702A" w:rsidRDefault="0074702A" w:rsidP="001850D5">
      <w:pPr>
        <w:pStyle w:val="NoSpacing"/>
        <w:rPr>
          <w:rFonts w:asciiTheme="majorHAnsi" w:hAnsiTheme="majorHAnsi" w:cstheme="majorHAnsi"/>
          <w:sz w:val="24"/>
          <w:szCs w:val="24"/>
        </w:rPr>
      </w:pPr>
    </w:p>
    <w:p w14:paraId="777CAD53" w14:textId="0512410B" w:rsidR="0074702A" w:rsidRDefault="0074702A" w:rsidP="001850D5">
      <w:pPr>
        <w:pStyle w:val="NoSpacing"/>
        <w:rPr>
          <w:rFonts w:asciiTheme="majorHAnsi" w:hAnsiTheme="majorHAnsi" w:cstheme="majorHAnsi"/>
          <w:sz w:val="24"/>
          <w:szCs w:val="24"/>
        </w:rPr>
      </w:pPr>
    </w:p>
    <w:p w14:paraId="407E0D6F" w14:textId="77777777" w:rsidR="00335014" w:rsidRDefault="00335014" w:rsidP="0074702A">
      <w:pPr>
        <w:pStyle w:val="NoSpacing"/>
        <w:rPr>
          <w:rFonts w:asciiTheme="majorHAnsi" w:hAnsiTheme="majorHAnsi" w:cstheme="majorHAnsi"/>
          <w:b/>
          <w:bCs/>
          <w:sz w:val="36"/>
          <w:szCs w:val="36"/>
        </w:rPr>
      </w:pPr>
    </w:p>
    <w:p w14:paraId="39668D94" w14:textId="77777777" w:rsidR="00335014" w:rsidRDefault="00335014" w:rsidP="0074702A">
      <w:pPr>
        <w:pStyle w:val="NoSpacing"/>
        <w:rPr>
          <w:rFonts w:asciiTheme="majorHAnsi" w:hAnsiTheme="majorHAnsi" w:cstheme="majorHAnsi"/>
          <w:b/>
          <w:bCs/>
          <w:sz w:val="36"/>
          <w:szCs w:val="36"/>
        </w:rPr>
      </w:pPr>
    </w:p>
    <w:p w14:paraId="1E3A6A0A" w14:textId="38FEAC10" w:rsidR="0074702A" w:rsidRPr="0074702A" w:rsidRDefault="0074702A" w:rsidP="0074702A">
      <w:pPr>
        <w:pStyle w:val="NoSpacing"/>
        <w:rPr>
          <w:rFonts w:asciiTheme="majorHAnsi" w:hAnsiTheme="majorHAnsi" w:cstheme="majorHAnsi"/>
          <w:b/>
          <w:bCs/>
          <w:sz w:val="36"/>
          <w:szCs w:val="36"/>
        </w:rPr>
      </w:pPr>
      <w:r w:rsidRPr="0074702A">
        <w:rPr>
          <w:rFonts w:asciiTheme="majorHAnsi" w:hAnsiTheme="majorHAnsi" w:cstheme="majorHAnsi"/>
          <w:b/>
          <w:bCs/>
          <w:sz w:val="36"/>
          <w:szCs w:val="36"/>
        </w:rPr>
        <w:t xml:space="preserve">Bibliography </w:t>
      </w:r>
      <w:r w:rsidR="005065F4">
        <w:rPr>
          <w:rFonts w:asciiTheme="majorHAnsi" w:hAnsiTheme="majorHAnsi" w:cstheme="majorHAnsi"/>
          <w:b/>
          <w:bCs/>
          <w:sz w:val="36"/>
          <w:szCs w:val="36"/>
        </w:rPr>
        <w:t xml:space="preserve">    </w:t>
      </w:r>
    </w:p>
    <w:p w14:paraId="0B650283" w14:textId="3D1E1BE1" w:rsidR="0074702A" w:rsidRPr="0074702A" w:rsidRDefault="0074702A" w:rsidP="0074702A">
      <w:pPr>
        <w:pStyle w:val="NoSpacing"/>
        <w:rPr>
          <w:rFonts w:asciiTheme="majorHAnsi" w:hAnsiTheme="majorHAnsi" w:cstheme="majorHAnsi"/>
          <w:b/>
          <w:bCs/>
          <w:sz w:val="36"/>
          <w:szCs w:val="36"/>
        </w:rPr>
      </w:pPr>
    </w:p>
    <w:p w14:paraId="47205ABC" w14:textId="1429C6D9" w:rsidR="0074702A" w:rsidRPr="0074702A" w:rsidRDefault="0074702A" w:rsidP="0074702A">
      <w:pPr>
        <w:pStyle w:val="NoSpacing"/>
        <w:rPr>
          <w:rFonts w:asciiTheme="majorHAnsi" w:hAnsiTheme="majorHAnsi" w:cstheme="majorHAnsi"/>
          <w:b/>
          <w:bCs/>
          <w:sz w:val="32"/>
          <w:szCs w:val="32"/>
        </w:rPr>
      </w:pPr>
      <w:r w:rsidRPr="0074702A">
        <w:rPr>
          <w:rFonts w:asciiTheme="majorHAnsi" w:hAnsiTheme="majorHAnsi" w:cstheme="majorHAnsi"/>
          <w:b/>
          <w:bCs/>
          <w:sz w:val="32"/>
          <w:szCs w:val="32"/>
        </w:rPr>
        <w:t xml:space="preserve">Primary Sources: </w:t>
      </w:r>
    </w:p>
    <w:p w14:paraId="04DBDA61" w14:textId="77777777" w:rsidR="00EE5B70" w:rsidRDefault="00EE5B70" w:rsidP="00335014"/>
    <w:p w14:paraId="0C756003" w14:textId="396F7B59" w:rsidR="00335014" w:rsidRDefault="00335014" w:rsidP="00335014">
      <w:r>
        <w:t>‘William Wilberforce letter, 6 August 1782.’ Durham, North Carolina, David M. Rubenstein Rare Book &amp; Manuscript Library, duke:443225.</w:t>
      </w:r>
    </w:p>
    <w:p w14:paraId="0DF11029" w14:textId="77777777" w:rsidR="00335014" w:rsidRDefault="00335014" w:rsidP="00335014">
      <w:r w:rsidRPr="007267F5">
        <w:t>‘William Wilberforce Papers, 1782-1837 and Undated.’ Durham, North Carolina, David M, Rubenstein Rare Book &amp; Manuscript Library, RL.01381. Available at: https://repository.duke.edu/dc/wilberf. (Accessed: 23rd November 2020).</w:t>
      </w:r>
    </w:p>
    <w:p w14:paraId="7405A9CB" w14:textId="77777777" w:rsidR="00335014" w:rsidRDefault="00335014" w:rsidP="00335014">
      <w:r w:rsidRPr="007267F5">
        <w:t>‘Paper. Draft and final copy, 'William Wilberforce', by John Saville.’ Hull, Hull History Centre, DTO/11/21.</w:t>
      </w:r>
    </w:p>
    <w:p w14:paraId="184FB3BB" w14:textId="77777777" w:rsidR="00335014" w:rsidRDefault="00335014" w:rsidP="00335014">
      <w:r>
        <w:t>‘Correspondences of William Wilberforce regarding the Slave Trade, 1826-1838.’ Hull, Wilberforce House and Georgian Houses, NRA 10757 Wilberforce House.</w:t>
      </w:r>
    </w:p>
    <w:p w14:paraId="44AEBE76" w14:textId="77777777" w:rsidR="00335014" w:rsidRDefault="00335014" w:rsidP="00335014">
      <w:r w:rsidRPr="007267F5">
        <w:t>‘William Wilberforce letter to Richard R. Bramley, 23 May 1793’. Kew, The National Archives, HO 42/25/173.</w:t>
      </w:r>
    </w:p>
    <w:p w14:paraId="7ECD912D" w14:textId="61D3143B" w:rsidR="00335014" w:rsidRDefault="00335014" w:rsidP="00335014">
      <w:r>
        <w:t>‘Letter from William Wilberforce to Lord Chatham</w:t>
      </w:r>
      <w:r w:rsidR="0004092C">
        <w:t>.</w:t>
      </w:r>
      <w:r>
        <w:t>’ Kew, The National Archives, PRO 30/70/4/266.</w:t>
      </w:r>
    </w:p>
    <w:p w14:paraId="2F476329" w14:textId="77777777" w:rsidR="00335014" w:rsidRDefault="00335014" w:rsidP="00335014">
      <w:r w:rsidRPr="007267F5">
        <w:t>‘Last Will and Testament of William Wilberforce.’ Kew, The National Archives, PROB 11/1825/373 7. Available at: https://discovery.nationalarchives.gov.uk/details/r/D261133 (Accessed: 21/10/2020.)</w:t>
      </w:r>
    </w:p>
    <w:p w14:paraId="60B3E074" w14:textId="77777777" w:rsidR="00335014" w:rsidRDefault="00335014" w:rsidP="00335014">
      <w:r w:rsidRPr="007267F5">
        <w:t>‘Anti-Slavery correspondence of William Wilberforce and Other). Liverpool, Liverpool National Museums Liverpool: Maritime Archives and Library, D/CR/4/1-5.</w:t>
      </w:r>
    </w:p>
    <w:p w14:paraId="6FB6A3B2" w14:textId="77777777" w:rsidR="00335014" w:rsidRDefault="00335014" w:rsidP="00335014">
      <w:r>
        <w:t>‘Letter by from William Wilberforce to an Unnamed Individual.’ London, The British Library, RP 8305/4.</w:t>
      </w:r>
    </w:p>
    <w:p w14:paraId="4CB2D089" w14:textId="6B4DC9A1" w:rsidR="00335014" w:rsidRDefault="00335014" w:rsidP="00335014">
      <w:r>
        <w:t>‘Letter from William Wilberforce to Fitzwilliam 5th May 1802.’ Sheffield, Sheffield City Archives, WWM/F/51/9.</w:t>
      </w:r>
      <w:r w:rsidR="00A15DC1">
        <w:t xml:space="preserve">  </w:t>
      </w:r>
    </w:p>
    <w:p w14:paraId="30BBF257" w14:textId="77777777" w:rsidR="00335014" w:rsidRDefault="00335014" w:rsidP="0074702A">
      <w:pPr>
        <w:pStyle w:val="NoSpacing"/>
        <w:rPr>
          <w:rFonts w:asciiTheme="majorHAnsi" w:hAnsiTheme="majorHAnsi" w:cstheme="majorHAnsi"/>
          <w:b/>
          <w:bCs/>
          <w:sz w:val="24"/>
          <w:szCs w:val="24"/>
        </w:rPr>
      </w:pPr>
    </w:p>
    <w:p w14:paraId="5CF865B2" w14:textId="1B413C88" w:rsidR="0074702A" w:rsidRPr="00335014" w:rsidRDefault="0074702A" w:rsidP="0074702A">
      <w:pPr>
        <w:pStyle w:val="NoSpacing"/>
        <w:rPr>
          <w:rFonts w:asciiTheme="majorHAnsi" w:hAnsiTheme="majorHAnsi" w:cstheme="majorHAnsi"/>
          <w:b/>
          <w:bCs/>
          <w:sz w:val="32"/>
          <w:szCs w:val="32"/>
        </w:rPr>
      </w:pPr>
      <w:r w:rsidRPr="00335014">
        <w:rPr>
          <w:rFonts w:asciiTheme="majorHAnsi" w:hAnsiTheme="majorHAnsi" w:cstheme="majorHAnsi"/>
          <w:b/>
          <w:bCs/>
          <w:sz w:val="32"/>
          <w:szCs w:val="32"/>
        </w:rPr>
        <w:t xml:space="preserve">Secondary Sources </w:t>
      </w:r>
    </w:p>
    <w:p w14:paraId="34A9E18F" w14:textId="77777777" w:rsidR="00F767B2" w:rsidRDefault="00F767B2" w:rsidP="0074702A">
      <w:pPr>
        <w:pStyle w:val="NoSpacing"/>
        <w:rPr>
          <w:rFonts w:asciiTheme="majorHAnsi" w:hAnsiTheme="majorHAnsi" w:cstheme="majorHAnsi"/>
          <w:sz w:val="24"/>
          <w:szCs w:val="24"/>
        </w:rPr>
      </w:pPr>
    </w:p>
    <w:p w14:paraId="46C41130" w14:textId="4CB41C2E" w:rsidR="00F767B2" w:rsidRDefault="00F767B2" w:rsidP="0074702A">
      <w:pPr>
        <w:pStyle w:val="NoSpacing"/>
        <w:rPr>
          <w:rFonts w:asciiTheme="majorHAnsi" w:hAnsiTheme="majorHAnsi" w:cstheme="majorHAnsi"/>
          <w:sz w:val="24"/>
          <w:szCs w:val="24"/>
        </w:rPr>
      </w:pPr>
      <w:r>
        <w:rPr>
          <w:rFonts w:asciiTheme="majorHAnsi" w:hAnsiTheme="majorHAnsi" w:cstheme="majorHAnsi"/>
          <w:sz w:val="24"/>
          <w:szCs w:val="24"/>
        </w:rPr>
        <w:t>D</w:t>
      </w:r>
      <w:r w:rsidRPr="0074702A">
        <w:rPr>
          <w:rFonts w:asciiTheme="majorHAnsi" w:hAnsiTheme="majorHAnsi" w:cstheme="majorHAnsi"/>
          <w:sz w:val="24"/>
          <w:szCs w:val="24"/>
        </w:rPr>
        <w:t xml:space="preserve">uke University Libraries Repository and Collection Services, </w:t>
      </w:r>
      <w:r w:rsidRPr="0074702A">
        <w:rPr>
          <w:rFonts w:asciiTheme="majorHAnsi" w:hAnsiTheme="majorHAnsi" w:cstheme="majorHAnsi"/>
          <w:i/>
          <w:iCs/>
          <w:sz w:val="24"/>
          <w:szCs w:val="24"/>
        </w:rPr>
        <w:t>William Wilberforce Papers, 1782-1837 and Undated 2020</w:t>
      </w:r>
      <w:r w:rsidRPr="0074702A">
        <w:rPr>
          <w:rFonts w:asciiTheme="majorHAnsi" w:hAnsiTheme="majorHAnsi" w:cstheme="majorHAnsi"/>
          <w:sz w:val="24"/>
          <w:szCs w:val="24"/>
        </w:rPr>
        <w:t xml:space="preserve"> &lt; https://repository.duke.edu/dc/wilberf&gt; [Accessed: 12th November 2020].</w:t>
      </w:r>
    </w:p>
    <w:p w14:paraId="6B02D337" w14:textId="77777777" w:rsidR="00F767B2" w:rsidRDefault="00F767B2" w:rsidP="0074702A">
      <w:pPr>
        <w:pStyle w:val="NoSpacing"/>
        <w:rPr>
          <w:rFonts w:asciiTheme="majorHAnsi" w:hAnsiTheme="majorHAnsi" w:cstheme="majorHAnsi"/>
          <w:sz w:val="24"/>
          <w:szCs w:val="24"/>
        </w:rPr>
      </w:pPr>
    </w:p>
    <w:p w14:paraId="6AD43846" w14:textId="6B27A571" w:rsidR="00F767B2" w:rsidRDefault="00F767B2" w:rsidP="0074702A">
      <w:pPr>
        <w:pStyle w:val="NoSpacing"/>
        <w:rPr>
          <w:rFonts w:asciiTheme="majorHAnsi" w:hAnsiTheme="majorHAnsi" w:cstheme="majorHAnsi"/>
          <w:sz w:val="24"/>
          <w:szCs w:val="24"/>
        </w:rPr>
      </w:pPr>
      <w:r w:rsidRPr="0074702A">
        <w:rPr>
          <w:rFonts w:asciiTheme="majorHAnsi" w:hAnsiTheme="majorHAnsi" w:cstheme="majorHAnsi"/>
          <w:sz w:val="24"/>
          <w:szCs w:val="24"/>
        </w:rPr>
        <w:t xml:space="preserve">Jisc, </w:t>
      </w:r>
      <w:r w:rsidRPr="0074702A">
        <w:rPr>
          <w:rFonts w:asciiTheme="majorHAnsi" w:hAnsiTheme="majorHAnsi" w:cstheme="majorHAnsi"/>
          <w:i/>
          <w:iCs/>
          <w:sz w:val="24"/>
          <w:szCs w:val="24"/>
        </w:rPr>
        <w:t>Archive Hub</w:t>
      </w:r>
      <w:r w:rsidRPr="0074702A">
        <w:rPr>
          <w:rFonts w:asciiTheme="majorHAnsi" w:hAnsiTheme="majorHAnsi" w:cstheme="majorHAnsi"/>
          <w:sz w:val="24"/>
          <w:szCs w:val="24"/>
        </w:rPr>
        <w:t xml:space="preserve"> (2020) &lt; https://archiveshub.jisc.ac.uk/&gt; [12th November 2020]</w:t>
      </w:r>
    </w:p>
    <w:p w14:paraId="1C4C83E2" w14:textId="77777777" w:rsidR="00F767B2" w:rsidRDefault="00F767B2" w:rsidP="0074702A">
      <w:pPr>
        <w:pStyle w:val="NoSpacing"/>
        <w:rPr>
          <w:rFonts w:asciiTheme="majorHAnsi" w:hAnsiTheme="majorHAnsi" w:cstheme="majorHAnsi"/>
          <w:sz w:val="24"/>
          <w:szCs w:val="24"/>
        </w:rPr>
      </w:pPr>
    </w:p>
    <w:p w14:paraId="6A7FCD76" w14:textId="666DC5DC" w:rsidR="00F767B2" w:rsidRDefault="00F767B2" w:rsidP="0074702A">
      <w:pPr>
        <w:pStyle w:val="NoSpacing"/>
        <w:rPr>
          <w:rFonts w:asciiTheme="majorHAnsi" w:hAnsiTheme="majorHAnsi" w:cstheme="majorHAnsi"/>
          <w:sz w:val="24"/>
          <w:szCs w:val="24"/>
        </w:rPr>
      </w:pPr>
      <w:r w:rsidRPr="0074702A">
        <w:rPr>
          <w:rFonts w:asciiTheme="majorHAnsi" w:hAnsiTheme="majorHAnsi" w:cstheme="majorHAnsi"/>
          <w:sz w:val="24"/>
          <w:szCs w:val="24"/>
        </w:rPr>
        <w:t xml:space="preserve">Jisc, </w:t>
      </w:r>
      <w:r w:rsidRPr="0074702A">
        <w:rPr>
          <w:rFonts w:asciiTheme="majorHAnsi" w:hAnsiTheme="majorHAnsi" w:cstheme="majorHAnsi"/>
          <w:i/>
          <w:iCs/>
          <w:sz w:val="24"/>
          <w:szCs w:val="24"/>
        </w:rPr>
        <w:t>Paper.</w:t>
      </w:r>
      <w:r w:rsidRPr="0074702A">
        <w:rPr>
          <w:rFonts w:asciiTheme="majorHAnsi" w:hAnsiTheme="majorHAnsi" w:cstheme="majorHAnsi"/>
          <w:sz w:val="24"/>
          <w:szCs w:val="24"/>
        </w:rPr>
        <w:t xml:space="preserve"> </w:t>
      </w:r>
      <w:r w:rsidRPr="0074702A">
        <w:rPr>
          <w:rFonts w:asciiTheme="majorHAnsi" w:hAnsiTheme="majorHAnsi" w:cstheme="majorHAnsi"/>
          <w:i/>
          <w:iCs/>
          <w:sz w:val="24"/>
          <w:szCs w:val="24"/>
        </w:rPr>
        <w:t>Draft and final copy, 'William Wilberforce', by John Saville</w:t>
      </w:r>
      <w:r w:rsidRPr="0074702A">
        <w:rPr>
          <w:rFonts w:asciiTheme="majorHAnsi" w:hAnsiTheme="majorHAnsi" w:cstheme="majorHAnsi"/>
          <w:sz w:val="24"/>
          <w:szCs w:val="24"/>
        </w:rPr>
        <w:t xml:space="preserve"> (2020) &lt; </w:t>
      </w:r>
      <w:hyperlink r:id="rId8" w:history="1">
        <w:r w:rsidRPr="0074702A">
          <w:rPr>
            <w:rStyle w:val="Hyperlink"/>
            <w:rFonts w:asciiTheme="majorHAnsi" w:hAnsiTheme="majorHAnsi" w:cstheme="majorHAnsi"/>
            <w:sz w:val="24"/>
            <w:szCs w:val="24"/>
          </w:rPr>
          <w:t>https://archiveshub.jisc.ac.uk/</w:t>
        </w:r>
      </w:hyperlink>
      <w:r w:rsidRPr="0074702A">
        <w:rPr>
          <w:rFonts w:asciiTheme="majorHAnsi" w:hAnsiTheme="majorHAnsi" w:cstheme="majorHAnsi"/>
          <w:sz w:val="24"/>
          <w:szCs w:val="24"/>
        </w:rPr>
        <w:t xml:space="preserve"> &gt; [12th November 2020].</w:t>
      </w:r>
    </w:p>
    <w:p w14:paraId="56C7E2A7" w14:textId="77777777" w:rsidR="00F767B2" w:rsidRDefault="00F767B2" w:rsidP="0074702A">
      <w:pPr>
        <w:pStyle w:val="NoSpacing"/>
        <w:rPr>
          <w:rFonts w:asciiTheme="majorHAnsi" w:hAnsiTheme="majorHAnsi" w:cstheme="majorHAnsi"/>
          <w:sz w:val="24"/>
          <w:szCs w:val="24"/>
        </w:rPr>
      </w:pPr>
    </w:p>
    <w:p w14:paraId="43FA27C5" w14:textId="3E6C2B5A" w:rsidR="00F767B2" w:rsidRDefault="00F767B2" w:rsidP="0074702A">
      <w:pPr>
        <w:pStyle w:val="NoSpacing"/>
        <w:rPr>
          <w:rFonts w:asciiTheme="majorHAnsi" w:hAnsiTheme="majorHAnsi" w:cstheme="majorHAnsi"/>
          <w:sz w:val="24"/>
          <w:szCs w:val="24"/>
        </w:rPr>
      </w:pPr>
      <w:r w:rsidRPr="0074702A">
        <w:rPr>
          <w:rFonts w:asciiTheme="majorHAnsi" w:hAnsiTheme="majorHAnsi" w:cstheme="majorHAnsi"/>
          <w:sz w:val="24"/>
          <w:szCs w:val="24"/>
        </w:rPr>
        <w:lastRenderedPageBreak/>
        <w:t xml:space="preserve">The National Archives, </w:t>
      </w:r>
      <w:r w:rsidRPr="0074702A">
        <w:rPr>
          <w:rFonts w:asciiTheme="majorHAnsi" w:hAnsiTheme="majorHAnsi" w:cstheme="majorHAnsi"/>
          <w:i/>
          <w:iCs/>
          <w:sz w:val="24"/>
          <w:szCs w:val="24"/>
        </w:rPr>
        <w:t>Discovery: The National Archives</w:t>
      </w:r>
      <w:r w:rsidRPr="0074702A">
        <w:rPr>
          <w:rFonts w:asciiTheme="majorHAnsi" w:hAnsiTheme="majorHAnsi" w:cstheme="majorHAnsi"/>
          <w:sz w:val="24"/>
          <w:szCs w:val="24"/>
        </w:rPr>
        <w:t xml:space="preserve"> (2020) https://uwtsd.ac.uk/media/uwtsd-website/content-assets/documents/library-and-learning-resources/infoskills/MHRA-eng_v.1.2.pdf. [Accessed: 12th November 2020].</w:t>
      </w:r>
      <w:r>
        <w:rPr>
          <w:rFonts w:asciiTheme="majorHAnsi" w:hAnsiTheme="majorHAnsi" w:cstheme="majorHAnsi"/>
          <w:sz w:val="24"/>
          <w:szCs w:val="24"/>
        </w:rPr>
        <w:t xml:space="preserve"> </w:t>
      </w:r>
    </w:p>
    <w:p w14:paraId="6A013DFE" w14:textId="77777777" w:rsidR="00F767B2" w:rsidRDefault="00F767B2" w:rsidP="0074702A">
      <w:pPr>
        <w:pStyle w:val="NoSpacing"/>
        <w:rPr>
          <w:rFonts w:asciiTheme="majorHAnsi" w:hAnsiTheme="majorHAnsi" w:cstheme="majorHAnsi"/>
          <w:sz w:val="24"/>
          <w:szCs w:val="24"/>
        </w:rPr>
      </w:pPr>
    </w:p>
    <w:p w14:paraId="6ED48CBA" w14:textId="51A524AE" w:rsidR="00F767B2" w:rsidRDefault="00F767B2" w:rsidP="0074702A">
      <w:pPr>
        <w:pStyle w:val="NoSpacing"/>
        <w:rPr>
          <w:rFonts w:asciiTheme="majorHAnsi" w:hAnsiTheme="majorHAnsi" w:cstheme="majorHAnsi"/>
          <w:sz w:val="24"/>
          <w:szCs w:val="24"/>
        </w:rPr>
      </w:pPr>
      <w:r w:rsidRPr="0074702A">
        <w:rPr>
          <w:rFonts w:asciiTheme="majorHAnsi" w:hAnsiTheme="majorHAnsi" w:cstheme="majorHAnsi"/>
          <w:sz w:val="24"/>
          <w:szCs w:val="24"/>
        </w:rPr>
        <w:t xml:space="preserve">The National Archives, </w:t>
      </w:r>
      <w:r w:rsidRPr="00F767B2">
        <w:rPr>
          <w:rFonts w:asciiTheme="majorHAnsi" w:hAnsiTheme="majorHAnsi" w:cstheme="majorHAnsi"/>
          <w:i/>
          <w:iCs/>
          <w:sz w:val="24"/>
          <w:szCs w:val="24"/>
        </w:rPr>
        <w:t>W Wilberforce to Lord Chatham offering to serve in any useful capacity during the...</w:t>
      </w:r>
      <w:r w:rsidRPr="0074702A">
        <w:rPr>
          <w:rFonts w:asciiTheme="majorHAnsi" w:hAnsiTheme="majorHAnsi" w:cstheme="majorHAnsi"/>
          <w:sz w:val="24"/>
          <w:szCs w:val="24"/>
        </w:rPr>
        <w:t xml:space="preserve"> (2020) &lt; </w:t>
      </w:r>
      <w:hyperlink r:id="rId9" w:history="1">
        <w:r w:rsidRPr="0074702A">
          <w:rPr>
            <w:rStyle w:val="Hyperlink"/>
            <w:rFonts w:asciiTheme="majorHAnsi" w:hAnsiTheme="majorHAnsi" w:cstheme="majorHAnsi"/>
            <w:sz w:val="24"/>
            <w:szCs w:val="24"/>
          </w:rPr>
          <w:t>https://discovery.nationalarchives.gov.uk/details/r/C2138003</w:t>
        </w:r>
      </w:hyperlink>
      <w:r w:rsidRPr="0074702A">
        <w:rPr>
          <w:rFonts w:asciiTheme="majorHAnsi" w:hAnsiTheme="majorHAnsi" w:cstheme="majorHAnsi"/>
          <w:sz w:val="24"/>
          <w:szCs w:val="24"/>
        </w:rPr>
        <w:t>&gt; [Accessed: 12</w:t>
      </w:r>
      <w:r w:rsidRPr="0074702A">
        <w:rPr>
          <w:rFonts w:asciiTheme="majorHAnsi" w:hAnsiTheme="majorHAnsi" w:cstheme="majorHAnsi"/>
          <w:sz w:val="24"/>
          <w:szCs w:val="24"/>
          <w:vertAlign w:val="superscript"/>
        </w:rPr>
        <w:t>th</w:t>
      </w:r>
      <w:r w:rsidRPr="0074702A">
        <w:rPr>
          <w:rFonts w:asciiTheme="majorHAnsi" w:hAnsiTheme="majorHAnsi" w:cstheme="majorHAnsi"/>
          <w:sz w:val="24"/>
          <w:szCs w:val="24"/>
        </w:rPr>
        <w:t xml:space="preserve"> November 2020].</w:t>
      </w:r>
      <w:r w:rsidR="00523456">
        <w:rPr>
          <w:rFonts w:asciiTheme="majorHAnsi" w:hAnsiTheme="majorHAnsi" w:cstheme="majorHAnsi"/>
          <w:sz w:val="24"/>
          <w:szCs w:val="24"/>
        </w:rPr>
        <w:t xml:space="preserve">   </w:t>
      </w:r>
    </w:p>
    <w:p w14:paraId="264CA52F" w14:textId="11DC3A78" w:rsidR="00F767B2" w:rsidRDefault="00523456" w:rsidP="0074702A">
      <w:pPr>
        <w:pStyle w:val="NoSpacing"/>
        <w:rPr>
          <w:rFonts w:asciiTheme="majorHAnsi" w:hAnsiTheme="majorHAnsi" w:cstheme="majorHAnsi"/>
          <w:sz w:val="24"/>
          <w:szCs w:val="24"/>
        </w:rPr>
      </w:pPr>
      <w:r>
        <w:rPr>
          <w:rFonts w:asciiTheme="majorHAnsi" w:hAnsiTheme="majorHAnsi" w:cstheme="majorHAnsi"/>
          <w:sz w:val="24"/>
          <w:szCs w:val="24"/>
        </w:rPr>
        <w:t xml:space="preserve"> </w:t>
      </w:r>
    </w:p>
    <w:p w14:paraId="0A2DC41E" w14:textId="18C97823" w:rsidR="0074702A" w:rsidRDefault="0074702A" w:rsidP="0074702A">
      <w:pPr>
        <w:pStyle w:val="NoSpacing"/>
        <w:rPr>
          <w:rFonts w:asciiTheme="majorHAnsi" w:hAnsiTheme="majorHAnsi" w:cstheme="majorHAnsi"/>
          <w:sz w:val="24"/>
          <w:szCs w:val="24"/>
        </w:rPr>
      </w:pPr>
    </w:p>
    <w:p w14:paraId="041283E7" w14:textId="77777777" w:rsidR="0074702A" w:rsidRPr="0074702A" w:rsidRDefault="0074702A" w:rsidP="0074702A">
      <w:pPr>
        <w:pStyle w:val="NoSpacing"/>
        <w:rPr>
          <w:rFonts w:asciiTheme="majorHAnsi" w:hAnsiTheme="majorHAnsi" w:cstheme="majorHAnsi"/>
          <w:sz w:val="24"/>
          <w:szCs w:val="24"/>
        </w:rPr>
      </w:pPr>
    </w:p>
    <w:p w14:paraId="05B620A4" w14:textId="77777777" w:rsidR="0074702A" w:rsidRDefault="0074702A" w:rsidP="0074702A">
      <w:pPr>
        <w:pStyle w:val="NoSpacing"/>
        <w:rPr>
          <w:rFonts w:asciiTheme="majorHAnsi" w:hAnsiTheme="majorHAnsi" w:cstheme="majorHAnsi"/>
          <w:sz w:val="28"/>
          <w:szCs w:val="28"/>
        </w:rPr>
      </w:pPr>
    </w:p>
    <w:p w14:paraId="1ACF1A7F" w14:textId="77777777" w:rsidR="0074702A" w:rsidRPr="0074702A" w:rsidRDefault="0074702A" w:rsidP="0074702A">
      <w:pPr>
        <w:pStyle w:val="NoSpacing"/>
        <w:rPr>
          <w:rFonts w:asciiTheme="majorHAnsi" w:hAnsiTheme="majorHAnsi" w:cstheme="majorHAnsi"/>
          <w:sz w:val="28"/>
          <w:szCs w:val="28"/>
        </w:rPr>
      </w:pPr>
    </w:p>
    <w:sectPr w:rsidR="0074702A" w:rsidRPr="007470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AA56C" w14:textId="77777777" w:rsidR="00054497" w:rsidRDefault="00054497" w:rsidP="00F85201">
      <w:pPr>
        <w:spacing w:after="0" w:line="240" w:lineRule="auto"/>
      </w:pPr>
      <w:r>
        <w:separator/>
      </w:r>
    </w:p>
  </w:endnote>
  <w:endnote w:type="continuationSeparator" w:id="0">
    <w:p w14:paraId="594DFA0B" w14:textId="77777777" w:rsidR="00054497" w:rsidRDefault="00054497" w:rsidP="00F85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3ACE52" w14:textId="77777777" w:rsidR="00054497" w:rsidRDefault="00054497" w:rsidP="00F85201">
      <w:pPr>
        <w:spacing w:after="0" w:line="240" w:lineRule="auto"/>
      </w:pPr>
      <w:r>
        <w:separator/>
      </w:r>
    </w:p>
  </w:footnote>
  <w:footnote w:type="continuationSeparator" w:id="0">
    <w:p w14:paraId="6E61F935" w14:textId="77777777" w:rsidR="00054497" w:rsidRDefault="00054497" w:rsidP="00F85201">
      <w:pPr>
        <w:spacing w:after="0" w:line="240" w:lineRule="auto"/>
      </w:pPr>
      <w:r>
        <w:continuationSeparator/>
      </w:r>
    </w:p>
  </w:footnote>
  <w:footnote w:id="1">
    <w:p w14:paraId="5AF5EC04" w14:textId="0D26B00A" w:rsidR="00F85201" w:rsidRPr="0099773E" w:rsidRDefault="00F85201">
      <w:pPr>
        <w:pStyle w:val="FootnoteText"/>
      </w:pPr>
      <w:r>
        <w:rPr>
          <w:rStyle w:val="FootnoteReference"/>
        </w:rPr>
        <w:footnoteRef/>
      </w:r>
      <w:r>
        <w:t xml:space="preserve"> </w:t>
      </w:r>
      <w:bookmarkStart w:id="6" w:name="_Hlk56089476"/>
      <w:r w:rsidR="0099773E">
        <w:t xml:space="preserve">The National Archives, </w:t>
      </w:r>
      <w:r w:rsidR="0099773E">
        <w:rPr>
          <w:i/>
          <w:iCs/>
        </w:rPr>
        <w:t xml:space="preserve">Discovery: The National </w:t>
      </w:r>
      <w:r w:rsidR="00C61EE1">
        <w:rPr>
          <w:i/>
          <w:iCs/>
        </w:rPr>
        <w:t>Archives</w:t>
      </w:r>
      <w:r w:rsidR="00C61EE1">
        <w:t xml:space="preserve"> (</w:t>
      </w:r>
      <w:r w:rsidR="0099773E">
        <w:t xml:space="preserve">2020) </w:t>
      </w:r>
      <w:hyperlink r:id="rId1" w:history="1">
        <w:r w:rsidR="0089434A" w:rsidRPr="008E51A8">
          <w:rPr>
            <w:rStyle w:val="Hyperlink"/>
          </w:rPr>
          <w:t>https://uwtsd.ac.uk/media/uwtsd-website/content-assets/documents/library-and-learning-resources/infoskills/MHRA-eng_v.1.2.pdf</w:t>
        </w:r>
      </w:hyperlink>
      <w:r w:rsidR="0089434A">
        <w:t xml:space="preserve"> .</w:t>
      </w:r>
      <w:r w:rsidR="0099773E">
        <w:t xml:space="preserve"> [Accessed: 12</w:t>
      </w:r>
      <w:r w:rsidR="0099773E" w:rsidRPr="0099773E">
        <w:rPr>
          <w:vertAlign w:val="superscript"/>
        </w:rPr>
        <w:t>th</w:t>
      </w:r>
      <w:r w:rsidR="0099773E">
        <w:t xml:space="preserve"> November 2020]. </w:t>
      </w:r>
      <w:bookmarkEnd w:id="6"/>
    </w:p>
  </w:footnote>
  <w:footnote w:id="2">
    <w:p w14:paraId="2022F74B" w14:textId="60F8A77D" w:rsidR="00F85201" w:rsidRDefault="00F85201">
      <w:pPr>
        <w:pStyle w:val="FootnoteText"/>
      </w:pPr>
      <w:r>
        <w:rPr>
          <w:rStyle w:val="FootnoteReference"/>
        </w:rPr>
        <w:footnoteRef/>
      </w:r>
      <w:r>
        <w:t xml:space="preserve"> </w:t>
      </w:r>
      <w:bookmarkStart w:id="7" w:name="_Hlk56086946"/>
      <w:r w:rsidR="0099773E">
        <w:t>The National Archives, 2020.</w:t>
      </w:r>
      <w:bookmarkEnd w:id="7"/>
    </w:p>
  </w:footnote>
  <w:footnote w:id="3">
    <w:p w14:paraId="6833A5E1" w14:textId="203000B1" w:rsidR="00F85201" w:rsidRDefault="00F85201">
      <w:pPr>
        <w:pStyle w:val="FootnoteText"/>
      </w:pPr>
      <w:r>
        <w:rPr>
          <w:rStyle w:val="FootnoteReference"/>
        </w:rPr>
        <w:footnoteRef/>
      </w:r>
      <w:r>
        <w:t xml:space="preserve"> </w:t>
      </w:r>
      <w:r w:rsidR="0099773E" w:rsidRPr="0099773E">
        <w:t>The National Archives, 2020.</w:t>
      </w:r>
      <w:r w:rsidR="0099773E">
        <w:t xml:space="preserve"> </w:t>
      </w:r>
    </w:p>
  </w:footnote>
  <w:footnote w:id="4">
    <w:p w14:paraId="5BC80FAE" w14:textId="6AC81C35" w:rsidR="00F85201" w:rsidRPr="0099773E" w:rsidRDefault="00F85201">
      <w:pPr>
        <w:pStyle w:val="FootnoteText"/>
      </w:pPr>
      <w:r>
        <w:rPr>
          <w:rStyle w:val="FootnoteReference"/>
        </w:rPr>
        <w:footnoteRef/>
      </w:r>
      <w:r>
        <w:t xml:space="preserve"> </w:t>
      </w:r>
      <w:bookmarkStart w:id="8" w:name="_Hlk56087986"/>
      <w:r w:rsidR="0099773E">
        <w:t xml:space="preserve">Jisc, </w:t>
      </w:r>
      <w:r w:rsidR="0099773E">
        <w:rPr>
          <w:i/>
          <w:iCs/>
        </w:rPr>
        <w:t>Archive Hub</w:t>
      </w:r>
      <w:r w:rsidR="0099773E">
        <w:t xml:space="preserve"> </w:t>
      </w:r>
      <w:r w:rsidR="00C61EE1">
        <w:t xml:space="preserve">(2020) &lt; </w:t>
      </w:r>
      <w:hyperlink r:id="rId2" w:history="1">
        <w:r w:rsidR="00C61EE1" w:rsidRPr="008E51A8">
          <w:rPr>
            <w:rStyle w:val="Hyperlink"/>
          </w:rPr>
          <w:t>https://archiveshub.jisc.ac.uk/</w:t>
        </w:r>
      </w:hyperlink>
      <w:r w:rsidR="00C61EE1">
        <w:t>&gt; [12</w:t>
      </w:r>
      <w:r w:rsidR="00C61EE1" w:rsidRPr="00C61EE1">
        <w:rPr>
          <w:vertAlign w:val="superscript"/>
        </w:rPr>
        <w:t>th</w:t>
      </w:r>
      <w:r w:rsidR="00C61EE1">
        <w:t xml:space="preserve"> November 2020] </w:t>
      </w:r>
      <w:bookmarkEnd w:id="8"/>
    </w:p>
  </w:footnote>
  <w:footnote w:id="5">
    <w:p w14:paraId="0FCA9B61" w14:textId="07579DB0" w:rsidR="00F85201" w:rsidRPr="00C61EE1" w:rsidRDefault="00F85201">
      <w:pPr>
        <w:pStyle w:val="FootnoteText"/>
      </w:pPr>
      <w:r>
        <w:rPr>
          <w:rStyle w:val="FootnoteReference"/>
        </w:rPr>
        <w:footnoteRef/>
      </w:r>
      <w:bookmarkStart w:id="12" w:name="_Hlk56087660"/>
      <w:r>
        <w:t xml:space="preserve"> </w:t>
      </w:r>
      <w:r w:rsidR="00335014" w:rsidRPr="00335014">
        <w:t xml:space="preserve">‘William Wilberforce letter, 6 August 1782.’ </w:t>
      </w:r>
      <w:r w:rsidR="00C61EE1" w:rsidRPr="00C61EE1">
        <w:t>Durham, North Carolina, David M. Rubenstein Rare Book &amp; Manuscript Library, duke:443225</w:t>
      </w:r>
      <w:r w:rsidR="00C61EE1">
        <w:t xml:space="preserve">; Duke University </w:t>
      </w:r>
      <w:bookmarkEnd w:id="12"/>
      <w:r w:rsidR="00C61EE1">
        <w:t xml:space="preserve">Libraries Repository and Collection Services, </w:t>
      </w:r>
      <w:r w:rsidR="00C61EE1" w:rsidRPr="00C61EE1">
        <w:rPr>
          <w:i/>
          <w:iCs/>
        </w:rPr>
        <w:t xml:space="preserve">William Wilberforce Papers, 1782-1837 and </w:t>
      </w:r>
      <w:r w:rsidR="00C61EE1">
        <w:rPr>
          <w:i/>
          <w:iCs/>
        </w:rPr>
        <w:t>U</w:t>
      </w:r>
      <w:r w:rsidR="00C61EE1" w:rsidRPr="00C61EE1">
        <w:rPr>
          <w:i/>
          <w:iCs/>
        </w:rPr>
        <w:t>ndated</w:t>
      </w:r>
      <w:r w:rsidR="00C61EE1">
        <w:rPr>
          <w:i/>
          <w:iCs/>
        </w:rPr>
        <w:t xml:space="preserve"> </w:t>
      </w:r>
      <w:r w:rsidR="00C61EE1">
        <w:t>2020 &lt;</w:t>
      </w:r>
      <w:r w:rsidR="00C61EE1" w:rsidRPr="00C61EE1">
        <w:t xml:space="preserve"> </w:t>
      </w:r>
      <w:hyperlink r:id="rId3" w:history="1">
        <w:r w:rsidR="00C61EE1" w:rsidRPr="008E51A8">
          <w:rPr>
            <w:rStyle w:val="Hyperlink"/>
          </w:rPr>
          <w:t>https://repository.duke.edu/dc/wilberf</w:t>
        </w:r>
      </w:hyperlink>
      <w:r w:rsidR="00C61EE1">
        <w:t>&gt; [Accessed: 12</w:t>
      </w:r>
      <w:r w:rsidR="00C61EE1" w:rsidRPr="00C61EE1">
        <w:rPr>
          <w:vertAlign w:val="superscript"/>
        </w:rPr>
        <w:t>th</w:t>
      </w:r>
      <w:r w:rsidR="00C61EE1">
        <w:t xml:space="preserve"> November 2020].</w:t>
      </w:r>
    </w:p>
  </w:footnote>
  <w:footnote w:id="6">
    <w:p w14:paraId="725C6C8D" w14:textId="7B2C6E41" w:rsidR="00F85201" w:rsidRDefault="00F85201">
      <w:pPr>
        <w:pStyle w:val="FootnoteText"/>
      </w:pPr>
      <w:r>
        <w:rPr>
          <w:rStyle w:val="FootnoteReference"/>
        </w:rPr>
        <w:footnoteRef/>
      </w:r>
      <w:r w:rsidR="00335014" w:rsidRPr="00335014">
        <w:t xml:space="preserve">‘William Wilberforce letter, 6 August 1782.’ </w:t>
      </w:r>
      <w:r>
        <w:t xml:space="preserve"> </w:t>
      </w:r>
      <w:bookmarkStart w:id="13" w:name="_Hlk56087903"/>
      <w:r w:rsidR="00C61EE1" w:rsidRPr="00C61EE1">
        <w:t>Durham, North Carolina, David M. Rubenstein Rare Book &amp; Manuscript Library, duke:443225</w:t>
      </w:r>
      <w:r w:rsidR="00C61EE1">
        <w:t>.</w:t>
      </w:r>
      <w:bookmarkEnd w:id="13"/>
    </w:p>
  </w:footnote>
  <w:footnote w:id="7">
    <w:p w14:paraId="55C0D216" w14:textId="7CC185DA" w:rsidR="00F85201" w:rsidRDefault="00F85201">
      <w:pPr>
        <w:pStyle w:val="FootnoteText"/>
      </w:pPr>
      <w:r>
        <w:rPr>
          <w:rStyle w:val="FootnoteReference"/>
        </w:rPr>
        <w:footnoteRef/>
      </w:r>
      <w:r>
        <w:t xml:space="preserve"> </w:t>
      </w:r>
      <w:r w:rsidR="00335014" w:rsidRPr="00335014">
        <w:t xml:space="preserve">‘William Wilberforce letter, 6 August 1782.’ </w:t>
      </w:r>
      <w:r w:rsidR="00C61EE1" w:rsidRPr="00C61EE1">
        <w:t>Durham, North Carolina, David M. Rubenstein Rare Book &amp; Manuscript Library, duke:443225</w:t>
      </w:r>
      <w:r w:rsidR="00C61EE1">
        <w:t>.</w:t>
      </w:r>
    </w:p>
  </w:footnote>
  <w:footnote w:id="8">
    <w:p w14:paraId="00669444" w14:textId="2E0DE5EE" w:rsidR="00F85201" w:rsidRDefault="00F85201">
      <w:pPr>
        <w:pStyle w:val="FootnoteText"/>
      </w:pPr>
      <w:r>
        <w:rPr>
          <w:rStyle w:val="FootnoteReference"/>
        </w:rPr>
        <w:footnoteRef/>
      </w:r>
      <w:r>
        <w:t xml:space="preserve"> </w:t>
      </w:r>
      <w:bookmarkStart w:id="17" w:name="_Hlk56281505"/>
      <w:bookmarkStart w:id="18" w:name="_Hlk56087808"/>
      <w:r w:rsidR="00335014" w:rsidRPr="00335014">
        <w:t xml:space="preserve">‘William Wilberforce Papers, 1782-1837 and Undated.’ </w:t>
      </w:r>
      <w:bookmarkEnd w:id="17"/>
      <w:r w:rsidR="0088324A" w:rsidRPr="0088324A">
        <w:t xml:space="preserve">Durham, North Carolina, David M, Rubenstein Rare Book &amp; Manuscript Library, RL.01381. </w:t>
      </w:r>
      <w:bookmarkEnd w:id="18"/>
      <w:r w:rsidR="0088324A" w:rsidRPr="0088324A">
        <w:t xml:space="preserve">Available at: </w:t>
      </w:r>
      <w:hyperlink r:id="rId4" w:history="1">
        <w:r w:rsidR="0088324A" w:rsidRPr="008E51A8">
          <w:rPr>
            <w:rStyle w:val="Hyperlink"/>
          </w:rPr>
          <w:t>https://repository.duke.edu/dc/wilberf</w:t>
        </w:r>
      </w:hyperlink>
      <w:r w:rsidR="0088324A" w:rsidRPr="0088324A">
        <w:t>.</w:t>
      </w:r>
      <w:r w:rsidR="0088324A">
        <w:t xml:space="preserve"> </w:t>
      </w:r>
      <w:r w:rsidR="0088324A" w:rsidRPr="0088324A">
        <w:t>(Accessed: 23rd November 2020).</w:t>
      </w:r>
    </w:p>
  </w:footnote>
  <w:footnote w:id="9">
    <w:p w14:paraId="0D69AA5C" w14:textId="12B3E396" w:rsidR="00F85201" w:rsidRDefault="00F85201">
      <w:pPr>
        <w:pStyle w:val="FootnoteText"/>
      </w:pPr>
      <w:r>
        <w:rPr>
          <w:rStyle w:val="FootnoteReference"/>
        </w:rPr>
        <w:footnoteRef/>
      </w:r>
      <w:r>
        <w:t xml:space="preserve"> </w:t>
      </w:r>
      <w:r w:rsidR="00335014" w:rsidRPr="00335014">
        <w:t xml:space="preserve">‘William Wilberforce Papers, 1782-1837 and Undated.’ </w:t>
      </w:r>
      <w:r w:rsidR="0088324A" w:rsidRPr="0088324A">
        <w:t>Durham, North Carolina, David M, Rubenstein Rare Book &amp; Manuscript Library, RL.</w:t>
      </w:r>
      <w:r w:rsidR="00335014" w:rsidRPr="0088324A">
        <w:t>01381</w:t>
      </w:r>
      <w:r w:rsidR="00335014">
        <w:t>;</w:t>
      </w:r>
      <w:r w:rsidR="00335014" w:rsidRPr="00335014">
        <w:t xml:space="preserve"> </w:t>
      </w:r>
      <w:r w:rsidR="00335014">
        <w:t>‘</w:t>
      </w:r>
      <w:r w:rsidR="00335014" w:rsidRPr="00335014">
        <w:t xml:space="preserve">William Wilberforce letter, 6 August 1782.’ </w:t>
      </w:r>
      <w:r w:rsidR="0088324A" w:rsidRPr="0088324A">
        <w:t>Durham, North Carolina, David M. Rubenstein Rare Book &amp; Manuscript Library, duke:443225.</w:t>
      </w:r>
    </w:p>
  </w:footnote>
  <w:footnote w:id="10">
    <w:p w14:paraId="054E55EE" w14:textId="3C30F2B8" w:rsidR="00F85201" w:rsidRDefault="00F85201">
      <w:pPr>
        <w:pStyle w:val="FootnoteText"/>
      </w:pPr>
      <w:r>
        <w:rPr>
          <w:rStyle w:val="FootnoteReference"/>
        </w:rPr>
        <w:footnoteRef/>
      </w:r>
      <w:r>
        <w:t xml:space="preserve"> </w:t>
      </w:r>
      <w:r w:rsidR="00335014" w:rsidRPr="00335014">
        <w:t>‘William Wilberforce Papers, 1782-1837 and Undated.’ Durham, North Carolina, David M, Rubenstein Rare Book &amp; Manuscript Library, RL.01381. Available at: https://repository.duke.edu/dc/wilberf. (Accessed: 23rd November 2020).</w:t>
      </w:r>
    </w:p>
  </w:footnote>
  <w:footnote w:id="11">
    <w:p w14:paraId="1F19019F" w14:textId="7B09A285" w:rsidR="00F85201" w:rsidRDefault="00F85201">
      <w:pPr>
        <w:pStyle w:val="FootnoteText"/>
      </w:pPr>
      <w:r>
        <w:rPr>
          <w:rStyle w:val="FootnoteReference"/>
        </w:rPr>
        <w:footnoteRef/>
      </w:r>
      <w:r>
        <w:t xml:space="preserve"> </w:t>
      </w:r>
      <w:r w:rsidR="00077902" w:rsidRPr="00077902">
        <w:t xml:space="preserve">‘Paper. Draft and final copy, 'William Wilberforce', by John Saville.’ </w:t>
      </w:r>
      <w:r w:rsidR="0088324A" w:rsidRPr="0088324A">
        <w:t>Hull, Hull History Centre, DTO/11/21.</w:t>
      </w:r>
    </w:p>
  </w:footnote>
  <w:footnote w:id="12">
    <w:p w14:paraId="3D00A89D" w14:textId="33C292AE" w:rsidR="00F85201" w:rsidRDefault="00F85201">
      <w:pPr>
        <w:pStyle w:val="FootnoteText"/>
      </w:pPr>
      <w:r>
        <w:rPr>
          <w:rStyle w:val="FootnoteReference"/>
        </w:rPr>
        <w:footnoteRef/>
      </w:r>
      <w:r>
        <w:t xml:space="preserve"> </w:t>
      </w:r>
      <w:bookmarkStart w:id="21" w:name="_Hlk56088333"/>
      <w:r w:rsidR="0088324A" w:rsidRPr="0088324A">
        <w:t xml:space="preserve">Jisc, </w:t>
      </w:r>
      <w:r w:rsidR="0088324A" w:rsidRPr="0088324A">
        <w:rPr>
          <w:i/>
          <w:iCs/>
        </w:rPr>
        <w:t>Archive Hub</w:t>
      </w:r>
      <w:r w:rsidR="0088324A" w:rsidRPr="0088324A">
        <w:t xml:space="preserve"> (2020) &lt; </w:t>
      </w:r>
      <w:hyperlink r:id="rId5" w:history="1">
        <w:r w:rsidR="0088324A" w:rsidRPr="008E51A8">
          <w:rPr>
            <w:rStyle w:val="Hyperlink"/>
          </w:rPr>
          <w:t>https://archiveshub.jisc.ac.uk/</w:t>
        </w:r>
      </w:hyperlink>
      <w:r w:rsidR="0088324A">
        <w:t xml:space="preserve"> &gt;</w:t>
      </w:r>
      <w:r w:rsidR="0088324A" w:rsidRPr="0088324A">
        <w:t xml:space="preserve"> [12th November 2020]</w:t>
      </w:r>
      <w:r w:rsidR="0088324A">
        <w:t xml:space="preserve">. </w:t>
      </w:r>
      <w:bookmarkEnd w:id="21"/>
    </w:p>
  </w:footnote>
  <w:footnote w:id="13">
    <w:p w14:paraId="373FD016" w14:textId="1015EDD4" w:rsidR="00F85201" w:rsidRDefault="00F85201">
      <w:pPr>
        <w:pStyle w:val="FootnoteText"/>
      </w:pPr>
      <w:r>
        <w:rPr>
          <w:rStyle w:val="FootnoteReference"/>
        </w:rPr>
        <w:footnoteRef/>
      </w:r>
      <w:r>
        <w:t xml:space="preserve"> </w:t>
      </w:r>
      <w:bookmarkStart w:id="22" w:name="_Hlk56088437"/>
      <w:r w:rsidR="0000637D" w:rsidRPr="0000637D">
        <w:t xml:space="preserve">Jisc, </w:t>
      </w:r>
      <w:r w:rsidR="0000637D" w:rsidRPr="0000637D">
        <w:rPr>
          <w:i/>
          <w:iCs/>
        </w:rPr>
        <w:t>Paper.</w:t>
      </w:r>
      <w:r w:rsidR="0000637D" w:rsidRPr="0000637D">
        <w:t xml:space="preserve"> </w:t>
      </w:r>
      <w:r w:rsidR="0000637D" w:rsidRPr="0000637D">
        <w:rPr>
          <w:i/>
          <w:iCs/>
        </w:rPr>
        <w:t>Draft and final copy, 'William Wilberforce', by John Saville</w:t>
      </w:r>
      <w:r w:rsidR="0000637D" w:rsidRPr="0000637D">
        <w:t xml:space="preserve"> (2020) &lt; </w:t>
      </w:r>
      <w:hyperlink r:id="rId6" w:history="1">
        <w:r w:rsidR="0000637D" w:rsidRPr="008E51A8">
          <w:rPr>
            <w:rStyle w:val="Hyperlink"/>
          </w:rPr>
          <w:t>https://archiveshub.jisc.ac.uk/</w:t>
        </w:r>
      </w:hyperlink>
      <w:r w:rsidR="0000637D">
        <w:t xml:space="preserve"> </w:t>
      </w:r>
      <w:r w:rsidR="0000637D" w:rsidRPr="0000637D">
        <w:t>&gt; [12th November 2020].</w:t>
      </w:r>
      <w:bookmarkEnd w:id="22"/>
    </w:p>
  </w:footnote>
  <w:footnote w:id="14">
    <w:p w14:paraId="2B6DECB5" w14:textId="67A21DC2" w:rsidR="00F85201" w:rsidRDefault="00F85201">
      <w:pPr>
        <w:pStyle w:val="FootnoteText"/>
      </w:pPr>
      <w:r>
        <w:rPr>
          <w:rStyle w:val="FootnoteReference"/>
        </w:rPr>
        <w:footnoteRef/>
      </w:r>
      <w:r>
        <w:t xml:space="preserve"> </w:t>
      </w:r>
      <w:r w:rsidR="00335014" w:rsidRPr="00335014">
        <w:t xml:space="preserve">‘Paper. Draft and final copy, 'William Wilberforce', by John Saville.’ </w:t>
      </w:r>
      <w:r w:rsidR="0000637D" w:rsidRPr="0000637D">
        <w:t>Hull, Hull History Centre, DTO/11/21.</w:t>
      </w:r>
    </w:p>
  </w:footnote>
  <w:footnote w:id="15">
    <w:p w14:paraId="135C7EAB" w14:textId="77E1CD3F" w:rsidR="00F85201" w:rsidRDefault="00F85201">
      <w:pPr>
        <w:pStyle w:val="FootnoteText"/>
      </w:pPr>
      <w:r>
        <w:rPr>
          <w:rStyle w:val="FootnoteReference"/>
        </w:rPr>
        <w:footnoteRef/>
      </w:r>
      <w:r>
        <w:t xml:space="preserve"> </w:t>
      </w:r>
      <w:r w:rsidR="0000637D" w:rsidRPr="0000637D">
        <w:t>Jisc</w:t>
      </w:r>
      <w:r w:rsidR="0000637D" w:rsidRPr="0000637D">
        <w:rPr>
          <w:i/>
          <w:iCs/>
        </w:rPr>
        <w:t>, Paper. Draft and final copy, 'William Wilberforce', by John Saville</w:t>
      </w:r>
      <w:r w:rsidR="0000637D" w:rsidRPr="0000637D">
        <w:t xml:space="preserve"> (2020) &lt; </w:t>
      </w:r>
      <w:hyperlink r:id="rId7" w:history="1">
        <w:r w:rsidR="0000637D" w:rsidRPr="008E51A8">
          <w:rPr>
            <w:rStyle w:val="Hyperlink"/>
          </w:rPr>
          <w:t>https://archiveshub.jisc.ac.uk/</w:t>
        </w:r>
      </w:hyperlink>
      <w:r w:rsidR="0000637D">
        <w:t xml:space="preserve"> </w:t>
      </w:r>
      <w:r w:rsidR="0000637D" w:rsidRPr="0000637D">
        <w:t>&gt; [12th November 2020].</w:t>
      </w:r>
    </w:p>
  </w:footnote>
  <w:footnote w:id="16">
    <w:p w14:paraId="6CA39F2E" w14:textId="5587DA1C" w:rsidR="00F85201" w:rsidRDefault="00F85201">
      <w:pPr>
        <w:pStyle w:val="FootnoteText"/>
      </w:pPr>
      <w:r>
        <w:rPr>
          <w:rStyle w:val="FootnoteReference"/>
        </w:rPr>
        <w:footnoteRef/>
      </w:r>
      <w:r>
        <w:t xml:space="preserve"> </w:t>
      </w:r>
      <w:r w:rsidR="00077902" w:rsidRPr="00077902">
        <w:t xml:space="preserve">‘Correspondences of William Wilberforce regarding the Slave Trade, 1826-1838.’ </w:t>
      </w:r>
      <w:r w:rsidR="0000637D" w:rsidRPr="0000637D">
        <w:t>Hull, Wilberforce House and Georgian Houses, NRA 10757 Wilberforce House.</w:t>
      </w:r>
    </w:p>
  </w:footnote>
  <w:footnote w:id="17">
    <w:p w14:paraId="21938C35" w14:textId="1B324125" w:rsidR="00F85201" w:rsidRDefault="00F85201">
      <w:pPr>
        <w:pStyle w:val="FootnoteText"/>
      </w:pPr>
      <w:r>
        <w:rPr>
          <w:rStyle w:val="FootnoteReference"/>
        </w:rPr>
        <w:footnoteRef/>
      </w:r>
      <w:r>
        <w:t xml:space="preserve"> </w:t>
      </w:r>
      <w:r w:rsidR="00077902" w:rsidRPr="00077902">
        <w:t xml:space="preserve">‘Correspondences of William Wilberforce regarding the Slave Trade, 1826-1838.’ </w:t>
      </w:r>
      <w:r w:rsidR="0000637D" w:rsidRPr="0000637D">
        <w:t>Hull, Wilberforce House and Georgian Houses, NRA 10757 Wilberforce House.</w:t>
      </w:r>
    </w:p>
  </w:footnote>
  <w:footnote w:id="18">
    <w:p w14:paraId="392FDCFC" w14:textId="26F25158" w:rsidR="00F85201" w:rsidRDefault="00F85201">
      <w:pPr>
        <w:pStyle w:val="FootnoteText"/>
      </w:pPr>
      <w:r>
        <w:rPr>
          <w:rStyle w:val="FootnoteReference"/>
        </w:rPr>
        <w:footnoteRef/>
      </w:r>
      <w:r>
        <w:t xml:space="preserve"> </w:t>
      </w:r>
      <w:r w:rsidR="00077902" w:rsidRPr="00077902">
        <w:t xml:space="preserve">‘Correspondences of William Wilberforce regarding the Slave Trade, 1826-1838.’ </w:t>
      </w:r>
      <w:r w:rsidR="0000637D" w:rsidRPr="0000637D">
        <w:t>Hull, Wilberforce House and Georgian Houses, NRA 10757 Wilberforce House.</w:t>
      </w:r>
    </w:p>
  </w:footnote>
  <w:footnote w:id="19">
    <w:p w14:paraId="3D1F523D" w14:textId="6BA3045B" w:rsidR="00F85201" w:rsidRDefault="00F85201">
      <w:pPr>
        <w:pStyle w:val="FootnoteText"/>
      </w:pPr>
      <w:r>
        <w:rPr>
          <w:rStyle w:val="FootnoteReference"/>
        </w:rPr>
        <w:footnoteRef/>
      </w:r>
      <w:r>
        <w:t xml:space="preserve"> </w:t>
      </w:r>
      <w:r w:rsidR="00077902" w:rsidRPr="00077902">
        <w:t xml:space="preserve">‘Correspondences of William Wilberforce regarding the Slave Trade, 1826-1838.’ </w:t>
      </w:r>
      <w:r w:rsidR="0000637D" w:rsidRPr="0000637D">
        <w:t>Hull, Wilberforce House and Georgian Houses, NRA 10757 Wilberforce House.</w:t>
      </w:r>
    </w:p>
  </w:footnote>
  <w:footnote w:id="20">
    <w:p w14:paraId="398F06A7" w14:textId="50A65A42" w:rsidR="00F85201" w:rsidRDefault="00F85201">
      <w:pPr>
        <w:pStyle w:val="FootnoteText"/>
      </w:pPr>
      <w:r>
        <w:rPr>
          <w:rStyle w:val="FootnoteReference"/>
        </w:rPr>
        <w:footnoteRef/>
      </w:r>
      <w:r>
        <w:t xml:space="preserve"> </w:t>
      </w:r>
      <w:r w:rsidR="00077902" w:rsidRPr="00077902">
        <w:t>‘William Wilberforce letter to Richard R. Bramley, 23 May 1793</w:t>
      </w:r>
      <w:r w:rsidR="00077902">
        <w:t>.</w:t>
      </w:r>
      <w:r w:rsidR="00077902" w:rsidRPr="00077902">
        <w:t>’</w:t>
      </w:r>
      <w:r w:rsidR="0000637D" w:rsidRPr="0000637D">
        <w:t>Kew, The National Archives, HO 42/25/173.</w:t>
      </w:r>
    </w:p>
  </w:footnote>
  <w:footnote w:id="21">
    <w:p w14:paraId="43804312" w14:textId="18E16CAC" w:rsidR="00F85201" w:rsidRDefault="00F85201">
      <w:pPr>
        <w:pStyle w:val="FootnoteText"/>
      </w:pPr>
      <w:r>
        <w:rPr>
          <w:rStyle w:val="FootnoteReference"/>
        </w:rPr>
        <w:footnoteRef/>
      </w:r>
      <w:r>
        <w:t xml:space="preserve"> </w:t>
      </w:r>
      <w:bookmarkStart w:id="28" w:name="_Hlk56089196"/>
      <w:r w:rsidR="00077902" w:rsidRPr="00077902">
        <w:t>‘William Wilberforce letter to Richard R. Bramley, 23 May 1793</w:t>
      </w:r>
      <w:r w:rsidR="00077902">
        <w:t>.</w:t>
      </w:r>
      <w:r w:rsidR="00077902" w:rsidRPr="00077902">
        <w:t>’</w:t>
      </w:r>
      <w:r w:rsidR="0000637D" w:rsidRPr="0000637D">
        <w:t>Kew, The National Archives, HO 42/25/173.</w:t>
      </w:r>
      <w:bookmarkEnd w:id="28"/>
    </w:p>
  </w:footnote>
  <w:footnote w:id="22">
    <w:p w14:paraId="588504C1" w14:textId="1B12BC08" w:rsidR="00F85201" w:rsidRDefault="00F85201">
      <w:pPr>
        <w:pStyle w:val="FootnoteText"/>
      </w:pPr>
      <w:r>
        <w:rPr>
          <w:rStyle w:val="FootnoteReference"/>
        </w:rPr>
        <w:footnoteRef/>
      </w:r>
      <w:r>
        <w:t xml:space="preserve"> </w:t>
      </w:r>
      <w:r w:rsidR="00077902" w:rsidRPr="00077902">
        <w:t>‘William Wilberforce letter to Richard R. Bramley, 23 May 1793</w:t>
      </w:r>
      <w:r w:rsidR="00077902">
        <w:t>.</w:t>
      </w:r>
      <w:r w:rsidR="00077902" w:rsidRPr="00077902">
        <w:t>’</w:t>
      </w:r>
      <w:r w:rsidR="0000637D" w:rsidRPr="0000637D">
        <w:t>Kew, The National Archives, HO 42/25/173.</w:t>
      </w:r>
    </w:p>
  </w:footnote>
  <w:footnote w:id="23">
    <w:p w14:paraId="4D0DE078" w14:textId="38C44590" w:rsidR="00304E50" w:rsidRDefault="00304E50">
      <w:pPr>
        <w:pStyle w:val="FootnoteText"/>
      </w:pPr>
      <w:r>
        <w:rPr>
          <w:rStyle w:val="FootnoteReference"/>
        </w:rPr>
        <w:footnoteRef/>
      </w:r>
      <w:r>
        <w:t xml:space="preserve"> </w:t>
      </w:r>
      <w:r w:rsidR="00077902" w:rsidRPr="00077902">
        <w:t>‘William Wilberforce letter to Richard R. Bramley, 23 May 1793</w:t>
      </w:r>
      <w:r w:rsidR="00077902">
        <w:t>.</w:t>
      </w:r>
      <w:r w:rsidR="00077902" w:rsidRPr="00077902">
        <w:t>’</w:t>
      </w:r>
      <w:r w:rsidR="0000637D" w:rsidRPr="0000637D">
        <w:t>Kew, The National Archives, HO 42/25/173</w:t>
      </w:r>
      <w:r w:rsidR="0000637D">
        <w:t xml:space="preserve">. Available at: </w:t>
      </w:r>
      <w:hyperlink r:id="rId8" w:history="1">
        <w:r w:rsidR="0000637D" w:rsidRPr="008E51A8">
          <w:rPr>
            <w:rStyle w:val="Hyperlink"/>
          </w:rPr>
          <w:t>https://discovery.nationalarchives.gov.uk/details/r/C10387257</w:t>
        </w:r>
      </w:hyperlink>
      <w:r w:rsidR="0000637D">
        <w:t xml:space="preserve"> (Accessed: 12</w:t>
      </w:r>
      <w:r w:rsidR="0000637D" w:rsidRPr="0000637D">
        <w:rPr>
          <w:vertAlign w:val="superscript"/>
        </w:rPr>
        <w:t>th</w:t>
      </w:r>
      <w:r w:rsidR="0000637D">
        <w:t xml:space="preserve"> November 2020). </w:t>
      </w:r>
    </w:p>
  </w:footnote>
  <w:footnote w:id="24">
    <w:p w14:paraId="2C19F035" w14:textId="231EDA9B" w:rsidR="00304E50" w:rsidRDefault="00304E50">
      <w:pPr>
        <w:pStyle w:val="FootnoteText"/>
      </w:pPr>
      <w:r>
        <w:rPr>
          <w:rStyle w:val="FootnoteReference"/>
        </w:rPr>
        <w:footnoteRef/>
      </w:r>
      <w:r>
        <w:t xml:space="preserve"> </w:t>
      </w:r>
      <w:r w:rsidR="00492835" w:rsidRPr="00492835">
        <w:t xml:space="preserve">‘Letter from William Wilberforce to Lord Chatham.’ </w:t>
      </w:r>
      <w:r w:rsidR="0000637D" w:rsidRPr="0000637D">
        <w:t xml:space="preserve">Kew, </w:t>
      </w:r>
      <w:r w:rsidR="0000637D" w:rsidRPr="0089434A">
        <w:t>The National Archives</w:t>
      </w:r>
      <w:r w:rsidR="0000637D" w:rsidRPr="0000637D">
        <w:rPr>
          <w:i/>
          <w:iCs/>
        </w:rPr>
        <w:t>,</w:t>
      </w:r>
      <w:r w:rsidR="0000637D" w:rsidRPr="0000637D">
        <w:t xml:space="preserve"> PRO 30/70/4/266.</w:t>
      </w:r>
    </w:p>
  </w:footnote>
  <w:footnote w:id="25">
    <w:p w14:paraId="68DB2834" w14:textId="17997341" w:rsidR="00304E50" w:rsidRDefault="00304E50">
      <w:pPr>
        <w:pStyle w:val="FootnoteText"/>
      </w:pPr>
      <w:r>
        <w:rPr>
          <w:rStyle w:val="FootnoteReference"/>
        </w:rPr>
        <w:footnoteRef/>
      </w:r>
      <w:r>
        <w:t xml:space="preserve"> </w:t>
      </w:r>
      <w:r w:rsidR="00492835" w:rsidRPr="00492835">
        <w:t xml:space="preserve">‘Letter from William Wilberforce to Lord Chatham.’ </w:t>
      </w:r>
      <w:r w:rsidR="0089434A" w:rsidRPr="0089434A">
        <w:t>Kew, The National Archives, PRO 30/70/4/266.</w:t>
      </w:r>
      <w:r w:rsidR="0089434A">
        <w:t xml:space="preserve"> </w:t>
      </w:r>
    </w:p>
  </w:footnote>
  <w:footnote w:id="26">
    <w:p w14:paraId="7F37CE25" w14:textId="27404EF4" w:rsidR="00304E50" w:rsidRPr="0089434A" w:rsidRDefault="00304E50">
      <w:pPr>
        <w:pStyle w:val="FootnoteText"/>
        <w:rPr>
          <w:i/>
          <w:iCs/>
        </w:rPr>
      </w:pPr>
      <w:r>
        <w:rPr>
          <w:rStyle w:val="FootnoteReference"/>
        </w:rPr>
        <w:footnoteRef/>
      </w:r>
      <w:r>
        <w:t xml:space="preserve"> </w:t>
      </w:r>
      <w:bookmarkStart w:id="31" w:name="_Hlk56096568"/>
      <w:r w:rsidR="0089434A">
        <w:t xml:space="preserve">The National Archives, </w:t>
      </w:r>
      <w:r w:rsidR="0089434A" w:rsidRPr="0089434A">
        <w:t>W Wilberforce to Lord Chatham offering to serve in any useful capacity during the...</w:t>
      </w:r>
      <w:r w:rsidR="0089434A">
        <w:t xml:space="preserve"> (2020) &lt;</w:t>
      </w:r>
      <w:r w:rsidR="0089434A" w:rsidRPr="0089434A">
        <w:t xml:space="preserve"> </w:t>
      </w:r>
      <w:hyperlink r:id="rId9" w:history="1">
        <w:r w:rsidR="0089434A" w:rsidRPr="00492835">
          <w:rPr>
            <w:rStyle w:val="Hyperlink"/>
            <w:color w:val="auto"/>
            <w:u w:val="none"/>
          </w:rPr>
          <w:t>https://discovery.nationalarchives.gov.uk/details/r/C2138003</w:t>
        </w:r>
      </w:hyperlink>
      <w:r w:rsidR="0089434A">
        <w:t>&gt; [Accessed: 12</w:t>
      </w:r>
      <w:r w:rsidR="0089434A" w:rsidRPr="0089434A">
        <w:rPr>
          <w:vertAlign w:val="superscript"/>
        </w:rPr>
        <w:t>th</w:t>
      </w:r>
      <w:r w:rsidR="0089434A">
        <w:t xml:space="preserve"> November 2020]. </w:t>
      </w:r>
      <w:bookmarkEnd w:id="31"/>
    </w:p>
  </w:footnote>
  <w:footnote w:id="27">
    <w:p w14:paraId="0E9EC3A8" w14:textId="28A390B5" w:rsidR="00304E50" w:rsidRDefault="00304E50">
      <w:pPr>
        <w:pStyle w:val="FootnoteText"/>
      </w:pPr>
      <w:r>
        <w:rPr>
          <w:rStyle w:val="FootnoteReference"/>
        </w:rPr>
        <w:footnoteRef/>
      </w:r>
      <w:r>
        <w:t xml:space="preserve"> </w:t>
      </w:r>
      <w:r w:rsidR="00492835" w:rsidRPr="00492835">
        <w:t xml:space="preserve">‘Letter from William Wilberforce to Lord Chatham.’ </w:t>
      </w:r>
      <w:r w:rsidR="0089434A" w:rsidRPr="0089434A">
        <w:t>Kew, The National Archives, HO 42/25/173.</w:t>
      </w:r>
    </w:p>
  </w:footnote>
  <w:footnote w:id="28">
    <w:p w14:paraId="7F440C12" w14:textId="47FDF865" w:rsidR="00304E50" w:rsidRDefault="00304E50">
      <w:pPr>
        <w:pStyle w:val="FootnoteText"/>
      </w:pPr>
      <w:r>
        <w:rPr>
          <w:rStyle w:val="FootnoteReference"/>
        </w:rPr>
        <w:footnoteRef/>
      </w:r>
      <w:r>
        <w:t xml:space="preserve"> </w:t>
      </w:r>
      <w:bookmarkStart w:id="34" w:name="_Hlk56089260"/>
      <w:r w:rsidR="0089434A" w:rsidRPr="0089434A">
        <w:t>Kew, The National Archives, PROB 11/1825/373 7</w:t>
      </w:r>
      <w:bookmarkEnd w:id="34"/>
      <w:r w:rsidR="0089434A" w:rsidRPr="0089434A">
        <w:t xml:space="preserve">. Available at: </w:t>
      </w:r>
      <w:hyperlink r:id="rId10" w:history="1">
        <w:r w:rsidR="0089434A" w:rsidRPr="00492835">
          <w:rPr>
            <w:rStyle w:val="Hyperlink"/>
            <w:color w:val="auto"/>
            <w:u w:val="none"/>
          </w:rPr>
          <w:t>https://discovery.nationalarchives.gov.uk/details/r/D261133</w:t>
        </w:r>
      </w:hyperlink>
      <w:r w:rsidR="0089434A">
        <w:t xml:space="preserve"> </w:t>
      </w:r>
      <w:r w:rsidR="0089434A" w:rsidRPr="0089434A">
        <w:t>(Accessed: 21/10/2020)</w:t>
      </w:r>
      <w:r w:rsidR="0089434A">
        <w:t xml:space="preserve">. </w:t>
      </w:r>
    </w:p>
  </w:footnote>
  <w:footnote w:id="29">
    <w:p w14:paraId="1D85B374" w14:textId="5FE5D9F1" w:rsidR="00304E50" w:rsidRDefault="00304E50">
      <w:pPr>
        <w:pStyle w:val="FootnoteText"/>
      </w:pPr>
      <w:r>
        <w:rPr>
          <w:rStyle w:val="FootnoteReference"/>
        </w:rPr>
        <w:footnoteRef/>
      </w:r>
      <w:r>
        <w:t xml:space="preserve"> </w:t>
      </w:r>
      <w:bookmarkStart w:id="35" w:name="_Hlk56089314"/>
      <w:bookmarkStart w:id="36" w:name="_Hlk56344577"/>
      <w:r w:rsidR="00492835" w:rsidRPr="00492835">
        <w:t xml:space="preserve">‘Last Will and Testament of William Wilberforce.’ </w:t>
      </w:r>
      <w:bookmarkEnd w:id="36"/>
      <w:r w:rsidR="0089434A" w:rsidRPr="0089434A">
        <w:t>Kew, The National Archives, PROB 11/1825/373 7</w:t>
      </w:r>
      <w:r w:rsidR="0089434A">
        <w:t>.</w:t>
      </w:r>
      <w:r w:rsidR="00492835" w:rsidRPr="00492835">
        <w:t xml:space="preserve"> Available at: https://discovery.nationalarchives.gov.uk/details/r/D261133 (Accessed: 21/10/2020</w:t>
      </w:r>
      <w:bookmarkEnd w:id="35"/>
      <w:r w:rsidR="00492835">
        <w:t xml:space="preserve">). </w:t>
      </w:r>
    </w:p>
  </w:footnote>
  <w:footnote w:id="30">
    <w:p w14:paraId="5D346378" w14:textId="0D28F568" w:rsidR="00304E50" w:rsidRDefault="00304E50">
      <w:pPr>
        <w:pStyle w:val="FootnoteText"/>
      </w:pPr>
      <w:r>
        <w:rPr>
          <w:rStyle w:val="FootnoteReference"/>
        </w:rPr>
        <w:footnoteRef/>
      </w:r>
      <w:r>
        <w:t xml:space="preserve"> </w:t>
      </w:r>
      <w:r w:rsidR="00492835" w:rsidRPr="00492835">
        <w:t xml:space="preserve">‘Last Will and Testament of William Wilberforce.’ </w:t>
      </w:r>
      <w:r w:rsidR="0089434A" w:rsidRPr="0089434A">
        <w:t>Kew, The National Archives, PROB 11/1825/373 7.</w:t>
      </w:r>
      <w:r w:rsidR="00492835" w:rsidRPr="00492835">
        <w:t xml:space="preserve"> Available at: https://discovery.nationalarchives.gov.uk/details/r/D261133 (Accessed: 21/10/2020</w:t>
      </w:r>
      <w:r w:rsidR="00492835">
        <w:t xml:space="preserve">). </w:t>
      </w:r>
    </w:p>
  </w:footnote>
  <w:footnote w:id="31">
    <w:p w14:paraId="4A4C4BFF" w14:textId="2D641A37" w:rsidR="00304E50" w:rsidRDefault="00304E50">
      <w:pPr>
        <w:pStyle w:val="FootnoteText"/>
      </w:pPr>
      <w:r>
        <w:rPr>
          <w:rStyle w:val="FootnoteReference"/>
        </w:rPr>
        <w:footnoteRef/>
      </w:r>
      <w:r>
        <w:t xml:space="preserve"> </w:t>
      </w:r>
      <w:r w:rsidR="00492835" w:rsidRPr="00492835">
        <w:t xml:space="preserve">‘Last Will and Testament of William Wilberforce.’ </w:t>
      </w:r>
      <w:r w:rsidR="0089434A" w:rsidRPr="0089434A">
        <w:t>Kew, The National Archives, PROB 11/1825/373 7.</w:t>
      </w:r>
      <w:r w:rsidR="00492835" w:rsidRPr="00492835">
        <w:t xml:space="preserve"> Available at: https://discovery.nationalarchives.gov.uk/details/r/D261133 (Accessed: 21/10/2020</w:t>
      </w:r>
      <w:r w:rsidR="00492835">
        <w:t xml:space="preserve">). </w:t>
      </w:r>
    </w:p>
  </w:footnote>
  <w:footnote w:id="32">
    <w:p w14:paraId="61586497" w14:textId="64F7FE3E" w:rsidR="00304E50" w:rsidRDefault="00304E50">
      <w:pPr>
        <w:pStyle w:val="FootnoteText"/>
      </w:pPr>
      <w:r>
        <w:rPr>
          <w:rStyle w:val="FootnoteReference"/>
        </w:rPr>
        <w:footnoteRef/>
      </w:r>
      <w:r>
        <w:t xml:space="preserve"> </w:t>
      </w:r>
      <w:r w:rsidR="00492835" w:rsidRPr="00492835">
        <w:t xml:space="preserve">‘Last Will and Testament of William Wilberforce.’ </w:t>
      </w:r>
      <w:r w:rsidR="0089434A" w:rsidRPr="0089434A">
        <w:t>Kew, The National Archives, PROB 11/1825/373 7.</w:t>
      </w:r>
      <w:r w:rsidR="00492835" w:rsidRPr="00492835">
        <w:t xml:space="preserve"> Available at: https://discovery.nationalarchives.gov.uk/details/r/D261133 (Accessed: 21/10/2020)</w:t>
      </w:r>
      <w:r w:rsidR="00492835">
        <w:t>.</w:t>
      </w:r>
    </w:p>
  </w:footnote>
  <w:footnote w:id="33">
    <w:p w14:paraId="58D4EFE5" w14:textId="28DCACD3" w:rsidR="00304E50" w:rsidRDefault="00304E50">
      <w:pPr>
        <w:pStyle w:val="FootnoteText"/>
      </w:pPr>
      <w:r>
        <w:rPr>
          <w:rStyle w:val="FootnoteReference"/>
        </w:rPr>
        <w:footnoteRef/>
      </w:r>
      <w:r>
        <w:t xml:space="preserve"> </w:t>
      </w:r>
      <w:r w:rsidR="00492835" w:rsidRPr="00492835">
        <w:t xml:space="preserve">‘Last Will and Testament of William Wilberforce.’ </w:t>
      </w:r>
      <w:r w:rsidR="0089434A" w:rsidRPr="0089434A">
        <w:t>Kew, The National Archives, PROB 11/1825/373 7.</w:t>
      </w:r>
      <w:r w:rsidR="00492835" w:rsidRPr="00492835">
        <w:t xml:space="preserve"> Available at: https://discovery.nationalarchives.gov.uk/details/r/D261133 (Accessed: 21/10/2020)</w:t>
      </w:r>
      <w:r w:rsidR="00492835">
        <w:t>.</w:t>
      </w:r>
    </w:p>
  </w:footnote>
  <w:footnote w:id="34">
    <w:p w14:paraId="24483081" w14:textId="370CBFB3" w:rsidR="00304E50" w:rsidRDefault="00304E50">
      <w:pPr>
        <w:pStyle w:val="FootnoteText"/>
      </w:pPr>
      <w:r>
        <w:rPr>
          <w:rStyle w:val="FootnoteReference"/>
        </w:rPr>
        <w:footnoteRef/>
      </w:r>
      <w:r>
        <w:t xml:space="preserve"> </w:t>
      </w:r>
      <w:r w:rsidR="00492835" w:rsidRPr="00492835">
        <w:t xml:space="preserve">‘Anti-Slavery correspondence of William Wilberforce and Others.’ </w:t>
      </w:r>
      <w:r w:rsidR="0089434A" w:rsidRPr="0089434A">
        <w:t>Liverpool, Liverpool National Museums Liverpool: Maritime Archives and Library, D/CR/4/1-5.</w:t>
      </w:r>
      <w:r w:rsidR="0089434A">
        <w:t xml:space="preserve"> </w:t>
      </w:r>
    </w:p>
  </w:footnote>
  <w:footnote w:id="35">
    <w:p w14:paraId="64E08D85" w14:textId="6BE2AEEC" w:rsidR="00304E50" w:rsidRDefault="00304E50">
      <w:pPr>
        <w:pStyle w:val="FootnoteText"/>
      </w:pPr>
      <w:r>
        <w:rPr>
          <w:rStyle w:val="FootnoteReference"/>
        </w:rPr>
        <w:footnoteRef/>
      </w:r>
      <w:r>
        <w:t xml:space="preserve"> </w:t>
      </w:r>
      <w:r w:rsidR="00492835" w:rsidRPr="00492835">
        <w:t xml:space="preserve">‘Anti-Slavery correspondence of William Wilberforce and Others.’ </w:t>
      </w:r>
      <w:r w:rsidR="0089434A" w:rsidRPr="0089434A">
        <w:t>Liverpool, Liverpool National Museums Liverpool: Maritime Archives and Library, D/CR/4/1-5.</w:t>
      </w:r>
    </w:p>
  </w:footnote>
  <w:footnote w:id="36">
    <w:p w14:paraId="038F4710" w14:textId="74EAF4A2" w:rsidR="00304E50" w:rsidRDefault="00304E50">
      <w:pPr>
        <w:pStyle w:val="FootnoteText"/>
      </w:pPr>
      <w:r>
        <w:rPr>
          <w:rStyle w:val="FootnoteReference"/>
        </w:rPr>
        <w:footnoteRef/>
      </w:r>
      <w:r>
        <w:t xml:space="preserve"> </w:t>
      </w:r>
      <w:r w:rsidR="0089434A" w:rsidRPr="0089434A">
        <w:t>The National Archives, Discovery: The National Archives (2020) https://uwtsd.ac.uk/media/uwtsd-website/content-assets/documents/library-and-learning-resources/infoskills/MHRA-eng_v.1.2.pdf. [Accessed: 12th November 2020].</w:t>
      </w:r>
    </w:p>
  </w:footnote>
  <w:footnote w:id="37">
    <w:p w14:paraId="6FF4912C" w14:textId="4A0CFE0A" w:rsidR="00304E50" w:rsidRDefault="00304E50">
      <w:pPr>
        <w:pStyle w:val="FootnoteText"/>
      </w:pPr>
      <w:r>
        <w:rPr>
          <w:rStyle w:val="FootnoteReference"/>
        </w:rPr>
        <w:footnoteRef/>
      </w:r>
      <w:r>
        <w:t xml:space="preserve"> </w:t>
      </w:r>
      <w:r w:rsidR="00492835" w:rsidRPr="00492835">
        <w:t>‘Anti-Slavery correspondence of William Wilberforce and Others.’ Liverpool, Liverpool National Museums Liverpool: Maritime Archives and Library, D/CR/4/1-5.</w:t>
      </w:r>
    </w:p>
  </w:footnote>
  <w:footnote w:id="38">
    <w:p w14:paraId="03F324D1" w14:textId="28BD1816" w:rsidR="00304E50" w:rsidRDefault="00304E50">
      <w:pPr>
        <w:pStyle w:val="FootnoteText"/>
      </w:pPr>
      <w:r>
        <w:rPr>
          <w:rStyle w:val="FootnoteReference"/>
        </w:rPr>
        <w:footnoteRef/>
      </w:r>
      <w:r>
        <w:t xml:space="preserve"> </w:t>
      </w:r>
      <w:r w:rsidR="00492835" w:rsidRPr="00492835">
        <w:t>‘Anti-Slavery correspondence of William Wilberforce and Others.’ Liverpool, Liverpool National Museums Liverpool: Maritime Archives and Library, D/CR/4/1-5.</w:t>
      </w:r>
    </w:p>
  </w:footnote>
  <w:footnote w:id="39">
    <w:p w14:paraId="6A373FA9" w14:textId="504EA1A1" w:rsidR="00304E50" w:rsidRDefault="00304E50">
      <w:pPr>
        <w:pStyle w:val="FootnoteText"/>
      </w:pPr>
      <w:r>
        <w:rPr>
          <w:rStyle w:val="FootnoteReference"/>
        </w:rPr>
        <w:footnoteRef/>
      </w:r>
      <w:r>
        <w:t xml:space="preserve"> </w:t>
      </w:r>
      <w:r w:rsidR="00DD28F1" w:rsidRPr="00DD28F1">
        <w:t>London, The British Library, RP 8305/4.</w:t>
      </w:r>
    </w:p>
  </w:footnote>
  <w:footnote w:id="40">
    <w:p w14:paraId="50D96E81" w14:textId="6BCD90D7" w:rsidR="00304E50" w:rsidRDefault="00304E50">
      <w:pPr>
        <w:pStyle w:val="FootnoteText"/>
      </w:pPr>
      <w:r>
        <w:rPr>
          <w:rStyle w:val="FootnoteReference"/>
        </w:rPr>
        <w:footnoteRef/>
      </w:r>
      <w:r>
        <w:t xml:space="preserve"> </w:t>
      </w:r>
      <w:r w:rsidR="00DD28F1" w:rsidRPr="00DD28F1">
        <w:t>London, The British Library, RP 8305/4.</w:t>
      </w:r>
    </w:p>
  </w:footnote>
  <w:footnote w:id="41">
    <w:p w14:paraId="33C9A230" w14:textId="5B1C098B" w:rsidR="00304E50" w:rsidRDefault="00304E50">
      <w:pPr>
        <w:pStyle w:val="FootnoteText"/>
      </w:pPr>
      <w:r>
        <w:rPr>
          <w:rStyle w:val="FootnoteReference"/>
        </w:rPr>
        <w:footnoteRef/>
      </w:r>
      <w:r>
        <w:t xml:space="preserve"> </w:t>
      </w:r>
      <w:r w:rsidR="00DD28F1" w:rsidRPr="00DD28F1">
        <w:t>London, The British Library, RP 8305/4.</w:t>
      </w:r>
    </w:p>
  </w:footnote>
  <w:footnote w:id="42">
    <w:p w14:paraId="59CD37A5" w14:textId="15077126" w:rsidR="00304E50" w:rsidRDefault="00304E50">
      <w:pPr>
        <w:pStyle w:val="FootnoteText"/>
      </w:pPr>
      <w:r>
        <w:rPr>
          <w:rStyle w:val="FootnoteReference"/>
        </w:rPr>
        <w:footnoteRef/>
      </w:r>
      <w:r>
        <w:t xml:space="preserve"> </w:t>
      </w:r>
      <w:r w:rsidR="00DD28F1" w:rsidRPr="00DD28F1">
        <w:t>London, The British Library, RP 8305/4.</w:t>
      </w:r>
    </w:p>
  </w:footnote>
  <w:footnote w:id="43">
    <w:p w14:paraId="34A5DDD7" w14:textId="58A842BC" w:rsidR="00304E50" w:rsidRDefault="00304E50">
      <w:pPr>
        <w:pStyle w:val="FootnoteText"/>
      </w:pPr>
      <w:r>
        <w:rPr>
          <w:rStyle w:val="FootnoteReference"/>
        </w:rPr>
        <w:footnoteRef/>
      </w:r>
      <w:r>
        <w:t xml:space="preserve"> </w:t>
      </w:r>
      <w:r w:rsidR="00DD28F1" w:rsidRPr="00DD28F1">
        <w:t>London, The British Library, RP 8305/4.</w:t>
      </w:r>
    </w:p>
  </w:footnote>
  <w:footnote w:id="44">
    <w:p w14:paraId="4B671445" w14:textId="35C0EAF6" w:rsidR="00304E50" w:rsidRDefault="00304E50">
      <w:pPr>
        <w:pStyle w:val="FootnoteText"/>
      </w:pPr>
      <w:r>
        <w:rPr>
          <w:rStyle w:val="FootnoteReference"/>
        </w:rPr>
        <w:footnoteRef/>
      </w:r>
      <w:r>
        <w:t xml:space="preserve"> </w:t>
      </w:r>
      <w:r w:rsidR="00492835" w:rsidRPr="00492835">
        <w:t xml:space="preserve">‘Letter from William Wilberforce to Fitzwilliam 5th May 1802.’ </w:t>
      </w:r>
      <w:r w:rsidR="00DD28F1" w:rsidRPr="00DD28F1">
        <w:t>Sheffield, Sheffield City Archives, WWM/F/51/9.</w:t>
      </w:r>
    </w:p>
  </w:footnote>
  <w:footnote w:id="45">
    <w:p w14:paraId="327AF2A3" w14:textId="5ECBBAFC" w:rsidR="00304E50" w:rsidRDefault="00304E50">
      <w:pPr>
        <w:pStyle w:val="FootnoteText"/>
      </w:pPr>
      <w:r>
        <w:rPr>
          <w:rStyle w:val="FootnoteReference"/>
        </w:rPr>
        <w:footnoteRef/>
      </w:r>
      <w:r>
        <w:t xml:space="preserve"> </w:t>
      </w:r>
      <w:r w:rsidR="00492835" w:rsidRPr="00492835">
        <w:t xml:space="preserve">‘Letter from William Wilberforce to Fitzwilliam 5th May 1802.’ </w:t>
      </w:r>
      <w:r w:rsidR="00DD28F1" w:rsidRPr="00DD28F1">
        <w:t>Sheffield, Sheffield City Archives, WWM/F/51/9.</w:t>
      </w:r>
    </w:p>
  </w:footnote>
  <w:footnote w:id="46">
    <w:p w14:paraId="767C676B" w14:textId="425DF276" w:rsidR="00304E50" w:rsidRDefault="00304E50">
      <w:pPr>
        <w:pStyle w:val="FootnoteText"/>
      </w:pPr>
      <w:r>
        <w:rPr>
          <w:rStyle w:val="FootnoteReference"/>
        </w:rPr>
        <w:footnoteRef/>
      </w:r>
      <w:r>
        <w:t xml:space="preserve"> </w:t>
      </w:r>
      <w:r w:rsidR="00492835" w:rsidRPr="00492835">
        <w:t xml:space="preserve">‘Letter from William Wilberforce to Fitzwilliam 5th May 1802.’ </w:t>
      </w:r>
      <w:r w:rsidR="00DD28F1" w:rsidRPr="00DD28F1">
        <w:t>Sheffield, Sheffield City Archives, WWM/F/51/9.</w:t>
      </w:r>
    </w:p>
  </w:footnote>
  <w:footnote w:id="47">
    <w:p w14:paraId="74765F9C" w14:textId="6ADAF299" w:rsidR="00304E50" w:rsidRDefault="00304E50">
      <w:pPr>
        <w:pStyle w:val="FootnoteText"/>
      </w:pPr>
      <w:r>
        <w:rPr>
          <w:rStyle w:val="FootnoteReference"/>
        </w:rPr>
        <w:footnoteRef/>
      </w:r>
      <w:r>
        <w:t xml:space="preserve"> </w:t>
      </w:r>
      <w:r w:rsidR="00492835" w:rsidRPr="00492835">
        <w:t xml:space="preserve">‘Letter from William Wilberforce to Fitzwilliam 5th May 1802.’ </w:t>
      </w:r>
      <w:r w:rsidR="00DD28F1" w:rsidRPr="00DD28F1">
        <w:t>Sheffield, Sheffield City Archives, WWM/F/51/9.</w:t>
      </w:r>
      <w:r w:rsidR="00DD28F1">
        <w:t xml:space="preserve">   </w:t>
      </w:r>
      <w:r w:rsidR="009F45A6">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zNTOxMDYwMjcxsLRU0lEKTi0uzszPAykwqwUAM+G/XywAAAA="/>
    <w:docVar w:name="dgnword-docGUID" w:val="{A0A77608-B235-4763-9B42-6B9B593EE733}"/>
    <w:docVar w:name="dgnword-eventsink" w:val="180506232"/>
  </w:docVars>
  <w:rsids>
    <w:rsidRoot w:val="001850D5"/>
    <w:rsid w:val="000020C3"/>
    <w:rsid w:val="0000637D"/>
    <w:rsid w:val="00032265"/>
    <w:rsid w:val="0004092C"/>
    <w:rsid w:val="00054497"/>
    <w:rsid w:val="00077902"/>
    <w:rsid w:val="001850D5"/>
    <w:rsid w:val="00192F15"/>
    <w:rsid w:val="001E22BF"/>
    <w:rsid w:val="00260A68"/>
    <w:rsid w:val="002C7BC7"/>
    <w:rsid w:val="002E0D05"/>
    <w:rsid w:val="00304E50"/>
    <w:rsid w:val="00335014"/>
    <w:rsid w:val="003F7443"/>
    <w:rsid w:val="00492835"/>
    <w:rsid w:val="00493ACA"/>
    <w:rsid w:val="004A114D"/>
    <w:rsid w:val="005065F4"/>
    <w:rsid w:val="00523456"/>
    <w:rsid w:val="005E184F"/>
    <w:rsid w:val="005E2638"/>
    <w:rsid w:val="005E38BC"/>
    <w:rsid w:val="00717C33"/>
    <w:rsid w:val="0074702A"/>
    <w:rsid w:val="007637E8"/>
    <w:rsid w:val="00871097"/>
    <w:rsid w:val="0088324A"/>
    <w:rsid w:val="00883271"/>
    <w:rsid w:val="0089434A"/>
    <w:rsid w:val="008A3362"/>
    <w:rsid w:val="008B6F63"/>
    <w:rsid w:val="00914FA4"/>
    <w:rsid w:val="0096501F"/>
    <w:rsid w:val="0099773E"/>
    <w:rsid w:val="009C1E11"/>
    <w:rsid w:val="009F45A6"/>
    <w:rsid w:val="00A15DC1"/>
    <w:rsid w:val="00AC2967"/>
    <w:rsid w:val="00AF25D3"/>
    <w:rsid w:val="00AF4036"/>
    <w:rsid w:val="00BC6257"/>
    <w:rsid w:val="00C22811"/>
    <w:rsid w:val="00C61EE1"/>
    <w:rsid w:val="00CA6D0F"/>
    <w:rsid w:val="00CF2E2E"/>
    <w:rsid w:val="00D05A67"/>
    <w:rsid w:val="00DA2B59"/>
    <w:rsid w:val="00DB0BBF"/>
    <w:rsid w:val="00DB2937"/>
    <w:rsid w:val="00DD1042"/>
    <w:rsid w:val="00DD28F1"/>
    <w:rsid w:val="00E27EF1"/>
    <w:rsid w:val="00EC0EC1"/>
    <w:rsid w:val="00EE5B70"/>
    <w:rsid w:val="00F70E9D"/>
    <w:rsid w:val="00F767B2"/>
    <w:rsid w:val="00F85201"/>
    <w:rsid w:val="00FD1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69BE6C"/>
  <w15:chartTrackingRefBased/>
  <w15:docId w15:val="{156BD769-6869-49F3-A837-DCC663272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0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850D5"/>
    <w:pPr>
      <w:spacing w:after="0" w:line="240" w:lineRule="auto"/>
    </w:pPr>
  </w:style>
  <w:style w:type="paragraph" w:styleId="FootnoteText">
    <w:name w:val="footnote text"/>
    <w:basedOn w:val="Normal"/>
    <w:link w:val="FootnoteTextChar"/>
    <w:uiPriority w:val="99"/>
    <w:semiHidden/>
    <w:unhideWhenUsed/>
    <w:rsid w:val="00F852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5201"/>
    <w:rPr>
      <w:sz w:val="20"/>
      <w:szCs w:val="20"/>
    </w:rPr>
  </w:style>
  <w:style w:type="character" w:styleId="FootnoteReference">
    <w:name w:val="footnote reference"/>
    <w:basedOn w:val="DefaultParagraphFont"/>
    <w:uiPriority w:val="99"/>
    <w:semiHidden/>
    <w:unhideWhenUsed/>
    <w:rsid w:val="00F85201"/>
    <w:rPr>
      <w:vertAlign w:val="superscript"/>
    </w:rPr>
  </w:style>
  <w:style w:type="character" w:styleId="Hyperlink">
    <w:name w:val="Hyperlink"/>
    <w:basedOn w:val="DefaultParagraphFont"/>
    <w:uiPriority w:val="99"/>
    <w:unhideWhenUsed/>
    <w:rsid w:val="0099773E"/>
    <w:rPr>
      <w:color w:val="0563C1" w:themeColor="hyperlink"/>
      <w:u w:val="single"/>
    </w:rPr>
  </w:style>
  <w:style w:type="character" w:styleId="UnresolvedMention">
    <w:name w:val="Unresolved Mention"/>
    <w:basedOn w:val="DefaultParagraphFont"/>
    <w:uiPriority w:val="99"/>
    <w:semiHidden/>
    <w:unhideWhenUsed/>
    <w:rsid w:val="0099773E"/>
    <w:rPr>
      <w:color w:val="605E5C"/>
      <w:shd w:val="clear" w:color="auto" w:fill="E1DFDD"/>
    </w:rPr>
  </w:style>
  <w:style w:type="character" w:styleId="CommentReference">
    <w:name w:val="annotation reference"/>
    <w:basedOn w:val="DefaultParagraphFont"/>
    <w:uiPriority w:val="99"/>
    <w:semiHidden/>
    <w:unhideWhenUsed/>
    <w:rsid w:val="00717C33"/>
    <w:rPr>
      <w:sz w:val="16"/>
      <w:szCs w:val="16"/>
    </w:rPr>
  </w:style>
  <w:style w:type="paragraph" w:styleId="CommentText">
    <w:name w:val="annotation text"/>
    <w:basedOn w:val="Normal"/>
    <w:link w:val="CommentTextChar"/>
    <w:uiPriority w:val="99"/>
    <w:semiHidden/>
    <w:unhideWhenUsed/>
    <w:rsid w:val="00717C33"/>
    <w:pPr>
      <w:spacing w:line="240" w:lineRule="auto"/>
    </w:pPr>
    <w:rPr>
      <w:sz w:val="20"/>
      <w:szCs w:val="20"/>
    </w:rPr>
  </w:style>
  <w:style w:type="character" w:customStyle="1" w:styleId="CommentTextChar">
    <w:name w:val="Comment Text Char"/>
    <w:basedOn w:val="DefaultParagraphFont"/>
    <w:link w:val="CommentText"/>
    <w:uiPriority w:val="99"/>
    <w:semiHidden/>
    <w:rsid w:val="00717C33"/>
    <w:rPr>
      <w:sz w:val="20"/>
      <w:szCs w:val="20"/>
    </w:rPr>
  </w:style>
  <w:style w:type="paragraph" w:styleId="CommentSubject">
    <w:name w:val="annotation subject"/>
    <w:basedOn w:val="CommentText"/>
    <w:next w:val="CommentText"/>
    <w:link w:val="CommentSubjectChar"/>
    <w:uiPriority w:val="99"/>
    <w:semiHidden/>
    <w:unhideWhenUsed/>
    <w:rsid w:val="00717C33"/>
    <w:rPr>
      <w:b/>
      <w:bCs/>
    </w:rPr>
  </w:style>
  <w:style w:type="character" w:customStyle="1" w:styleId="CommentSubjectChar">
    <w:name w:val="Comment Subject Char"/>
    <w:basedOn w:val="CommentTextChar"/>
    <w:link w:val="CommentSubject"/>
    <w:uiPriority w:val="99"/>
    <w:semiHidden/>
    <w:rsid w:val="00717C33"/>
    <w:rPr>
      <w:b/>
      <w:bCs/>
      <w:sz w:val="20"/>
      <w:szCs w:val="20"/>
    </w:rPr>
  </w:style>
  <w:style w:type="paragraph" w:styleId="BalloonText">
    <w:name w:val="Balloon Text"/>
    <w:basedOn w:val="Normal"/>
    <w:link w:val="BalloonTextChar"/>
    <w:uiPriority w:val="99"/>
    <w:semiHidden/>
    <w:unhideWhenUsed/>
    <w:rsid w:val="00717C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7C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shub.jisc.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scovery.nationalarchives.gov.uk/details/r/C213800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iscovery.nationalarchives.gov.uk/details/r/C10387257" TargetMode="External"/><Relationship Id="rId3" Type="http://schemas.openxmlformats.org/officeDocument/2006/relationships/hyperlink" Target="https://repository.duke.edu/dc/wilberf" TargetMode="External"/><Relationship Id="rId7" Type="http://schemas.openxmlformats.org/officeDocument/2006/relationships/hyperlink" Target="https://archiveshub.jisc.ac.uk/" TargetMode="External"/><Relationship Id="rId2" Type="http://schemas.openxmlformats.org/officeDocument/2006/relationships/hyperlink" Target="https://archiveshub.jisc.ac.uk/" TargetMode="External"/><Relationship Id="rId1" Type="http://schemas.openxmlformats.org/officeDocument/2006/relationships/hyperlink" Target="https://uwtsd.ac.uk/media/uwtsd-website/content-assets/documents/library-and-learning-resources/infoskills/MHRA-eng_v.1.2.pdf" TargetMode="External"/><Relationship Id="rId6" Type="http://schemas.openxmlformats.org/officeDocument/2006/relationships/hyperlink" Target="https://archiveshub.jisc.ac.uk/" TargetMode="External"/><Relationship Id="rId5" Type="http://schemas.openxmlformats.org/officeDocument/2006/relationships/hyperlink" Target="https://archiveshub.jisc.ac.uk/" TargetMode="External"/><Relationship Id="rId10" Type="http://schemas.openxmlformats.org/officeDocument/2006/relationships/hyperlink" Target="https://discovery.nationalarchives.gov.uk/details/r/D261133" TargetMode="External"/><Relationship Id="rId4" Type="http://schemas.openxmlformats.org/officeDocument/2006/relationships/hyperlink" Target="https://repository.duke.edu/dc/wilberf" TargetMode="External"/><Relationship Id="rId9" Type="http://schemas.openxmlformats.org/officeDocument/2006/relationships/hyperlink" Target="https://discovery.nationalarchives.gov.uk/details/r/C2138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816F32-3987-41C9-84E4-FFB1703E2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10</Pages>
  <Words>2158</Words>
  <Characters>12282</Characters>
  <Application>Microsoft Office Word</Application>
  <DocSecurity>0</DocSecurity>
  <Lines>272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Gillson-Gant</dc:creator>
  <cp:keywords/>
  <dc:description/>
  <cp:lastModifiedBy>George Gillson-Gant</cp:lastModifiedBy>
  <cp:revision>17</cp:revision>
  <dcterms:created xsi:type="dcterms:W3CDTF">2020-11-14T21:14:00Z</dcterms:created>
  <dcterms:modified xsi:type="dcterms:W3CDTF">2020-11-15T15:04:00Z</dcterms:modified>
</cp:coreProperties>
</file>