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21176450"/>
        <w:docPartObj>
          <w:docPartGallery w:val="Cover Pages"/>
          <w:docPartUnique/>
        </w:docPartObj>
      </w:sdtPr>
      <w:sdtEndPr>
        <w:rPr>
          <w:rFonts w:ascii="Arial Black" w:hAnsi="Arial Black" w:cs="Arial"/>
        </w:rPr>
      </w:sdtEndPr>
      <w:sdtContent>
        <w:p w14:paraId="17BB71B6" w14:textId="037E6E96" w:rsidR="00872623" w:rsidRDefault="00872623">
          <w:r>
            <w:rPr>
              <w:noProof/>
            </w:rPr>
            <mc:AlternateContent>
              <mc:Choice Requires="wpg">
                <w:drawing>
                  <wp:anchor distT="0" distB="0" distL="114300" distR="114300" simplePos="0" relativeHeight="251659264" behindDoc="1" locked="0" layoutInCell="1" allowOverlap="1" wp14:anchorId="0D060399" wp14:editId="3AC4CC10">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A598FCA" w14:textId="6079BF6F" w:rsidR="00872623" w:rsidRPr="00872623" w:rsidRDefault="00872623">
                                      <w:pPr>
                                        <w:pStyle w:val="NoSpacing"/>
                                        <w:rPr>
                                          <w:rFonts w:ascii="Arial Black" w:hAnsi="Arial Black"/>
                                          <w:color w:val="FFFFFF" w:themeColor="background1"/>
                                          <w:sz w:val="32"/>
                                          <w:szCs w:val="32"/>
                                        </w:rPr>
                                      </w:pPr>
                                      <w:r w:rsidRPr="00872623">
                                        <w:rPr>
                                          <w:rFonts w:ascii="Arial Black" w:hAnsi="Arial Black"/>
                                          <w:color w:val="FFFFFF" w:themeColor="background1"/>
                                          <w:sz w:val="32"/>
                                          <w:szCs w:val="32"/>
                                        </w:rPr>
                                        <w:t>Student name: Catalin Dumitru</w:t>
                                      </w:r>
                                    </w:p>
                                  </w:sdtContent>
                                </w:sdt>
                                <w:p w14:paraId="58EE2CE5" w14:textId="25D856C4" w:rsidR="00872623" w:rsidRPr="00872623" w:rsidRDefault="00872623">
                                  <w:pPr>
                                    <w:pStyle w:val="NoSpacing"/>
                                    <w:rPr>
                                      <w:rFonts w:ascii="Arial Black" w:hAnsi="Arial Black"/>
                                      <w:caps/>
                                      <w:color w:val="FFFFFF" w:themeColor="background1"/>
                                    </w:rPr>
                                  </w:pPr>
                                  <w:sdt>
                                    <w:sdtPr>
                                      <w:rPr>
                                        <w:rFonts w:ascii="Arial Black" w:hAnsi="Arial Black"/>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Pr="00872623">
                                        <w:rPr>
                                          <w:rFonts w:ascii="Arial Black" w:hAnsi="Arial Black"/>
                                          <w:caps/>
                                          <w:color w:val="FFFFFF" w:themeColor="background1"/>
                                        </w:rPr>
                                        <w:t>Financial Management For Business Sustainability</w:t>
                                      </w:r>
                                    </w:sdtContent>
                                  </w:sdt>
                                  <w:r w:rsidRPr="00872623">
                                    <w:rPr>
                                      <w:rFonts w:ascii="Arial Black" w:hAnsi="Arial Black"/>
                                      <w:caps/>
                                      <w:color w:val="FFFFFF" w:themeColor="background1"/>
                                    </w:rPr>
                                    <w:t xml:space="preserve"> | </w:t>
                                  </w:r>
                                  <w:sdt>
                                    <w:sdtPr>
                                      <w:rPr>
                                        <w:rFonts w:ascii="Arial Black" w:hAnsi="Arial Black"/>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Pr="00872623">
                                        <w:rPr>
                                          <w:rFonts w:ascii="Arial Black" w:hAnsi="Arial Black"/>
                                          <w:caps/>
                                          <w:color w:val="FFFFFF" w:themeColor="background1"/>
                                        </w:rPr>
                                        <w:t>BMSP4011D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BAA1192" w14:textId="6ADF879B" w:rsidR="00872623" w:rsidRPr="00872623" w:rsidRDefault="00872623" w:rsidP="00872623">
                                      <w:pPr>
                                        <w:pStyle w:val="NoSpacing"/>
                                        <w:pBdr>
                                          <w:bottom w:val="single" w:sz="6" w:space="4" w:color="7F7F7F" w:themeColor="text1" w:themeTint="80"/>
                                        </w:pBdr>
                                        <w:jc w:val="center"/>
                                        <w:rPr>
                                          <w:rFonts w:ascii="Arial Black" w:eastAsiaTheme="majorEastAsia" w:hAnsi="Arial Black" w:cstheme="majorBidi"/>
                                          <w:color w:val="595959" w:themeColor="text1" w:themeTint="A6"/>
                                          <w:sz w:val="72"/>
                                          <w:szCs w:val="72"/>
                                        </w:rPr>
                                      </w:pPr>
                                      <w:r w:rsidRPr="00872623">
                                        <w:rPr>
                                          <w:rFonts w:ascii="Arial Black" w:eastAsiaTheme="majorEastAsia" w:hAnsi="Arial Black" w:cstheme="majorBidi"/>
                                          <w:color w:val="595959" w:themeColor="text1" w:themeTint="A6"/>
                                          <w:sz w:val="72"/>
                                          <w:szCs w:val="72"/>
                                        </w:rPr>
                                        <w:t>Financial Analysis</w:t>
                                      </w:r>
                                    </w:p>
                                  </w:sdtContent>
                                </w:sdt>
                                <w:sdt>
                                  <w:sdtPr>
                                    <w:rPr>
                                      <w:rFonts w:ascii="Arial Black" w:hAnsi="Arial Black"/>
                                      <w:caps/>
                                      <w:color w:val="0E2841" w:themeColor="text2"/>
                                      <w:sz w:val="48"/>
                                      <w:szCs w:val="4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67110CA" w14:textId="121A4769" w:rsidR="00872623" w:rsidRDefault="00872623" w:rsidP="00872623">
                                      <w:pPr>
                                        <w:pStyle w:val="NoSpacing"/>
                                        <w:spacing w:before="240"/>
                                        <w:jc w:val="center"/>
                                        <w:rPr>
                                          <w:caps/>
                                          <w:color w:val="0E2841" w:themeColor="text2"/>
                                          <w:sz w:val="36"/>
                                          <w:szCs w:val="36"/>
                                        </w:rPr>
                                      </w:pPr>
                                      <w:r w:rsidRPr="00872623">
                                        <w:rPr>
                                          <w:rFonts w:ascii="Arial Black" w:hAnsi="Arial Black"/>
                                          <w:caps/>
                                          <w:color w:val="0E2841" w:themeColor="text2"/>
                                          <w:sz w:val="48"/>
                                          <w:szCs w:val="48"/>
                                        </w:rPr>
                                        <w:t>AMAZON 2022-2023</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D060399"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rFonts w:ascii="Arial Black" w:hAnsi="Arial Black"/>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A598FCA" w14:textId="6079BF6F" w:rsidR="00872623" w:rsidRPr="00872623" w:rsidRDefault="00872623">
                                <w:pPr>
                                  <w:pStyle w:val="NoSpacing"/>
                                  <w:rPr>
                                    <w:rFonts w:ascii="Arial Black" w:hAnsi="Arial Black"/>
                                    <w:color w:val="FFFFFF" w:themeColor="background1"/>
                                    <w:sz w:val="32"/>
                                    <w:szCs w:val="32"/>
                                  </w:rPr>
                                </w:pPr>
                                <w:r w:rsidRPr="00872623">
                                  <w:rPr>
                                    <w:rFonts w:ascii="Arial Black" w:hAnsi="Arial Black"/>
                                    <w:color w:val="FFFFFF" w:themeColor="background1"/>
                                    <w:sz w:val="32"/>
                                    <w:szCs w:val="32"/>
                                  </w:rPr>
                                  <w:t>Student name: Catalin Dumitru</w:t>
                                </w:r>
                              </w:p>
                            </w:sdtContent>
                          </w:sdt>
                          <w:p w14:paraId="58EE2CE5" w14:textId="25D856C4" w:rsidR="00872623" w:rsidRPr="00872623" w:rsidRDefault="00872623">
                            <w:pPr>
                              <w:pStyle w:val="NoSpacing"/>
                              <w:rPr>
                                <w:rFonts w:ascii="Arial Black" w:hAnsi="Arial Black"/>
                                <w:caps/>
                                <w:color w:val="FFFFFF" w:themeColor="background1"/>
                              </w:rPr>
                            </w:pPr>
                            <w:sdt>
                              <w:sdtPr>
                                <w:rPr>
                                  <w:rFonts w:ascii="Arial Black" w:hAnsi="Arial Black"/>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Pr="00872623">
                                  <w:rPr>
                                    <w:rFonts w:ascii="Arial Black" w:hAnsi="Arial Black"/>
                                    <w:caps/>
                                    <w:color w:val="FFFFFF" w:themeColor="background1"/>
                                  </w:rPr>
                                  <w:t>Financial Management For Business Sustainability</w:t>
                                </w:r>
                              </w:sdtContent>
                            </w:sdt>
                            <w:r w:rsidRPr="00872623">
                              <w:rPr>
                                <w:rFonts w:ascii="Arial Black" w:hAnsi="Arial Black"/>
                                <w:caps/>
                                <w:color w:val="FFFFFF" w:themeColor="background1"/>
                              </w:rPr>
                              <w:t xml:space="preserve"> | </w:t>
                            </w:r>
                            <w:sdt>
                              <w:sdtPr>
                                <w:rPr>
                                  <w:rFonts w:ascii="Arial Black" w:hAnsi="Arial Black"/>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Pr="00872623">
                                  <w:rPr>
                                    <w:rFonts w:ascii="Arial Black" w:hAnsi="Arial Black"/>
                                    <w:caps/>
                                    <w:color w:val="FFFFFF" w:themeColor="background1"/>
                                  </w:rPr>
                                  <w:t>BMSP4011D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Black" w:eastAsiaTheme="majorEastAsia" w:hAnsi="Arial Black"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BAA1192" w14:textId="6ADF879B" w:rsidR="00872623" w:rsidRPr="00872623" w:rsidRDefault="00872623" w:rsidP="00872623">
                                <w:pPr>
                                  <w:pStyle w:val="NoSpacing"/>
                                  <w:pBdr>
                                    <w:bottom w:val="single" w:sz="6" w:space="4" w:color="7F7F7F" w:themeColor="text1" w:themeTint="80"/>
                                  </w:pBdr>
                                  <w:jc w:val="center"/>
                                  <w:rPr>
                                    <w:rFonts w:ascii="Arial Black" w:eastAsiaTheme="majorEastAsia" w:hAnsi="Arial Black" w:cstheme="majorBidi"/>
                                    <w:color w:val="595959" w:themeColor="text1" w:themeTint="A6"/>
                                    <w:sz w:val="72"/>
                                    <w:szCs w:val="72"/>
                                  </w:rPr>
                                </w:pPr>
                                <w:r w:rsidRPr="00872623">
                                  <w:rPr>
                                    <w:rFonts w:ascii="Arial Black" w:eastAsiaTheme="majorEastAsia" w:hAnsi="Arial Black" w:cstheme="majorBidi"/>
                                    <w:color w:val="595959" w:themeColor="text1" w:themeTint="A6"/>
                                    <w:sz w:val="72"/>
                                    <w:szCs w:val="72"/>
                                  </w:rPr>
                                  <w:t>Financial Analysis</w:t>
                                </w:r>
                              </w:p>
                            </w:sdtContent>
                          </w:sdt>
                          <w:sdt>
                            <w:sdtPr>
                              <w:rPr>
                                <w:rFonts w:ascii="Arial Black" w:hAnsi="Arial Black"/>
                                <w:caps/>
                                <w:color w:val="0E2841" w:themeColor="text2"/>
                                <w:sz w:val="48"/>
                                <w:szCs w:val="4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67110CA" w14:textId="121A4769" w:rsidR="00872623" w:rsidRDefault="00872623" w:rsidP="00872623">
                                <w:pPr>
                                  <w:pStyle w:val="NoSpacing"/>
                                  <w:spacing w:before="240"/>
                                  <w:jc w:val="center"/>
                                  <w:rPr>
                                    <w:caps/>
                                    <w:color w:val="0E2841" w:themeColor="text2"/>
                                    <w:sz w:val="36"/>
                                    <w:szCs w:val="36"/>
                                  </w:rPr>
                                </w:pPr>
                                <w:r w:rsidRPr="00872623">
                                  <w:rPr>
                                    <w:rFonts w:ascii="Arial Black" w:hAnsi="Arial Black"/>
                                    <w:caps/>
                                    <w:color w:val="0E2841" w:themeColor="text2"/>
                                    <w:sz w:val="48"/>
                                    <w:szCs w:val="48"/>
                                  </w:rPr>
                                  <w:t>AMAZON 2022-2023</w:t>
                                </w:r>
                              </w:p>
                            </w:sdtContent>
                          </w:sdt>
                        </w:txbxContent>
                      </v:textbox>
                    </v:shape>
                    <w10:wrap anchorx="page" anchory="page"/>
                  </v:group>
                </w:pict>
              </mc:Fallback>
            </mc:AlternateContent>
          </w:r>
        </w:p>
        <w:p w14:paraId="02A6D2D3" w14:textId="1F41FD6A" w:rsidR="00872623" w:rsidRDefault="00872623">
          <w:pPr>
            <w:rPr>
              <w:rFonts w:ascii="Arial Black" w:hAnsi="Arial Black" w:cs="Arial"/>
            </w:rPr>
          </w:pPr>
          <w:r>
            <w:rPr>
              <w:rFonts w:ascii="Arial Black" w:hAnsi="Arial Black" w:cs="Arial"/>
            </w:rPr>
            <w:br w:type="page"/>
          </w:r>
        </w:p>
      </w:sdtContent>
    </w:sdt>
    <w:p w14:paraId="2919958B" w14:textId="1D989C09" w:rsidR="001656BF" w:rsidRPr="00872623" w:rsidRDefault="001656BF" w:rsidP="001656BF">
      <w:pPr>
        <w:spacing w:line="480" w:lineRule="auto"/>
        <w:rPr>
          <w:rFonts w:ascii="Arial Black" w:hAnsi="Arial Black" w:cs="Arial"/>
        </w:rPr>
      </w:pPr>
      <w:r w:rsidRPr="00872623">
        <w:rPr>
          <w:rFonts w:ascii="Arial Black" w:hAnsi="Arial Black" w:cs="Arial"/>
        </w:rPr>
        <w:lastRenderedPageBreak/>
        <w:t>Executive Summary</w:t>
      </w:r>
    </w:p>
    <w:p w14:paraId="5543877A" w14:textId="77777777" w:rsidR="001656BF" w:rsidRDefault="001656BF" w:rsidP="001656BF">
      <w:pPr>
        <w:spacing w:line="480" w:lineRule="auto"/>
        <w:rPr>
          <w:rFonts w:ascii="Arial" w:hAnsi="Arial" w:cs="Arial"/>
        </w:rPr>
      </w:pPr>
      <w:r w:rsidRPr="001656BF">
        <w:rPr>
          <w:rFonts w:ascii="Arial" w:hAnsi="Arial" w:cs="Arial"/>
        </w:rPr>
        <w:t>This report provides a comprehensive review of Amazon.com, Inc.'s financial ratio analysis for the fiscal years 2022 and 2023. The analyses will utili</w:t>
      </w:r>
      <w:r>
        <w:rPr>
          <w:rFonts w:ascii="Arial" w:hAnsi="Arial" w:cs="Arial"/>
        </w:rPr>
        <w:t>s</w:t>
      </w:r>
      <w:r w:rsidRPr="001656BF">
        <w:rPr>
          <w:rFonts w:ascii="Arial" w:hAnsi="Arial" w:cs="Arial"/>
        </w:rPr>
        <w:t>e profitability, liquidity, solvency and efficiency ratios to assess the performance trends and underlying drivers of performance. The main findings are:</w:t>
      </w:r>
    </w:p>
    <w:p w14:paraId="697B1A00" w14:textId="77777777" w:rsidR="001656BF" w:rsidRPr="001656BF" w:rsidRDefault="001656BF" w:rsidP="001656BF">
      <w:pPr>
        <w:pStyle w:val="ListParagraph"/>
        <w:numPr>
          <w:ilvl w:val="0"/>
          <w:numId w:val="1"/>
        </w:numPr>
        <w:spacing w:line="480" w:lineRule="auto"/>
        <w:rPr>
          <w:rFonts w:ascii="Arial" w:hAnsi="Arial" w:cs="Arial"/>
        </w:rPr>
      </w:pPr>
      <w:r w:rsidRPr="001656BF">
        <w:rPr>
          <w:rFonts w:ascii="Arial" w:hAnsi="Arial" w:cs="Arial"/>
        </w:rPr>
        <w:t xml:space="preserve">Revenue: Amazon where able to grow their revenue by 11.9%, from US $514.0 billion in 2022 to US $575.0 billion in 2023, indicating that they </w:t>
      </w:r>
      <w:r w:rsidRPr="001656BF">
        <w:rPr>
          <w:rFonts w:ascii="Arial" w:hAnsi="Arial" w:cs="Arial"/>
        </w:rPr>
        <w:t>can</w:t>
      </w:r>
      <w:r w:rsidRPr="001656BF">
        <w:rPr>
          <w:rFonts w:ascii="Arial" w:hAnsi="Arial" w:cs="Arial"/>
        </w:rPr>
        <w:t xml:space="preserve"> continue to grow on the top</w:t>
      </w:r>
      <w:r w:rsidRPr="001656BF">
        <w:rPr>
          <w:rFonts w:ascii="Cambria Math" w:hAnsi="Cambria Math" w:cs="Cambria Math"/>
        </w:rPr>
        <w:t>‑</w:t>
      </w:r>
      <w:r w:rsidRPr="001656BF">
        <w:rPr>
          <w:rFonts w:ascii="Arial" w:hAnsi="Arial" w:cs="Arial"/>
        </w:rPr>
        <w:t>line despite global macroeconomic headwinds (Amazon.com, Inc., 2022; Amazon.com, Inc., 2023)</w:t>
      </w:r>
      <w:r w:rsidRPr="001656BF">
        <w:rPr>
          <w:rFonts w:ascii="Arial" w:hAnsi="Arial" w:cs="Arial"/>
        </w:rPr>
        <w:t>.</w:t>
      </w:r>
    </w:p>
    <w:p w14:paraId="0C996884" w14:textId="77777777" w:rsidR="001656BF" w:rsidRPr="001656BF" w:rsidRDefault="001656BF" w:rsidP="001656BF">
      <w:pPr>
        <w:pStyle w:val="ListParagraph"/>
        <w:numPr>
          <w:ilvl w:val="0"/>
          <w:numId w:val="1"/>
        </w:numPr>
        <w:spacing w:line="480" w:lineRule="auto"/>
        <w:rPr>
          <w:rFonts w:ascii="Arial" w:hAnsi="Arial" w:cs="Arial"/>
        </w:rPr>
      </w:pPr>
      <w:r w:rsidRPr="001656BF">
        <w:rPr>
          <w:rFonts w:ascii="Arial" w:hAnsi="Arial" w:cs="Arial"/>
        </w:rPr>
        <w:t>Profitability: Amazon reported an increased operating margin from 2.4% to 6.4%, and a net profit margin swing from -0.5% to 5.3%. The improvements in margins could be attributed to their level of operating discipline, controls on costs and investments in automation, and revenue growth coming from AWS and advertising, areas of the business with higher margins (Attrill &amp; McLaney, 2015; Antonopoulos, 2023).</w:t>
      </w:r>
    </w:p>
    <w:p w14:paraId="7AE32CE7" w14:textId="77777777" w:rsidR="001656BF" w:rsidRPr="001656BF" w:rsidRDefault="001656BF" w:rsidP="001656BF">
      <w:pPr>
        <w:pStyle w:val="ListParagraph"/>
        <w:numPr>
          <w:ilvl w:val="0"/>
          <w:numId w:val="1"/>
        </w:numPr>
        <w:spacing w:line="480" w:lineRule="auto"/>
        <w:rPr>
          <w:rFonts w:ascii="Arial" w:hAnsi="Arial" w:cs="Arial"/>
        </w:rPr>
      </w:pPr>
      <w:r w:rsidRPr="001656BF">
        <w:rPr>
          <w:rFonts w:ascii="Arial" w:hAnsi="Arial" w:cs="Arial"/>
        </w:rPr>
        <w:t>Cash Flow: Amazon reported a positive free cash flow margin of 6.2% in 2023, and -2.5% in 2022. The positive cash flow could be attributed to improvement in the management of their working capital and optimi</w:t>
      </w:r>
      <w:r w:rsidRPr="001656BF">
        <w:rPr>
          <w:rFonts w:ascii="Arial" w:hAnsi="Arial" w:cs="Arial"/>
        </w:rPr>
        <w:t>s</w:t>
      </w:r>
      <w:r w:rsidRPr="001656BF">
        <w:rPr>
          <w:rFonts w:ascii="Arial" w:hAnsi="Arial" w:cs="Arial"/>
        </w:rPr>
        <w:t>ing their delivery networks (Amiri &amp; Vida, 2023; Cruz Lopez, 2023).</w:t>
      </w:r>
    </w:p>
    <w:p w14:paraId="7129D221" w14:textId="77777777" w:rsidR="001656BF" w:rsidRPr="001656BF" w:rsidRDefault="001656BF" w:rsidP="001656BF">
      <w:pPr>
        <w:pStyle w:val="ListParagraph"/>
        <w:numPr>
          <w:ilvl w:val="0"/>
          <w:numId w:val="1"/>
        </w:numPr>
        <w:spacing w:line="480" w:lineRule="auto"/>
        <w:rPr>
          <w:rFonts w:ascii="Arial" w:hAnsi="Arial" w:cs="Arial"/>
        </w:rPr>
      </w:pPr>
      <w:r w:rsidRPr="001656BF">
        <w:rPr>
          <w:rFonts w:ascii="Arial" w:hAnsi="Arial" w:cs="Arial"/>
        </w:rPr>
        <w:t>Liquidity &amp; Solvency: Both the current ratio had increased from 0.95 to 1.05, the quick ratio also increased which from 0.72 to 0.84 and their debt-to-assets ratio decreased from 0.68 to 0.62. The analyses indicates that the company has improved in terms of short-term coverage and has decreased their leverage (Bhimani &amp; Horngren, 2008; Wood, 2015).</w:t>
      </w:r>
    </w:p>
    <w:p w14:paraId="679160D7" w14:textId="3F38D069" w:rsidR="001656BF" w:rsidRPr="001656BF" w:rsidRDefault="001656BF" w:rsidP="001656BF">
      <w:pPr>
        <w:pStyle w:val="ListParagraph"/>
        <w:numPr>
          <w:ilvl w:val="0"/>
          <w:numId w:val="1"/>
        </w:numPr>
        <w:spacing w:line="480" w:lineRule="auto"/>
        <w:rPr>
          <w:rFonts w:ascii="Arial" w:hAnsi="Arial" w:cs="Arial"/>
        </w:rPr>
      </w:pPr>
      <w:r w:rsidRPr="001656BF">
        <w:rPr>
          <w:rFonts w:ascii="Arial" w:hAnsi="Arial" w:cs="Arial"/>
        </w:rPr>
        <w:lastRenderedPageBreak/>
        <w:t>Efficiency: Amazon was able to improve efficiency with an increase in inventory turnover from 8.6x to 9.0x. They were able to maintain their asset turnover ratio at 1.16x. The increase in inventory use reflects improved operation management of reversing their inventory turnover, and higher inventory utili</w:t>
      </w:r>
      <w:r w:rsidRPr="001656BF">
        <w:rPr>
          <w:rFonts w:ascii="Arial" w:hAnsi="Arial" w:cs="Arial"/>
        </w:rPr>
        <w:t>s</w:t>
      </w:r>
      <w:r w:rsidRPr="001656BF">
        <w:rPr>
          <w:rFonts w:ascii="Arial" w:hAnsi="Arial" w:cs="Arial"/>
        </w:rPr>
        <w:t>ation with a stable asset utili</w:t>
      </w:r>
      <w:r w:rsidRPr="001656BF">
        <w:rPr>
          <w:rFonts w:ascii="Arial" w:hAnsi="Arial" w:cs="Arial"/>
        </w:rPr>
        <w:t>s</w:t>
      </w:r>
      <w:r w:rsidRPr="001656BF">
        <w:rPr>
          <w:rFonts w:ascii="Arial" w:hAnsi="Arial" w:cs="Arial"/>
        </w:rPr>
        <w:t>ation (Lucey, 2009; Dyson, 2010).</w:t>
      </w:r>
    </w:p>
    <w:p w14:paraId="77F6ECB2" w14:textId="1C9FCE2B" w:rsidR="001656BF" w:rsidRPr="001656BF" w:rsidRDefault="001656BF" w:rsidP="001656BF">
      <w:pPr>
        <w:spacing w:line="480" w:lineRule="auto"/>
        <w:rPr>
          <w:rFonts w:ascii="Arial" w:hAnsi="Arial" w:cs="Arial"/>
        </w:rPr>
      </w:pPr>
      <w:r w:rsidRPr="001656BF">
        <w:rPr>
          <w:rFonts w:ascii="Arial" w:hAnsi="Arial" w:cs="Arial"/>
        </w:rPr>
        <w:t>In addition, a sustainability section is presented that will give a review of Amazon's environmental and social activities. Identifying potential areas where Amazon can better integrate</w:t>
      </w:r>
      <w:r>
        <w:rPr>
          <w:rFonts w:ascii="Arial" w:hAnsi="Arial" w:cs="Arial"/>
        </w:rPr>
        <w:t xml:space="preserve"> </w:t>
      </w:r>
      <w:r w:rsidRPr="001656BF">
        <w:rPr>
          <w:rFonts w:ascii="Arial" w:hAnsi="Arial" w:cs="Arial"/>
        </w:rPr>
        <w:t xml:space="preserve">renewable energy, circular packaging, and stakeholder </w:t>
      </w:r>
      <w:r w:rsidRPr="001656BF">
        <w:rPr>
          <w:rFonts w:ascii="Arial" w:hAnsi="Arial" w:cs="Arial"/>
        </w:rPr>
        <w:t>engagement for</w:t>
      </w:r>
      <w:r w:rsidRPr="001656BF">
        <w:rPr>
          <w:rFonts w:ascii="Arial" w:hAnsi="Arial" w:cs="Arial"/>
        </w:rPr>
        <w:t xml:space="preserve"> better long-term resiliency (Bux &amp; </w:t>
      </w:r>
      <w:proofErr w:type="spellStart"/>
      <w:r w:rsidRPr="001656BF">
        <w:rPr>
          <w:rFonts w:ascii="Arial" w:hAnsi="Arial" w:cs="Arial"/>
        </w:rPr>
        <w:t>Amicarelli</w:t>
      </w:r>
      <w:proofErr w:type="spellEnd"/>
      <w:r w:rsidRPr="001656BF">
        <w:rPr>
          <w:rFonts w:ascii="Arial" w:hAnsi="Arial" w:cs="Arial"/>
        </w:rPr>
        <w:t>, 2022; Bari, 2023</w:t>
      </w:r>
      <w:r w:rsidRPr="001656BF">
        <w:rPr>
          <w:rFonts w:ascii="Arial" w:hAnsi="Arial" w:cs="Arial"/>
        </w:rPr>
        <w:t>). The</w:t>
      </w:r>
      <w:r w:rsidRPr="001656BF">
        <w:rPr>
          <w:rFonts w:ascii="Arial" w:hAnsi="Arial" w:cs="Arial"/>
        </w:rPr>
        <w:t xml:space="preserve"> recommendations emphasi</w:t>
      </w:r>
      <w:r>
        <w:rPr>
          <w:rFonts w:ascii="Arial" w:hAnsi="Arial" w:cs="Arial"/>
        </w:rPr>
        <w:t>s</w:t>
      </w:r>
      <w:r w:rsidRPr="001656BF">
        <w:rPr>
          <w:rFonts w:ascii="Arial" w:hAnsi="Arial" w:cs="Arial"/>
        </w:rPr>
        <w:t xml:space="preserve">e further automation, growth and expansion of higher margin services, disciplined capital allocation and sustainable practices embedded throughout the delivery aspects of the meeting the customers' needs. The ratio framework supports sound managerial decisions and supports Amazon in particular, in identifying areas for improvement for financial performance and sustainability. </w:t>
      </w:r>
    </w:p>
    <w:p w14:paraId="56E3566F" w14:textId="77777777" w:rsidR="001656BF" w:rsidRPr="001656BF" w:rsidRDefault="001656BF" w:rsidP="001656BF">
      <w:pPr>
        <w:spacing w:line="480" w:lineRule="auto"/>
        <w:rPr>
          <w:rFonts w:ascii="Arial" w:hAnsi="Arial" w:cs="Arial"/>
        </w:rPr>
      </w:pPr>
    </w:p>
    <w:p w14:paraId="6A77BE35" w14:textId="77777777" w:rsidR="001656BF" w:rsidRPr="001656BF" w:rsidRDefault="001656BF" w:rsidP="001656BF">
      <w:pPr>
        <w:spacing w:line="480" w:lineRule="auto"/>
        <w:rPr>
          <w:rFonts w:ascii="Arial" w:hAnsi="Arial" w:cs="Arial"/>
        </w:rPr>
      </w:pPr>
    </w:p>
    <w:p w14:paraId="632200DD" w14:textId="77777777" w:rsidR="001656BF" w:rsidRDefault="001656BF" w:rsidP="001656BF">
      <w:pPr>
        <w:spacing w:line="480" w:lineRule="auto"/>
        <w:rPr>
          <w:rFonts w:ascii="Arial" w:hAnsi="Arial" w:cs="Arial"/>
        </w:rPr>
      </w:pPr>
    </w:p>
    <w:p w14:paraId="40BC0D77" w14:textId="77777777" w:rsidR="001656BF" w:rsidRDefault="001656BF" w:rsidP="001656BF">
      <w:pPr>
        <w:spacing w:line="480" w:lineRule="auto"/>
        <w:rPr>
          <w:rFonts w:ascii="Arial" w:hAnsi="Arial" w:cs="Arial"/>
        </w:rPr>
      </w:pPr>
    </w:p>
    <w:p w14:paraId="5EDE92AD" w14:textId="77777777" w:rsidR="001656BF" w:rsidRDefault="001656BF" w:rsidP="001656BF">
      <w:pPr>
        <w:spacing w:line="480" w:lineRule="auto"/>
        <w:rPr>
          <w:rFonts w:ascii="Arial" w:hAnsi="Arial" w:cs="Arial"/>
        </w:rPr>
      </w:pPr>
    </w:p>
    <w:p w14:paraId="783CA9CF" w14:textId="77777777" w:rsidR="001656BF" w:rsidRDefault="001656BF" w:rsidP="001656BF">
      <w:pPr>
        <w:spacing w:line="480" w:lineRule="auto"/>
        <w:rPr>
          <w:rFonts w:ascii="Arial" w:hAnsi="Arial" w:cs="Arial"/>
        </w:rPr>
      </w:pPr>
    </w:p>
    <w:p w14:paraId="4B85746C" w14:textId="77777777" w:rsidR="001656BF" w:rsidRDefault="001656BF" w:rsidP="001656BF">
      <w:pPr>
        <w:spacing w:line="480" w:lineRule="auto"/>
        <w:rPr>
          <w:rFonts w:ascii="Arial" w:hAnsi="Arial" w:cs="Arial"/>
        </w:rPr>
      </w:pPr>
    </w:p>
    <w:p w14:paraId="5285723E" w14:textId="77777777" w:rsidR="001656BF" w:rsidRDefault="001656BF" w:rsidP="001656BF">
      <w:pPr>
        <w:spacing w:line="480" w:lineRule="auto"/>
        <w:rPr>
          <w:rFonts w:ascii="Arial" w:hAnsi="Arial" w:cs="Arial"/>
        </w:rPr>
      </w:pPr>
    </w:p>
    <w:p w14:paraId="52732342" w14:textId="0290D56B" w:rsidR="001656BF" w:rsidRPr="00872623" w:rsidRDefault="001656BF" w:rsidP="001656BF">
      <w:pPr>
        <w:pStyle w:val="ListParagraph"/>
        <w:numPr>
          <w:ilvl w:val="0"/>
          <w:numId w:val="2"/>
        </w:numPr>
        <w:spacing w:line="480" w:lineRule="auto"/>
        <w:rPr>
          <w:rFonts w:ascii="Arial Black" w:hAnsi="Arial Black" w:cs="Arial"/>
        </w:rPr>
      </w:pPr>
      <w:r w:rsidRPr="00872623">
        <w:rPr>
          <w:rFonts w:ascii="Arial Black" w:hAnsi="Arial Black" w:cs="Arial"/>
        </w:rPr>
        <w:lastRenderedPageBreak/>
        <w:t xml:space="preserve">Introduction </w:t>
      </w:r>
    </w:p>
    <w:p w14:paraId="68279EE9" w14:textId="0FC1EE4A" w:rsidR="001656BF" w:rsidRPr="001656BF" w:rsidRDefault="001656BF" w:rsidP="001656BF">
      <w:pPr>
        <w:spacing w:line="480" w:lineRule="auto"/>
        <w:rPr>
          <w:rFonts w:ascii="Arial" w:hAnsi="Arial" w:cs="Arial"/>
        </w:rPr>
      </w:pPr>
      <w:r w:rsidRPr="001656BF">
        <w:rPr>
          <w:rFonts w:ascii="Arial" w:hAnsi="Arial" w:cs="Arial"/>
        </w:rPr>
        <w:t xml:space="preserve">The analysis of financial ratios is an integral part of management accounting, as it provides a translation of statement data into potential measures of profitability, liquidity, solvency, and efficiency (Horngren et al., 2002; Foster &amp; Gupta, 1994). By comparing ratios of two years, an enterprise can diagnose strengths, expose new risks and develop plans to improve performance (Bhimani &amp; Horngren, 2008). The ratio analysis method is applied in this report to Amazon.com, Inc., using the 2022 and 2023 Annual Reports published by this enterprise (Amazon.com, Inc., 2022; Amazon.com, Inc., 2023). The financial trend analysis considers marketing strategy literature (Amiri &amp; Vida, 2023) and responses to environmental accounting (Bux &amp; </w:t>
      </w:r>
      <w:proofErr w:type="spellStart"/>
      <w:r w:rsidRPr="001656BF">
        <w:rPr>
          <w:rFonts w:ascii="Arial" w:hAnsi="Arial" w:cs="Arial"/>
        </w:rPr>
        <w:t>Amicarelli</w:t>
      </w:r>
      <w:proofErr w:type="spellEnd"/>
      <w:r w:rsidRPr="001656BF">
        <w:rPr>
          <w:rFonts w:ascii="Arial" w:hAnsi="Arial" w:cs="Arial"/>
        </w:rPr>
        <w:t xml:space="preserve">, 2022). </w:t>
      </w:r>
    </w:p>
    <w:p w14:paraId="2C83E2B3" w14:textId="00FA4347" w:rsidR="001656BF" w:rsidRPr="00872623" w:rsidRDefault="001656BF" w:rsidP="001656BF">
      <w:pPr>
        <w:pStyle w:val="ListParagraph"/>
        <w:numPr>
          <w:ilvl w:val="0"/>
          <w:numId w:val="2"/>
        </w:numPr>
        <w:spacing w:line="480" w:lineRule="auto"/>
        <w:rPr>
          <w:rFonts w:ascii="Arial Black" w:hAnsi="Arial Black" w:cs="Arial"/>
        </w:rPr>
      </w:pPr>
      <w:r w:rsidRPr="00872623">
        <w:rPr>
          <w:rFonts w:ascii="Arial Black" w:hAnsi="Arial Black" w:cs="Arial"/>
        </w:rPr>
        <w:t>Summary of Financial Statements</w:t>
      </w:r>
    </w:p>
    <w:p w14:paraId="5DC61E2D" w14:textId="77777777" w:rsidR="001656BF" w:rsidRPr="001656BF" w:rsidRDefault="001656BF" w:rsidP="001656BF">
      <w:pPr>
        <w:spacing w:line="480" w:lineRule="auto"/>
        <w:rPr>
          <w:rFonts w:ascii="Arial" w:hAnsi="Arial" w:cs="Arial"/>
        </w:rPr>
      </w:pPr>
      <w:r w:rsidRPr="001656BF">
        <w:rPr>
          <w:rFonts w:ascii="Arial" w:hAnsi="Arial" w:cs="Arial"/>
        </w:rPr>
        <w:t>Selected summary figures taken from Amazon's consolidated financial statements are as follows:</w:t>
      </w:r>
    </w:p>
    <w:tbl>
      <w:tblPr>
        <w:tblW w:w="0" w:type="auto"/>
        <w:tblCellSpacing w:w="15"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tblCellMar>
          <w:top w:w="15" w:type="dxa"/>
          <w:left w:w="15" w:type="dxa"/>
          <w:bottom w:w="15" w:type="dxa"/>
          <w:right w:w="15" w:type="dxa"/>
        </w:tblCellMar>
        <w:tblLook w:val="04A0" w:firstRow="1" w:lastRow="0" w:firstColumn="1" w:lastColumn="0" w:noHBand="0" w:noVBand="1"/>
      </w:tblPr>
      <w:tblGrid>
        <w:gridCol w:w="4407"/>
        <w:gridCol w:w="2285"/>
        <w:gridCol w:w="2286"/>
      </w:tblGrid>
      <w:tr w:rsidR="001656BF" w:rsidRPr="001656BF" w14:paraId="16BC0626" w14:textId="77777777" w:rsidTr="00872623">
        <w:trPr>
          <w:trHeight w:val="346"/>
          <w:tblHeader/>
          <w:tblCellSpacing w:w="15" w:type="dxa"/>
        </w:trPr>
        <w:tc>
          <w:tcPr>
            <w:tcW w:w="4362" w:type="dxa"/>
            <w:shd w:val="clear" w:color="auto" w:fill="FFC000"/>
            <w:vAlign w:val="center"/>
            <w:hideMark/>
          </w:tcPr>
          <w:p w14:paraId="77101532" w14:textId="77777777" w:rsidR="001656BF" w:rsidRPr="001656BF" w:rsidRDefault="001656BF" w:rsidP="001656BF">
            <w:pPr>
              <w:spacing w:after="0" w:line="240" w:lineRule="auto"/>
              <w:jc w:val="center"/>
              <w:rPr>
                <w:rFonts w:ascii="Arial" w:eastAsia="Times New Roman" w:hAnsi="Arial" w:cs="Arial"/>
                <w:b/>
                <w:bCs/>
                <w:kern w:val="0"/>
                <w:lang w:eastAsia="en-GB"/>
                <w14:ligatures w14:val="none"/>
              </w:rPr>
            </w:pPr>
            <w:r w:rsidRPr="001656BF">
              <w:rPr>
                <w:rFonts w:ascii="Arial" w:eastAsia="Times New Roman" w:hAnsi="Arial" w:cs="Arial"/>
                <w:b/>
                <w:bCs/>
                <w:kern w:val="0"/>
                <w:lang w:eastAsia="en-GB"/>
                <w14:ligatures w14:val="none"/>
              </w:rPr>
              <w:t>Metric</w:t>
            </w:r>
          </w:p>
        </w:tc>
        <w:tc>
          <w:tcPr>
            <w:tcW w:w="2255" w:type="dxa"/>
            <w:shd w:val="clear" w:color="auto" w:fill="FFC000"/>
            <w:vAlign w:val="center"/>
            <w:hideMark/>
          </w:tcPr>
          <w:p w14:paraId="3F0A25D0" w14:textId="77777777" w:rsidR="001656BF" w:rsidRPr="001656BF" w:rsidRDefault="001656BF" w:rsidP="001656BF">
            <w:pPr>
              <w:spacing w:after="0" w:line="240" w:lineRule="auto"/>
              <w:jc w:val="center"/>
              <w:rPr>
                <w:rFonts w:ascii="Arial" w:eastAsia="Times New Roman" w:hAnsi="Arial" w:cs="Arial"/>
                <w:b/>
                <w:bCs/>
                <w:kern w:val="0"/>
                <w:lang w:eastAsia="en-GB"/>
                <w14:ligatures w14:val="none"/>
              </w:rPr>
            </w:pPr>
            <w:r w:rsidRPr="001656BF">
              <w:rPr>
                <w:rFonts w:ascii="Arial" w:eastAsia="Times New Roman" w:hAnsi="Arial" w:cs="Arial"/>
                <w:b/>
                <w:bCs/>
                <w:kern w:val="0"/>
                <w:lang w:eastAsia="en-GB"/>
                <w14:ligatures w14:val="none"/>
              </w:rPr>
              <w:t>2022</w:t>
            </w:r>
          </w:p>
        </w:tc>
        <w:tc>
          <w:tcPr>
            <w:tcW w:w="2241" w:type="dxa"/>
            <w:shd w:val="clear" w:color="auto" w:fill="FFC000"/>
            <w:vAlign w:val="center"/>
            <w:hideMark/>
          </w:tcPr>
          <w:p w14:paraId="03595FC7" w14:textId="77777777" w:rsidR="001656BF" w:rsidRPr="001656BF" w:rsidRDefault="001656BF" w:rsidP="001656BF">
            <w:pPr>
              <w:spacing w:after="0" w:line="240" w:lineRule="auto"/>
              <w:jc w:val="center"/>
              <w:rPr>
                <w:rFonts w:ascii="Arial" w:eastAsia="Times New Roman" w:hAnsi="Arial" w:cs="Arial"/>
                <w:b/>
                <w:bCs/>
                <w:kern w:val="0"/>
                <w:lang w:eastAsia="en-GB"/>
                <w14:ligatures w14:val="none"/>
              </w:rPr>
            </w:pPr>
            <w:r w:rsidRPr="001656BF">
              <w:rPr>
                <w:rFonts w:ascii="Arial" w:eastAsia="Times New Roman" w:hAnsi="Arial" w:cs="Arial"/>
                <w:b/>
                <w:bCs/>
                <w:kern w:val="0"/>
                <w:lang w:eastAsia="en-GB"/>
                <w14:ligatures w14:val="none"/>
              </w:rPr>
              <w:t>2023</w:t>
            </w:r>
          </w:p>
        </w:tc>
      </w:tr>
      <w:tr w:rsidR="001656BF" w:rsidRPr="001656BF" w14:paraId="6281489D" w14:textId="77777777" w:rsidTr="00872623">
        <w:trPr>
          <w:trHeight w:val="333"/>
          <w:tblCellSpacing w:w="15" w:type="dxa"/>
        </w:trPr>
        <w:tc>
          <w:tcPr>
            <w:tcW w:w="4362" w:type="dxa"/>
            <w:shd w:val="clear" w:color="auto" w:fill="FFC000"/>
            <w:vAlign w:val="center"/>
            <w:hideMark/>
          </w:tcPr>
          <w:p w14:paraId="4644A3C4"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Revenue (US $ bn)</w:t>
            </w:r>
          </w:p>
        </w:tc>
        <w:tc>
          <w:tcPr>
            <w:tcW w:w="2255" w:type="dxa"/>
            <w:shd w:val="clear" w:color="auto" w:fill="FFC000"/>
            <w:vAlign w:val="center"/>
            <w:hideMark/>
          </w:tcPr>
          <w:p w14:paraId="524B6660"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 xml:space="preserve">514.0 </w:t>
            </w:r>
          </w:p>
        </w:tc>
        <w:tc>
          <w:tcPr>
            <w:tcW w:w="2241" w:type="dxa"/>
            <w:shd w:val="clear" w:color="auto" w:fill="FFC000"/>
            <w:vAlign w:val="center"/>
            <w:hideMark/>
          </w:tcPr>
          <w:p w14:paraId="31A3585A"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 xml:space="preserve">575.0 </w:t>
            </w:r>
          </w:p>
        </w:tc>
      </w:tr>
      <w:tr w:rsidR="001656BF" w:rsidRPr="001656BF" w14:paraId="747C1564" w14:textId="77777777" w:rsidTr="00872623">
        <w:trPr>
          <w:trHeight w:val="346"/>
          <w:tblCellSpacing w:w="15" w:type="dxa"/>
        </w:trPr>
        <w:tc>
          <w:tcPr>
            <w:tcW w:w="4362" w:type="dxa"/>
            <w:shd w:val="clear" w:color="auto" w:fill="FFC000"/>
            <w:vAlign w:val="center"/>
            <w:hideMark/>
          </w:tcPr>
          <w:p w14:paraId="14CB99A9"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Cost of Sales (US $ bn)</w:t>
            </w:r>
          </w:p>
        </w:tc>
        <w:tc>
          <w:tcPr>
            <w:tcW w:w="2255" w:type="dxa"/>
            <w:shd w:val="clear" w:color="auto" w:fill="FFC000"/>
            <w:vAlign w:val="center"/>
            <w:hideMark/>
          </w:tcPr>
          <w:p w14:paraId="61D2AE13"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288.8</w:t>
            </w:r>
          </w:p>
        </w:tc>
        <w:tc>
          <w:tcPr>
            <w:tcW w:w="2241" w:type="dxa"/>
            <w:shd w:val="clear" w:color="auto" w:fill="FFC000"/>
            <w:vAlign w:val="center"/>
            <w:hideMark/>
          </w:tcPr>
          <w:p w14:paraId="6A6D0C41"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304.7</w:t>
            </w:r>
          </w:p>
        </w:tc>
      </w:tr>
      <w:tr w:rsidR="001656BF" w:rsidRPr="001656BF" w14:paraId="49DD4072" w14:textId="77777777" w:rsidTr="00872623">
        <w:trPr>
          <w:trHeight w:val="333"/>
          <w:tblCellSpacing w:w="15" w:type="dxa"/>
        </w:trPr>
        <w:tc>
          <w:tcPr>
            <w:tcW w:w="4362" w:type="dxa"/>
            <w:shd w:val="clear" w:color="auto" w:fill="FFC000"/>
            <w:vAlign w:val="center"/>
            <w:hideMark/>
          </w:tcPr>
          <w:p w14:paraId="574DA03A"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Gross Profit (US $ bn)</w:t>
            </w:r>
          </w:p>
        </w:tc>
        <w:tc>
          <w:tcPr>
            <w:tcW w:w="2255" w:type="dxa"/>
            <w:shd w:val="clear" w:color="auto" w:fill="FFC000"/>
            <w:vAlign w:val="center"/>
            <w:hideMark/>
          </w:tcPr>
          <w:p w14:paraId="5808B77F"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225.2</w:t>
            </w:r>
          </w:p>
        </w:tc>
        <w:tc>
          <w:tcPr>
            <w:tcW w:w="2241" w:type="dxa"/>
            <w:shd w:val="clear" w:color="auto" w:fill="FFC000"/>
            <w:vAlign w:val="center"/>
            <w:hideMark/>
          </w:tcPr>
          <w:p w14:paraId="61746897"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270.0</w:t>
            </w:r>
          </w:p>
        </w:tc>
      </w:tr>
      <w:tr w:rsidR="001656BF" w:rsidRPr="001656BF" w14:paraId="0C34231A" w14:textId="77777777" w:rsidTr="00872623">
        <w:trPr>
          <w:trHeight w:val="346"/>
          <w:tblCellSpacing w:w="15" w:type="dxa"/>
        </w:trPr>
        <w:tc>
          <w:tcPr>
            <w:tcW w:w="4362" w:type="dxa"/>
            <w:shd w:val="clear" w:color="auto" w:fill="FFC000"/>
            <w:vAlign w:val="center"/>
            <w:hideMark/>
          </w:tcPr>
          <w:p w14:paraId="47FE3C37"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Operating Income (US $ bn)</w:t>
            </w:r>
          </w:p>
        </w:tc>
        <w:tc>
          <w:tcPr>
            <w:tcW w:w="2255" w:type="dxa"/>
            <w:shd w:val="clear" w:color="auto" w:fill="FFC000"/>
            <w:vAlign w:val="center"/>
            <w:hideMark/>
          </w:tcPr>
          <w:p w14:paraId="7F58EBE9"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 xml:space="preserve">12.2 </w:t>
            </w:r>
          </w:p>
        </w:tc>
        <w:tc>
          <w:tcPr>
            <w:tcW w:w="2241" w:type="dxa"/>
            <w:shd w:val="clear" w:color="auto" w:fill="FFC000"/>
            <w:vAlign w:val="center"/>
            <w:hideMark/>
          </w:tcPr>
          <w:p w14:paraId="115F32FF"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 xml:space="preserve">36.9 </w:t>
            </w:r>
          </w:p>
        </w:tc>
      </w:tr>
      <w:tr w:rsidR="001656BF" w:rsidRPr="001656BF" w14:paraId="02B8A72D" w14:textId="77777777" w:rsidTr="00872623">
        <w:trPr>
          <w:trHeight w:val="346"/>
          <w:tblCellSpacing w:w="15" w:type="dxa"/>
        </w:trPr>
        <w:tc>
          <w:tcPr>
            <w:tcW w:w="4362" w:type="dxa"/>
            <w:shd w:val="clear" w:color="auto" w:fill="FFC000"/>
            <w:vAlign w:val="center"/>
            <w:hideMark/>
          </w:tcPr>
          <w:p w14:paraId="47335457"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Net Income (US $ bn)</w:t>
            </w:r>
          </w:p>
        </w:tc>
        <w:tc>
          <w:tcPr>
            <w:tcW w:w="2255" w:type="dxa"/>
            <w:shd w:val="clear" w:color="auto" w:fill="FFC000"/>
            <w:vAlign w:val="center"/>
            <w:hideMark/>
          </w:tcPr>
          <w:p w14:paraId="17377AC7"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–2.7</w:t>
            </w:r>
          </w:p>
        </w:tc>
        <w:tc>
          <w:tcPr>
            <w:tcW w:w="2241" w:type="dxa"/>
            <w:shd w:val="clear" w:color="auto" w:fill="FFC000"/>
            <w:vAlign w:val="center"/>
            <w:hideMark/>
          </w:tcPr>
          <w:p w14:paraId="466DF0B8"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30.4</w:t>
            </w:r>
          </w:p>
        </w:tc>
      </w:tr>
      <w:tr w:rsidR="001656BF" w:rsidRPr="001656BF" w14:paraId="18DEA90F" w14:textId="77777777" w:rsidTr="00872623">
        <w:trPr>
          <w:trHeight w:val="333"/>
          <w:tblCellSpacing w:w="15" w:type="dxa"/>
        </w:trPr>
        <w:tc>
          <w:tcPr>
            <w:tcW w:w="4362" w:type="dxa"/>
            <w:shd w:val="clear" w:color="auto" w:fill="FFC000"/>
            <w:vAlign w:val="center"/>
            <w:hideMark/>
          </w:tcPr>
          <w:p w14:paraId="00F22525"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Total Assets (US $ bn)</w:t>
            </w:r>
          </w:p>
        </w:tc>
        <w:tc>
          <w:tcPr>
            <w:tcW w:w="2255" w:type="dxa"/>
            <w:shd w:val="clear" w:color="auto" w:fill="FFC000"/>
            <w:vAlign w:val="center"/>
            <w:hideMark/>
          </w:tcPr>
          <w:p w14:paraId="6487ADF8"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462.7</w:t>
            </w:r>
          </w:p>
        </w:tc>
        <w:tc>
          <w:tcPr>
            <w:tcW w:w="2241" w:type="dxa"/>
            <w:shd w:val="clear" w:color="auto" w:fill="FFC000"/>
            <w:vAlign w:val="center"/>
            <w:hideMark/>
          </w:tcPr>
          <w:p w14:paraId="4429F667"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527.9</w:t>
            </w:r>
          </w:p>
        </w:tc>
      </w:tr>
      <w:tr w:rsidR="001656BF" w:rsidRPr="001656BF" w14:paraId="5BBA9A6F" w14:textId="77777777" w:rsidTr="00872623">
        <w:trPr>
          <w:trHeight w:val="346"/>
          <w:tblCellSpacing w:w="15" w:type="dxa"/>
        </w:trPr>
        <w:tc>
          <w:tcPr>
            <w:tcW w:w="4362" w:type="dxa"/>
            <w:shd w:val="clear" w:color="auto" w:fill="FFC000"/>
            <w:vAlign w:val="center"/>
            <w:hideMark/>
          </w:tcPr>
          <w:p w14:paraId="31085D8C"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Total Equity (US $ bn)</w:t>
            </w:r>
          </w:p>
        </w:tc>
        <w:tc>
          <w:tcPr>
            <w:tcW w:w="2255" w:type="dxa"/>
            <w:shd w:val="clear" w:color="auto" w:fill="FFC000"/>
            <w:vAlign w:val="center"/>
            <w:hideMark/>
          </w:tcPr>
          <w:p w14:paraId="28F98712"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146.0</w:t>
            </w:r>
          </w:p>
        </w:tc>
        <w:tc>
          <w:tcPr>
            <w:tcW w:w="2241" w:type="dxa"/>
            <w:shd w:val="clear" w:color="auto" w:fill="FFC000"/>
            <w:vAlign w:val="center"/>
            <w:hideMark/>
          </w:tcPr>
          <w:p w14:paraId="07BF94C2"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201.9</w:t>
            </w:r>
          </w:p>
        </w:tc>
      </w:tr>
      <w:tr w:rsidR="001656BF" w:rsidRPr="001656BF" w14:paraId="5BD93014" w14:textId="77777777" w:rsidTr="00872623">
        <w:trPr>
          <w:trHeight w:val="333"/>
          <w:tblCellSpacing w:w="15" w:type="dxa"/>
        </w:trPr>
        <w:tc>
          <w:tcPr>
            <w:tcW w:w="4362" w:type="dxa"/>
            <w:shd w:val="clear" w:color="auto" w:fill="FFC000"/>
            <w:vAlign w:val="center"/>
            <w:hideMark/>
          </w:tcPr>
          <w:p w14:paraId="20C38ADD"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Current Assets (US $ bn)</w:t>
            </w:r>
          </w:p>
        </w:tc>
        <w:tc>
          <w:tcPr>
            <w:tcW w:w="2255" w:type="dxa"/>
            <w:shd w:val="clear" w:color="auto" w:fill="FFC000"/>
            <w:vAlign w:val="center"/>
            <w:hideMark/>
          </w:tcPr>
          <w:p w14:paraId="08B30167"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146.8</w:t>
            </w:r>
          </w:p>
        </w:tc>
        <w:tc>
          <w:tcPr>
            <w:tcW w:w="2241" w:type="dxa"/>
            <w:shd w:val="clear" w:color="auto" w:fill="FFC000"/>
            <w:vAlign w:val="center"/>
            <w:hideMark/>
          </w:tcPr>
          <w:p w14:paraId="564979F9"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172.4</w:t>
            </w:r>
          </w:p>
        </w:tc>
      </w:tr>
      <w:tr w:rsidR="001656BF" w:rsidRPr="001656BF" w14:paraId="746AE266" w14:textId="77777777" w:rsidTr="00872623">
        <w:trPr>
          <w:trHeight w:val="346"/>
          <w:tblCellSpacing w:w="15" w:type="dxa"/>
        </w:trPr>
        <w:tc>
          <w:tcPr>
            <w:tcW w:w="4362" w:type="dxa"/>
            <w:shd w:val="clear" w:color="auto" w:fill="FFC000"/>
            <w:vAlign w:val="center"/>
            <w:hideMark/>
          </w:tcPr>
          <w:p w14:paraId="36165B50"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Current Liabilities (US $ bn)</w:t>
            </w:r>
          </w:p>
        </w:tc>
        <w:tc>
          <w:tcPr>
            <w:tcW w:w="2255" w:type="dxa"/>
            <w:shd w:val="clear" w:color="auto" w:fill="FFC000"/>
            <w:vAlign w:val="center"/>
            <w:hideMark/>
          </w:tcPr>
          <w:p w14:paraId="12B9E30F"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155.4</w:t>
            </w:r>
          </w:p>
        </w:tc>
        <w:tc>
          <w:tcPr>
            <w:tcW w:w="2241" w:type="dxa"/>
            <w:shd w:val="clear" w:color="auto" w:fill="FFC000"/>
            <w:vAlign w:val="center"/>
            <w:hideMark/>
          </w:tcPr>
          <w:p w14:paraId="00486582"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164.9</w:t>
            </w:r>
          </w:p>
        </w:tc>
      </w:tr>
      <w:tr w:rsidR="001656BF" w:rsidRPr="001656BF" w14:paraId="7F8410F0" w14:textId="77777777" w:rsidTr="00872623">
        <w:trPr>
          <w:trHeight w:val="346"/>
          <w:tblCellSpacing w:w="15" w:type="dxa"/>
        </w:trPr>
        <w:tc>
          <w:tcPr>
            <w:tcW w:w="4362" w:type="dxa"/>
            <w:shd w:val="clear" w:color="auto" w:fill="FFC000"/>
            <w:vAlign w:val="center"/>
            <w:hideMark/>
          </w:tcPr>
          <w:p w14:paraId="437C4969"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Inventories (US $ bn)</w:t>
            </w:r>
          </w:p>
        </w:tc>
        <w:tc>
          <w:tcPr>
            <w:tcW w:w="2255" w:type="dxa"/>
            <w:shd w:val="clear" w:color="auto" w:fill="FFC000"/>
            <w:vAlign w:val="center"/>
            <w:hideMark/>
          </w:tcPr>
          <w:p w14:paraId="121907A8"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34.4</w:t>
            </w:r>
          </w:p>
        </w:tc>
        <w:tc>
          <w:tcPr>
            <w:tcW w:w="2241" w:type="dxa"/>
            <w:shd w:val="clear" w:color="auto" w:fill="FFC000"/>
            <w:vAlign w:val="center"/>
            <w:hideMark/>
          </w:tcPr>
          <w:p w14:paraId="65476895"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33.3</w:t>
            </w:r>
          </w:p>
        </w:tc>
      </w:tr>
      <w:tr w:rsidR="001656BF" w:rsidRPr="001656BF" w14:paraId="7CC296C8" w14:textId="77777777" w:rsidTr="00872623">
        <w:trPr>
          <w:trHeight w:val="333"/>
          <w:tblCellSpacing w:w="15" w:type="dxa"/>
        </w:trPr>
        <w:tc>
          <w:tcPr>
            <w:tcW w:w="4362" w:type="dxa"/>
            <w:shd w:val="clear" w:color="auto" w:fill="FFC000"/>
            <w:vAlign w:val="center"/>
            <w:hideMark/>
          </w:tcPr>
          <w:p w14:paraId="088ACE36"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Free Cash Flow (US $ bn)</w:t>
            </w:r>
          </w:p>
        </w:tc>
        <w:tc>
          <w:tcPr>
            <w:tcW w:w="2255" w:type="dxa"/>
            <w:shd w:val="clear" w:color="auto" w:fill="FFC000"/>
            <w:vAlign w:val="center"/>
            <w:hideMark/>
          </w:tcPr>
          <w:p w14:paraId="5015AD61"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 xml:space="preserve">–12.8 </w:t>
            </w:r>
          </w:p>
        </w:tc>
        <w:tc>
          <w:tcPr>
            <w:tcW w:w="2241" w:type="dxa"/>
            <w:shd w:val="clear" w:color="auto" w:fill="FFC000"/>
            <w:vAlign w:val="center"/>
            <w:hideMark/>
          </w:tcPr>
          <w:p w14:paraId="6AA9522E"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 xml:space="preserve">35.5 </w:t>
            </w:r>
          </w:p>
        </w:tc>
      </w:tr>
      <w:tr w:rsidR="001656BF" w:rsidRPr="001656BF" w14:paraId="3B965CEC" w14:textId="77777777" w:rsidTr="00872623">
        <w:trPr>
          <w:trHeight w:val="346"/>
          <w:tblCellSpacing w:w="15" w:type="dxa"/>
        </w:trPr>
        <w:tc>
          <w:tcPr>
            <w:tcW w:w="4362" w:type="dxa"/>
            <w:shd w:val="clear" w:color="auto" w:fill="FFC000"/>
            <w:vAlign w:val="center"/>
            <w:hideMark/>
          </w:tcPr>
          <w:p w14:paraId="501F8252"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lastRenderedPageBreak/>
              <w:t>Interest Expense (US $ bn)</w:t>
            </w:r>
          </w:p>
        </w:tc>
        <w:tc>
          <w:tcPr>
            <w:tcW w:w="2255" w:type="dxa"/>
            <w:shd w:val="clear" w:color="auto" w:fill="FFC000"/>
            <w:vAlign w:val="center"/>
            <w:hideMark/>
          </w:tcPr>
          <w:p w14:paraId="63D773CE"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2.4</w:t>
            </w:r>
          </w:p>
        </w:tc>
        <w:tc>
          <w:tcPr>
            <w:tcW w:w="2241" w:type="dxa"/>
            <w:shd w:val="clear" w:color="auto" w:fill="FFC000"/>
            <w:vAlign w:val="center"/>
            <w:hideMark/>
          </w:tcPr>
          <w:p w14:paraId="5B8294E1"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3.2</w:t>
            </w:r>
          </w:p>
        </w:tc>
      </w:tr>
    </w:tbl>
    <w:p w14:paraId="61DEE077" w14:textId="77777777" w:rsidR="001656BF" w:rsidRDefault="001656BF" w:rsidP="001656BF">
      <w:pPr>
        <w:spacing w:line="480" w:lineRule="auto"/>
        <w:rPr>
          <w:rFonts w:ascii="Arial" w:hAnsi="Arial" w:cs="Arial"/>
        </w:rPr>
      </w:pPr>
      <w:r w:rsidRPr="001656BF">
        <w:rPr>
          <w:rFonts w:ascii="Arial" w:hAnsi="Arial" w:cs="Arial"/>
        </w:rPr>
        <w:t xml:space="preserve">Source data directly taken from Amazon.com, Inc.2022; 2023 </w:t>
      </w:r>
    </w:p>
    <w:p w14:paraId="39AAC178" w14:textId="5F65DD12" w:rsidR="001656BF" w:rsidRPr="001656BF" w:rsidRDefault="001656BF" w:rsidP="001656BF">
      <w:pPr>
        <w:spacing w:line="480" w:lineRule="auto"/>
        <w:rPr>
          <w:rFonts w:ascii="Arial" w:hAnsi="Arial" w:cs="Arial"/>
        </w:rPr>
      </w:pPr>
      <w:r w:rsidRPr="001656BF">
        <w:rPr>
          <w:rFonts w:ascii="Arial" w:hAnsi="Arial" w:cs="Arial"/>
        </w:rPr>
        <w:t>These amounts form the basis of the ratios that follow.</w:t>
      </w:r>
    </w:p>
    <w:p w14:paraId="66CCD85B" w14:textId="3CB4B3EF" w:rsidR="001656BF" w:rsidRPr="00872623" w:rsidRDefault="001656BF" w:rsidP="001656BF">
      <w:pPr>
        <w:pStyle w:val="ListParagraph"/>
        <w:numPr>
          <w:ilvl w:val="0"/>
          <w:numId w:val="2"/>
        </w:numPr>
        <w:spacing w:line="480" w:lineRule="auto"/>
        <w:rPr>
          <w:rFonts w:ascii="Arial Black" w:hAnsi="Arial Black" w:cs="Arial"/>
        </w:rPr>
      </w:pPr>
      <w:r w:rsidRPr="00872623">
        <w:rPr>
          <w:rFonts w:ascii="Arial Black" w:hAnsi="Arial Black" w:cs="Arial"/>
        </w:rPr>
        <w:t>Ratio Analysis</w:t>
      </w:r>
    </w:p>
    <w:p w14:paraId="5B950B00" w14:textId="77777777" w:rsidR="001656BF" w:rsidRDefault="001656BF" w:rsidP="001656BF">
      <w:pPr>
        <w:spacing w:line="480" w:lineRule="auto"/>
        <w:rPr>
          <w:rFonts w:ascii="Arial" w:hAnsi="Arial" w:cs="Arial"/>
        </w:rPr>
      </w:pPr>
      <w:r w:rsidRPr="001656BF">
        <w:rPr>
          <w:rFonts w:ascii="Arial" w:hAnsi="Arial" w:cs="Arial"/>
        </w:rPr>
        <w:t>Ratios are classified into profitability, liquidity, solvency and efficiency. Average balances are used at a subgroup level where applicable (Dyson, 2010; Drury, 2015).</w:t>
      </w:r>
    </w:p>
    <w:p w14:paraId="2E7D90BB" w14:textId="7C6D1750" w:rsidR="00872623" w:rsidRPr="00872623" w:rsidRDefault="00872623" w:rsidP="00872623">
      <w:pPr>
        <w:pStyle w:val="ListParagraph"/>
        <w:numPr>
          <w:ilvl w:val="0"/>
          <w:numId w:val="9"/>
        </w:numPr>
        <w:spacing w:line="480" w:lineRule="auto"/>
        <w:rPr>
          <w:rFonts w:ascii="Arial Black" w:hAnsi="Arial Black" w:cs="Arial"/>
        </w:rPr>
      </w:pPr>
      <w:r w:rsidRPr="00872623">
        <w:rPr>
          <w:rFonts w:ascii="Arial Black" w:hAnsi="Arial Black" w:cs="Arial"/>
        </w:rPr>
        <w:t>Profitability Ratios</w:t>
      </w:r>
    </w:p>
    <w:tbl>
      <w:tblPr>
        <w:tblW w:w="9284" w:type="dxa"/>
        <w:tblCellSpacing w:w="15"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tblCellMar>
          <w:top w:w="15" w:type="dxa"/>
          <w:left w:w="15" w:type="dxa"/>
          <w:bottom w:w="15" w:type="dxa"/>
          <w:right w:w="15" w:type="dxa"/>
        </w:tblCellMar>
        <w:tblLook w:val="04A0" w:firstRow="1" w:lastRow="0" w:firstColumn="1" w:lastColumn="0" w:noHBand="0" w:noVBand="1"/>
      </w:tblPr>
      <w:tblGrid>
        <w:gridCol w:w="2799"/>
        <w:gridCol w:w="2450"/>
        <w:gridCol w:w="2450"/>
        <w:gridCol w:w="1585"/>
      </w:tblGrid>
      <w:tr w:rsidR="00872623" w:rsidRPr="001656BF" w14:paraId="7B9D167C" w14:textId="77777777" w:rsidTr="00872623">
        <w:trPr>
          <w:trHeight w:val="485"/>
          <w:tblHeader/>
          <w:tblCellSpacing w:w="15" w:type="dxa"/>
        </w:trPr>
        <w:tc>
          <w:tcPr>
            <w:tcW w:w="0" w:type="auto"/>
            <w:shd w:val="clear" w:color="auto" w:fill="FFC000"/>
            <w:vAlign w:val="center"/>
            <w:hideMark/>
          </w:tcPr>
          <w:p w14:paraId="63396354" w14:textId="77777777" w:rsidR="001656BF" w:rsidRPr="001656BF" w:rsidRDefault="001656BF" w:rsidP="001656BF">
            <w:pPr>
              <w:spacing w:after="0" w:line="240" w:lineRule="auto"/>
              <w:jc w:val="center"/>
              <w:rPr>
                <w:rFonts w:ascii="Arial" w:eastAsia="Times New Roman" w:hAnsi="Arial" w:cs="Arial"/>
                <w:b/>
                <w:bCs/>
                <w:kern w:val="0"/>
                <w:lang w:eastAsia="en-GB"/>
                <w14:ligatures w14:val="none"/>
              </w:rPr>
            </w:pPr>
            <w:r w:rsidRPr="001656BF">
              <w:rPr>
                <w:rFonts w:ascii="Arial" w:eastAsia="Times New Roman" w:hAnsi="Arial" w:cs="Arial"/>
                <w:b/>
                <w:bCs/>
                <w:kern w:val="0"/>
                <w:lang w:eastAsia="en-GB"/>
                <w14:ligatures w14:val="none"/>
              </w:rPr>
              <w:t>Ratio</w:t>
            </w:r>
          </w:p>
        </w:tc>
        <w:tc>
          <w:tcPr>
            <w:tcW w:w="0" w:type="auto"/>
            <w:shd w:val="clear" w:color="auto" w:fill="FFC000"/>
            <w:vAlign w:val="center"/>
            <w:hideMark/>
          </w:tcPr>
          <w:p w14:paraId="2BA479B7" w14:textId="77777777" w:rsidR="001656BF" w:rsidRPr="001656BF" w:rsidRDefault="001656BF" w:rsidP="001656BF">
            <w:pPr>
              <w:spacing w:after="0" w:line="240" w:lineRule="auto"/>
              <w:jc w:val="center"/>
              <w:rPr>
                <w:rFonts w:ascii="Arial" w:eastAsia="Times New Roman" w:hAnsi="Arial" w:cs="Arial"/>
                <w:b/>
                <w:bCs/>
                <w:kern w:val="0"/>
                <w:lang w:eastAsia="en-GB"/>
                <w14:ligatures w14:val="none"/>
              </w:rPr>
            </w:pPr>
            <w:r w:rsidRPr="001656BF">
              <w:rPr>
                <w:rFonts w:ascii="Arial" w:eastAsia="Times New Roman" w:hAnsi="Arial" w:cs="Arial"/>
                <w:b/>
                <w:bCs/>
                <w:kern w:val="0"/>
                <w:lang w:eastAsia="en-GB"/>
                <w14:ligatures w14:val="none"/>
              </w:rPr>
              <w:t>2022</w:t>
            </w:r>
          </w:p>
        </w:tc>
        <w:tc>
          <w:tcPr>
            <w:tcW w:w="0" w:type="auto"/>
            <w:shd w:val="clear" w:color="auto" w:fill="FFC000"/>
            <w:vAlign w:val="center"/>
            <w:hideMark/>
          </w:tcPr>
          <w:p w14:paraId="5FDE370C" w14:textId="77777777" w:rsidR="001656BF" w:rsidRPr="001656BF" w:rsidRDefault="001656BF" w:rsidP="001656BF">
            <w:pPr>
              <w:spacing w:after="0" w:line="240" w:lineRule="auto"/>
              <w:jc w:val="center"/>
              <w:rPr>
                <w:rFonts w:ascii="Arial" w:eastAsia="Times New Roman" w:hAnsi="Arial" w:cs="Arial"/>
                <w:b/>
                <w:bCs/>
                <w:kern w:val="0"/>
                <w:lang w:eastAsia="en-GB"/>
                <w14:ligatures w14:val="none"/>
              </w:rPr>
            </w:pPr>
            <w:r w:rsidRPr="001656BF">
              <w:rPr>
                <w:rFonts w:ascii="Arial" w:eastAsia="Times New Roman" w:hAnsi="Arial" w:cs="Arial"/>
                <w:b/>
                <w:bCs/>
                <w:kern w:val="0"/>
                <w:lang w:eastAsia="en-GB"/>
                <w14:ligatures w14:val="none"/>
              </w:rPr>
              <w:t>2023</w:t>
            </w:r>
          </w:p>
        </w:tc>
        <w:tc>
          <w:tcPr>
            <w:tcW w:w="0" w:type="auto"/>
            <w:shd w:val="clear" w:color="auto" w:fill="FFC000"/>
            <w:vAlign w:val="center"/>
            <w:hideMark/>
          </w:tcPr>
          <w:p w14:paraId="6AF2B1D5" w14:textId="77777777" w:rsidR="001656BF" w:rsidRPr="001656BF" w:rsidRDefault="001656BF" w:rsidP="001656BF">
            <w:pPr>
              <w:spacing w:after="0" w:line="240" w:lineRule="auto"/>
              <w:jc w:val="center"/>
              <w:rPr>
                <w:rFonts w:ascii="Arial" w:eastAsia="Times New Roman" w:hAnsi="Arial" w:cs="Arial"/>
                <w:b/>
                <w:bCs/>
                <w:kern w:val="0"/>
                <w:lang w:eastAsia="en-GB"/>
                <w14:ligatures w14:val="none"/>
              </w:rPr>
            </w:pPr>
            <w:r w:rsidRPr="001656BF">
              <w:rPr>
                <w:rFonts w:ascii="Arial" w:eastAsia="Times New Roman" w:hAnsi="Arial" w:cs="Arial"/>
                <w:b/>
                <w:bCs/>
                <w:kern w:val="0"/>
                <w:lang w:eastAsia="en-GB"/>
                <w14:ligatures w14:val="none"/>
              </w:rPr>
              <w:t>Change (pp)</w:t>
            </w:r>
          </w:p>
        </w:tc>
      </w:tr>
      <w:tr w:rsidR="001656BF" w:rsidRPr="001656BF" w14:paraId="634828B7" w14:textId="77777777" w:rsidTr="00500973">
        <w:trPr>
          <w:trHeight w:val="467"/>
          <w:tblCellSpacing w:w="15" w:type="dxa"/>
        </w:trPr>
        <w:tc>
          <w:tcPr>
            <w:tcW w:w="0" w:type="auto"/>
            <w:vAlign w:val="center"/>
            <w:hideMark/>
          </w:tcPr>
          <w:p w14:paraId="547498A5"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Gross Profit Margin</w:t>
            </w:r>
          </w:p>
        </w:tc>
        <w:tc>
          <w:tcPr>
            <w:tcW w:w="0" w:type="auto"/>
            <w:vAlign w:val="center"/>
            <w:hideMark/>
          </w:tcPr>
          <w:p w14:paraId="1810C6B0"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225.2/514.0 = 43.8%</w:t>
            </w:r>
          </w:p>
        </w:tc>
        <w:tc>
          <w:tcPr>
            <w:tcW w:w="0" w:type="auto"/>
            <w:vAlign w:val="center"/>
            <w:hideMark/>
          </w:tcPr>
          <w:p w14:paraId="56A3121F"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270.0/575.0 = 47.0%</w:t>
            </w:r>
          </w:p>
        </w:tc>
        <w:tc>
          <w:tcPr>
            <w:tcW w:w="0" w:type="auto"/>
            <w:vAlign w:val="center"/>
            <w:hideMark/>
          </w:tcPr>
          <w:p w14:paraId="48FB1457"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+3.2</w:t>
            </w:r>
          </w:p>
        </w:tc>
      </w:tr>
      <w:tr w:rsidR="001656BF" w:rsidRPr="001656BF" w14:paraId="5466A2F4" w14:textId="77777777" w:rsidTr="00500973">
        <w:trPr>
          <w:trHeight w:val="485"/>
          <w:tblCellSpacing w:w="15" w:type="dxa"/>
        </w:trPr>
        <w:tc>
          <w:tcPr>
            <w:tcW w:w="0" w:type="auto"/>
            <w:vAlign w:val="center"/>
            <w:hideMark/>
          </w:tcPr>
          <w:p w14:paraId="624EEFE3"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Operating Margin</w:t>
            </w:r>
          </w:p>
        </w:tc>
        <w:tc>
          <w:tcPr>
            <w:tcW w:w="0" w:type="auto"/>
            <w:vAlign w:val="center"/>
            <w:hideMark/>
          </w:tcPr>
          <w:p w14:paraId="0955B787"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12.2/514.0 = 2.4%</w:t>
            </w:r>
          </w:p>
        </w:tc>
        <w:tc>
          <w:tcPr>
            <w:tcW w:w="0" w:type="auto"/>
            <w:vAlign w:val="center"/>
            <w:hideMark/>
          </w:tcPr>
          <w:p w14:paraId="386E6446"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36.9/575.0 = 6.4%</w:t>
            </w:r>
          </w:p>
        </w:tc>
        <w:tc>
          <w:tcPr>
            <w:tcW w:w="0" w:type="auto"/>
            <w:vAlign w:val="center"/>
            <w:hideMark/>
          </w:tcPr>
          <w:p w14:paraId="7E09AE0A"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+4.0</w:t>
            </w:r>
          </w:p>
        </w:tc>
      </w:tr>
      <w:tr w:rsidR="001656BF" w:rsidRPr="001656BF" w14:paraId="1F1E3B49" w14:textId="77777777" w:rsidTr="00500973">
        <w:trPr>
          <w:trHeight w:val="467"/>
          <w:tblCellSpacing w:w="15" w:type="dxa"/>
        </w:trPr>
        <w:tc>
          <w:tcPr>
            <w:tcW w:w="0" w:type="auto"/>
            <w:vAlign w:val="center"/>
            <w:hideMark/>
          </w:tcPr>
          <w:p w14:paraId="00864515"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Net Profit Margin</w:t>
            </w:r>
          </w:p>
        </w:tc>
        <w:tc>
          <w:tcPr>
            <w:tcW w:w="0" w:type="auto"/>
            <w:vAlign w:val="center"/>
            <w:hideMark/>
          </w:tcPr>
          <w:p w14:paraId="3A14F352"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–2.7/514.0 = –0.5%</w:t>
            </w:r>
          </w:p>
        </w:tc>
        <w:tc>
          <w:tcPr>
            <w:tcW w:w="0" w:type="auto"/>
            <w:vAlign w:val="center"/>
            <w:hideMark/>
          </w:tcPr>
          <w:p w14:paraId="50C76F93"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30.4/575.0 = 5.3%</w:t>
            </w:r>
          </w:p>
        </w:tc>
        <w:tc>
          <w:tcPr>
            <w:tcW w:w="0" w:type="auto"/>
            <w:vAlign w:val="center"/>
            <w:hideMark/>
          </w:tcPr>
          <w:p w14:paraId="0E103718"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+5.8</w:t>
            </w:r>
          </w:p>
        </w:tc>
      </w:tr>
      <w:tr w:rsidR="001656BF" w:rsidRPr="001656BF" w14:paraId="0725082C" w14:textId="77777777" w:rsidTr="00500973">
        <w:trPr>
          <w:trHeight w:val="485"/>
          <w:tblCellSpacing w:w="15" w:type="dxa"/>
        </w:trPr>
        <w:tc>
          <w:tcPr>
            <w:tcW w:w="0" w:type="auto"/>
            <w:vAlign w:val="center"/>
            <w:hideMark/>
          </w:tcPr>
          <w:p w14:paraId="65D50F66"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Return on Equity (ROE)</w:t>
            </w:r>
          </w:p>
        </w:tc>
        <w:tc>
          <w:tcPr>
            <w:tcW w:w="0" w:type="auto"/>
            <w:vAlign w:val="center"/>
            <w:hideMark/>
          </w:tcPr>
          <w:p w14:paraId="39BC9884" w14:textId="0E6839E0"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–2.7/142.1 = –1.9%</w:t>
            </w:r>
          </w:p>
        </w:tc>
        <w:tc>
          <w:tcPr>
            <w:tcW w:w="0" w:type="auto"/>
            <w:vAlign w:val="center"/>
            <w:hideMark/>
          </w:tcPr>
          <w:p w14:paraId="1333DF57" w14:textId="4F81096F"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30.4/174.0 = 17.5%</w:t>
            </w:r>
          </w:p>
        </w:tc>
        <w:tc>
          <w:tcPr>
            <w:tcW w:w="0" w:type="auto"/>
            <w:vAlign w:val="center"/>
            <w:hideMark/>
          </w:tcPr>
          <w:p w14:paraId="480BC8D9" w14:textId="77777777" w:rsidR="001656BF" w:rsidRPr="001656BF" w:rsidRDefault="001656BF" w:rsidP="001656BF">
            <w:pPr>
              <w:spacing w:after="0" w:line="240" w:lineRule="auto"/>
              <w:rPr>
                <w:rFonts w:ascii="Arial" w:eastAsia="Times New Roman" w:hAnsi="Arial" w:cs="Arial"/>
                <w:kern w:val="0"/>
                <w:lang w:eastAsia="en-GB"/>
                <w14:ligatures w14:val="none"/>
              </w:rPr>
            </w:pPr>
            <w:r w:rsidRPr="001656BF">
              <w:rPr>
                <w:rFonts w:ascii="Arial" w:eastAsia="Times New Roman" w:hAnsi="Arial" w:cs="Arial"/>
                <w:kern w:val="0"/>
                <w:lang w:eastAsia="en-GB"/>
                <w14:ligatures w14:val="none"/>
              </w:rPr>
              <w:t>+19.4</w:t>
            </w:r>
          </w:p>
        </w:tc>
      </w:tr>
    </w:tbl>
    <w:p w14:paraId="31C610B3" w14:textId="77777777" w:rsidR="00500973" w:rsidRDefault="00500973" w:rsidP="001656BF">
      <w:pPr>
        <w:spacing w:line="480" w:lineRule="auto"/>
        <w:rPr>
          <w:rFonts w:ascii="Arial" w:hAnsi="Arial" w:cs="Arial"/>
        </w:rPr>
      </w:pPr>
    </w:p>
    <w:p w14:paraId="12062D33" w14:textId="167B668A" w:rsidR="001656BF" w:rsidRPr="001656BF" w:rsidRDefault="001656BF" w:rsidP="001656BF">
      <w:pPr>
        <w:spacing w:line="480" w:lineRule="auto"/>
        <w:rPr>
          <w:rFonts w:ascii="Arial" w:hAnsi="Arial" w:cs="Arial"/>
        </w:rPr>
      </w:pPr>
      <w:r w:rsidRPr="001656BF">
        <w:rPr>
          <w:rFonts w:ascii="Arial" w:hAnsi="Arial" w:cs="Arial"/>
        </w:rPr>
        <w:t xml:space="preserve">Average equity 2021–22 (138.2 + 146.0)/2 = 142.1 (Amazon.com, Inc., 2022) Average equity 2022–23 (146.0 + 201.9)/2 = 174.0 (Amazon.com, Inc., 2023) </w:t>
      </w:r>
    </w:p>
    <w:p w14:paraId="1200C2B0" w14:textId="77777777" w:rsidR="001656BF" w:rsidRPr="00872623" w:rsidRDefault="001656BF" w:rsidP="001656BF">
      <w:pPr>
        <w:spacing w:line="480" w:lineRule="auto"/>
        <w:rPr>
          <w:rFonts w:ascii="Arial" w:hAnsi="Arial" w:cs="Arial"/>
          <w:b/>
          <w:bCs/>
        </w:rPr>
      </w:pPr>
      <w:r w:rsidRPr="00872623">
        <w:rPr>
          <w:rFonts w:ascii="Arial" w:hAnsi="Arial" w:cs="Arial"/>
          <w:b/>
          <w:bCs/>
        </w:rPr>
        <w:t>Discussion:</w:t>
      </w:r>
    </w:p>
    <w:p w14:paraId="4239A684" w14:textId="171988DD" w:rsidR="001656BF" w:rsidRPr="00500973" w:rsidRDefault="001656BF" w:rsidP="00500973">
      <w:pPr>
        <w:pStyle w:val="ListParagraph"/>
        <w:numPr>
          <w:ilvl w:val="0"/>
          <w:numId w:val="5"/>
        </w:numPr>
        <w:spacing w:line="480" w:lineRule="auto"/>
        <w:rPr>
          <w:rFonts w:ascii="Arial" w:hAnsi="Arial" w:cs="Arial"/>
        </w:rPr>
      </w:pPr>
      <w:r w:rsidRPr="00500973">
        <w:rPr>
          <w:rFonts w:ascii="Arial" w:hAnsi="Arial" w:cs="Arial"/>
        </w:rPr>
        <w:t>The improvement in gross profit margin is consistent with Amazon's pricing power and efficiency in purchasing, which reflects large-scale advantages in AWS and purchasing in retail (Foster &amp; Gupta, 1994).</w:t>
      </w:r>
    </w:p>
    <w:p w14:paraId="38B5E1DB" w14:textId="3C48BF83" w:rsidR="001656BF" w:rsidRPr="00500973" w:rsidRDefault="001656BF" w:rsidP="00500973">
      <w:pPr>
        <w:pStyle w:val="ListParagraph"/>
        <w:numPr>
          <w:ilvl w:val="0"/>
          <w:numId w:val="5"/>
        </w:numPr>
        <w:spacing w:line="480" w:lineRule="auto"/>
        <w:rPr>
          <w:rFonts w:ascii="Arial" w:hAnsi="Arial" w:cs="Arial"/>
        </w:rPr>
      </w:pPr>
      <w:r w:rsidRPr="00500973">
        <w:rPr>
          <w:rFonts w:ascii="Arial" w:hAnsi="Arial" w:cs="Arial"/>
        </w:rPr>
        <w:t xml:space="preserve">The growing operating margin </w:t>
      </w:r>
      <w:r w:rsidR="00500973" w:rsidRPr="00500973">
        <w:rPr>
          <w:rFonts w:ascii="Arial" w:hAnsi="Arial" w:cs="Arial"/>
        </w:rPr>
        <w:t>more than</w:t>
      </w:r>
      <w:r w:rsidRPr="00500973">
        <w:rPr>
          <w:rFonts w:ascii="Arial" w:hAnsi="Arial" w:cs="Arial"/>
        </w:rPr>
        <w:t xml:space="preserve"> 100% was primarily driven by automation in fulfilment centres to reduce labour costs (Amiri &amp; Vida, 2023; Susilowati, 2023).</w:t>
      </w:r>
    </w:p>
    <w:p w14:paraId="34A66879" w14:textId="77777777" w:rsidR="001656BF" w:rsidRPr="00500973" w:rsidRDefault="001656BF" w:rsidP="00500973">
      <w:pPr>
        <w:pStyle w:val="ListParagraph"/>
        <w:numPr>
          <w:ilvl w:val="0"/>
          <w:numId w:val="5"/>
        </w:numPr>
        <w:spacing w:line="480" w:lineRule="auto"/>
        <w:rPr>
          <w:rFonts w:ascii="Arial" w:hAnsi="Arial" w:cs="Arial"/>
        </w:rPr>
      </w:pPr>
      <w:r w:rsidRPr="00500973">
        <w:rPr>
          <w:rFonts w:ascii="Arial" w:hAnsi="Arial" w:cs="Arial"/>
        </w:rPr>
        <w:lastRenderedPageBreak/>
        <w:t>The swing to positive net profit margin means that the effect of non-operational items and taxes also contributed to the positive net profit in 2023 (Antonopoulos, 2023).</w:t>
      </w:r>
    </w:p>
    <w:p w14:paraId="6F02C298" w14:textId="4DE7DDFB" w:rsidR="001656BF" w:rsidRPr="00500973" w:rsidRDefault="001656BF" w:rsidP="00500973">
      <w:pPr>
        <w:pStyle w:val="ListParagraph"/>
        <w:numPr>
          <w:ilvl w:val="0"/>
          <w:numId w:val="5"/>
        </w:numPr>
        <w:spacing w:line="480" w:lineRule="auto"/>
        <w:rPr>
          <w:rFonts w:ascii="Arial" w:hAnsi="Arial" w:cs="Arial"/>
        </w:rPr>
      </w:pPr>
      <w:r w:rsidRPr="00500973">
        <w:rPr>
          <w:rFonts w:ascii="Arial" w:hAnsi="Arial" w:cs="Arial"/>
        </w:rPr>
        <w:t>The dramatic turnaround in ROE confirms that Amazon was effectively deploying capital after heavy reinvestment in earlier years (Bhimani &amp; Horngren, 2008).</w:t>
      </w:r>
    </w:p>
    <w:p w14:paraId="57F03CD9" w14:textId="6815FC6C" w:rsidR="001656BF" w:rsidRPr="00872623" w:rsidRDefault="001656BF" w:rsidP="00872623">
      <w:pPr>
        <w:pStyle w:val="ListParagraph"/>
        <w:numPr>
          <w:ilvl w:val="0"/>
          <w:numId w:val="9"/>
        </w:numPr>
        <w:spacing w:line="480" w:lineRule="auto"/>
        <w:rPr>
          <w:rFonts w:ascii="Arial Black" w:hAnsi="Arial Black" w:cs="Arial"/>
        </w:rPr>
      </w:pPr>
      <w:r w:rsidRPr="00872623">
        <w:rPr>
          <w:rFonts w:ascii="Arial Black" w:hAnsi="Arial Black" w:cs="Arial"/>
        </w:rPr>
        <w:t>Liquidity Ratios</w:t>
      </w:r>
    </w:p>
    <w:tbl>
      <w:tblPr>
        <w:tblW w:w="8754" w:type="dxa"/>
        <w:tblCellSpacing w:w="15"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tblCellMar>
          <w:top w:w="15" w:type="dxa"/>
          <w:left w:w="15" w:type="dxa"/>
          <w:bottom w:w="15" w:type="dxa"/>
          <w:right w:w="15" w:type="dxa"/>
        </w:tblCellMar>
        <w:tblLook w:val="04A0" w:firstRow="1" w:lastRow="0" w:firstColumn="1" w:lastColumn="0" w:noHBand="0" w:noVBand="1"/>
      </w:tblPr>
      <w:tblGrid>
        <w:gridCol w:w="1623"/>
        <w:gridCol w:w="3048"/>
        <w:gridCol w:w="3048"/>
        <w:gridCol w:w="1035"/>
      </w:tblGrid>
      <w:tr w:rsidR="00872623" w:rsidRPr="00500973" w14:paraId="12DB6CC3" w14:textId="77777777" w:rsidTr="00872623">
        <w:trPr>
          <w:trHeight w:val="506"/>
          <w:tblHeader/>
          <w:tblCellSpacing w:w="15" w:type="dxa"/>
        </w:trPr>
        <w:tc>
          <w:tcPr>
            <w:tcW w:w="0" w:type="auto"/>
            <w:shd w:val="clear" w:color="auto" w:fill="FFC000"/>
            <w:vAlign w:val="center"/>
            <w:hideMark/>
          </w:tcPr>
          <w:p w14:paraId="5ECB7127"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Ratio</w:t>
            </w:r>
          </w:p>
        </w:tc>
        <w:tc>
          <w:tcPr>
            <w:tcW w:w="0" w:type="auto"/>
            <w:shd w:val="clear" w:color="auto" w:fill="FFC000"/>
            <w:vAlign w:val="center"/>
            <w:hideMark/>
          </w:tcPr>
          <w:p w14:paraId="3DC0CD18"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2022</w:t>
            </w:r>
          </w:p>
        </w:tc>
        <w:tc>
          <w:tcPr>
            <w:tcW w:w="0" w:type="auto"/>
            <w:shd w:val="clear" w:color="auto" w:fill="FFC000"/>
            <w:vAlign w:val="center"/>
            <w:hideMark/>
          </w:tcPr>
          <w:p w14:paraId="2888E916"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2023</w:t>
            </w:r>
          </w:p>
        </w:tc>
        <w:tc>
          <w:tcPr>
            <w:tcW w:w="0" w:type="auto"/>
            <w:shd w:val="clear" w:color="auto" w:fill="FFC000"/>
            <w:vAlign w:val="center"/>
            <w:hideMark/>
          </w:tcPr>
          <w:p w14:paraId="2762C2E4"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Change</w:t>
            </w:r>
          </w:p>
        </w:tc>
      </w:tr>
      <w:tr w:rsidR="00500973" w:rsidRPr="00500973" w14:paraId="6F5756AC" w14:textId="77777777" w:rsidTr="00500973">
        <w:trPr>
          <w:trHeight w:val="488"/>
          <w:tblCellSpacing w:w="15" w:type="dxa"/>
        </w:trPr>
        <w:tc>
          <w:tcPr>
            <w:tcW w:w="0" w:type="auto"/>
            <w:vAlign w:val="center"/>
            <w:hideMark/>
          </w:tcPr>
          <w:p w14:paraId="06E836B5"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Current Ratio</w:t>
            </w:r>
          </w:p>
        </w:tc>
        <w:tc>
          <w:tcPr>
            <w:tcW w:w="0" w:type="auto"/>
            <w:vAlign w:val="center"/>
            <w:hideMark/>
          </w:tcPr>
          <w:p w14:paraId="15876445"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146.8/155.4 = 0.95</w:t>
            </w:r>
          </w:p>
        </w:tc>
        <w:tc>
          <w:tcPr>
            <w:tcW w:w="0" w:type="auto"/>
            <w:vAlign w:val="center"/>
            <w:hideMark/>
          </w:tcPr>
          <w:p w14:paraId="061E6C7C"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172.4/164.9 = 1.05</w:t>
            </w:r>
          </w:p>
        </w:tc>
        <w:tc>
          <w:tcPr>
            <w:tcW w:w="0" w:type="auto"/>
            <w:vAlign w:val="center"/>
            <w:hideMark/>
          </w:tcPr>
          <w:p w14:paraId="5834741D"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+0.10</w:t>
            </w:r>
          </w:p>
        </w:tc>
      </w:tr>
      <w:tr w:rsidR="00500973" w:rsidRPr="00500973" w14:paraId="521717FC" w14:textId="77777777" w:rsidTr="00500973">
        <w:trPr>
          <w:trHeight w:val="506"/>
          <w:tblCellSpacing w:w="15" w:type="dxa"/>
        </w:trPr>
        <w:tc>
          <w:tcPr>
            <w:tcW w:w="0" w:type="auto"/>
            <w:vAlign w:val="center"/>
            <w:hideMark/>
          </w:tcPr>
          <w:p w14:paraId="04A4F209"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Quick Ratio</w:t>
            </w:r>
          </w:p>
        </w:tc>
        <w:tc>
          <w:tcPr>
            <w:tcW w:w="0" w:type="auto"/>
            <w:vAlign w:val="center"/>
            <w:hideMark/>
          </w:tcPr>
          <w:p w14:paraId="46E5E5F6"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(146.8–34.4)/155.4 = 0.72</w:t>
            </w:r>
          </w:p>
        </w:tc>
        <w:tc>
          <w:tcPr>
            <w:tcW w:w="0" w:type="auto"/>
            <w:vAlign w:val="center"/>
            <w:hideMark/>
          </w:tcPr>
          <w:p w14:paraId="7CB3EC06"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(172.4–33.3)/164.9 = 0.84</w:t>
            </w:r>
          </w:p>
        </w:tc>
        <w:tc>
          <w:tcPr>
            <w:tcW w:w="0" w:type="auto"/>
            <w:vAlign w:val="center"/>
            <w:hideMark/>
          </w:tcPr>
          <w:p w14:paraId="1D72A455"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+0.12</w:t>
            </w:r>
          </w:p>
        </w:tc>
      </w:tr>
    </w:tbl>
    <w:p w14:paraId="0115FF02" w14:textId="77777777" w:rsidR="00500973" w:rsidRDefault="00500973" w:rsidP="001656BF">
      <w:pPr>
        <w:spacing w:line="480" w:lineRule="auto"/>
        <w:rPr>
          <w:rFonts w:ascii="Arial" w:hAnsi="Arial" w:cs="Arial"/>
        </w:rPr>
      </w:pPr>
    </w:p>
    <w:p w14:paraId="3AACE792" w14:textId="57E82D12" w:rsidR="001656BF" w:rsidRPr="00872623" w:rsidRDefault="001656BF" w:rsidP="001656BF">
      <w:pPr>
        <w:spacing w:line="480" w:lineRule="auto"/>
        <w:rPr>
          <w:rFonts w:ascii="Arial" w:hAnsi="Arial" w:cs="Arial"/>
          <w:b/>
          <w:bCs/>
        </w:rPr>
      </w:pPr>
      <w:r w:rsidRPr="00872623">
        <w:rPr>
          <w:rFonts w:ascii="Arial" w:hAnsi="Arial" w:cs="Arial"/>
          <w:b/>
          <w:bCs/>
        </w:rPr>
        <w:t>Discussion:</w:t>
      </w:r>
    </w:p>
    <w:p w14:paraId="3E28E205" w14:textId="77777777" w:rsidR="00500973" w:rsidRPr="00500973" w:rsidRDefault="001656BF" w:rsidP="00500973">
      <w:pPr>
        <w:pStyle w:val="ListParagraph"/>
        <w:numPr>
          <w:ilvl w:val="0"/>
          <w:numId w:val="4"/>
        </w:numPr>
        <w:spacing w:line="480" w:lineRule="auto"/>
        <w:rPr>
          <w:rFonts w:ascii="Arial" w:hAnsi="Arial" w:cs="Arial"/>
        </w:rPr>
      </w:pPr>
      <w:r w:rsidRPr="00500973">
        <w:rPr>
          <w:rFonts w:ascii="Arial" w:hAnsi="Arial" w:cs="Arial"/>
        </w:rPr>
        <w:t>The build-up of inventories post-pandemic in 2022, led to a reduced quick ratio, but better forecasts in 2023 improved working capital efficiency</w:t>
      </w:r>
      <w:r w:rsidR="00500973" w:rsidRPr="00500973">
        <w:rPr>
          <w:rFonts w:ascii="Arial" w:hAnsi="Arial" w:cs="Arial"/>
        </w:rPr>
        <w:t xml:space="preserve">. </w:t>
      </w:r>
    </w:p>
    <w:p w14:paraId="163CA030" w14:textId="060D0FEE" w:rsidR="001656BF" w:rsidRPr="00500973" w:rsidRDefault="001656BF" w:rsidP="00500973">
      <w:pPr>
        <w:pStyle w:val="ListParagraph"/>
        <w:numPr>
          <w:ilvl w:val="0"/>
          <w:numId w:val="4"/>
        </w:numPr>
        <w:spacing w:line="480" w:lineRule="auto"/>
        <w:rPr>
          <w:rFonts w:ascii="Arial" w:hAnsi="Arial" w:cs="Arial"/>
        </w:rPr>
      </w:pPr>
      <w:r w:rsidRPr="00500973">
        <w:rPr>
          <w:rFonts w:ascii="Arial" w:hAnsi="Arial" w:cs="Arial"/>
        </w:rPr>
        <w:t xml:space="preserve">A ratio above 1.0 indicates a </w:t>
      </w:r>
      <w:r w:rsidR="00500973" w:rsidRPr="00500973">
        <w:rPr>
          <w:rFonts w:ascii="Arial" w:hAnsi="Arial" w:cs="Arial"/>
        </w:rPr>
        <w:t>favourable</w:t>
      </w:r>
      <w:r w:rsidRPr="00500973">
        <w:rPr>
          <w:rFonts w:ascii="Arial" w:hAnsi="Arial" w:cs="Arial"/>
        </w:rPr>
        <w:t xml:space="preserve"> short-term liquidity position (Wood, 2015). </w:t>
      </w:r>
    </w:p>
    <w:p w14:paraId="70BF7195" w14:textId="086792F1" w:rsidR="001656BF" w:rsidRPr="00872623" w:rsidRDefault="001656BF" w:rsidP="00872623">
      <w:pPr>
        <w:pStyle w:val="ListParagraph"/>
        <w:numPr>
          <w:ilvl w:val="0"/>
          <w:numId w:val="9"/>
        </w:numPr>
        <w:spacing w:line="480" w:lineRule="auto"/>
        <w:rPr>
          <w:rFonts w:ascii="Arial Black" w:hAnsi="Arial Black" w:cs="Arial"/>
        </w:rPr>
      </w:pPr>
      <w:r w:rsidRPr="00872623">
        <w:rPr>
          <w:rFonts w:ascii="Arial Black" w:hAnsi="Arial Black" w:cs="Arial"/>
        </w:rPr>
        <w:t>Solvency Ratios</w:t>
      </w:r>
    </w:p>
    <w:tbl>
      <w:tblPr>
        <w:tblW w:w="8887" w:type="dxa"/>
        <w:tblCellSpacing w:w="15"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tblCellMar>
          <w:top w:w="15" w:type="dxa"/>
          <w:left w:w="15" w:type="dxa"/>
          <w:bottom w:w="15" w:type="dxa"/>
          <w:right w:w="15" w:type="dxa"/>
        </w:tblCellMar>
        <w:tblLook w:val="04A0" w:firstRow="1" w:lastRow="0" w:firstColumn="1" w:lastColumn="0" w:noHBand="0" w:noVBand="1"/>
      </w:tblPr>
      <w:tblGrid>
        <w:gridCol w:w="1978"/>
        <w:gridCol w:w="2945"/>
        <w:gridCol w:w="2945"/>
        <w:gridCol w:w="1019"/>
      </w:tblGrid>
      <w:tr w:rsidR="00872623" w:rsidRPr="00500973" w14:paraId="08E7D941" w14:textId="77777777" w:rsidTr="00872623">
        <w:trPr>
          <w:trHeight w:val="509"/>
          <w:tblHeader/>
          <w:tblCellSpacing w:w="15" w:type="dxa"/>
        </w:trPr>
        <w:tc>
          <w:tcPr>
            <w:tcW w:w="0" w:type="auto"/>
            <w:shd w:val="clear" w:color="auto" w:fill="FFC000"/>
            <w:vAlign w:val="center"/>
            <w:hideMark/>
          </w:tcPr>
          <w:p w14:paraId="6B3FD488"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Ratio</w:t>
            </w:r>
          </w:p>
        </w:tc>
        <w:tc>
          <w:tcPr>
            <w:tcW w:w="0" w:type="auto"/>
            <w:shd w:val="clear" w:color="auto" w:fill="FFC000"/>
            <w:vAlign w:val="center"/>
            <w:hideMark/>
          </w:tcPr>
          <w:p w14:paraId="0AC9604B"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2022</w:t>
            </w:r>
          </w:p>
        </w:tc>
        <w:tc>
          <w:tcPr>
            <w:tcW w:w="0" w:type="auto"/>
            <w:shd w:val="clear" w:color="auto" w:fill="FFC000"/>
            <w:vAlign w:val="center"/>
            <w:hideMark/>
          </w:tcPr>
          <w:p w14:paraId="6A7FCC86"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2023</w:t>
            </w:r>
          </w:p>
        </w:tc>
        <w:tc>
          <w:tcPr>
            <w:tcW w:w="0" w:type="auto"/>
            <w:shd w:val="clear" w:color="auto" w:fill="FFC000"/>
            <w:vAlign w:val="center"/>
            <w:hideMark/>
          </w:tcPr>
          <w:p w14:paraId="43D6221F"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Change</w:t>
            </w:r>
          </w:p>
        </w:tc>
      </w:tr>
      <w:tr w:rsidR="00500973" w:rsidRPr="00500973" w14:paraId="19E78FE4" w14:textId="77777777" w:rsidTr="00500973">
        <w:trPr>
          <w:trHeight w:val="490"/>
          <w:tblCellSpacing w:w="15" w:type="dxa"/>
        </w:trPr>
        <w:tc>
          <w:tcPr>
            <w:tcW w:w="0" w:type="auto"/>
            <w:vAlign w:val="center"/>
            <w:hideMark/>
          </w:tcPr>
          <w:p w14:paraId="41864BDC"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Debt-to-Assets</w:t>
            </w:r>
          </w:p>
        </w:tc>
        <w:tc>
          <w:tcPr>
            <w:tcW w:w="0" w:type="auto"/>
            <w:vAlign w:val="center"/>
            <w:hideMark/>
          </w:tcPr>
          <w:p w14:paraId="58190811"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(462.7–146.0)/462.7 = 0.68</w:t>
            </w:r>
          </w:p>
        </w:tc>
        <w:tc>
          <w:tcPr>
            <w:tcW w:w="0" w:type="auto"/>
            <w:vAlign w:val="center"/>
            <w:hideMark/>
          </w:tcPr>
          <w:p w14:paraId="53576983"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(527.9–201.9)/527.9 = 0.62</w:t>
            </w:r>
          </w:p>
        </w:tc>
        <w:tc>
          <w:tcPr>
            <w:tcW w:w="0" w:type="auto"/>
            <w:vAlign w:val="center"/>
            <w:hideMark/>
          </w:tcPr>
          <w:p w14:paraId="5B77B1A9"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–0.06 pp</w:t>
            </w:r>
          </w:p>
        </w:tc>
      </w:tr>
      <w:tr w:rsidR="00500973" w:rsidRPr="00500973" w14:paraId="62A89675" w14:textId="77777777" w:rsidTr="00500973">
        <w:trPr>
          <w:trHeight w:val="509"/>
          <w:tblCellSpacing w:w="15" w:type="dxa"/>
        </w:trPr>
        <w:tc>
          <w:tcPr>
            <w:tcW w:w="0" w:type="auto"/>
            <w:vAlign w:val="center"/>
            <w:hideMark/>
          </w:tcPr>
          <w:p w14:paraId="6387DC17"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Interest Coverage</w:t>
            </w:r>
          </w:p>
        </w:tc>
        <w:tc>
          <w:tcPr>
            <w:tcW w:w="0" w:type="auto"/>
            <w:vAlign w:val="center"/>
            <w:hideMark/>
          </w:tcPr>
          <w:p w14:paraId="6E135C62" w14:textId="1A4A4251"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12.2/2.4 = 5.1</w:t>
            </w:r>
            <w:r>
              <w:rPr>
                <w:rFonts w:ascii="Arial" w:eastAsia="Times New Roman" w:hAnsi="Arial" w:cs="Arial"/>
                <w:kern w:val="0"/>
                <w:lang w:eastAsia="en-GB"/>
                <w14:ligatures w14:val="none"/>
              </w:rPr>
              <w:t xml:space="preserve"> x</w:t>
            </w:r>
          </w:p>
        </w:tc>
        <w:tc>
          <w:tcPr>
            <w:tcW w:w="0" w:type="auto"/>
            <w:vAlign w:val="center"/>
            <w:hideMark/>
          </w:tcPr>
          <w:p w14:paraId="77CC095E" w14:textId="72CDA750"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36.9/3.2 = 11.5</w:t>
            </w:r>
            <w:r>
              <w:rPr>
                <w:rFonts w:ascii="Arial" w:eastAsia="Times New Roman" w:hAnsi="Arial" w:cs="Arial"/>
                <w:kern w:val="0"/>
                <w:lang w:eastAsia="en-GB"/>
                <w14:ligatures w14:val="none"/>
              </w:rPr>
              <w:t xml:space="preserve"> x</w:t>
            </w:r>
          </w:p>
        </w:tc>
        <w:tc>
          <w:tcPr>
            <w:tcW w:w="0" w:type="auto"/>
            <w:vAlign w:val="center"/>
            <w:hideMark/>
          </w:tcPr>
          <w:p w14:paraId="69905F65" w14:textId="29684E18"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+6.4</w:t>
            </w:r>
            <w:r>
              <w:rPr>
                <w:rFonts w:ascii="Arial" w:eastAsia="Times New Roman" w:hAnsi="Arial" w:cs="Arial"/>
                <w:kern w:val="0"/>
                <w:lang w:eastAsia="en-GB"/>
                <w14:ligatures w14:val="none"/>
              </w:rPr>
              <w:t xml:space="preserve"> x</w:t>
            </w:r>
          </w:p>
        </w:tc>
      </w:tr>
    </w:tbl>
    <w:p w14:paraId="7B755258" w14:textId="77777777" w:rsidR="001656BF" w:rsidRPr="001656BF" w:rsidRDefault="001656BF" w:rsidP="001656BF">
      <w:pPr>
        <w:spacing w:line="480" w:lineRule="auto"/>
        <w:rPr>
          <w:rFonts w:ascii="Arial" w:hAnsi="Arial" w:cs="Arial"/>
        </w:rPr>
      </w:pPr>
    </w:p>
    <w:p w14:paraId="102C7B9F" w14:textId="77777777" w:rsidR="00872623" w:rsidRDefault="00872623" w:rsidP="001656BF">
      <w:pPr>
        <w:spacing w:line="480" w:lineRule="auto"/>
        <w:rPr>
          <w:rFonts w:ascii="Arial" w:hAnsi="Arial" w:cs="Arial"/>
        </w:rPr>
      </w:pPr>
    </w:p>
    <w:p w14:paraId="088DC43A" w14:textId="36F28030" w:rsidR="001656BF" w:rsidRPr="00872623" w:rsidRDefault="001656BF" w:rsidP="001656BF">
      <w:pPr>
        <w:spacing w:line="480" w:lineRule="auto"/>
        <w:rPr>
          <w:rFonts w:ascii="Arial" w:hAnsi="Arial" w:cs="Arial"/>
          <w:b/>
          <w:bCs/>
        </w:rPr>
      </w:pPr>
      <w:r w:rsidRPr="00872623">
        <w:rPr>
          <w:rFonts w:ascii="Arial" w:hAnsi="Arial" w:cs="Arial"/>
          <w:b/>
          <w:bCs/>
        </w:rPr>
        <w:lastRenderedPageBreak/>
        <w:t>Discussion:</w:t>
      </w:r>
    </w:p>
    <w:p w14:paraId="0EA87779" w14:textId="77777777" w:rsidR="00500973" w:rsidRPr="00500973" w:rsidRDefault="001656BF" w:rsidP="00500973">
      <w:pPr>
        <w:pStyle w:val="ListParagraph"/>
        <w:numPr>
          <w:ilvl w:val="0"/>
          <w:numId w:val="3"/>
        </w:numPr>
        <w:spacing w:line="480" w:lineRule="auto"/>
        <w:rPr>
          <w:rFonts w:ascii="Arial" w:hAnsi="Arial" w:cs="Arial"/>
        </w:rPr>
      </w:pPr>
      <w:r w:rsidRPr="00500973">
        <w:rPr>
          <w:rFonts w:ascii="Arial" w:hAnsi="Arial" w:cs="Arial"/>
        </w:rPr>
        <w:t>The decrease in the debt-to-assets ratio in 2023 indicates Amazon relied less upon external debt as equity was established to a considerably greater degree (Bhimani &amp; Horngren, 2008).</w:t>
      </w:r>
      <w:r w:rsidR="00500973" w:rsidRPr="00500973">
        <w:rPr>
          <w:rFonts w:ascii="Arial" w:hAnsi="Arial" w:cs="Arial"/>
        </w:rPr>
        <w:t xml:space="preserve"> </w:t>
      </w:r>
    </w:p>
    <w:p w14:paraId="62B7FEBF" w14:textId="793C0569" w:rsidR="001656BF" w:rsidRPr="00500973" w:rsidRDefault="001656BF" w:rsidP="00500973">
      <w:pPr>
        <w:pStyle w:val="ListParagraph"/>
        <w:numPr>
          <w:ilvl w:val="0"/>
          <w:numId w:val="3"/>
        </w:numPr>
        <w:spacing w:line="480" w:lineRule="auto"/>
        <w:rPr>
          <w:rFonts w:ascii="Arial" w:hAnsi="Arial" w:cs="Arial"/>
        </w:rPr>
      </w:pPr>
      <w:r w:rsidRPr="00500973">
        <w:rPr>
          <w:rFonts w:ascii="Arial" w:hAnsi="Arial" w:cs="Arial"/>
        </w:rPr>
        <w:t xml:space="preserve">A higher interest coverage ratio indicates that the company is purchases well ahead of terms which mitigates risk (Wood, 2015) </w:t>
      </w:r>
    </w:p>
    <w:p w14:paraId="4C4DCDDB" w14:textId="5069A854" w:rsidR="001656BF" w:rsidRPr="00872623" w:rsidRDefault="001656BF" w:rsidP="00872623">
      <w:pPr>
        <w:pStyle w:val="ListParagraph"/>
        <w:numPr>
          <w:ilvl w:val="0"/>
          <w:numId w:val="9"/>
        </w:numPr>
        <w:spacing w:line="480" w:lineRule="auto"/>
        <w:rPr>
          <w:rFonts w:ascii="Arial Black" w:hAnsi="Arial Black" w:cs="Arial"/>
        </w:rPr>
      </w:pPr>
      <w:r w:rsidRPr="00872623">
        <w:rPr>
          <w:rFonts w:ascii="Arial Black" w:hAnsi="Arial Black" w:cs="Arial"/>
        </w:rPr>
        <w:t>Efficiency Ratios</w:t>
      </w:r>
    </w:p>
    <w:tbl>
      <w:tblPr>
        <w:tblW w:w="8988" w:type="dxa"/>
        <w:tblCellSpacing w:w="15"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tblCellMar>
          <w:top w:w="15" w:type="dxa"/>
          <w:left w:w="15" w:type="dxa"/>
          <w:bottom w:w="15" w:type="dxa"/>
          <w:right w:w="15" w:type="dxa"/>
        </w:tblCellMar>
        <w:tblLook w:val="04A0" w:firstRow="1" w:lastRow="0" w:firstColumn="1" w:lastColumn="0" w:noHBand="0" w:noVBand="1"/>
      </w:tblPr>
      <w:tblGrid>
        <w:gridCol w:w="2742"/>
        <w:gridCol w:w="2332"/>
        <w:gridCol w:w="2332"/>
        <w:gridCol w:w="1582"/>
      </w:tblGrid>
      <w:tr w:rsidR="00500973" w:rsidRPr="00500973" w14:paraId="6F494246" w14:textId="77777777" w:rsidTr="00872623">
        <w:trPr>
          <w:trHeight w:val="487"/>
          <w:tblHeader/>
          <w:tblCellSpacing w:w="15" w:type="dxa"/>
        </w:trPr>
        <w:tc>
          <w:tcPr>
            <w:tcW w:w="0" w:type="auto"/>
            <w:shd w:val="clear" w:color="auto" w:fill="FFC000"/>
            <w:vAlign w:val="center"/>
            <w:hideMark/>
          </w:tcPr>
          <w:p w14:paraId="3B9568B3"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Ratio</w:t>
            </w:r>
          </w:p>
        </w:tc>
        <w:tc>
          <w:tcPr>
            <w:tcW w:w="0" w:type="auto"/>
            <w:shd w:val="clear" w:color="auto" w:fill="FFC000"/>
            <w:vAlign w:val="center"/>
            <w:hideMark/>
          </w:tcPr>
          <w:p w14:paraId="6DDE7A42"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2022</w:t>
            </w:r>
          </w:p>
        </w:tc>
        <w:tc>
          <w:tcPr>
            <w:tcW w:w="0" w:type="auto"/>
            <w:shd w:val="clear" w:color="auto" w:fill="FFC000"/>
            <w:vAlign w:val="center"/>
            <w:hideMark/>
          </w:tcPr>
          <w:p w14:paraId="0B053103"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2023</w:t>
            </w:r>
          </w:p>
        </w:tc>
        <w:tc>
          <w:tcPr>
            <w:tcW w:w="0" w:type="auto"/>
            <w:shd w:val="clear" w:color="auto" w:fill="FFC000"/>
            <w:vAlign w:val="center"/>
            <w:hideMark/>
          </w:tcPr>
          <w:p w14:paraId="6135FD74" w14:textId="77777777" w:rsidR="00500973" w:rsidRPr="00500973" w:rsidRDefault="00500973" w:rsidP="00500973">
            <w:pPr>
              <w:spacing w:after="0" w:line="240" w:lineRule="auto"/>
              <w:jc w:val="center"/>
              <w:rPr>
                <w:rFonts w:ascii="Arial" w:eastAsia="Times New Roman" w:hAnsi="Arial" w:cs="Arial"/>
                <w:b/>
                <w:bCs/>
                <w:kern w:val="0"/>
                <w:lang w:eastAsia="en-GB"/>
                <w14:ligatures w14:val="none"/>
              </w:rPr>
            </w:pPr>
            <w:r w:rsidRPr="00500973">
              <w:rPr>
                <w:rFonts w:ascii="Arial" w:eastAsia="Times New Roman" w:hAnsi="Arial" w:cs="Arial"/>
                <w:b/>
                <w:bCs/>
                <w:kern w:val="0"/>
                <w:lang w:eastAsia="en-GB"/>
                <w14:ligatures w14:val="none"/>
              </w:rPr>
              <w:t>Change</w:t>
            </w:r>
          </w:p>
        </w:tc>
      </w:tr>
      <w:tr w:rsidR="00500973" w:rsidRPr="00500973" w14:paraId="10520613" w14:textId="77777777" w:rsidTr="00500973">
        <w:trPr>
          <w:trHeight w:val="505"/>
          <w:tblCellSpacing w:w="15" w:type="dxa"/>
        </w:trPr>
        <w:tc>
          <w:tcPr>
            <w:tcW w:w="0" w:type="auto"/>
            <w:vAlign w:val="center"/>
            <w:hideMark/>
          </w:tcPr>
          <w:p w14:paraId="68807049" w14:textId="49C33868"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Inventory Turnover (</w:t>
            </w:r>
            <w:r>
              <w:rPr>
                <w:rFonts w:ascii="Arial" w:eastAsia="Times New Roman" w:hAnsi="Arial" w:cs="Arial"/>
                <w:kern w:val="0"/>
                <w:lang w:eastAsia="en-GB"/>
                <w14:ligatures w14:val="none"/>
              </w:rPr>
              <w:t>x</w:t>
            </w:r>
            <w:r w:rsidRPr="00500973">
              <w:rPr>
                <w:rFonts w:ascii="Arial" w:eastAsia="Times New Roman" w:hAnsi="Arial" w:cs="Arial"/>
                <w:kern w:val="0"/>
                <w:lang w:eastAsia="en-GB"/>
                <w14:ligatures w14:val="none"/>
              </w:rPr>
              <w:t>)</w:t>
            </w:r>
          </w:p>
        </w:tc>
        <w:tc>
          <w:tcPr>
            <w:tcW w:w="0" w:type="auto"/>
            <w:vAlign w:val="center"/>
            <w:hideMark/>
          </w:tcPr>
          <w:p w14:paraId="2260A046"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288.8/33.4 = 8.6</w:t>
            </w:r>
          </w:p>
        </w:tc>
        <w:tc>
          <w:tcPr>
            <w:tcW w:w="0" w:type="auto"/>
            <w:vAlign w:val="center"/>
            <w:hideMark/>
          </w:tcPr>
          <w:p w14:paraId="6FF16BA7"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304.7/33.3 = 9.1</w:t>
            </w:r>
          </w:p>
        </w:tc>
        <w:tc>
          <w:tcPr>
            <w:tcW w:w="0" w:type="auto"/>
            <w:vAlign w:val="center"/>
            <w:hideMark/>
          </w:tcPr>
          <w:p w14:paraId="1BBBD7C9" w14:textId="1F8E890D"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+0.5</w:t>
            </w:r>
            <w:r>
              <w:rPr>
                <w:rFonts w:ascii="Arial" w:eastAsia="Times New Roman" w:hAnsi="Arial" w:cs="Arial"/>
                <w:kern w:val="0"/>
                <w:lang w:eastAsia="en-GB"/>
                <w14:ligatures w14:val="none"/>
              </w:rPr>
              <w:t xml:space="preserve"> x</w:t>
            </w:r>
          </w:p>
        </w:tc>
      </w:tr>
      <w:tr w:rsidR="00500973" w:rsidRPr="00500973" w14:paraId="11F5D0E5" w14:textId="77777777" w:rsidTr="00500973">
        <w:trPr>
          <w:trHeight w:val="487"/>
          <w:tblCellSpacing w:w="15" w:type="dxa"/>
        </w:trPr>
        <w:tc>
          <w:tcPr>
            <w:tcW w:w="0" w:type="auto"/>
            <w:vAlign w:val="center"/>
            <w:hideMark/>
          </w:tcPr>
          <w:p w14:paraId="35BFC864" w14:textId="7DDA2438"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Asset Turnover (</w:t>
            </w:r>
            <w:r>
              <w:rPr>
                <w:rFonts w:ascii="Arial" w:eastAsia="Times New Roman" w:hAnsi="Arial" w:cs="Arial"/>
                <w:kern w:val="0"/>
                <w:lang w:eastAsia="en-GB"/>
                <w14:ligatures w14:val="none"/>
              </w:rPr>
              <w:t>x</w:t>
            </w:r>
            <w:r w:rsidRPr="00500973">
              <w:rPr>
                <w:rFonts w:ascii="Arial" w:eastAsia="Times New Roman" w:hAnsi="Arial" w:cs="Arial"/>
                <w:kern w:val="0"/>
                <w:lang w:eastAsia="en-GB"/>
                <w14:ligatures w14:val="none"/>
              </w:rPr>
              <w:t>)</w:t>
            </w:r>
          </w:p>
        </w:tc>
        <w:tc>
          <w:tcPr>
            <w:tcW w:w="0" w:type="auto"/>
            <w:vAlign w:val="center"/>
            <w:hideMark/>
          </w:tcPr>
          <w:p w14:paraId="197774BB"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514.0/441.6 = 1.16</w:t>
            </w:r>
          </w:p>
        </w:tc>
        <w:tc>
          <w:tcPr>
            <w:tcW w:w="0" w:type="auto"/>
            <w:vAlign w:val="center"/>
            <w:hideMark/>
          </w:tcPr>
          <w:p w14:paraId="16C5D997" w14:textId="77777777" w:rsidR="00500973" w:rsidRPr="00500973" w:rsidRDefault="00500973" w:rsidP="00500973">
            <w:pPr>
              <w:spacing w:after="0" w:line="240" w:lineRule="auto"/>
              <w:rPr>
                <w:rFonts w:ascii="Arial" w:eastAsia="Times New Roman" w:hAnsi="Arial" w:cs="Arial"/>
                <w:kern w:val="0"/>
                <w:lang w:eastAsia="en-GB"/>
                <w14:ligatures w14:val="none"/>
              </w:rPr>
            </w:pPr>
            <w:r w:rsidRPr="00500973">
              <w:rPr>
                <w:rFonts w:ascii="Arial" w:eastAsia="Times New Roman" w:hAnsi="Arial" w:cs="Arial"/>
                <w:kern w:val="0"/>
                <w:lang w:eastAsia="en-GB"/>
                <w14:ligatures w14:val="none"/>
              </w:rPr>
              <w:t>575.0/495.3 = 1.16</w:t>
            </w:r>
          </w:p>
        </w:tc>
        <w:tc>
          <w:tcPr>
            <w:tcW w:w="0" w:type="auto"/>
            <w:vAlign w:val="center"/>
            <w:hideMark/>
          </w:tcPr>
          <w:p w14:paraId="3F393D6A" w14:textId="4E6F205A" w:rsidR="00500973" w:rsidRPr="00500973" w:rsidRDefault="00500973" w:rsidP="00500973">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Pr="00500973">
              <w:rPr>
                <w:rFonts w:ascii="Arial" w:eastAsia="Times New Roman" w:hAnsi="Arial" w:cs="Arial"/>
                <w:kern w:val="0"/>
                <w:lang w:eastAsia="en-GB"/>
                <w14:ligatures w14:val="none"/>
              </w:rPr>
              <w:t xml:space="preserve"> no change</w:t>
            </w:r>
          </w:p>
        </w:tc>
      </w:tr>
    </w:tbl>
    <w:p w14:paraId="5DD7E61C" w14:textId="77777777" w:rsidR="00500973" w:rsidRDefault="00500973" w:rsidP="001656BF">
      <w:pPr>
        <w:spacing w:line="480" w:lineRule="auto"/>
        <w:rPr>
          <w:rFonts w:ascii="Arial" w:hAnsi="Arial" w:cs="Arial"/>
        </w:rPr>
      </w:pPr>
    </w:p>
    <w:p w14:paraId="6C7D8F41" w14:textId="18390094" w:rsidR="001656BF" w:rsidRPr="00872623" w:rsidRDefault="001656BF" w:rsidP="001656BF">
      <w:pPr>
        <w:spacing w:line="480" w:lineRule="auto"/>
        <w:rPr>
          <w:rFonts w:ascii="Arial" w:hAnsi="Arial" w:cs="Arial"/>
          <w:b/>
          <w:bCs/>
        </w:rPr>
      </w:pPr>
      <w:r w:rsidRPr="00872623">
        <w:rPr>
          <w:rFonts w:ascii="Arial" w:hAnsi="Arial" w:cs="Arial"/>
          <w:b/>
          <w:bCs/>
        </w:rPr>
        <w:t>Discussion:</w:t>
      </w:r>
    </w:p>
    <w:p w14:paraId="7FBC0051" w14:textId="77777777" w:rsidR="00500973" w:rsidRPr="00500973" w:rsidRDefault="001656BF" w:rsidP="00500973">
      <w:pPr>
        <w:pStyle w:val="ListParagraph"/>
        <w:numPr>
          <w:ilvl w:val="0"/>
          <w:numId w:val="6"/>
        </w:numPr>
        <w:spacing w:line="480" w:lineRule="auto"/>
        <w:rPr>
          <w:rFonts w:ascii="Arial" w:hAnsi="Arial" w:cs="Arial"/>
        </w:rPr>
      </w:pPr>
      <w:r w:rsidRPr="00500973">
        <w:rPr>
          <w:rFonts w:ascii="Arial" w:hAnsi="Arial" w:cs="Arial"/>
        </w:rPr>
        <w:t>The increasing inventory turnover indicates that Amazon had leaner stock with more regionali</w:t>
      </w:r>
      <w:r w:rsidR="00500973" w:rsidRPr="00500973">
        <w:rPr>
          <w:rFonts w:ascii="Arial" w:hAnsi="Arial" w:cs="Arial"/>
        </w:rPr>
        <w:t>s</w:t>
      </w:r>
      <w:r w:rsidRPr="00500973">
        <w:rPr>
          <w:rFonts w:ascii="Arial" w:hAnsi="Arial" w:cs="Arial"/>
        </w:rPr>
        <w:t>ed networks (Amiri &amp; Vida, 2023; Lucey, 2009).</w:t>
      </w:r>
    </w:p>
    <w:p w14:paraId="2A53DF6E" w14:textId="5EC9D34C" w:rsidR="001656BF" w:rsidRPr="00500973" w:rsidRDefault="001656BF" w:rsidP="00500973">
      <w:pPr>
        <w:pStyle w:val="ListParagraph"/>
        <w:numPr>
          <w:ilvl w:val="0"/>
          <w:numId w:val="6"/>
        </w:numPr>
        <w:spacing w:line="480" w:lineRule="auto"/>
        <w:rPr>
          <w:rFonts w:ascii="Arial" w:hAnsi="Arial" w:cs="Arial"/>
        </w:rPr>
      </w:pPr>
      <w:r w:rsidRPr="00500973">
        <w:rPr>
          <w:rFonts w:ascii="Arial" w:hAnsi="Arial" w:cs="Arial"/>
        </w:rPr>
        <w:t xml:space="preserve">The asset turnover remained stable which suggests that Amazon scaled its asset base similarly to turns in revenue growth (Dyson, 2010). </w:t>
      </w:r>
    </w:p>
    <w:p w14:paraId="11C21EDC" w14:textId="5EA1CB99" w:rsidR="001656BF" w:rsidRPr="00872623" w:rsidRDefault="001656BF" w:rsidP="00872623">
      <w:pPr>
        <w:pStyle w:val="ListParagraph"/>
        <w:numPr>
          <w:ilvl w:val="0"/>
          <w:numId w:val="2"/>
        </w:numPr>
        <w:spacing w:line="480" w:lineRule="auto"/>
        <w:rPr>
          <w:rFonts w:ascii="Arial Black" w:hAnsi="Arial Black" w:cs="Arial"/>
        </w:rPr>
      </w:pPr>
      <w:r w:rsidRPr="00872623">
        <w:rPr>
          <w:rFonts w:ascii="Arial Black" w:hAnsi="Arial Black" w:cs="Arial"/>
        </w:rPr>
        <w:t>Sustainability Analysis</w:t>
      </w:r>
    </w:p>
    <w:p w14:paraId="674CF714" w14:textId="2F25EBCC" w:rsidR="001656BF" w:rsidRPr="001656BF" w:rsidRDefault="001656BF" w:rsidP="001656BF">
      <w:pPr>
        <w:spacing w:line="480" w:lineRule="auto"/>
        <w:rPr>
          <w:rFonts w:ascii="Arial" w:hAnsi="Arial" w:cs="Arial"/>
        </w:rPr>
      </w:pPr>
      <w:r w:rsidRPr="001656BF">
        <w:rPr>
          <w:rFonts w:ascii="Arial" w:hAnsi="Arial" w:cs="Arial"/>
        </w:rPr>
        <w:t>Sustainability at Amazon comprises environmental efforts, social responsibility, and governance initiatives (Bari, 2023). Some notable efforts are:</w:t>
      </w:r>
    </w:p>
    <w:p w14:paraId="3798D797" w14:textId="10CEBBA8" w:rsidR="001656BF" w:rsidRPr="00883DB7" w:rsidRDefault="001656BF" w:rsidP="00883DB7">
      <w:pPr>
        <w:pStyle w:val="ListParagraph"/>
        <w:numPr>
          <w:ilvl w:val="0"/>
          <w:numId w:val="7"/>
        </w:numPr>
        <w:spacing w:line="480" w:lineRule="auto"/>
        <w:rPr>
          <w:rFonts w:ascii="Arial" w:hAnsi="Arial" w:cs="Arial"/>
        </w:rPr>
      </w:pPr>
      <w:r w:rsidRPr="00883DB7">
        <w:rPr>
          <w:rFonts w:ascii="Arial" w:hAnsi="Arial" w:cs="Arial"/>
        </w:rPr>
        <w:t>Renewable Energy Used: Amazon committed to a pledge to power its entire global infrastructure with 100% renewable energy by</w:t>
      </w:r>
      <w:r w:rsidR="00500973" w:rsidRPr="00883DB7">
        <w:rPr>
          <w:rFonts w:ascii="Arial" w:hAnsi="Arial" w:cs="Arial"/>
        </w:rPr>
        <w:t xml:space="preserve"> the end of</w:t>
      </w:r>
      <w:r w:rsidRPr="00883DB7">
        <w:rPr>
          <w:rFonts w:ascii="Arial" w:hAnsi="Arial" w:cs="Arial"/>
        </w:rPr>
        <w:t xml:space="preserve"> 2025. As of 2023, approximately 65% of the electricity used came from wind and solar </w:t>
      </w:r>
      <w:r w:rsidRPr="00883DB7">
        <w:rPr>
          <w:rFonts w:ascii="Arial" w:hAnsi="Arial" w:cs="Arial"/>
        </w:rPr>
        <w:lastRenderedPageBreak/>
        <w:t>energy projects, and Amazon reduced carbon intensity per unit of revenue by 20% over the previous year (Amazon.com, Inc., 2023)</w:t>
      </w:r>
      <w:r w:rsidR="00500973" w:rsidRPr="00883DB7">
        <w:rPr>
          <w:rFonts w:ascii="Arial" w:hAnsi="Arial" w:cs="Arial"/>
        </w:rPr>
        <w:t>.</w:t>
      </w:r>
    </w:p>
    <w:p w14:paraId="5234CAC2" w14:textId="77777777" w:rsidR="00883DB7" w:rsidRPr="00883DB7" w:rsidRDefault="001656BF" w:rsidP="00883DB7">
      <w:pPr>
        <w:pStyle w:val="ListParagraph"/>
        <w:numPr>
          <w:ilvl w:val="0"/>
          <w:numId w:val="7"/>
        </w:numPr>
        <w:spacing w:line="480" w:lineRule="auto"/>
        <w:rPr>
          <w:rFonts w:ascii="Arial" w:hAnsi="Arial" w:cs="Arial"/>
        </w:rPr>
      </w:pPr>
      <w:r w:rsidRPr="00883DB7">
        <w:rPr>
          <w:rFonts w:ascii="Arial" w:hAnsi="Arial" w:cs="Arial"/>
        </w:rPr>
        <w:t>Using Circular Packaging and Waste Reduction: Under its "Frustration-Free Packaging" program, Amazon reduced packaging materials by 36,000 tons per year.</w:t>
      </w:r>
      <w:r w:rsidR="0072511F" w:rsidRPr="00883DB7">
        <w:rPr>
          <w:rFonts w:ascii="Arial" w:hAnsi="Arial" w:cs="Arial"/>
        </w:rPr>
        <w:t xml:space="preserve"> </w:t>
      </w:r>
      <w:r w:rsidRPr="00883DB7">
        <w:rPr>
          <w:rFonts w:ascii="Arial" w:hAnsi="Arial" w:cs="Arial"/>
        </w:rPr>
        <w:t xml:space="preserve">The growth of reusable packaging options can provide additional cost savings and environmental benefits (Bux &amp; </w:t>
      </w:r>
      <w:proofErr w:type="spellStart"/>
      <w:r w:rsidRPr="00883DB7">
        <w:rPr>
          <w:rFonts w:ascii="Arial" w:hAnsi="Arial" w:cs="Arial"/>
        </w:rPr>
        <w:t>Amicarelli</w:t>
      </w:r>
      <w:proofErr w:type="spellEnd"/>
      <w:r w:rsidRPr="00883DB7">
        <w:rPr>
          <w:rFonts w:ascii="Arial" w:hAnsi="Arial" w:cs="Arial"/>
        </w:rPr>
        <w:t>, 2022).</w:t>
      </w:r>
    </w:p>
    <w:p w14:paraId="273ED623" w14:textId="77777777" w:rsidR="00883DB7" w:rsidRPr="00883DB7" w:rsidRDefault="001656BF" w:rsidP="00883DB7">
      <w:pPr>
        <w:pStyle w:val="ListParagraph"/>
        <w:numPr>
          <w:ilvl w:val="0"/>
          <w:numId w:val="7"/>
        </w:numPr>
        <w:spacing w:line="480" w:lineRule="auto"/>
        <w:rPr>
          <w:rFonts w:ascii="Arial" w:hAnsi="Arial" w:cs="Arial"/>
        </w:rPr>
      </w:pPr>
      <w:r w:rsidRPr="00883DB7">
        <w:rPr>
          <w:rFonts w:ascii="Arial" w:hAnsi="Arial" w:cs="Arial"/>
        </w:rPr>
        <w:t>Supply Chain Emissions: Through improved route optimi</w:t>
      </w:r>
      <w:r w:rsidR="00883DB7" w:rsidRPr="00883DB7">
        <w:rPr>
          <w:rFonts w:ascii="Arial" w:hAnsi="Arial" w:cs="Arial"/>
        </w:rPr>
        <w:t>s</w:t>
      </w:r>
      <w:r w:rsidRPr="00883DB7">
        <w:rPr>
          <w:rFonts w:ascii="Arial" w:hAnsi="Arial" w:cs="Arial"/>
        </w:rPr>
        <w:t>ation and using electric delivery vehicles, Amazon is on track to achieve net-zero carbon emissions in its operations by 2040. In its early pilot programs in urban areas, last-mile emissions were reduced by 15% (Bari, 2023).</w:t>
      </w:r>
    </w:p>
    <w:p w14:paraId="72A799A1" w14:textId="77777777" w:rsidR="00883DB7" w:rsidRPr="00883DB7" w:rsidRDefault="001656BF" w:rsidP="00883DB7">
      <w:pPr>
        <w:pStyle w:val="ListParagraph"/>
        <w:numPr>
          <w:ilvl w:val="0"/>
          <w:numId w:val="7"/>
        </w:numPr>
        <w:spacing w:line="480" w:lineRule="auto"/>
        <w:rPr>
          <w:rFonts w:ascii="Arial" w:hAnsi="Arial" w:cs="Arial"/>
        </w:rPr>
      </w:pPr>
      <w:r w:rsidRPr="00883DB7">
        <w:rPr>
          <w:rFonts w:ascii="Arial" w:hAnsi="Arial" w:cs="Arial"/>
        </w:rPr>
        <w:t>Social and Employee Practices: Investments into employee upskilling and safety practices resulted in a reduction in incident reports of 12%, while helping to retain a skilled workforce (Amiri &amp; Vida, 2023).</w:t>
      </w:r>
    </w:p>
    <w:p w14:paraId="451B905F" w14:textId="79F2CCCC" w:rsidR="001656BF" w:rsidRPr="00883DB7" w:rsidRDefault="001656BF" w:rsidP="00883DB7">
      <w:pPr>
        <w:pStyle w:val="ListParagraph"/>
        <w:numPr>
          <w:ilvl w:val="0"/>
          <w:numId w:val="7"/>
        </w:numPr>
        <w:spacing w:line="480" w:lineRule="auto"/>
        <w:rPr>
          <w:rFonts w:ascii="Arial" w:hAnsi="Arial" w:cs="Arial"/>
        </w:rPr>
      </w:pPr>
      <w:r w:rsidRPr="00883DB7">
        <w:rPr>
          <w:rFonts w:ascii="Arial" w:hAnsi="Arial" w:cs="Arial"/>
        </w:rPr>
        <w:t>Governance &amp; Reporting: With annual sustainability reports and alignment with the Task Force on Climate</w:t>
      </w:r>
      <w:r w:rsidRPr="00883DB7">
        <w:rPr>
          <w:rFonts w:ascii="Cambria Math" w:hAnsi="Cambria Math" w:cs="Cambria Math"/>
        </w:rPr>
        <w:t>‑</w:t>
      </w:r>
      <w:r w:rsidRPr="00883DB7">
        <w:rPr>
          <w:rFonts w:ascii="Arial" w:hAnsi="Arial" w:cs="Arial"/>
        </w:rPr>
        <w:t>related Financial Disclosures (TCFD) accountability framework, Amazon's improved transparency shows stakeholders that they are trustworthy (Choi &amp; Wang, 2009).</w:t>
      </w:r>
    </w:p>
    <w:p w14:paraId="06AA8B0B" w14:textId="729E006C" w:rsidR="001656BF" w:rsidRPr="001656BF" w:rsidRDefault="001656BF" w:rsidP="001656BF">
      <w:pPr>
        <w:spacing w:line="480" w:lineRule="auto"/>
        <w:rPr>
          <w:rFonts w:ascii="Arial" w:hAnsi="Arial" w:cs="Arial"/>
        </w:rPr>
      </w:pPr>
      <w:r w:rsidRPr="001656BF">
        <w:rPr>
          <w:rFonts w:ascii="Arial" w:hAnsi="Arial" w:cs="Arial"/>
        </w:rPr>
        <w:t xml:space="preserve">Although the company has made strides </w:t>
      </w:r>
      <w:r w:rsidR="00883DB7" w:rsidRPr="001656BF">
        <w:rPr>
          <w:rFonts w:ascii="Arial" w:hAnsi="Arial" w:cs="Arial"/>
        </w:rPr>
        <w:t>about</w:t>
      </w:r>
      <w:r w:rsidRPr="001656BF">
        <w:rPr>
          <w:rFonts w:ascii="Arial" w:hAnsi="Arial" w:cs="Arial"/>
        </w:rPr>
        <w:t xml:space="preserve"> sustainability, more can be done - like including sustainability metrics in executive incentive compensation, ramping up the company's circular economy projects and increasing spending on community impacts programs (Cruz Lopez, 2023).</w:t>
      </w:r>
    </w:p>
    <w:p w14:paraId="0E92BE51" w14:textId="77777777" w:rsidR="00872623" w:rsidRDefault="00872623" w:rsidP="001656BF">
      <w:pPr>
        <w:spacing w:line="480" w:lineRule="auto"/>
        <w:rPr>
          <w:rFonts w:ascii="Arial" w:hAnsi="Arial" w:cs="Arial"/>
        </w:rPr>
      </w:pPr>
    </w:p>
    <w:p w14:paraId="2E0309BF" w14:textId="77777777" w:rsidR="00872623" w:rsidRDefault="00872623" w:rsidP="001656BF">
      <w:pPr>
        <w:spacing w:line="480" w:lineRule="auto"/>
        <w:rPr>
          <w:rFonts w:ascii="Arial" w:hAnsi="Arial" w:cs="Arial"/>
        </w:rPr>
      </w:pPr>
    </w:p>
    <w:p w14:paraId="31554018" w14:textId="77777777" w:rsidR="00872623" w:rsidRDefault="00872623" w:rsidP="001656BF">
      <w:pPr>
        <w:spacing w:line="480" w:lineRule="auto"/>
        <w:rPr>
          <w:rFonts w:ascii="Arial" w:hAnsi="Arial" w:cs="Arial"/>
        </w:rPr>
      </w:pPr>
    </w:p>
    <w:p w14:paraId="67BB8687" w14:textId="4DF454F4" w:rsidR="001656BF" w:rsidRPr="00872623" w:rsidRDefault="001656BF" w:rsidP="00872623">
      <w:pPr>
        <w:pStyle w:val="ListParagraph"/>
        <w:numPr>
          <w:ilvl w:val="0"/>
          <w:numId w:val="2"/>
        </w:numPr>
        <w:spacing w:line="480" w:lineRule="auto"/>
        <w:rPr>
          <w:rFonts w:ascii="Arial Black" w:hAnsi="Arial Black" w:cs="Arial"/>
        </w:rPr>
      </w:pPr>
      <w:r w:rsidRPr="00872623">
        <w:rPr>
          <w:rFonts w:ascii="Arial Black" w:hAnsi="Arial Black" w:cs="Arial"/>
        </w:rPr>
        <w:lastRenderedPageBreak/>
        <w:t>Recommendations</w:t>
      </w:r>
    </w:p>
    <w:p w14:paraId="1818DC7D" w14:textId="77777777" w:rsidR="001656BF" w:rsidRPr="00883DB7" w:rsidRDefault="001656BF" w:rsidP="00883DB7">
      <w:pPr>
        <w:pStyle w:val="ListParagraph"/>
        <w:numPr>
          <w:ilvl w:val="0"/>
          <w:numId w:val="8"/>
        </w:numPr>
        <w:spacing w:line="480" w:lineRule="auto"/>
        <w:rPr>
          <w:rFonts w:ascii="Arial" w:hAnsi="Arial" w:cs="Arial"/>
        </w:rPr>
      </w:pPr>
      <w:r w:rsidRPr="00883DB7">
        <w:rPr>
          <w:rFonts w:ascii="Arial" w:hAnsi="Arial" w:cs="Arial"/>
        </w:rPr>
        <w:t>Broaden Service Market High-Margins: Invest in generative A.I. and machine learning engine emerging technologies accessible through AWS and take advantage of higher price to service delivery (Antonopoulos, 2023).</w:t>
      </w:r>
    </w:p>
    <w:p w14:paraId="0A06C654" w14:textId="42E2175F" w:rsidR="001656BF" w:rsidRPr="00883DB7" w:rsidRDefault="001656BF" w:rsidP="00883DB7">
      <w:pPr>
        <w:pStyle w:val="ListParagraph"/>
        <w:numPr>
          <w:ilvl w:val="0"/>
          <w:numId w:val="8"/>
        </w:numPr>
        <w:spacing w:line="480" w:lineRule="auto"/>
        <w:rPr>
          <w:rFonts w:ascii="Arial" w:hAnsi="Arial" w:cs="Arial"/>
        </w:rPr>
      </w:pPr>
      <w:r w:rsidRPr="00883DB7">
        <w:rPr>
          <w:rFonts w:ascii="Arial" w:hAnsi="Arial" w:cs="Arial"/>
        </w:rPr>
        <w:t>Incorporate Sustainable Practices: Implement sustainability as part of the organi</w:t>
      </w:r>
      <w:r w:rsidR="00883DB7" w:rsidRPr="00883DB7">
        <w:rPr>
          <w:rFonts w:ascii="Arial" w:hAnsi="Arial" w:cs="Arial"/>
        </w:rPr>
        <w:t>s</w:t>
      </w:r>
      <w:r w:rsidRPr="00883DB7">
        <w:rPr>
          <w:rFonts w:ascii="Arial" w:hAnsi="Arial" w:cs="Arial"/>
        </w:rPr>
        <w:t>ation, for example, link 25% of executive bonuses to track progress on ESG KPI-performance (renewable energy, packaging waste diversion, and carbon intensity targets etc) (Bari, 2023).</w:t>
      </w:r>
    </w:p>
    <w:p w14:paraId="5080BCDF" w14:textId="77777777" w:rsidR="001656BF" w:rsidRPr="00883DB7" w:rsidRDefault="001656BF" w:rsidP="00883DB7">
      <w:pPr>
        <w:pStyle w:val="ListParagraph"/>
        <w:numPr>
          <w:ilvl w:val="0"/>
          <w:numId w:val="8"/>
        </w:numPr>
        <w:spacing w:line="480" w:lineRule="auto"/>
        <w:rPr>
          <w:rFonts w:ascii="Arial" w:hAnsi="Arial" w:cs="Arial"/>
        </w:rPr>
      </w:pPr>
      <w:r w:rsidRPr="00883DB7">
        <w:rPr>
          <w:rFonts w:ascii="Arial" w:hAnsi="Arial" w:cs="Arial"/>
        </w:rPr>
        <w:t>Improve Capital Structure: The company has generated a considerable amount of free cash flow lately. This provides an opportunity to focus on reducing debt, aiming to have a debt-to-assets ratio, below 0.60 by 2025, which will positively impact credit metrics (Drury, 2015),</w:t>
      </w:r>
    </w:p>
    <w:p w14:paraId="5EF375D8" w14:textId="6AAAA966" w:rsidR="001656BF" w:rsidRPr="00883DB7" w:rsidRDefault="001656BF" w:rsidP="00883DB7">
      <w:pPr>
        <w:pStyle w:val="ListParagraph"/>
        <w:numPr>
          <w:ilvl w:val="0"/>
          <w:numId w:val="8"/>
        </w:numPr>
        <w:spacing w:line="480" w:lineRule="auto"/>
        <w:rPr>
          <w:rFonts w:ascii="Arial" w:hAnsi="Arial" w:cs="Arial"/>
        </w:rPr>
      </w:pPr>
      <w:r w:rsidRPr="00883DB7">
        <w:rPr>
          <w:rFonts w:ascii="Arial" w:hAnsi="Arial" w:cs="Arial"/>
        </w:rPr>
        <w:t>Improved Stakeholder Engagement: Create interactive digital dashboards to report organi</w:t>
      </w:r>
      <w:r w:rsidR="00883DB7" w:rsidRPr="00883DB7">
        <w:rPr>
          <w:rFonts w:ascii="Arial" w:hAnsi="Arial" w:cs="Arial"/>
        </w:rPr>
        <w:t>s</w:t>
      </w:r>
      <w:r w:rsidRPr="00883DB7">
        <w:rPr>
          <w:rFonts w:ascii="Arial" w:hAnsi="Arial" w:cs="Arial"/>
        </w:rPr>
        <w:t>ational sustainability and financial performance metrics in real time</w:t>
      </w:r>
      <w:r w:rsidR="00883DB7" w:rsidRPr="00883DB7">
        <w:rPr>
          <w:rFonts w:ascii="Arial" w:hAnsi="Arial" w:cs="Arial"/>
        </w:rPr>
        <w:t xml:space="preserve">, </w:t>
      </w:r>
      <w:r w:rsidRPr="00883DB7">
        <w:rPr>
          <w:rFonts w:ascii="Arial" w:hAnsi="Arial" w:cs="Arial"/>
        </w:rPr>
        <w:t>in turn, fostering positive investments and community relations (Foster &amp; Gupta, 1994).</w:t>
      </w:r>
    </w:p>
    <w:p w14:paraId="3B8E7EA5" w14:textId="77777777" w:rsidR="00872623" w:rsidRDefault="00872623" w:rsidP="001656BF">
      <w:pPr>
        <w:spacing w:line="480" w:lineRule="auto"/>
        <w:rPr>
          <w:rFonts w:ascii="Arial Black" w:hAnsi="Arial Black" w:cs="Arial"/>
        </w:rPr>
      </w:pPr>
    </w:p>
    <w:p w14:paraId="046A553F" w14:textId="77777777" w:rsidR="00872623" w:rsidRDefault="00872623" w:rsidP="001656BF">
      <w:pPr>
        <w:spacing w:line="480" w:lineRule="auto"/>
        <w:rPr>
          <w:rFonts w:ascii="Arial Black" w:hAnsi="Arial Black" w:cs="Arial"/>
        </w:rPr>
      </w:pPr>
    </w:p>
    <w:p w14:paraId="1C7CAC53" w14:textId="77777777" w:rsidR="00872623" w:rsidRDefault="00872623" w:rsidP="001656BF">
      <w:pPr>
        <w:spacing w:line="480" w:lineRule="auto"/>
        <w:rPr>
          <w:rFonts w:ascii="Arial Black" w:hAnsi="Arial Black" w:cs="Arial"/>
        </w:rPr>
      </w:pPr>
    </w:p>
    <w:p w14:paraId="6E15159A" w14:textId="77777777" w:rsidR="00872623" w:rsidRDefault="00872623" w:rsidP="001656BF">
      <w:pPr>
        <w:spacing w:line="480" w:lineRule="auto"/>
        <w:rPr>
          <w:rFonts w:ascii="Arial Black" w:hAnsi="Arial Black" w:cs="Arial"/>
        </w:rPr>
      </w:pPr>
    </w:p>
    <w:p w14:paraId="7AF25308" w14:textId="77777777" w:rsidR="00872623" w:rsidRDefault="00872623" w:rsidP="001656BF">
      <w:pPr>
        <w:spacing w:line="480" w:lineRule="auto"/>
        <w:rPr>
          <w:rFonts w:ascii="Arial Black" w:hAnsi="Arial Black" w:cs="Arial"/>
        </w:rPr>
      </w:pPr>
    </w:p>
    <w:p w14:paraId="687DC8AC" w14:textId="77777777" w:rsidR="00872623" w:rsidRDefault="00872623" w:rsidP="001656BF">
      <w:pPr>
        <w:spacing w:line="480" w:lineRule="auto"/>
        <w:rPr>
          <w:rFonts w:ascii="Arial Black" w:hAnsi="Arial Black" w:cs="Arial"/>
        </w:rPr>
      </w:pPr>
    </w:p>
    <w:p w14:paraId="7ED0BB3D" w14:textId="62928B07" w:rsidR="00883DB7" w:rsidRPr="00872623" w:rsidRDefault="001656BF" w:rsidP="00872623">
      <w:pPr>
        <w:pStyle w:val="ListParagraph"/>
        <w:numPr>
          <w:ilvl w:val="0"/>
          <w:numId w:val="2"/>
        </w:numPr>
        <w:spacing w:line="480" w:lineRule="auto"/>
        <w:rPr>
          <w:rFonts w:ascii="Arial Black" w:hAnsi="Arial Black" w:cs="Arial"/>
        </w:rPr>
      </w:pPr>
      <w:r w:rsidRPr="00872623">
        <w:rPr>
          <w:rFonts w:ascii="Arial Black" w:hAnsi="Arial Black" w:cs="Arial"/>
        </w:rPr>
        <w:lastRenderedPageBreak/>
        <w:t>Conclusion</w:t>
      </w:r>
    </w:p>
    <w:p w14:paraId="173EEDE8" w14:textId="75178BFB" w:rsidR="001656BF" w:rsidRDefault="001656BF" w:rsidP="001656BF">
      <w:pPr>
        <w:spacing w:line="480" w:lineRule="auto"/>
        <w:rPr>
          <w:rFonts w:ascii="Arial" w:hAnsi="Arial" w:cs="Arial"/>
        </w:rPr>
      </w:pPr>
      <w:r w:rsidRPr="001656BF">
        <w:rPr>
          <w:rFonts w:ascii="Arial" w:hAnsi="Arial" w:cs="Arial"/>
        </w:rPr>
        <w:t>Amazon.com, Inc.'s two-year ratio analysis illustrates very positive changes in profitability, liquidity, solvency and efficiency from 2022 to 2023, achieved primarily through automation, growth in high-margin services and disciplined working capital management. Disclosing a separate sustainability section highlights a company's progress to adopt renewable energy resources and minimi</w:t>
      </w:r>
      <w:r w:rsidR="00883DB7">
        <w:rPr>
          <w:rFonts w:ascii="Arial" w:hAnsi="Arial" w:cs="Arial"/>
        </w:rPr>
        <w:t>s</w:t>
      </w:r>
      <w:r w:rsidRPr="001656BF">
        <w:rPr>
          <w:rFonts w:ascii="Arial" w:hAnsi="Arial" w:cs="Arial"/>
        </w:rPr>
        <w:t>e waste while also finding potential opportunities to integrate ESG more fully into their financial and operational decision-making practices. A substantial ratio analysis framework has able to provide evidence-based recommendations for improved sustainability performance and increased long-term financial resilience for the organi</w:t>
      </w:r>
      <w:r w:rsidR="00883DB7">
        <w:rPr>
          <w:rFonts w:ascii="Arial" w:hAnsi="Arial" w:cs="Arial"/>
        </w:rPr>
        <w:t>s</w:t>
      </w:r>
      <w:r w:rsidRPr="001656BF">
        <w:rPr>
          <w:rFonts w:ascii="Arial" w:hAnsi="Arial" w:cs="Arial"/>
        </w:rPr>
        <w:t>ation.</w:t>
      </w:r>
    </w:p>
    <w:p w14:paraId="7DE33A21" w14:textId="77777777" w:rsidR="00883DB7" w:rsidRDefault="00883DB7" w:rsidP="001656BF">
      <w:pPr>
        <w:spacing w:line="480" w:lineRule="auto"/>
        <w:rPr>
          <w:rFonts w:ascii="Arial" w:hAnsi="Arial" w:cs="Arial"/>
        </w:rPr>
      </w:pPr>
    </w:p>
    <w:p w14:paraId="7966817B" w14:textId="77777777" w:rsidR="00883DB7" w:rsidRDefault="00883DB7" w:rsidP="001656BF">
      <w:pPr>
        <w:spacing w:line="480" w:lineRule="auto"/>
        <w:rPr>
          <w:rFonts w:ascii="Arial" w:hAnsi="Arial" w:cs="Arial"/>
        </w:rPr>
      </w:pPr>
    </w:p>
    <w:p w14:paraId="162B727F" w14:textId="77777777" w:rsidR="00883DB7" w:rsidRDefault="00883DB7" w:rsidP="001656BF">
      <w:pPr>
        <w:spacing w:line="480" w:lineRule="auto"/>
        <w:rPr>
          <w:rFonts w:ascii="Arial" w:hAnsi="Arial" w:cs="Arial"/>
        </w:rPr>
      </w:pPr>
    </w:p>
    <w:p w14:paraId="0C0F1B49" w14:textId="77777777" w:rsidR="00872623" w:rsidRDefault="00872623" w:rsidP="001656BF">
      <w:pPr>
        <w:spacing w:line="480" w:lineRule="auto"/>
        <w:rPr>
          <w:rFonts w:ascii="Arial" w:hAnsi="Arial" w:cs="Arial"/>
        </w:rPr>
      </w:pPr>
    </w:p>
    <w:p w14:paraId="38143A54" w14:textId="77777777" w:rsidR="00872623" w:rsidRDefault="00872623" w:rsidP="001656BF">
      <w:pPr>
        <w:spacing w:line="480" w:lineRule="auto"/>
        <w:rPr>
          <w:rFonts w:ascii="Arial" w:hAnsi="Arial" w:cs="Arial"/>
        </w:rPr>
      </w:pPr>
    </w:p>
    <w:p w14:paraId="74A64602" w14:textId="77777777" w:rsidR="00872623" w:rsidRDefault="00872623" w:rsidP="001656BF">
      <w:pPr>
        <w:spacing w:line="480" w:lineRule="auto"/>
        <w:rPr>
          <w:rFonts w:ascii="Arial" w:hAnsi="Arial" w:cs="Arial"/>
        </w:rPr>
      </w:pPr>
    </w:p>
    <w:p w14:paraId="76AB3AB1" w14:textId="77777777" w:rsidR="00872623" w:rsidRDefault="00872623" w:rsidP="001656BF">
      <w:pPr>
        <w:spacing w:line="480" w:lineRule="auto"/>
        <w:rPr>
          <w:rFonts w:ascii="Arial" w:hAnsi="Arial" w:cs="Arial"/>
        </w:rPr>
      </w:pPr>
    </w:p>
    <w:p w14:paraId="3357768A" w14:textId="77777777" w:rsidR="00872623" w:rsidRDefault="00872623" w:rsidP="001656BF">
      <w:pPr>
        <w:spacing w:line="480" w:lineRule="auto"/>
        <w:rPr>
          <w:rFonts w:ascii="Arial" w:hAnsi="Arial" w:cs="Arial"/>
        </w:rPr>
      </w:pPr>
    </w:p>
    <w:p w14:paraId="59CF8EAD" w14:textId="77777777" w:rsidR="00872623" w:rsidRDefault="00872623" w:rsidP="001656BF">
      <w:pPr>
        <w:spacing w:line="480" w:lineRule="auto"/>
        <w:rPr>
          <w:rFonts w:ascii="Arial" w:hAnsi="Arial" w:cs="Arial"/>
        </w:rPr>
      </w:pPr>
    </w:p>
    <w:p w14:paraId="6AAD0646" w14:textId="77777777" w:rsidR="00872623" w:rsidRDefault="00872623" w:rsidP="001656BF">
      <w:pPr>
        <w:spacing w:line="480" w:lineRule="auto"/>
        <w:rPr>
          <w:rFonts w:ascii="Arial" w:hAnsi="Arial" w:cs="Arial"/>
        </w:rPr>
      </w:pPr>
    </w:p>
    <w:p w14:paraId="71AC8135" w14:textId="77777777" w:rsidR="00872623" w:rsidRDefault="00872623" w:rsidP="001656BF">
      <w:pPr>
        <w:spacing w:line="480" w:lineRule="auto"/>
        <w:rPr>
          <w:rFonts w:ascii="Arial" w:hAnsi="Arial" w:cs="Arial"/>
        </w:rPr>
      </w:pPr>
    </w:p>
    <w:p w14:paraId="3355197C" w14:textId="6C436CA9" w:rsidR="00883DB7" w:rsidRPr="00872623" w:rsidRDefault="00883DB7" w:rsidP="001656BF">
      <w:pPr>
        <w:spacing w:line="480" w:lineRule="auto"/>
        <w:rPr>
          <w:rFonts w:ascii="Arial Black" w:hAnsi="Arial Black" w:cs="Arial"/>
        </w:rPr>
      </w:pPr>
      <w:r w:rsidRPr="00872623">
        <w:rPr>
          <w:rFonts w:ascii="Arial Black" w:hAnsi="Arial Black" w:cs="Arial"/>
        </w:rPr>
        <w:lastRenderedPageBreak/>
        <w:t xml:space="preserve">References </w:t>
      </w:r>
    </w:p>
    <w:p w14:paraId="666A7B41"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Amiri, S., &amp; Vida, V. (2023). Analysis of marketing strategic issues at Amazon. </w:t>
      </w:r>
      <w:r w:rsidRPr="00883DB7">
        <w:rPr>
          <w:rFonts w:ascii="Arial" w:hAnsi="Arial" w:cs="Arial"/>
          <w:i/>
          <w:iCs/>
        </w:rPr>
        <w:t>SEA: Practical Application of Science, 11(</w:t>
      </w:r>
      <w:r w:rsidRPr="00883DB7">
        <w:rPr>
          <w:rFonts w:ascii="Arial" w:hAnsi="Arial" w:cs="Arial"/>
        </w:rPr>
        <w:t>31).</w:t>
      </w:r>
    </w:p>
    <w:p w14:paraId="1E075870" w14:textId="304FAC24" w:rsidR="00883DB7" w:rsidRPr="00883DB7" w:rsidRDefault="00883DB7" w:rsidP="00872623">
      <w:pPr>
        <w:spacing w:line="480" w:lineRule="auto"/>
        <w:ind w:left="720" w:hanging="720"/>
        <w:rPr>
          <w:rFonts w:ascii="Arial" w:hAnsi="Arial" w:cs="Arial"/>
        </w:rPr>
      </w:pPr>
      <w:r w:rsidRPr="00883DB7">
        <w:rPr>
          <w:rFonts w:ascii="Arial" w:hAnsi="Arial" w:cs="Arial"/>
        </w:rPr>
        <w:t xml:space="preserve">Amazon.com, Inc. (2022). </w:t>
      </w:r>
      <w:r w:rsidRPr="00883DB7">
        <w:rPr>
          <w:rFonts w:ascii="Arial" w:hAnsi="Arial" w:cs="Arial"/>
          <w:i/>
          <w:iCs/>
        </w:rPr>
        <w:t>Annual report 2022 [PDF file].</w:t>
      </w:r>
      <w:r w:rsidRPr="00883DB7">
        <w:rPr>
          <w:rFonts w:ascii="Arial" w:hAnsi="Arial" w:cs="Arial"/>
        </w:rPr>
        <w:t xml:space="preserve"> Amazon.com, Inc. </w:t>
      </w:r>
      <w:hyperlink r:id="rId8" w:history="1">
        <w:r w:rsidRPr="007672A4">
          <w:rPr>
            <w:rStyle w:val="Hyperlink"/>
            <w:rFonts w:ascii="Arial" w:hAnsi="Arial" w:cs="Arial"/>
          </w:rPr>
          <w:t>https://s2.q4cdn.com/299287126/files/doc_financials/2023/ar/Amazon-2022-Annual-Report.pdf</w:t>
        </w:r>
      </w:hyperlink>
      <w:r>
        <w:rPr>
          <w:rFonts w:ascii="Arial" w:hAnsi="Arial" w:cs="Arial"/>
        </w:rPr>
        <w:t xml:space="preserve"> </w:t>
      </w:r>
      <w:r w:rsidRPr="00883DB7">
        <w:rPr>
          <w:rFonts w:ascii="Arial" w:hAnsi="Arial" w:cs="Arial"/>
        </w:rPr>
        <w:t xml:space="preserve"> </w:t>
      </w:r>
    </w:p>
    <w:p w14:paraId="1AD882C7" w14:textId="7F7FD88B" w:rsidR="00883DB7" w:rsidRPr="00883DB7" w:rsidRDefault="00883DB7" w:rsidP="00872623">
      <w:pPr>
        <w:spacing w:line="480" w:lineRule="auto"/>
        <w:ind w:left="720" w:hanging="720"/>
        <w:rPr>
          <w:rFonts w:ascii="Arial" w:hAnsi="Arial" w:cs="Arial"/>
        </w:rPr>
      </w:pPr>
      <w:r w:rsidRPr="00883DB7">
        <w:rPr>
          <w:rFonts w:ascii="Arial" w:hAnsi="Arial" w:cs="Arial"/>
        </w:rPr>
        <w:t xml:space="preserve">Amazon.com, Inc. (2023). </w:t>
      </w:r>
      <w:r w:rsidRPr="00883DB7">
        <w:rPr>
          <w:rFonts w:ascii="Arial" w:hAnsi="Arial" w:cs="Arial"/>
          <w:i/>
          <w:iCs/>
        </w:rPr>
        <w:t>Annual report 2023 [PDF file].</w:t>
      </w:r>
      <w:r w:rsidRPr="00883DB7">
        <w:rPr>
          <w:rFonts w:ascii="Arial" w:hAnsi="Arial" w:cs="Arial"/>
        </w:rPr>
        <w:t xml:space="preserve"> Amazon.com, Inc. </w:t>
      </w:r>
      <w:hyperlink r:id="rId9" w:history="1">
        <w:r w:rsidRPr="007672A4">
          <w:rPr>
            <w:rStyle w:val="Hyperlink"/>
            <w:rFonts w:ascii="Arial" w:hAnsi="Arial" w:cs="Arial"/>
          </w:rPr>
          <w:t>https://s2.q4cdn.com/299287126/files/doc_financials/2024/ar/Amazon-com-Inc-2023-Annual-Report.pdf</w:t>
        </w:r>
      </w:hyperlink>
      <w:r>
        <w:rPr>
          <w:rFonts w:ascii="Arial" w:hAnsi="Arial" w:cs="Arial"/>
        </w:rPr>
        <w:t xml:space="preserve"> </w:t>
      </w:r>
      <w:r w:rsidRPr="00883DB7">
        <w:rPr>
          <w:rFonts w:ascii="Arial" w:hAnsi="Arial" w:cs="Arial"/>
        </w:rPr>
        <w:t xml:space="preserve"> </w:t>
      </w:r>
    </w:p>
    <w:p w14:paraId="7F1DC7B5" w14:textId="77777777" w:rsidR="00883DB7" w:rsidRPr="00883DB7" w:rsidRDefault="00883DB7" w:rsidP="00872623">
      <w:pPr>
        <w:spacing w:line="480" w:lineRule="auto"/>
        <w:ind w:left="720" w:hanging="720"/>
        <w:rPr>
          <w:rFonts w:ascii="Arial" w:hAnsi="Arial" w:cs="Arial"/>
          <w:i/>
          <w:iCs/>
        </w:rPr>
      </w:pPr>
      <w:r w:rsidRPr="00883DB7">
        <w:rPr>
          <w:rFonts w:ascii="Arial" w:hAnsi="Arial" w:cs="Arial"/>
        </w:rPr>
        <w:t xml:space="preserve">Antonopoulos, D. (2023). </w:t>
      </w:r>
      <w:r w:rsidRPr="00883DB7">
        <w:rPr>
          <w:rFonts w:ascii="Arial" w:hAnsi="Arial" w:cs="Arial"/>
          <w:i/>
          <w:iCs/>
        </w:rPr>
        <w:t>Financial performance and strategy for Microsoft and Amazon during Covid-19 pandemic.</w:t>
      </w:r>
    </w:p>
    <w:p w14:paraId="34836C88"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Attrill, P., &amp; McLaney. (2015). </w:t>
      </w:r>
      <w:r w:rsidRPr="00883DB7">
        <w:rPr>
          <w:rFonts w:ascii="Arial" w:hAnsi="Arial" w:cs="Arial"/>
          <w:i/>
          <w:iCs/>
        </w:rPr>
        <w:t>Management Accounting for Decision Makers</w:t>
      </w:r>
      <w:r w:rsidRPr="00883DB7">
        <w:rPr>
          <w:rFonts w:ascii="Arial" w:hAnsi="Arial" w:cs="Arial"/>
        </w:rPr>
        <w:t xml:space="preserve"> (8th ed.). Cengage Learning.</w:t>
      </w:r>
    </w:p>
    <w:p w14:paraId="30E767F6"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Bux, C., &amp; </w:t>
      </w:r>
      <w:proofErr w:type="spellStart"/>
      <w:r w:rsidRPr="00883DB7">
        <w:rPr>
          <w:rFonts w:ascii="Arial" w:hAnsi="Arial" w:cs="Arial"/>
        </w:rPr>
        <w:t>Amicarelli</w:t>
      </w:r>
      <w:proofErr w:type="spellEnd"/>
      <w:r w:rsidRPr="00883DB7">
        <w:rPr>
          <w:rFonts w:ascii="Arial" w:hAnsi="Arial" w:cs="Arial"/>
        </w:rPr>
        <w:t xml:space="preserve">, V. (2022). Material flow cost accounting (MFCA) to enhance environmental entrepreneurship in the meat sector: Challenges and opportunities. </w:t>
      </w:r>
      <w:r w:rsidRPr="00883DB7">
        <w:rPr>
          <w:rFonts w:ascii="Arial" w:hAnsi="Arial" w:cs="Arial"/>
          <w:i/>
          <w:iCs/>
        </w:rPr>
        <w:t>Journal of Environmental Management</w:t>
      </w:r>
      <w:r w:rsidRPr="00883DB7">
        <w:rPr>
          <w:rFonts w:ascii="Arial" w:hAnsi="Arial" w:cs="Arial"/>
        </w:rPr>
        <w:t>, 313, 115001.</w:t>
      </w:r>
    </w:p>
    <w:p w14:paraId="388C17F1"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Bhimani, A., &amp; Horngren, C. T. (2008). </w:t>
      </w:r>
      <w:r w:rsidRPr="00883DB7">
        <w:rPr>
          <w:rFonts w:ascii="Arial" w:hAnsi="Arial" w:cs="Arial"/>
          <w:i/>
          <w:iCs/>
        </w:rPr>
        <w:t>Management and cost accounting</w:t>
      </w:r>
      <w:r w:rsidRPr="00883DB7">
        <w:rPr>
          <w:rFonts w:ascii="Arial" w:hAnsi="Arial" w:cs="Arial"/>
        </w:rPr>
        <w:t xml:space="preserve"> (Vol. 1). Pearson Education.</w:t>
      </w:r>
    </w:p>
    <w:p w14:paraId="717F4EA4"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Bari, M. H. (2023). </w:t>
      </w:r>
      <w:r w:rsidRPr="00883DB7">
        <w:rPr>
          <w:rFonts w:ascii="Arial" w:hAnsi="Arial" w:cs="Arial"/>
          <w:i/>
          <w:iCs/>
        </w:rPr>
        <w:t>Comparative analysis of digital payment platforms and e-commerce giants: A five</w:t>
      </w:r>
      <w:r w:rsidRPr="00883DB7">
        <w:rPr>
          <w:rFonts w:ascii="Cambria Math" w:hAnsi="Cambria Math" w:cs="Cambria Math"/>
          <w:i/>
          <w:iCs/>
        </w:rPr>
        <w:t>‐</w:t>
      </w:r>
      <w:r w:rsidRPr="00883DB7">
        <w:rPr>
          <w:rFonts w:ascii="Arial" w:hAnsi="Arial" w:cs="Arial"/>
          <w:i/>
          <w:iCs/>
        </w:rPr>
        <w:t xml:space="preserve">year performance and strategic development study of Visa, Mastercard, Amazon, and eBay. </w:t>
      </w:r>
      <w:r w:rsidRPr="00883DB7">
        <w:rPr>
          <w:rFonts w:ascii="Arial" w:hAnsi="Arial" w:cs="Arial"/>
        </w:rPr>
        <w:t>MASTERCARD, AMAZON, AND EBAY (November 02, 2023).</w:t>
      </w:r>
    </w:p>
    <w:p w14:paraId="3BF8DE78" w14:textId="77777777" w:rsidR="00883DB7" w:rsidRPr="00883DB7" w:rsidRDefault="00883DB7" w:rsidP="00872623">
      <w:pPr>
        <w:spacing w:line="480" w:lineRule="auto"/>
        <w:ind w:left="720" w:hanging="720"/>
        <w:rPr>
          <w:rFonts w:ascii="Arial" w:hAnsi="Arial" w:cs="Arial"/>
        </w:rPr>
      </w:pPr>
      <w:r w:rsidRPr="00883DB7">
        <w:rPr>
          <w:rFonts w:ascii="Arial" w:hAnsi="Arial" w:cs="Arial"/>
        </w:rPr>
        <w:lastRenderedPageBreak/>
        <w:t xml:space="preserve">Charles, I. I., &amp; </w:t>
      </w:r>
      <w:proofErr w:type="spellStart"/>
      <w:r w:rsidRPr="00883DB7">
        <w:rPr>
          <w:rFonts w:ascii="Arial" w:hAnsi="Arial" w:cs="Arial"/>
        </w:rPr>
        <w:t>Uford</w:t>
      </w:r>
      <w:proofErr w:type="spellEnd"/>
      <w:r w:rsidRPr="00883DB7">
        <w:rPr>
          <w:rFonts w:ascii="Arial" w:hAnsi="Arial" w:cs="Arial"/>
        </w:rPr>
        <w:t>, I. C. (2023). Comparative analysis and evaluation of business and financial performance of Amazon. Com: A three</w:t>
      </w:r>
      <w:r w:rsidRPr="00883DB7">
        <w:rPr>
          <w:rFonts w:ascii="Cambria Math" w:hAnsi="Cambria Math" w:cs="Cambria Math"/>
        </w:rPr>
        <w:t>‐</w:t>
      </w:r>
      <w:r w:rsidRPr="00883DB7">
        <w:rPr>
          <w:rFonts w:ascii="Arial" w:hAnsi="Arial" w:cs="Arial"/>
        </w:rPr>
        <w:t xml:space="preserve">year period critical review of exceptional success. </w:t>
      </w:r>
      <w:r w:rsidRPr="00872623">
        <w:rPr>
          <w:rFonts w:ascii="Arial" w:hAnsi="Arial" w:cs="Arial"/>
          <w:i/>
          <w:iCs/>
        </w:rPr>
        <w:t>European Journal of Business, Economics and Accountancy, 11(</w:t>
      </w:r>
      <w:r w:rsidRPr="00883DB7">
        <w:rPr>
          <w:rFonts w:ascii="Arial" w:hAnsi="Arial" w:cs="Arial"/>
        </w:rPr>
        <w:t>2), 69–92.</w:t>
      </w:r>
    </w:p>
    <w:p w14:paraId="557B62DB"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Choi, J., &amp; Wang, H. (2009). Stakeholder relations and the persistence of corporate financial performance. </w:t>
      </w:r>
      <w:r w:rsidRPr="00872623">
        <w:rPr>
          <w:rFonts w:ascii="Arial" w:hAnsi="Arial" w:cs="Arial"/>
          <w:i/>
          <w:iCs/>
        </w:rPr>
        <w:t>Strategic Management Journal, 30(</w:t>
      </w:r>
      <w:r w:rsidRPr="00883DB7">
        <w:rPr>
          <w:rFonts w:ascii="Arial" w:hAnsi="Arial" w:cs="Arial"/>
        </w:rPr>
        <w:t>8), 895–907.</w:t>
      </w:r>
    </w:p>
    <w:p w14:paraId="798C4D69"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Cruz Lopez, D. E. (2023). </w:t>
      </w:r>
      <w:r w:rsidRPr="00872623">
        <w:rPr>
          <w:rFonts w:ascii="Arial" w:hAnsi="Arial" w:cs="Arial"/>
          <w:i/>
          <w:iCs/>
        </w:rPr>
        <w:t>Amazon corporate analysis</w:t>
      </w:r>
      <w:r w:rsidRPr="00883DB7">
        <w:rPr>
          <w:rFonts w:ascii="Arial" w:hAnsi="Arial" w:cs="Arial"/>
        </w:rPr>
        <w:t>. Available at SSRN 4656587.</w:t>
      </w:r>
    </w:p>
    <w:p w14:paraId="1682BDE4"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Drury, J. (20). </w:t>
      </w:r>
      <w:r w:rsidRPr="00872623">
        <w:rPr>
          <w:rFonts w:ascii="Arial" w:hAnsi="Arial" w:cs="Arial"/>
          <w:i/>
          <w:iCs/>
        </w:rPr>
        <w:t>Management and cost accounting</w:t>
      </w:r>
      <w:r w:rsidRPr="00883DB7">
        <w:rPr>
          <w:rFonts w:ascii="Arial" w:hAnsi="Arial" w:cs="Arial"/>
        </w:rPr>
        <w:t xml:space="preserve"> (9th ed.). Cengage Learning.</w:t>
      </w:r>
    </w:p>
    <w:p w14:paraId="30BB9A56"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Dyson, J. R. (2010). </w:t>
      </w:r>
      <w:r w:rsidRPr="00872623">
        <w:rPr>
          <w:rFonts w:ascii="Arial" w:hAnsi="Arial" w:cs="Arial"/>
          <w:i/>
          <w:iCs/>
        </w:rPr>
        <w:t>Accounting for non-accounting students</w:t>
      </w:r>
      <w:r w:rsidRPr="00883DB7">
        <w:rPr>
          <w:rFonts w:ascii="Arial" w:hAnsi="Arial" w:cs="Arial"/>
        </w:rPr>
        <w:t xml:space="preserve"> (8th ed.). Pearson.</w:t>
      </w:r>
    </w:p>
    <w:p w14:paraId="281CAC29"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Foster, G., &amp; Gupta, M. (1994). Marketing, cost management and management accounting. </w:t>
      </w:r>
      <w:r w:rsidRPr="00872623">
        <w:rPr>
          <w:rFonts w:ascii="Arial" w:hAnsi="Arial" w:cs="Arial"/>
          <w:i/>
          <w:iCs/>
        </w:rPr>
        <w:t>Journal of Management Accounting Research</w:t>
      </w:r>
      <w:r w:rsidRPr="00883DB7">
        <w:rPr>
          <w:rFonts w:ascii="Arial" w:hAnsi="Arial" w:cs="Arial"/>
        </w:rPr>
        <w:t>, 6, 43.</w:t>
      </w:r>
    </w:p>
    <w:p w14:paraId="6F056F58"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Horngren, C. T., Bhimani, A., Datar, S. M., &amp; Foster, G. (2002). </w:t>
      </w:r>
      <w:r w:rsidRPr="00872623">
        <w:rPr>
          <w:rFonts w:ascii="Arial" w:hAnsi="Arial" w:cs="Arial"/>
          <w:i/>
          <w:iCs/>
        </w:rPr>
        <w:t>Management and cost accounting.</w:t>
      </w:r>
      <w:r w:rsidRPr="00883DB7">
        <w:rPr>
          <w:rFonts w:ascii="Arial" w:hAnsi="Arial" w:cs="Arial"/>
        </w:rPr>
        <w:t xml:space="preserve"> Harlow: Financial Times/Prentice Hall.</w:t>
      </w:r>
    </w:p>
    <w:p w14:paraId="3E8D63A0"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Lucey, T. (2009). </w:t>
      </w:r>
      <w:r w:rsidRPr="00872623">
        <w:rPr>
          <w:rFonts w:ascii="Arial" w:hAnsi="Arial" w:cs="Arial"/>
          <w:i/>
          <w:iCs/>
        </w:rPr>
        <w:t>Costing</w:t>
      </w:r>
      <w:r w:rsidRPr="00883DB7">
        <w:rPr>
          <w:rFonts w:ascii="Arial" w:hAnsi="Arial" w:cs="Arial"/>
        </w:rPr>
        <w:t xml:space="preserve"> (7th ed.). Cengage Learning.</w:t>
      </w:r>
    </w:p>
    <w:p w14:paraId="5133D740" w14:textId="77777777" w:rsidR="00883DB7" w:rsidRPr="00883DB7" w:rsidRDefault="00883DB7" w:rsidP="00872623">
      <w:pPr>
        <w:spacing w:line="480" w:lineRule="auto"/>
        <w:ind w:left="720" w:hanging="720"/>
        <w:rPr>
          <w:rFonts w:ascii="Arial" w:hAnsi="Arial" w:cs="Arial"/>
        </w:rPr>
      </w:pPr>
      <w:r w:rsidRPr="00883DB7">
        <w:rPr>
          <w:rFonts w:ascii="Arial" w:hAnsi="Arial" w:cs="Arial"/>
        </w:rPr>
        <w:t xml:space="preserve">Susilowati, E. (2023). Cost Management and Strategic Decision Making: The Role of Managerial Accounting. </w:t>
      </w:r>
      <w:proofErr w:type="spellStart"/>
      <w:r w:rsidRPr="00872623">
        <w:rPr>
          <w:rFonts w:ascii="Arial" w:hAnsi="Arial" w:cs="Arial"/>
          <w:i/>
          <w:iCs/>
        </w:rPr>
        <w:t>Atestasi</w:t>
      </w:r>
      <w:proofErr w:type="spellEnd"/>
      <w:r w:rsidRPr="00872623">
        <w:rPr>
          <w:rFonts w:ascii="Arial" w:hAnsi="Arial" w:cs="Arial"/>
          <w:i/>
          <w:iCs/>
        </w:rPr>
        <w:t xml:space="preserve">: </w:t>
      </w:r>
      <w:proofErr w:type="spellStart"/>
      <w:r w:rsidRPr="00872623">
        <w:rPr>
          <w:rFonts w:ascii="Arial" w:hAnsi="Arial" w:cs="Arial"/>
          <w:i/>
          <w:iCs/>
        </w:rPr>
        <w:t>Jurnal</w:t>
      </w:r>
      <w:proofErr w:type="spellEnd"/>
      <w:r w:rsidRPr="00872623">
        <w:rPr>
          <w:rFonts w:ascii="Arial" w:hAnsi="Arial" w:cs="Arial"/>
          <w:i/>
          <w:iCs/>
        </w:rPr>
        <w:t xml:space="preserve"> </w:t>
      </w:r>
      <w:proofErr w:type="spellStart"/>
      <w:r w:rsidRPr="00872623">
        <w:rPr>
          <w:rFonts w:ascii="Arial" w:hAnsi="Arial" w:cs="Arial"/>
          <w:i/>
          <w:iCs/>
        </w:rPr>
        <w:t>Ilmiah</w:t>
      </w:r>
      <w:proofErr w:type="spellEnd"/>
      <w:r w:rsidRPr="00872623">
        <w:rPr>
          <w:rFonts w:ascii="Arial" w:hAnsi="Arial" w:cs="Arial"/>
          <w:i/>
          <w:iCs/>
        </w:rPr>
        <w:t xml:space="preserve"> </w:t>
      </w:r>
      <w:proofErr w:type="spellStart"/>
      <w:r w:rsidRPr="00872623">
        <w:rPr>
          <w:rFonts w:ascii="Arial" w:hAnsi="Arial" w:cs="Arial"/>
          <w:i/>
          <w:iCs/>
        </w:rPr>
        <w:t>Akuntansi</w:t>
      </w:r>
      <w:proofErr w:type="spellEnd"/>
      <w:r w:rsidRPr="00872623">
        <w:rPr>
          <w:rFonts w:ascii="Arial" w:hAnsi="Arial" w:cs="Arial"/>
          <w:i/>
          <w:iCs/>
        </w:rPr>
        <w:t>, 6(</w:t>
      </w:r>
      <w:r w:rsidRPr="00883DB7">
        <w:rPr>
          <w:rFonts w:ascii="Arial" w:hAnsi="Arial" w:cs="Arial"/>
        </w:rPr>
        <w:t>1), 457-473.</w:t>
      </w:r>
    </w:p>
    <w:p w14:paraId="497A8CD6" w14:textId="4CD5A231" w:rsidR="00883DB7" w:rsidRPr="001656BF" w:rsidRDefault="00883DB7" w:rsidP="00872623">
      <w:pPr>
        <w:spacing w:line="480" w:lineRule="auto"/>
        <w:ind w:left="720" w:hanging="720"/>
        <w:rPr>
          <w:rFonts w:ascii="Arial" w:hAnsi="Arial" w:cs="Arial"/>
        </w:rPr>
      </w:pPr>
      <w:r w:rsidRPr="00883DB7">
        <w:rPr>
          <w:rFonts w:ascii="Arial" w:hAnsi="Arial" w:cs="Arial"/>
        </w:rPr>
        <w:t xml:space="preserve">Wood, F. (2015). </w:t>
      </w:r>
      <w:r w:rsidRPr="00872623">
        <w:rPr>
          <w:rFonts w:ascii="Arial" w:hAnsi="Arial" w:cs="Arial"/>
          <w:i/>
          <w:iCs/>
        </w:rPr>
        <w:t>Frank Wood’s Business Accounting 1</w:t>
      </w:r>
      <w:r w:rsidRPr="00883DB7">
        <w:rPr>
          <w:rFonts w:ascii="Arial" w:hAnsi="Arial" w:cs="Arial"/>
        </w:rPr>
        <w:t xml:space="preserve"> (13th ed.). FT Pitman Publications.</w:t>
      </w:r>
    </w:p>
    <w:sectPr w:rsidR="00883DB7" w:rsidRPr="001656BF" w:rsidSect="00872623">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A7BAD" w14:textId="77777777" w:rsidR="005A3BA3" w:rsidRDefault="005A3BA3" w:rsidP="001656BF">
      <w:pPr>
        <w:spacing w:after="0" w:line="240" w:lineRule="auto"/>
      </w:pPr>
      <w:r>
        <w:separator/>
      </w:r>
    </w:p>
  </w:endnote>
  <w:endnote w:type="continuationSeparator" w:id="0">
    <w:p w14:paraId="04F31C50" w14:textId="77777777" w:rsidR="005A3BA3" w:rsidRDefault="005A3BA3" w:rsidP="00165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413522"/>
      <w:docPartObj>
        <w:docPartGallery w:val="Page Numbers (Bottom of Page)"/>
        <w:docPartUnique/>
      </w:docPartObj>
    </w:sdtPr>
    <w:sdtEndPr>
      <w:rPr>
        <w:noProof/>
      </w:rPr>
    </w:sdtEndPr>
    <w:sdtContent>
      <w:p w14:paraId="1E0D2766" w14:textId="050B8FFA" w:rsidR="001656BF" w:rsidRDefault="001656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D757A2" w14:textId="77777777" w:rsidR="001656BF" w:rsidRDefault="00165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F6C4C" w14:textId="77777777" w:rsidR="005A3BA3" w:rsidRDefault="005A3BA3" w:rsidP="001656BF">
      <w:pPr>
        <w:spacing w:after="0" w:line="240" w:lineRule="auto"/>
      </w:pPr>
      <w:r>
        <w:separator/>
      </w:r>
    </w:p>
  </w:footnote>
  <w:footnote w:type="continuationSeparator" w:id="0">
    <w:p w14:paraId="2EB10FD8" w14:textId="77777777" w:rsidR="005A3BA3" w:rsidRDefault="005A3BA3" w:rsidP="001656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0AE0"/>
    <w:multiLevelType w:val="hybridMultilevel"/>
    <w:tmpl w:val="CDA25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C55849"/>
    <w:multiLevelType w:val="hybridMultilevel"/>
    <w:tmpl w:val="47363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2C21EF"/>
    <w:multiLevelType w:val="hybridMultilevel"/>
    <w:tmpl w:val="24121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C3A34"/>
    <w:multiLevelType w:val="hybridMultilevel"/>
    <w:tmpl w:val="38FA3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1D2AA8"/>
    <w:multiLevelType w:val="hybridMultilevel"/>
    <w:tmpl w:val="4B36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911881"/>
    <w:multiLevelType w:val="hybridMultilevel"/>
    <w:tmpl w:val="9F227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3B5572"/>
    <w:multiLevelType w:val="hybridMultilevel"/>
    <w:tmpl w:val="A524C4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565A25"/>
    <w:multiLevelType w:val="hybridMultilevel"/>
    <w:tmpl w:val="F176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2A587C"/>
    <w:multiLevelType w:val="hybridMultilevel"/>
    <w:tmpl w:val="A5C28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330530">
    <w:abstractNumId w:val="5"/>
  </w:num>
  <w:num w:numId="2" w16cid:durableId="1228802198">
    <w:abstractNumId w:val="3"/>
  </w:num>
  <w:num w:numId="3" w16cid:durableId="825971633">
    <w:abstractNumId w:val="7"/>
  </w:num>
  <w:num w:numId="4" w16cid:durableId="1303927852">
    <w:abstractNumId w:val="2"/>
  </w:num>
  <w:num w:numId="5" w16cid:durableId="236790414">
    <w:abstractNumId w:val="8"/>
  </w:num>
  <w:num w:numId="6" w16cid:durableId="217329585">
    <w:abstractNumId w:val="4"/>
  </w:num>
  <w:num w:numId="7" w16cid:durableId="1112557212">
    <w:abstractNumId w:val="0"/>
  </w:num>
  <w:num w:numId="8" w16cid:durableId="1700935217">
    <w:abstractNumId w:val="1"/>
  </w:num>
  <w:num w:numId="9" w16cid:durableId="3724671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6BF"/>
    <w:rsid w:val="001656BF"/>
    <w:rsid w:val="00500973"/>
    <w:rsid w:val="005A3BA3"/>
    <w:rsid w:val="0072511F"/>
    <w:rsid w:val="00872623"/>
    <w:rsid w:val="00883DB7"/>
    <w:rsid w:val="008F6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53EF8"/>
  <w15:chartTrackingRefBased/>
  <w15:docId w15:val="{8457264E-0B22-438C-99A3-13EAD8E1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6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56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56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56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56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56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56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56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56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6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56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56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56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56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56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6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6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6BF"/>
    <w:rPr>
      <w:rFonts w:eastAsiaTheme="majorEastAsia" w:cstheme="majorBidi"/>
      <w:color w:val="272727" w:themeColor="text1" w:themeTint="D8"/>
    </w:rPr>
  </w:style>
  <w:style w:type="paragraph" w:styleId="Title">
    <w:name w:val="Title"/>
    <w:basedOn w:val="Normal"/>
    <w:next w:val="Normal"/>
    <w:link w:val="TitleChar"/>
    <w:uiPriority w:val="10"/>
    <w:qFormat/>
    <w:rsid w:val="001656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6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6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56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6BF"/>
    <w:pPr>
      <w:spacing w:before="160"/>
      <w:jc w:val="center"/>
    </w:pPr>
    <w:rPr>
      <w:i/>
      <w:iCs/>
      <w:color w:val="404040" w:themeColor="text1" w:themeTint="BF"/>
    </w:rPr>
  </w:style>
  <w:style w:type="character" w:customStyle="1" w:styleId="QuoteChar">
    <w:name w:val="Quote Char"/>
    <w:basedOn w:val="DefaultParagraphFont"/>
    <w:link w:val="Quote"/>
    <w:uiPriority w:val="29"/>
    <w:rsid w:val="001656BF"/>
    <w:rPr>
      <w:i/>
      <w:iCs/>
      <w:color w:val="404040" w:themeColor="text1" w:themeTint="BF"/>
    </w:rPr>
  </w:style>
  <w:style w:type="paragraph" w:styleId="ListParagraph">
    <w:name w:val="List Paragraph"/>
    <w:basedOn w:val="Normal"/>
    <w:uiPriority w:val="34"/>
    <w:qFormat/>
    <w:rsid w:val="001656BF"/>
    <w:pPr>
      <w:ind w:left="720"/>
      <w:contextualSpacing/>
    </w:pPr>
  </w:style>
  <w:style w:type="character" w:styleId="IntenseEmphasis">
    <w:name w:val="Intense Emphasis"/>
    <w:basedOn w:val="DefaultParagraphFont"/>
    <w:uiPriority w:val="21"/>
    <w:qFormat/>
    <w:rsid w:val="001656BF"/>
    <w:rPr>
      <w:i/>
      <w:iCs/>
      <w:color w:val="0F4761" w:themeColor="accent1" w:themeShade="BF"/>
    </w:rPr>
  </w:style>
  <w:style w:type="paragraph" w:styleId="IntenseQuote">
    <w:name w:val="Intense Quote"/>
    <w:basedOn w:val="Normal"/>
    <w:next w:val="Normal"/>
    <w:link w:val="IntenseQuoteChar"/>
    <w:uiPriority w:val="30"/>
    <w:qFormat/>
    <w:rsid w:val="001656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56BF"/>
    <w:rPr>
      <w:i/>
      <w:iCs/>
      <w:color w:val="0F4761" w:themeColor="accent1" w:themeShade="BF"/>
    </w:rPr>
  </w:style>
  <w:style w:type="character" w:styleId="IntenseReference">
    <w:name w:val="Intense Reference"/>
    <w:basedOn w:val="DefaultParagraphFont"/>
    <w:uiPriority w:val="32"/>
    <w:qFormat/>
    <w:rsid w:val="001656BF"/>
    <w:rPr>
      <w:b/>
      <w:bCs/>
      <w:smallCaps/>
      <w:color w:val="0F4761" w:themeColor="accent1" w:themeShade="BF"/>
      <w:spacing w:val="5"/>
    </w:rPr>
  </w:style>
  <w:style w:type="paragraph" w:styleId="Header">
    <w:name w:val="header"/>
    <w:basedOn w:val="Normal"/>
    <w:link w:val="HeaderChar"/>
    <w:uiPriority w:val="99"/>
    <w:unhideWhenUsed/>
    <w:rsid w:val="001656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6BF"/>
  </w:style>
  <w:style w:type="paragraph" w:styleId="Footer">
    <w:name w:val="footer"/>
    <w:basedOn w:val="Normal"/>
    <w:link w:val="FooterChar"/>
    <w:uiPriority w:val="99"/>
    <w:unhideWhenUsed/>
    <w:rsid w:val="001656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6BF"/>
  </w:style>
  <w:style w:type="character" w:styleId="Hyperlink">
    <w:name w:val="Hyperlink"/>
    <w:basedOn w:val="DefaultParagraphFont"/>
    <w:uiPriority w:val="99"/>
    <w:unhideWhenUsed/>
    <w:rsid w:val="00883DB7"/>
    <w:rPr>
      <w:color w:val="467886" w:themeColor="hyperlink"/>
      <w:u w:val="single"/>
    </w:rPr>
  </w:style>
  <w:style w:type="character" w:styleId="UnresolvedMention">
    <w:name w:val="Unresolved Mention"/>
    <w:basedOn w:val="DefaultParagraphFont"/>
    <w:uiPriority w:val="99"/>
    <w:semiHidden/>
    <w:unhideWhenUsed/>
    <w:rsid w:val="00883DB7"/>
    <w:rPr>
      <w:color w:val="605E5C"/>
      <w:shd w:val="clear" w:color="auto" w:fill="E1DFDD"/>
    </w:rPr>
  </w:style>
  <w:style w:type="paragraph" w:styleId="NoSpacing">
    <w:name w:val="No Spacing"/>
    <w:link w:val="NoSpacingChar"/>
    <w:uiPriority w:val="1"/>
    <w:qFormat/>
    <w:rsid w:val="0087262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7262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99139">
      <w:bodyDiv w:val="1"/>
      <w:marLeft w:val="0"/>
      <w:marRight w:val="0"/>
      <w:marTop w:val="0"/>
      <w:marBottom w:val="0"/>
      <w:divBdr>
        <w:top w:val="none" w:sz="0" w:space="0" w:color="auto"/>
        <w:left w:val="none" w:sz="0" w:space="0" w:color="auto"/>
        <w:bottom w:val="none" w:sz="0" w:space="0" w:color="auto"/>
        <w:right w:val="none" w:sz="0" w:space="0" w:color="auto"/>
      </w:divBdr>
    </w:div>
    <w:div w:id="258606295">
      <w:bodyDiv w:val="1"/>
      <w:marLeft w:val="0"/>
      <w:marRight w:val="0"/>
      <w:marTop w:val="0"/>
      <w:marBottom w:val="0"/>
      <w:divBdr>
        <w:top w:val="none" w:sz="0" w:space="0" w:color="auto"/>
        <w:left w:val="none" w:sz="0" w:space="0" w:color="auto"/>
        <w:bottom w:val="none" w:sz="0" w:space="0" w:color="auto"/>
        <w:right w:val="none" w:sz="0" w:space="0" w:color="auto"/>
      </w:divBdr>
    </w:div>
    <w:div w:id="725378108">
      <w:bodyDiv w:val="1"/>
      <w:marLeft w:val="0"/>
      <w:marRight w:val="0"/>
      <w:marTop w:val="0"/>
      <w:marBottom w:val="0"/>
      <w:divBdr>
        <w:top w:val="none" w:sz="0" w:space="0" w:color="auto"/>
        <w:left w:val="none" w:sz="0" w:space="0" w:color="auto"/>
        <w:bottom w:val="none" w:sz="0" w:space="0" w:color="auto"/>
        <w:right w:val="none" w:sz="0" w:space="0" w:color="auto"/>
      </w:divBdr>
    </w:div>
    <w:div w:id="1526479675">
      <w:bodyDiv w:val="1"/>
      <w:marLeft w:val="0"/>
      <w:marRight w:val="0"/>
      <w:marTop w:val="0"/>
      <w:marBottom w:val="0"/>
      <w:divBdr>
        <w:top w:val="none" w:sz="0" w:space="0" w:color="auto"/>
        <w:left w:val="none" w:sz="0" w:space="0" w:color="auto"/>
        <w:bottom w:val="none" w:sz="0" w:space="0" w:color="auto"/>
        <w:right w:val="none" w:sz="0" w:space="0" w:color="auto"/>
      </w:divBdr>
    </w:div>
    <w:div w:id="170304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2.q4cdn.com/299287126/files/doc_financials/2023/ar/Amazon-2022-Annual-Repor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2.q4cdn.com/299287126/files/doc_financials/2024/ar/Amazon-com-Inc-2023-Annua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BMSP4011D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1975</Words>
  <Characters>11263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Financial Management For Business Sustainability</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AMAZON 2022-2023</dc:subject>
  <dc:creator>Student name: Catalin Dumitru</dc:creator>
  <cp:keywords/>
  <dc:description/>
  <cp:lastModifiedBy>Mirabela Voican (1907947)</cp:lastModifiedBy>
  <cp:revision>2</cp:revision>
  <dcterms:created xsi:type="dcterms:W3CDTF">2025-07-10T10:36:00Z</dcterms:created>
  <dcterms:modified xsi:type="dcterms:W3CDTF">2025-07-10T10:36:00Z</dcterms:modified>
</cp:coreProperties>
</file>