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AFC68B" w14:textId="0AF69155" w:rsidR="00370398" w:rsidRDefault="00370398" w:rsidP="00370398">
      <w:pPr>
        <w:jc w:val="center"/>
        <w:rPr>
          <w:b/>
          <w:bCs/>
          <w:sz w:val="36"/>
          <w:szCs w:val="36"/>
        </w:rPr>
      </w:pPr>
      <w:r w:rsidRPr="00370398">
        <w:rPr>
          <w:b/>
          <w:bCs/>
          <w:sz w:val="36"/>
          <w:szCs w:val="36"/>
        </w:rPr>
        <w:t>The Value and Significance of Code-switching: Based on a Review of Baker’s Advice and Personal Experience</w:t>
      </w:r>
    </w:p>
    <w:p w14:paraId="06FDDEF6" w14:textId="369A831D" w:rsidR="00370398" w:rsidRDefault="00370398" w:rsidP="00370398">
      <w:pPr>
        <w:jc w:val="center"/>
      </w:pPr>
      <w:proofErr w:type="spellStart"/>
      <w:r>
        <w:t>Puyang</w:t>
      </w:r>
      <w:proofErr w:type="spellEnd"/>
      <w:r>
        <w:t xml:space="preserve"> Sun</w:t>
      </w:r>
    </w:p>
    <w:p w14:paraId="2DFC0BF8" w14:textId="6010AA92" w:rsidR="00370398" w:rsidRPr="00370398" w:rsidRDefault="00370398" w:rsidP="00370398">
      <w:pPr>
        <w:jc w:val="center"/>
      </w:pPr>
      <w:r>
        <w:t>2405847</w:t>
      </w:r>
    </w:p>
    <w:p w14:paraId="0C61B7BB" w14:textId="0A5001DA" w:rsidR="004506A0" w:rsidRPr="007E2AAE" w:rsidRDefault="008B0655" w:rsidP="004506A0">
      <w:pPr>
        <w:rPr>
          <w:b/>
          <w:bCs/>
        </w:rPr>
      </w:pPr>
      <w:r w:rsidRPr="00C6729E">
        <w:rPr>
          <w:b/>
          <w:bCs/>
        </w:rPr>
        <w:t>Introduction</w:t>
      </w:r>
    </w:p>
    <w:p w14:paraId="1562C143" w14:textId="3F3B690C" w:rsidR="005335C9" w:rsidRDefault="005335C9" w:rsidP="004506A0">
      <w:r w:rsidRPr="005335C9">
        <w:t xml:space="preserve">Code-switching is a common linguistic phenomenon that is widely observed in multilingual societies around the world. With the </w:t>
      </w:r>
      <w:r w:rsidR="007E2AAE">
        <w:t>develop</w:t>
      </w:r>
      <w:r w:rsidRPr="005335C9">
        <w:t xml:space="preserve">ment of globalization, an increasing number of people are engaging in communication using two or more languages. </w:t>
      </w:r>
      <w:r w:rsidR="007E2AAE">
        <w:t>In</w:t>
      </w:r>
      <w:r w:rsidRPr="005335C9">
        <w:t xml:space="preserve"> this </w:t>
      </w:r>
      <w:r w:rsidR="007E2AAE">
        <w:t>context</w:t>
      </w:r>
      <w:r w:rsidRPr="005335C9">
        <w:t xml:space="preserve">, code-switching not only frequently occurs in everyday </w:t>
      </w:r>
      <w:r w:rsidR="007E2AAE">
        <w:t>communication</w:t>
      </w:r>
      <w:r w:rsidRPr="005335C9">
        <w:t xml:space="preserve"> but has also emerged as a significant topic of concern within family and school education. This phenomenon often raises apprehensions among parents and educators. Some parents worry that code-switching may disrupt the continuity of children’s language acquisition and even believe it could lead to delayed language development or linguistic confusion. As a result, the practical value and function of code-switching have gradually attracted growing attention from both the academic and educational communities.</w:t>
      </w:r>
    </w:p>
    <w:p w14:paraId="7238AC0E" w14:textId="32BC1CBA" w:rsidR="005335C9" w:rsidRDefault="005335C9" w:rsidP="008B0655">
      <w:r w:rsidRPr="005335C9">
        <w:t>In his influential work, Baker (2014</w:t>
      </w:r>
      <w:r w:rsidR="00033E99">
        <w:t>, p. 75</w:t>
      </w:r>
      <w:r w:rsidRPr="005335C9">
        <w:t xml:space="preserve">) offered a series of responses </w:t>
      </w:r>
      <w:r w:rsidR="00033E99" w:rsidRPr="005335C9">
        <w:t>and</w:t>
      </w:r>
      <w:r w:rsidR="00033E99">
        <w:t xml:space="preserve"> advice</w:t>
      </w:r>
      <w:r w:rsidRPr="005335C9">
        <w:t xml:space="preserve"> to address parents’ concerns about code-switching, aiming to alleviate misunderstandings and anxieties surrounding this phenomenon. Therefore, the purpose of this </w:t>
      </w:r>
      <w:r w:rsidR="00033E99">
        <w:t>essay</w:t>
      </w:r>
      <w:r w:rsidRPr="005335C9">
        <w:t xml:space="preserve"> is to conduct an in-depth analysis of the practical value of code-switching in </w:t>
      </w:r>
      <w:r w:rsidR="00033E99">
        <w:t>multi</w:t>
      </w:r>
      <w:r w:rsidR="00033E99" w:rsidRPr="005335C9">
        <w:t>lingual</w:t>
      </w:r>
      <w:r w:rsidRPr="005335C9">
        <w:t xml:space="preserve"> acquisition, with particular attention to its role in education, cultural meaning, and social interaction. This </w:t>
      </w:r>
      <w:r w:rsidR="00033E99">
        <w:t>essay</w:t>
      </w:r>
      <w:r w:rsidRPr="005335C9">
        <w:t xml:space="preserve"> will evaluate the extent to which Baker’s suggestions align with the author’s personal learning experiences, with a specific focus on the relevance and applicability of these </w:t>
      </w:r>
      <w:r w:rsidR="00033E99">
        <w:t>advice</w:t>
      </w:r>
      <w:r w:rsidRPr="005335C9">
        <w:t xml:space="preserve"> within the Chinese educational context and family settings. Furthermore, the </w:t>
      </w:r>
      <w:r w:rsidR="00033E99">
        <w:t>essay</w:t>
      </w:r>
      <w:r w:rsidRPr="005335C9">
        <w:t xml:space="preserve"> will explore how code-switching may facilitate or constrain individuals’ cognitive development, identity formation, and social interaction efficacy.</w:t>
      </w:r>
    </w:p>
    <w:p w14:paraId="106DE555" w14:textId="77777777" w:rsidR="00FB1C5A" w:rsidRPr="004506A0" w:rsidRDefault="00FB1C5A" w:rsidP="008B0655"/>
    <w:p w14:paraId="3B09C794" w14:textId="1A6948E6" w:rsidR="008B0655" w:rsidRPr="005335C9" w:rsidRDefault="008B0655" w:rsidP="008B0655">
      <w:pPr>
        <w:pStyle w:val="a9"/>
        <w:numPr>
          <w:ilvl w:val="0"/>
          <w:numId w:val="1"/>
        </w:numPr>
        <w:rPr>
          <w:b/>
          <w:bCs/>
        </w:rPr>
      </w:pPr>
      <w:r w:rsidRPr="005335C9">
        <w:rPr>
          <w:b/>
          <w:bCs/>
        </w:rPr>
        <w:lastRenderedPageBreak/>
        <w:t xml:space="preserve">Theories of </w:t>
      </w:r>
      <w:r w:rsidR="005335C9" w:rsidRPr="005335C9">
        <w:rPr>
          <w:rFonts w:hint="eastAsia"/>
          <w:b/>
          <w:bCs/>
        </w:rPr>
        <w:t>C</w:t>
      </w:r>
      <w:r w:rsidRPr="005335C9">
        <w:rPr>
          <w:b/>
          <w:bCs/>
        </w:rPr>
        <w:t>ode-switching</w:t>
      </w:r>
    </w:p>
    <w:p w14:paraId="45A5F521" w14:textId="44287B01" w:rsidR="008B0655" w:rsidRDefault="005335C9" w:rsidP="008B0655">
      <w:pPr>
        <w:pStyle w:val="a9"/>
        <w:numPr>
          <w:ilvl w:val="1"/>
          <w:numId w:val="1"/>
        </w:numPr>
      </w:pPr>
      <w:r>
        <w:t>Definition and Classification of Code-switching</w:t>
      </w:r>
    </w:p>
    <w:p w14:paraId="25FD6611" w14:textId="25A5F165" w:rsidR="0021511D" w:rsidRDefault="000B69B7" w:rsidP="00782C8F">
      <w:pPr>
        <w:rPr>
          <w:rFonts w:cs="Times New Roman"/>
          <w:szCs w:val="22"/>
        </w:rPr>
      </w:pPr>
      <w:r>
        <w:rPr>
          <w:rFonts w:cs="Times New Roman"/>
          <w:szCs w:val="22"/>
        </w:rPr>
        <w:t>C</w:t>
      </w:r>
      <w:r w:rsidR="00782C8F" w:rsidRPr="00782C8F">
        <w:rPr>
          <w:rFonts w:cs="Times New Roman"/>
          <w:szCs w:val="22"/>
        </w:rPr>
        <w:t xml:space="preserve">ode-switching </w:t>
      </w:r>
      <w:r>
        <w:rPr>
          <w:rFonts w:cs="Times New Roman"/>
          <w:szCs w:val="22"/>
        </w:rPr>
        <w:t xml:space="preserve">is defined </w:t>
      </w:r>
      <w:r w:rsidR="00782C8F" w:rsidRPr="00782C8F">
        <w:rPr>
          <w:rStyle w:val="s1"/>
          <w:rFonts w:ascii="Times New Roman" w:hAnsi="Times New Roman" w:cs="Times New Roman"/>
          <w:sz w:val="22"/>
          <w:szCs w:val="22"/>
        </w:rPr>
        <w:t xml:space="preserve">as </w:t>
      </w:r>
      <w:r w:rsidR="00782C8F" w:rsidRPr="00782C8F">
        <w:rPr>
          <w:rStyle w:val="s2"/>
          <w:rFonts w:ascii="Times New Roman" w:hAnsi="Times New Roman" w:cs="Times New Roman"/>
          <w:sz w:val="22"/>
          <w:szCs w:val="22"/>
        </w:rPr>
        <w:t xml:space="preserve">the </w:t>
      </w:r>
      <w:r w:rsidR="00782C8F" w:rsidRPr="00782C8F">
        <w:rPr>
          <w:rStyle w:val="s3"/>
          <w:rFonts w:ascii="Times New Roman" w:hAnsi="Times New Roman" w:cs="Times New Roman"/>
          <w:sz w:val="22"/>
          <w:szCs w:val="22"/>
        </w:rPr>
        <w:t>alter</w:t>
      </w:r>
      <w:r w:rsidR="00782C8F" w:rsidRPr="00782C8F">
        <w:rPr>
          <w:rStyle w:val="s5"/>
          <w:rFonts w:ascii="Times New Roman" w:hAnsi="Times New Roman" w:cs="Times New Roman"/>
          <w:sz w:val="22"/>
          <w:szCs w:val="22"/>
        </w:rPr>
        <w:t xml:space="preserve">nate </w:t>
      </w:r>
      <w:r w:rsidR="00782C8F" w:rsidRPr="00782C8F">
        <w:rPr>
          <w:rStyle w:val="s6"/>
          <w:rFonts w:ascii="Times New Roman" w:hAnsi="Times New Roman" w:cs="Times New Roman"/>
          <w:sz w:val="22"/>
          <w:szCs w:val="22"/>
        </w:rPr>
        <w:t xml:space="preserve">use </w:t>
      </w:r>
      <w:r w:rsidR="00782C8F" w:rsidRPr="00782C8F">
        <w:rPr>
          <w:rStyle w:val="s7"/>
          <w:rFonts w:ascii="Times New Roman" w:hAnsi="Times New Roman" w:cs="Times New Roman"/>
          <w:sz w:val="22"/>
          <w:szCs w:val="22"/>
        </w:rPr>
        <w:t xml:space="preserve">of </w:t>
      </w:r>
      <w:r w:rsidR="00782C8F" w:rsidRPr="00782C8F">
        <w:rPr>
          <w:rStyle w:val="s8"/>
          <w:rFonts w:ascii="Times New Roman" w:hAnsi="Times New Roman" w:cs="Times New Roman"/>
          <w:sz w:val="22"/>
          <w:szCs w:val="22"/>
        </w:rPr>
        <w:t xml:space="preserve">two </w:t>
      </w:r>
      <w:r w:rsidR="00782C8F" w:rsidRPr="00782C8F">
        <w:rPr>
          <w:rStyle w:val="s9"/>
          <w:rFonts w:ascii="Times New Roman" w:hAnsi="Times New Roman" w:cs="Times New Roman"/>
          <w:sz w:val="22"/>
          <w:szCs w:val="22"/>
        </w:rPr>
        <w:t xml:space="preserve">or </w:t>
      </w:r>
      <w:r w:rsidR="00782C8F" w:rsidRPr="00782C8F">
        <w:rPr>
          <w:rStyle w:val="s10"/>
          <w:rFonts w:ascii="Times New Roman" w:hAnsi="Times New Roman" w:cs="Times New Roman"/>
          <w:sz w:val="22"/>
          <w:szCs w:val="22"/>
        </w:rPr>
        <w:t xml:space="preserve">more </w:t>
      </w:r>
      <w:r w:rsidR="00782C8F" w:rsidRPr="00782C8F">
        <w:rPr>
          <w:rStyle w:val="s11"/>
          <w:rFonts w:ascii="Times New Roman" w:hAnsi="Times New Roman" w:cs="Times New Roman"/>
          <w:sz w:val="22"/>
          <w:szCs w:val="22"/>
        </w:rPr>
        <w:t xml:space="preserve">languages </w:t>
      </w:r>
      <w:r w:rsidR="00782C8F" w:rsidRPr="00782C8F">
        <w:rPr>
          <w:rStyle w:val="s2"/>
          <w:rFonts w:ascii="Times New Roman" w:hAnsi="Times New Roman" w:cs="Times New Roman"/>
          <w:sz w:val="22"/>
          <w:szCs w:val="22"/>
        </w:rPr>
        <w:t xml:space="preserve">in the </w:t>
      </w:r>
      <w:r w:rsidR="00782C8F" w:rsidRPr="00782C8F">
        <w:rPr>
          <w:rStyle w:val="s12"/>
          <w:rFonts w:ascii="Times New Roman" w:hAnsi="Times New Roman" w:cs="Times New Roman"/>
          <w:sz w:val="22"/>
          <w:szCs w:val="22"/>
        </w:rPr>
        <w:t xml:space="preserve">same </w:t>
      </w:r>
      <w:r w:rsidR="00782C8F" w:rsidRPr="00782C8F">
        <w:rPr>
          <w:rStyle w:val="s13"/>
          <w:rFonts w:ascii="Times New Roman" w:hAnsi="Times New Roman" w:cs="Times New Roman"/>
          <w:sz w:val="22"/>
          <w:szCs w:val="22"/>
        </w:rPr>
        <w:t xml:space="preserve">utterance </w:t>
      </w:r>
      <w:r w:rsidR="00782C8F" w:rsidRPr="00782C8F">
        <w:rPr>
          <w:rStyle w:val="s9"/>
          <w:rFonts w:ascii="Times New Roman" w:hAnsi="Times New Roman" w:cs="Times New Roman"/>
          <w:sz w:val="22"/>
          <w:szCs w:val="22"/>
        </w:rPr>
        <w:t xml:space="preserve">or </w:t>
      </w:r>
      <w:r w:rsidR="00782C8F" w:rsidRPr="00782C8F">
        <w:rPr>
          <w:rStyle w:val="s13"/>
          <w:rFonts w:ascii="Times New Roman" w:hAnsi="Times New Roman" w:cs="Times New Roman"/>
          <w:sz w:val="22"/>
          <w:szCs w:val="22"/>
        </w:rPr>
        <w:t>conver</w:t>
      </w:r>
      <w:r w:rsidR="00782C8F" w:rsidRPr="00782C8F">
        <w:rPr>
          <w:rFonts w:cs="Times New Roman"/>
          <w:szCs w:val="22"/>
        </w:rPr>
        <w:t>sation</w:t>
      </w:r>
      <w:r w:rsidR="00782C8F">
        <w:rPr>
          <w:rFonts w:cs="Times New Roman"/>
          <w:szCs w:val="22"/>
        </w:rPr>
        <w:t xml:space="preserve"> (Grosjean, 1982, p. 145)</w:t>
      </w:r>
      <w:r>
        <w:rPr>
          <w:rFonts w:cs="Times New Roman"/>
          <w:szCs w:val="22"/>
        </w:rPr>
        <w:t>.</w:t>
      </w:r>
    </w:p>
    <w:p w14:paraId="0D391C9D" w14:textId="2AF3B6A8" w:rsidR="005335C9" w:rsidRDefault="000D0596" w:rsidP="00782C8F">
      <w:pPr>
        <w:rPr>
          <w:rFonts w:cs="Times New Roman"/>
          <w:szCs w:val="22"/>
        </w:rPr>
      </w:pPr>
      <w:r w:rsidRPr="000D0596">
        <w:rPr>
          <w:rFonts w:cs="Times New Roman"/>
          <w:szCs w:val="22"/>
        </w:rPr>
        <w:t xml:space="preserve">From a classificatory perspective, scholars have proposed several criteria for categorizing code-switching. One of the most used standards is based on the scope within which code-switching occurs. According to this criterion, code-switching can be divided into inter-sentential </w:t>
      </w:r>
      <w:r w:rsidR="00263BF8">
        <w:rPr>
          <w:rFonts w:cs="Times New Roman" w:hint="eastAsia"/>
          <w:szCs w:val="22"/>
        </w:rPr>
        <w:t>code</w:t>
      </w:r>
      <w:r w:rsidR="00263BF8">
        <w:rPr>
          <w:rFonts w:cs="Times New Roman"/>
          <w:szCs w:val="22"/>
        </w:rPr>
        <w:t>-</w:t>
      </w:r>
      <w:r w:rsidRPr="000D0596">
        <w:rPr>
          <w:rFonts w:cs="Times New Roman"/>
          <w:szCs w:val="22"/>
        </w:rPr>
        <w:t xml:space="preserve">switching and intra-sentential </w:t>
      </w:r>
      <w:r w:rsidR="00263BF8">
        <w:rPr>
          <w:rFonts w:cs="Times New Roman"/>
          <w:szCs w:val="22"/>
        </w:rPr>
        <w:t>code-</w:t>
      </w:r>
      <w:r w:rsidRPr="000D0596">
        <w:rPr>
          <w:rFonts w:cs="Times New Roman"/>
          <w:szCs w:val="22"/>
        </w:rPr>
        <w:t xml:space="preserve">switching. Inter-sentential </w:t>
      </w:r>
      <w:r w:rsidR="00263BF8">
        <w:rPr>
          <w:rFonts w:cs="Times New Roman"/>
          <w:szCs w:val="22"/>
        </w:rPr>
        <w:t>code-</w:t>
      </w:r>
      <w:r w:rsidRPr="000D0596">
        <w:rPr>
          <w:rFonts w:cs="Times New Roman"/>
          <w:szCs w:val="22"/>
        </w:rPr>
        <w:t xml:space="preserve">switching typically refers to language shifts that occur between sentences—when a speaker completes one sentence in one language and then continues the next sentence in another language. In contrast, intra-sentential </w:t>
      </w:r>
      <w:r w:rsidR="00263BF8">
        <w:rPr>
          <w:rFonts w:cs="Times New Roman"/>
          <w:szCs w:val="22"/>
        </w:rPr>
        <w:t>code-</w:t>
      </w:r>
      <w:r w:rsidRPr="000D0596">
        <w:rPr>
          <w:rFonts w:cs="Times New Roman"/>
          <w:szCs w:val="22"/>
        </w:rPr>
        <w:t>switching takes place within a single sentence, where the speaker alternates between different languages or language varieties within the same utterance (Bullock &amp; Toribio, 20</w:t>
      </w:r>
      <w:r w:rsidR="0098633A">
        <w:rPr>
          <w:rFonts w:cs="Times New Roman"/>
          <w:szCs w:val="22"/>
        </w:rPr>
        <w:t>09</w:t>
      </w:r>
      <w:r w:rsidRPr="000D0596">
        <w:rPr>
          <w:rFonts w:cs="Times New Roman"/>
          <w:szCs w:val="22"/>
        </w:rPr>
        <w:t>, p. 3).</w:t>
      </w:r>
    </w:p>
    <w:p w14:paraId="1134AE3E" w14:textId="709571B6" w:rsidR="000D0596" w:rsidRPr="00782C8F" w:rsidRDefault="000D0596" w:rsidP="00782C8F">
      <w:pPr>
        <w:rPr>
          <w:rFonts w:cs="Times New Roman"/>
          <w:szCs w:val="22"/>
        </w:rPr>
      </w:pPr>
      <w:r w:rsidRPr="000D0596">
        <w:rPr>
          <w:rFonts w:cs="Times New Roman"/>
          <w:szCs w:val="22"/>
        </w:rPr>
        <w:t xml:space="preserve">Secondly, based on the functional purposes of code-switching, it can be classified into situational code-switching and metaphorical code-switching. Situational code-switching is typically triggered by changes in the communicative setting or </w:t>
      </w:r>
      <w:r w:rsidR="00263BF8">
        <w:rPr>
          <w:rFonts w:cs="Times New Roman" w:hint="eastAsia"/>
          <w:szCs w:val="22"/>
        </w:rPr>
        <w:t>object</w:t>
      </w:r>
      <w:r w:rsidRPr="000D0596">
        <w:rPr>
          <w:rFonts w:cs="Times New Roman"/>
          <w:szCs w:val="22"/>
        </w:rPr>
        <w:t>s. For instance, a speaker may use one language in formal contexts and switch to another in informal situations. In contrast, metaphorical code-switching is often closely related to the expression of emotions or identity. This type of switching may occur to emphasize personal identity, convey a sense of intimacy, or reflect a specific cultural background</w:t>
      </w:r>
      <w:r>
        <w:rPr>
          <w:rFonts w:cs="Times New Roman" w:hint="eastAsia"/>
          <w:szCs w:val="22"/>
        </w:rPr>
        <w:t xml:space="preserve"> </w:t>
      </w:r>
      <w:r w:rsidR="00C052A6">
        <w:rPr>
          <w:rFonts w:cs="Times New Roman"/>
          <w:szCs w:val="22"/>
        </w:rPr>
        <w:t>(Gardner-Chloros, 2009, p. 59)</w:t>
      </w:r>
      <w:r>
        <w:rPr>
          <w:rFonts w:cs="Times New Roman"/>
          <w:szCs w:val="22"/>
        </w:rPr>
        <w:t>.</w:t>
      </w:r>
    </w:p>
    <w:p w14:paraId="3882A32D" w14:textId="73F17633" w:rsidR="005E18B9" w:rsidRDefault="009D1B79" w:rsidP="005E18B9">
      <w:pPr>
        <w:pStyle w:val="a9"/>
        <w:numPr>
          <w:ilvl w:val="1"/>
          <w:numId w:val="1"/>
        </w:numPr>
      </w:pPr>
      <w:r>
        <w:t>Theoretical Perspectives</w:t>
      </w:r>
    </w:p>
    <w:p w14:paraId="423E3D64" w14:textId="77777777" w:rsidR="000D0596" w:rsidRDefault="000D0596" w:rsidP="000D0596">
      <w:r>
        <w:t>The theoretical perspectives on code-switching primarily encompass sociolinguistic and psycholinguistic approaches.</w:t>
      </w:r>
    </w:p>
    <w:p w14:paraId="21DF2A05" w14:textId="3DD456E3" w:rsidR="00092D88" w:rsidRDefault="000D0596" w:rsidP="000D0596">
      <w:r>
        <w:t xml:space="preserve">From a sociolinguistic perspective, code-switching is regarded as a linguistic phenomenon closely tied to social interaction. It is strongly associated with social contexts, group identity, cultural expression, and communicative intentions. For example, situational code-switching is typically employed to adapt to changes in social settings or </w:t>
      </w:r>
      <w:r w:rsidR="00BA4B81">
        <w:t>object</w:t>
      </w:r>
      <w:r>
        <w:t xml:space="preserve">s, while metaphorical code-switching is often used to express individual identity or emotional states. Recent studies have </w:t>
      </w:r>
      <w:r>
        <w:lastRenderedPageBreak/>
        <w:t xml:space="preserve">also highlighted the social functions of code-switching, such as reinforcing social relationships, signaling group affiliation, constructing identity, and facilitating cultural integration. Thus, code-switching is viewed as a flexible tool of social communication that both reflects and constructs social relationships </w:t>
      </w:r>
      <w:r w:rsidR="00092D88">
        <w:t>(</w:t>
      </w:r>
      <w:r w:rsidR="00092D88" w:rsidRPr="00092D88">
        <w:rPr>
          <w:rFonts w:hint="eastAsia"/>
        </w:rPr>
        <w:t>Bullock &amp; Toribio, 20</w:t>
      </w:r>
      <w:r w:rsidR="0098633A">
        <w:t>09</w:t>
      </w:r>
      <w:r w:rsidR="00092D88">
        <w:t>, p. 10)</w:t>
      </w:r>
      <w:r>
        <w:t>.</w:t>
      </w:r>
    </w:p>
    <w:p w14:paraId="4D88A1FE" w14:textId="26AD39B9" w:rsidR="000D0596" w:rsidRDefault="000D0596" w:rsidP="008B0655">
      <w:r w:rsidRPr="000D0596">
        <w:t xml:space="preserve">Secondly, from a psycholinguistic perspective, code-switching is viewed as a cognitive process, with a primary focus on how the brain manages and controls multiple languages </w:t>
      </w:r>
      <w:r w:rsidR="0047567A">
        <w:t>in the process of</w:t>
      </w:r>
      <w:r w:rsidRPr="000D0596">
        <w:t xml:space="preserve"> use. Psycholinguists are particularly interested in the cognitive mechanisms involved in code-switching, such as language selection, activation, and inhibition. Green’s (2018) Inhibitory Control Model emphasizes that bilingual individuals must suppress the non-target language during code-switching to ensure fluent output in the </w:t>
      </w:r>
      <w:r w:rsidR="001448C4">
        <w:t>target</w:t>
      </w:r>
      <w:r w:rsidRPr="000D0596">
        <w:t xml:space="preserve"> language. Moreover, psycholinguistic research also explores the impact of code-switching on cognitive abilities, suggesting that bilingual individuals may possess enhanced executive functions </w:t>
      </w:r>
      <w:r w:rsidR="001448C4" w:rsidRPr="000D0596">
        <w:t>because of</w:t>
      </w:r>
      <w:r w:rsidRPr="000D0596">
        <w:t xml:space="preserve"> their experience in managing multiple language systems.</w:t>
      </w:r>
    </w:p>
    <w:p w14:paraId="3135CC72" w14:textId="00CF2E19" w:rsidR="008B0655" w:rsidRPr="000D0596" w:rsidRDefault="000D0596" w:rsidP="008B0655">
      <w:pPr>
        <w:pStyle w:val="a9"/>
        <w:numPr>
          <w:ilvl w:val="0"/>
          <w:numId w:val="1"/>
        </w:numPr>
        <w:rPr>
          <w:b/>
          <w:bCs/>
        </w:rPr>
      </w:pPr>
      <w:r w:rsidRPr="000D0596">
        <w:rPr>
          <w:b/>
          <w:bCs/>
        </w:rPr>
        <w:t>Analysis and Evaluation of Baker’s Advice</w:t>
      </w:r>
    </w:p>
    <w:p w14:paraId="3F7C9931" w14:textId="77AA9889" w:rsidR="008B0655" w:rsidRDefault="005E657E" w:rsidP="008B0655">
      <w:pPr>
        <w:pStyle w:val="a9"/>
        <w:numPr>
          <w:ilvl w:val="1"/>
          <w:numId w:val="1"/>
        </w:numPr>
      </w:pPr>
      <w:r>
        <w:t>Summary of Baker’s Advice</w:t>
      </w:r>
    </w:p>
    <w:p w14:paraId="6A3B8789" w14:textId="6C3F012E" w:rsidR="005E657E" w:rsidRDefault="005E657E" w:rsidP="005E657E">
      <w:r>
        <w:t xml:space="preserve">Baker (2014) offers concrete and explicit </w:t>
      </w:r>
      <w:r w:rsidR="00AD7A74">
        <w:t>advice</w:t>
      </w:r>
      <w:r>
        <w:t xml:space="preserve"> in response to common parental concerns regarding code-switching. He highlights the multiple positive functions of code-switching, emphasizing that moderate and purposeful switching between languages can enhance children’s metalinguistic awareness and contribute to the development of cognitive skills, particularly in areas such as problem-solving and creative thinking. Moreover, Baker points out that code-switching can play a vital role in helping children build and maintain social relationships in multicultural environments. It enables them to express their personal identity more clearly and fosters a stronger sense of cultural belonging.</w:t>
      </w:r>
    </w:p>
    <w:p w14:paraId="0015DEA6" w14:textId="3555FD7C" w:rsidR="008B0655" w:rsidRDefault="005E657E" w:rsidP="008B0655">
      <w:pPr>
        <w:pStyle w:val="a9"/>
        <w:numPr>
          <w:ilvl w:val="1"/>
          <w:numId w:val="1"/>
        </w:numPr>
      </w:pPr>
      <w:r>
        <w:t>Personal Experience</w:t>
      </w:r>
    </w:p>
    <w:p w14:paraId="1E75DA89" w14:textId="0B7E8F05" w:rsidR="005E657E" w:rsidRDefault="005E657E" w:rsidP="00C22442">
      <w:r w:rsidRPr="005E657E">
        <w:t xml:space="preserve">As a Chinese student, I have found that many of Baker’s </w:t>
      </w:r>
      <w:r w:rsidR="00FF16AB">
        <w:rPr>
          <w:rFonts w:hint="eastAsia"/>
        </w:rPr>
        <w:t>advice</w:t>
      </w:r>
      <w:r w:rsidRPr="005E657E">
        <w:t xml:space="preserve"> regarding code-switching are affirmed by my own learning experiences. First and foremost, code-switching has indeed contributed to improving both the accuracy of language learning and the development of intercultural communication skills. For example, in English reading classes, when encountering </w:t>
      </w:r>
      <w:r w:rsidRPr="005E657E">
        <w:lastRenderedPageBreak/>
        <w:t>complex syntactic structures or abstract literary concepts, teachers would occasionally switch to Chinese for explanation. This strategy made it easier for students to grasp key points and facilitated deeper understanding.</w:t>
      </w:r>
    </w:p>
    <w:p w14:paraId="77311DE2" w14:textId="165D730F" w:rsidR="005E657E" w:rsidRDefault="00C71F76" w:rsidP="00C22442">
      <w:r>
        <w:t>In addition</w:t>
      </w:r>
      <w:r w:rsidR="005E657E" w:rsidRPr="005E657E">
        <w:t xml:space="preserve">, in my previous study group, we frequently employed code-switching during group discussions, which significantly enhanced both the efficiency of communication and the level of participation. When discussing abstract topics such as cultural differences or social issues, </w:t>
      </w:r>
      <w:r>
        <w:t>switching</w:t>
      </w:r>
      <w:r w:rsidR="005E657E" w:rsidRPr="005E657E">
        <w:t xml:space="preserve"> between Chinese and English allowed us to express our ideas and emotions more clearly. It also made the discussions more in-depth and productive, as we were not constrained by the limitations of using a single language.</w:t>
      </w:r>
    </w:p>
    <w:p w14:paraId="1DAB723A" w14:textId="5ECE639C" w:rsidR="00C22442" w:rsidRPr="005E657E" w:rsidRDefault="005E657E" w:rsidP="00C22442">
      <w:r w:rsidRPr="005E657E">
        <w:t>However, code-switching has also led to some negative effects on occasion. For instance, some students became overly reliant on Chinese thinking patterns when writing in English. This often resulted in direct translations from Chinese, which caused grammatical errors or awkward expressions, ultimately affecting the quality of their writing. Therefore, although the negative impact of code-switching is relatively limited, it does exist—particularly in formal language use contexts such as academic writing.</w:t>
      </w:r>
    </w:p>
    <w:p w14:paraId="5CA1693E" w14:textId="1AB4B49C" w:rsidR="005E657E" w:rsidRPr="00C22442" w:rsidRDefault="005E657E" w:rsidP="005C6178">
      <w:r w:rsidRPr="005E657E">
        <w:t xml:space="preserve">In sum, while code-switching serves as a valuable tool in facilitating comprehension, communication, and cross-cultural competence, it must be applied thoughtfully. Awareness of context and language goals is essential </w:t>
      </w:r>
      <w:r w:rsidR="0024319E" w:rsidRPr="005E657E">
        <w:t>to</w:t>
      </w:r>
      <w:r w:rsidRPr="005E657E">
        <w:t xml:space="preserve"> minimize potential drawbacks, especially in academic and professional settings where target-language accuracy and fluency are critical.</w:t>
      </w:r>
    </w:p>
    <w:p w14:paraId="4BB7DC6A" w14:textId="7DB63DDC" w:rsidR="008B0655" w:rsidRDefault="009E0B38" w:rsidP="008B0655">
      <w:pPr>
        <w:pStyle w:val="a9"/>
        <w:numPr>
          <w:ilvl w:val="1"/>
          <w:numId w:val="1"/>
        </w:numPr>
      </w:pPr>
      <w:r>
        <w:t>Relevance and Universality of the Advice</w:t>
      </w:r>
    </w:p>
    <w:p w14:paraId="3F6E399B" w14:textId="0828888C" w:rsidR="004642AD" w:rsidRDefault="009E0B38" w:rsidP="00B1129B">
      <w:r w:rsidRPr="009E0B38">
        <w:t xml:space="preserve">The recommendations on code-switching proposed by Baker </w:t>
      </w:r>
      <w:r w:rsidR="004642AD">
        <w:t>(</w:t>
      </w:r>
      <w:r w:rsidRPr="009E0B38">
        <w:t>2014</w:t>
      </w:r>
      <w:r w:rsidR="004642AD">
        <w:t>)</w:t>
      </w:r>
      <w:r w:rsidRPr="009E0B38">
        <w:t xml:space="preserve"> demonstrate a certain degree of relevance and universality within the context of English education and family language policy in China. Baker emphasizes that code-switching can enhance students’ metalinguistic awareness and intercultural communication competence—goals that align closely with the current objectives of English education in China, which increasingly advocate for the development of students’ communicative competence and cross-cultural understanding</w:t>
      </w:r>
      <w:r w:rsidR="004642AD">
        <w:t>.</w:t>
      </w:r>
    </w:p>
    <w:p w14:paraId="19D87530" w14:textId="4150D653" w:rsidR="00B1129B" w:rsidRDefault="009E0B38" w:rsidP="00B1129B">
      <w:r w:rsidRPr="009E0B38">
        <w:t xml:space="preserve">However, the applicability of these </w:t>
      </w:r>
      <w:r w:rsidR="004642AD">
        <w:t>advice</w:t>
      </w:r>
      <w:r w:rsidRPr="009E0B38">
        <w:t xml:space="preserve"> within the Chinese educational context is not without limitations. Firstly, China’s traditional exam-oriented education system remains dominant in </w:t>
      </w:r>
      <w:r w:rsidRPr="009E0B38">
        <w:lastRenderedPageBreak/>
        <w:t>many schools, where language instruction is often geared toward standardized testing. In such environments, frequent code-switching in the classroom may potentially interfere with students’ ability to internalize formal language structures and standard expressions.</w:t>
      </w:r>
      <w:r w:rsidR="004642AD" w:rsidRPr="009E0B38">
        <w:t xml:space="preserve"> </w:t>
      </w:r>
      <w:r w:rsidRPr="009E0B38">
        <w:t>Secondly, in terms of family language policy, there remains a widespread misunderstanding of code-switching among many Chinese parents. It is still commonly believed that maintaining a monolingual environment is more beneficial to children’s language development. This perception tends to overshadow the potential cognitive and communicative advantages of code-switching, thereby limiting its practical application in home settings.</w:t>
      </w:r>
    </w:p>
    <w:p w14:paraId="432F0129" w14:textId="129280A3" w:rsidR="009E0B38" w:rsidRDefault="009E0B38" w:rsidP="00B1129B">
      <w:r w:rsidRPr="009E0B38">
        <w:t xml:space="preserve">Considering these factors, while Baker’s </w:t>
      </w:r>
      <w:r w:rsidR="004642AD">
        <w:t>advice</w:t>
      </w:r>
      <w:r w:rsidRPr="009E0B38">
        <w:t xml:space="preserve"> </w:t>
      </w:r>
      <w:r w:rsidR="004642AD" w:rsidRPr="009E0B38">
        <w:t>offers</w:t>
      </w:r>
      <w:r w:rsidRPr="009E0B38">
        <w:t xml:space="preserve"> valuable theoretical and pedagogical insights, their successful implementation in China requires adaptation to local educational realities and parental beliefs. </w:t>
      </w:r>
      <w:r w:rsidR="004642AD" w:rsidRPr="004642AD">
        <w:t>On the one hand, teachers need to appropriately manage the extent</w:t>
      </w:r>
      <w:r w:rsidR="004642AD">
        <w:rPr>
          <w:rFonts w:hint="eastAsia"/>
        </w:rPr>
        <w:t xml:space="preserve"> </w:t>
      </w:r>
      <w:r w:rsidR="004642AD" w:rsidRPr="004642AD">
        <w:t>of code-switching in classroom instruction. On the other hand, both educators and parents should strengthen communication and develop a more informed, research-based understanding of code-switching. This will allow its advantages to be effectively leveraged in language acquisition and the cultivation of cross-cultural competence.</w:t>
      </w:r>
    </w:p>
    <w:p w14:paraId="0C3E78D4" w14:textId="0DB01901" w:rsidR="008B0655" w:rsidRPr="00594EA3" w:rsidRDefault="008B0655" w:rsidP="008B0655">
      <w:pPr>
        <w:pStyle w:val="a9"/>
        <w:numPr>
          <w:ilvl w:val="0"/>
          <w:numId w:val="1"/>
        </w:numPr>
        <w:rPr>
          <w:b/>
          <w:bCs/>
        </w:rPr>
      </w:pPr>
      <w:r w:rsidRPr="00594EA3">
        <w:rPr>
          <w:b/>
          <w:bCs/>
        </w:rPr>
        <w:t xml:space="preserve">Value and </w:t>
      </w:r>
      <w:r w:rsidR="00594EA3" w:rsidRPr="00594EA3">
        <w:rPr>
          <w:b/>
          <w:bCs/>
        </w:rPr>
        <w:t>P</w:t>
      </w:r>
      <w:r w:rsidRPr="00594EA3">
        <w:rPr>
          <w:b/>
          <w:bCs/>
        </w:rPr>
        <w:t xml:space="preserve">urpose of </w:t>
      </w:r>
      <w:r w:rsidR="00594EA3" w:rsidRPr="00594EA3">
        <w:rPr>
          <w:b/>
          <w:bCs/>
        </w:rPr>
        <w:t>C</w:t>
      </w:r>
      <w:r w:rsidRPr="00594EA3">
        <w:rPr>
          <w:b/>
          <w:bCs/>
        </w:rPr>
        <w:t>ode-</w:t>
      </w:r>
      <w:r w:rsidR="00594EA3" w:rsidRPr="00594EA3">
        <w:rPr>
          <w:b/>
          <w:bCs/>
        </w:rPr>
        <w:t>s</w:t>
      </w:r>
      <w:r w:rsidRPr="00594EA3">
        <w:rPr>
          <w:b/>
          <w:bCs/>
        </w:rPr>
        <w:t>witching</w:t>
      </w:r>
    </w:p>
    <w:p w14:paraId="6616FC98" w14:textId="39962B89" w:rsidR="00900DCC" w:rsidRDefault="00594EA3" w:rsidP="00900DCC">
      <w:pPr>
        <w:pStyle w:val="a9"/>
        <w:numPr>
          <w:ilvl w:val="1"/>
          <w:numId w:val="1"/>
        </w:numPr>
      </w:pPr>
      <w:bookmarkStart w:id="0" w:name="OLE_LINK1"/>
      <w:r>
        <w:t>Cognitive and Educational Functions</w:t>
      </w:r>
    </w:p>
    <w:p w14:paraId="5968AFED" w14:textId="0ED82D83" w:rsidR="00126BB6" w:rsidRDefault="00594EA3" w:rsidP="00594EA3">
      <w:r>
        <w:t>In recent years, numerous studies have demonstrated that code-switching plays a significant facilitative role in the cognitive and educational development of bilingual individuals. Firstly, code-switching has been shown to effectively enhance cognitive flexibility. Bilinguals who frequently engage in code-switching exhibit stronger task-switching abilities and can adapt quickly and efficiently to different cognitive contexts (</w:t>
      </w:r>
      <w:proofErr w:type="spellStart"/>
      <w:r>
        <w:t>Kheder</w:t>
      </w:r>
      <w:proofErr w:type="spellEnd"/>
      <w:r>
        <w:t xml:space="preserve"> &amp; Kaan, 2021). This flexibility extends beyond language-related tasks, contributing to improved problem-solving skills and greater cognitive control in general.</w:t>
      </w:r>
    </w:p>
    <w:p w14:paraId="39577D26" w14:textId="34CDCDA8" w:rsidR="00857EFF" w:rsidRDefault="00857EFF" w:rsidP="00126BB6">
      <w:r w:rsidRPr="00857EFF">
        <w:t xml:space="preserve">Secondly, code-switching has been positively linked to creative thinking. Individuals who code-switch regularly tend to perform better in tasks requiring creativity, particularly in solving open-ended problems. This is largely because code-switching involves the constant alternation between activating and inhibiting different language systems, which promotes cognitive </w:t>
      </w:r>
      <w:r w:rsidRPr="00857EFF">
        <w:lastRenderedPageBreak/>
        <w:t>flexibility and, in turn, enhances creative capacity.</w:t>
      </w:r>
    </w:p>
    <w:p w14:paraId="62665935" w14:textId="2D6932B6" w:rsidR="00857EFF" w:rsidRDefault="00857EFF" w:rsidP="00857EFF">
      <w:r>
        <w:t>Moreover, code-switching may also have a beneficial impact on</w:t>
      </w:r>
      <w:r w:rsidR="00A45F42" w:rsidRPr="00A45F42">
        <w:t xml:space="preserve"> </w:t>
      </w:r>
      <w:r w:rsidR="00A45F42">
        <w:t>bilingual children’s</w:t>
      </w:r>
      <w:r>
        <w:rPr>
          <w:rFonts w:hint="eastAsia"/>
        </w:rPr>
        <w:t xml:space="preserve"> </w:t>
      </w:r>
      <w:r>
        <w:t>academic performance. In bilingual learning environments, the strategic use of code-switching helps children better comprehend and process complex linguistic information, thereby improving learning efficiency and academic outcomes. Taken together, these findings suggest that code-switching is not merely a communicative tool, but also a valuable cognitive and educational resource that supports bilingual individuals in navigating and excelling in increasingly complex learning and social environments.</w:t>
      </w:r>
    </w:p>
    <w:bookmarkEnd w:id="0"/>
    <w:p w14:paraId="35C666B6" w14:textId="345B9F49" w:rsidR="004C3C56" w:rsidRDefault="00D82DE2" w:rsidP="00900DCC">
      <w:pPr>
        <w:pStyle w:val="a9"/>
        <w:numPr>
          <w:ilvl w:val="1"/>
          <w:numId w:val="1"/>
        </w:numPr>
      </w:pPr>
      <w:r>
        <w:t>Identity and Cultural Significance</w:t>
      </w:r>
    </w:p>
    <w:p w14:paraId="43D660F2" w14:textId="61C34D97" w:rsidR="00D82DE2" w:rsidRDefault="00D82DE2" w:rsidP="00900DCC">
      <w:r w:rsidRPr="00D82DE2">
        <w:t xml:space="preserve">Code-switching is not only associated with cognitive and educational functions but also plays a vital role in shaping bilingual individuals’ identity. Through code-switching, bilinguals are able to express and maintain multiple identities and a sense of belonging to more than one culture. When bilingual speakers switch languages in different social contexts, they are often simultaneously shifting their social roles or enacting different aspects of their identities. For example, in family settings, they may prefer to use their native language to emphasize intimacy and familial bonds, whereas in public or professional environments, they might </w:t>
      </w:r>
      <w:r w:rsidR="00222898">
        <w:t>use</w:t>
      </w:r>
      <w:r w:rsidRPr="00D82DE2">
        <w:t xml:space="preserve"> the dominant soci</w:t>
      </w:r>
      <w:r w:rsidR="00222898">
        <w:t>a</w:t>
      </w:r>
      <w:r w:rsidRPr="00D82DE2">
        <w:t>l language to project a professional or socially integrated identity.</w:t>
      </w:r>
    </w:p>
    <w:p w14:paraId="2AA7E472" w14:textId="2C97AF2C" w:rsidR="00D82DE2" w:rsidRDefault="00D82DE2" w:rsidP="00306404">
      <w:r w:rsidRPr="00D82DE2">
        <w:t xml:space="preserve">Furthermore, code-switching is widely regarded as a powerful tool for cultural </w:t>
      </w:r>
      <w:r w:rsidR="00B369D5">
        <w:t>integration</w:t>
      </w:r>
      <w:r w:rsidRPr="00D82DE2">
        <w:t xml:space="preserve"> and identity construction. In the process of communication, bilinguals navigate between languages, which enables them to move fluidly across cultural boundaries and adapt to multicultural environments. This linguistic flexibility allows them to express their cultural background more comfortably and to build deeper connections with different social groups.</w:t>
      </w:r>
    </w:p>
    <w:p w14:paraId="770DEFB4" w14:textId="630D61B3" w:rsidR="00D82DE2" w:rsidRPr="00900DCC" w:rsidRDefault="00D82DE2" w:rsidP="00306404">
      <w:r w:rsidRPr="00D82DE2">
        <w:t xml:space="preserve">In </w:t>
      </w:r>
      <w:r w:rsidR="00B369D5">
        <w:rPr>
          <w:rFonts w:hint="eastAsia"/>
        </w:rPr>
        <w:t>conclusion</w:t>
      </w:r>
      <w:r w:rsidRPr="00D82DE2">
        <w:t>, code-switching plays a crucial role in the construction of identity and the negotiation of cultural belonging. By flexibly using different languages, bilingual individuals not only reinforce their multicultural identity but also promote intercultural communication and understanding. In this way, code-switching demonstrates its broader social and cultural significance in the context of globalization, serving as a bridge between languages, cultures, and communities.</w:t>
      </w:r>
    </w:p>
    <w:p w14:paraId="4AA8F231" w14:textId="19E1A7C4" w:rsidR="00900DCC" w:rsidRDefault="00D82DE2" w:rsidP="008B0655">
      <w:pPr>
        <w:pStyle w:val="a9"/>
        <w:numPr>
          <w:ilvl w:val="1"/>
          <w:numId w:val="1"/>
        </w:numPr>
      </w:pPr>
      <w:r>
        <w:lastRenderedPageBreak/>
        <w:t>Practical Value in Social Communication</w:t>
      </w:r>
    </w:p>
    <w:p w14:paraId="3D69F8AC" w14:textId="22C99F5C" w:rsidR="00D82DE2" w:rsidRDefault="00D82DE2" w:rsidP="00D82DE2">
      <w:r>
        <w:t>Code-switching holds significant practical value in everyday social interaction. Firstly, it greatly enhances expressive precision. In multilingual settings, bilingual speakers often switch languages to accurately convey specific concepts or vocabulary, especially when one language lacks an equivalent expression. This flexible communicative strategy helps both parties better understand the speaker’s intent, thereby reducing misunderstandings and communication barriers.</w:t>
      </w:r>
    </w:p>
    <w:p w14:paraId="5CE2E6BF" w14:textId="5830792A" w:rsidR="00D229E6" w:rsidRDefault="0082250D" w:rsidP="00D229E6">
      <w:r w:rsidRPr="0082250D">
        <w:t>Secondly, code-switching adds to the emotional richness of communication. Different languages often carry distinct emotional connotations, and bilinguals can use code-switching to convey subtle emotional shifts. For example, in informal conversations, switching languages can signal intimacy, humor, or emphasize certain emotions, making the interaction more vivid, dynamic, and engaging.</w:t>
      </w:r>
    </w:p>
    <w:p w14:paraId="36149AFB" w14:textId="254FE4AF" w:rsidR="0082250D" w:rsidRDefault="0082250D" w:rsidP="00D229E6">
      <w:r w:rsidRPr="0082250D">
        <w:t xml:space="preserve">Furthermore, code-switching plays a crucial role in </w:t>
      </w:r>
      <w:r w:rsidR="00F33088">
        <w:t>promoting</w:t>
      </w:r>
      <w:r w:rsidRPr="0082250D">
        <w:t xml:space="preserve"> intercultural communication. By switching languages appropriately, bilingual speakers demonstrate adaptability and cultural sensitivity, showing respect and understanding toward their interlocutors’ cultural backgrounds. This, in turn, helps build stronger interpersonal relationships and enhances cross-cultural understanding. In an increasingly globalized world, such communicative flexibility is recognized as an essential social skill, enabling individuals to form effective interpersonal networks across diverse cultural contexts.</w:t>
      </w:r>
    </w:p>
    <w:p w14:paraId="10B76715" w14:textId="35D075AF" w:rsidR="0082250D" w:rsidRPr="00900DCC" w:rsidRDefault="0082250D" w:rsidP="00D229E6">
      <w:r w:rsidRPr="0082250D">
        <w:t>In conclusion, the practical value of code-switching in daily communication is evident across three key dimensions: linguistic precision, emotional expression, and intercultural competence. Together, these functions provide bilingual speakers with a rich and adaptable set of tools for effective social interaction.</w:t>
      </w:r>
    </w:p>
    <w:p w14:paraId="3309EF6F" w14:textId="559B8778" w:rsidR="008B0655" w:rsidRPr="0082250D" w:rsidRDefault="008B0655" w:rsidP="00900DCC">
      <w:pPr>
        <w:rPr>
          <w:b/>
          <w:bCs/>
        </w:rPr>
      </w:pPr>
      <w:r w:rsidRPr="0082250D">
        <w:rPr>
          <w:b/>
          <w:bCs/>
        </w:rPr>
        <w:t>Conclusion</w:t>
      </w:r>
    </w:p>
    <w:p w14:paraId="3B165919" w14:textId="6F712865" w:rsidR="0082250D" w:rsidRDefault="00E60D10" w:rsidP="00FD1CF4">
      <w:r w:rsidRPr="00E60D10">
        <w:t xml:space="preserve">Through a comprehensive analysis of the theoretical foundations, practical applications, and Baker’s recommendations on code-switching, this </w:t>
      </w:r>
      <w:r w:rsidR="00FB2361">
        <w:t>essay</w:t>
      </w:r>
      <w:r w:rsidRPr="00E60D10">
        <w:t xml:space="preserve"> has clearly demonstrated the value of code-switching in cognitive, cultural, and communicative domains.</w:t>
      </w:r>
    </w:p>
    <w:p w14:paraId="4A0B63BF" w14:textId="65B75AD3" w:rsidR="00E60D10" w:rsidRDefault="00E60D10" w:rsidP="00FD1CF4">
      <w:r w:rsidRPr="00E60D10">
        <w:lastRenderedPageBreak/>
        <w:t>First, in terms of cognitive and educational functions, code-switching significantly enhances bilingual individuals’ cognitive flexibility and problem-solving abilities, while also exerting a positive influence on creative thinking and academic performance. Second, at the level of identity and cultural significance, code-switching plays a crucial role in enabling bilinguals to express and maintain their multicultural identities, thereby promoting cultural integration and identity construction. Third, from the perspective of social communication, code-switching proves to be a highly practical strategy in everyday interaction, improving expressive precision, enriching emotional expression, and facilitating intercultural communication.</w:t>
      </w:r>
    </w:p>
    <w:p w14:paraId="76CF1ACD" w14:textId="356372B6" w:rsidR="00E60D10" w:rsidRDefault="00E60D10" w:rsidP="00FD1CF4">
      <w:r w:rsidRPr="00E60D10">
        <w:t xml:space="preserve">In summary, Baker’s (2014) recommendations regarding code-switching have been validated in most contexts, and his perspectives are generally effective. However, by integrating the realities of the Chinese educational environment and personal experience, this </w:t>
      </w:r>
      <w:r w:rsidR="00FB2361">
        <w:t>essay</w:t>
      </w:r>
      <w:r w:rsidRPr="00E60D10">
        <w:t xml:space="preserve"> also identifies the need to adapt and optimize these recommendations according to specific contexts. In the context of English education in China, the advantages of code-switching are particularly evident in informal learning environments and daily communication. However, in formal instruction and exam-oriented settings, code-switching must be employed more cautiously to align with different educational goals and to minimize potential negative impacts. Therefore, educators and parents should adopt a flexible and context-sensitive approach when encouraging and guiding code-switching, tailoring strategies to students’ specific needs and learning objectives to maximize its positive effects.</w:t>
      </w:r>
    </w:p>
    <w:p w14:paraId="27C4948F" w14:textId="1D9DC842" w:rsidR="00E60D10" w:rsidRDefault="00E60D10" w:rsidP="00FD1CF4">
      <w:r w:rsidRPr="00E60D10">
        <w:t>Future research may further explore how to precisely adjust code-switching strategies across various educational contexts to more effectively support bilingual learners’ language development and cognitive growth.</w:t>
      </w:r>
    </w:p>
    <w:p w14:paraId="603F07B6" w14:textId="77777777" w:rsidR="00F157B3" w:rsidRPr="0082250D" w:rsidRDefault="00716097" w:rsidP="00F157B3">
      <w:pPr>
        <w:rPr>
          <w:b/>
          <w:bCs/>
        </w:rPr>
      </w:pPr>
      <w:r w:rsidRPr="0082250D">
        <w:rPr>
          <w:rFonts w:hint="eastAsia"/>
          <w:b/>
          <w:bCs/>
        </w:rPr>
        <w:t>R</w:t>
      </w:r>
      <w:r w:rsidRPr="0082250D">
        <w:rPr>
          <w:b/>
          <w:bCs/>
        </w:rPr>
        <w:t>eference</w:t>
      </w:r>
      <w:r w:rsidR="00F157B3" w:rsidRPr="0082250D">
        <w:rPr>
          <w:b/>
          <w:bCs/>
        </w:rPr>
        <w:t xml:space="preserve"> </w:t>
      </w:r>
    </w:p>
    <w:p w14:paraId="78E53E95" w14:textId="70F043C0" w:rsidR="004403C1" w:rsidRPr="00C654BE" w:rsidRDefault="004403C1" w:rsidP="00F157B3">
      <w:bookmarkStart w:id="1" w:name="OLE_LINK2"/>
      <w:r>
        <w:rPr>
          <w:rFonts w:hint="eastAsia"/>
        </w:rPr>
        <w:t>Baker</w:t>
      </w:r>
      <w:r>
        <w:t xml:space="preserve">, C. (2014). </w:t>
      </w:r>
      <w:r w:rsidR="00C654BE" w:rsidRPr="00C654BE">
        <w:rPr>
          <w:i/>
          <w:iCs/>
        </w:rPr>
        <w:t>A Parents’ and Teachers’ Guide to Bilingualism</w:t>
      </w:r>
      <w:r w:rsidR="00C654BE">
        <w:t>. 4</w:t>
      </w:r>
      <w:r w:rsidR="00C654BE" w:rsidRPr="00C654BE">
        <w:t>th</w:t>
      </w:r>
      <w:r w:rsidR="00C654BE">
        <w:t xml:space="preserve"> </w:t>
      </w:r>
      <w:proofErr w:type="spellStart"/>
      <w:r w:rsidR="00C654BE">
        <w:t>ed</w:t>
      </w:r>
      <w:r w:rsidR="0098633A">
        <w:t>n</w:t>
      </w:r>
      <w:proofErr w:type="spellEnd"/>
      <w:r w:rsidR="00C654BE">
        <w:t>. Clevedon: Multilingual Matters.</w:t>
      </w:r>
    </w:p>
    <w:p w14:paraId="09D5ADD7" w14:textId="75977443" w:rsidR="00F157B3" w:rsidRDefault="00F157B3" w:rsidP="00F157B3">
      <w:r>
        <w:t>Bullock, B. E., &amp; Toribio, A. J.</w:t>
      </w:r>
      <w:r w:rsidR="0098633A">
        <w:t xml:space="preserve"> </w:t>
      </w:r>
      <w:r>
        <w:t>(20</w:t>
      </w:r>
      <w:r w:rsidR="0098633A">
        <w:t>09</w:t>
      </w:r>
      <w:r>
        <w:t xml:space="preserve">). </w:t>
      </w:r>
      <w:r w:rsidRPr="00C654BE">
        <w:rPr>
          <w:i/>
          <w:iCs/>
        </w:rPr>
        <w:t>The Cambridge Handbook of Linguistic Code-switching</w:t>
      </w:r>
      <w:r>
        <w:t xml:space="preserve">. </w:t>
      </w:r>
      <w:r w:rsidR="00C654BE">
        <w:t xml:space="preserve">Cambridge: </w:t>
      </w:r>
      <w:r>
        <w:t>Cambridge University Press.</w:t>
      </w:r>
    </w:p>
    <w:p w14:paraId="0900F6DA" w14:textId="1D582E07" w:rsidR="00716097" w:rsidRDefault="00F157B3" w:rsidP="00900DCC">
      <w:r w:rsidRPr="00C052A6">
        <w:t>Gardner-Chloros, P. (20</w:t>
      </w:r>
      <w:r>
        <w:t>0</w:t>
      </w:r>
      <w:r w:rsidRPr="00C052A6">
        <w:t xml:space="preserve">9). </w:t>
      </w:r>
      <w:r w:rsidRPr="00C654BE">
        <w:rPr>
          <w:i/>
          <w:iCs/>
        </w:rPr>
        <w:t>Code-switching</w:t>
      </w:r>
      <w:r w:rsidRPr="00C052A6">
        <w:t xml:space="preserve">. </w:t>
      </w:r>
      <w:r w:rsidR="00C654BE">
        <w:t xml:space="preserve">Cambridge: </w:t>
      </w:r>
      <w:r w:rsidRPr="00C052A6">
        <w:t>Cambridge University Press.</w:t>
      </w:r>
    </w:p>
    <w:p w14:paraId="17D22263" w14:textId="12A6A37A" w:rsidR="00BB716F" w:rsidRDefault="00BB716F" w:rsidP="00900DCC">
      <w:r w:rsidRPr="00BB716F">
        <w:lastRenderedPageBreak/>
        <w:t xml:space="preserve">Green, D. W. (2018). Language control and code-switching. </w:t>
      </w:r>
      <w:r w:rsidRPr="00F41EB5">
        <w:rPr>
          <w:i/>
          <w:iCs/>
        </w:rPr>
        <w:t>Languages</w:t>
      </w:r>
      <w:r w:rsidRPr="00BB716F">
        <w:t xml:space="preserve">, 3(2), </w:t>
      </w:r>
      <w:r w:rsidR="00F41EB5">
        <w:t>p</w:t>
      </w:r>
      <w:r w:rsidR="00721831">
        <w:rPr>
          <w:rFonts w:hint="eastAsia"/>
        </w:rPr>
        <w:t>p</w:t>
      </w:r>
      <w:r w:rsidR="00F41EB5">
        <w:t xml:space="preserve">. </w:t>
      </w:r>
      <w:r w:rsidRPr="00BB716F">
        <w:t>8.</w:t>
      </w:r>
      <w:r w:rsidR="00C417EE">
        <w:t xml:space="preserve"> </w:t>
      </w:r>
      <w:hyperlink r:id="rId5" w:history="1">
        <w:r w:rsidR="00383D84" w:rsidRPr="00B34999">
          <w:rPr>
            <w:rStyle w:val="af"/>
          </w:rPr>
          <w:t>https://doi.org/10.3390/languages3020008</w:t>
        </w:r>
      </w:hyperlink>
    </w:p>
    <w:p w14:paraId="15FA52B3" w14:textId="77777777" w:rsidR="00C052A6" w:rsidRDefault="00C052A6" w:rsidP="00C052A6">
      <w:r>
        <w:t xml:space="preserve">Grosjean, F. (1982). </w:t>
      </w:r>
      <w:r w:rsidRPr="00F41EB5">
        <w:rPr>
          <w:i/>
          <w:iCs/>
        </w:rPr>
        <w:t>Life with two languages: An introduction to bilingualism</w:t>
      </w:r>
      <w:r>
        <w:t>. Cambridge, MA: Harvard University Press.</w:t>
      </w:r>
    </w:p>
    <w:p w14:paraId="2424DD17" w14:textId="452620D2" w:rsidR="00F157B3" w:rsidRDefault="00E82206">
      <w:proofErr w:type="spellStart"/>
      <w:r>
        <w:t>Kheder</w:t>
      </w:r>
      <w:proofErr w:type="spellEnd"/>
      <w:r>
        <w:t xml:space="preserve">, S., &amp; Kaan, E. (2021). </w:t>
      </w:r>
      <w:r w:rsidRPr="00E82206">
        <w:t xml:space="preserve">Cognitive control in bilinguals: Proficiency and code-switching both </w:t>
      </w:r>
      <w:proofErr w:type="gramStart"/>
      <w:r w:rsidR="00F41EB5" w:rsidRPr="00E82206">
        <w:t>matter</w:t>
      </w:r>
      <w:proofErr w:type="gramEnd"/>
      <w:r w:rsidR="00F41EB5">
        <w:t xml:space="preserve">. </w:t>
      </w:r>
      <w:r w:rsidR="00F41EB5" w:rsidRPr="00F41EB5">
        <w:rPr>
          <w:i/>
          <w:iCs/>
        </w:rPr>
        <w:t>Cognition</w:t>
      </w:r>
      <w:r>
        <w:t>.</w:t>
      </w:r>
      <w:r w:rsidR="00C417EE">
        <w:t xml:space="preserve"> </w:t>
      </w:r>
      <w:r>
        <w:t>209</w:t>
      </w:r>
      <w:r w:rsidR="00C417EE">
        <w:t xml:space="preserve"> </w:t>
      </w:r>
      <w:r>
        <w:t>(Apr</w:t>
      </w:r>
      <w:r w:rsidR="00C417EE">
        <w:t>il</w:t>
      </w:r>
      <w:r>
        <w:t>)</w:t>
      </w:r>
      <w:bookmarkEnd w:id="1"/>
      <w:r w:rsidR="00C417EE">
        <w:t xml:space="preserve"> p. 104575</w:t>
      </w:r>
      <w:r w:rsidR="00C417EE" w:rsidRPr="00C417EE">
        <w:t xml:space="preserve"> </w:t>
      </w:r>
      <w:hyperlink r:id="rId6" w:history="1">
        <w:r w:rsidR="00B34999" w:rsidRPr="00F13995">
          <w:rPr>
            <w:rStyle w:val="af"/>
          </w:rPr>
          <w:t>https://doi.org/10.1016/j.cognition.2020.104575</w:t>
        </w:r>
      </w:hyperlink>
    </w:p>
    <w:p w14:paraId="35D17CD9" w14:textId="77777777" w:rsidR="00490BF2" w:rsidRDefault="00490BF2"/>
    <w:p w14:paraId="22BEEFA0" w14:textId="77777777" w:rsidR="00490BF2" w:rsidRDefault="00490BF2"/>
    <w:p w14:paraId="7D38AF4C" w14:textId="77777777" w:rsidR="00490BF2" w:rsidRDefault="00490BF2"/>
    <w:p w14:paraId="4CB0A3D8" w14:textId="77777777" w:rsidR="00490BF2" w:rsidRDefault="00490BF2"/>
    <w:p w14:paraId="6E5B612C" w14:textId="77777777" w:rsidR="00490BF2" w:rsidRDefault="00490BF2"/>
    <w:p w14:paraId="520AC79E" w14:textId="77777777" w:rsidR="00490BF2" w:rsidRDefault="00490BF2"/>
    <w:p w14:paraId="3F3E77DF" w14:textId="77777777" w:rsidR="00490BF2" w:rsidRDefault="00490BF2"/>
    <w:p w14:paraId="66CCE473" w14:textId="77777777" w:rsidR="00490BF2" w:rsidRDefault="00490BF2"/>
    <w:p w14:paraId="03912201" w14:textId="77777777" w:rsidR="00490BF2" w:rsidRDefault="00490BF2"/>
    <w:p w14:paraId="29A83EEF" w14:textId="77777777" w:rsidR="00490BF2" w:rsidRDefault="00490BF2"/>
    <w:p w14:paraId="5D2072C8" w14:textId="77777777" w:rsidR="00490BF2" w:rsidRDefault="00490BF2"/>
    <w:p w14:paraId="7549E822" w14:textId="77777777" w:rsidR="00490BF2" w:rsidRDefault="00490BF2"/>
    <w:p w14:paraId="5F20FE81" w14:textId="77777777" w:rsidR="00490BF2" w:rsidRDefault="00490BF2"/>
    <w:p w14:paraId="4DC8F027" w14:textId="77777777" w:rsidR="00490BF2" w:rsidRDefault="00490BF2"/>
    <w:p w14:paraId="35070394" w14:textId="77777777" w:rsidR="00490BF2" w:rsidRDefault="00490BF2"/>
    <w:p w14:paraId="34DCA649" w14:textId="77777777" w:rsidR="00490BF2" w:rsidRDefault="00490BF2"/>
    <w:p w14:paraId="3BAFBCCB" w14:textId="77777777" w:rsidR="00490BF2" w:rsidRDefault="00490BF2"/>
    <w:p w14:paraId="6839C345" w14:textId="2679AD83" w:rsidR="00B34999" w:rsidRPr="0044010A" w:rsidRDefault="00CB679B" w:rsidP="00B34999">
      <w:pPr>
        <w:jc w:val="center"/>
        <w:rPr>
          <w:b/>
          <w:bCs/>
          <w:sz w:val="36"/>
          <w:szCs w:val="36"/>
        </w:rPr>
      </w:pPr>
      <w:r w:rsidRPr="0044010A">
        <w:rPr>
          <w:b/>
          <w:bCs/>
          <w:sz w:val="36"/>
          <w:szCs w:val="36"/>
        </w:rPr>
        <w:lastRenderedPageBreak/>
        <w:t>A Short Report for Parents: Understanding and Supporting Code-switching in Bilingual Children</w:t>
      </w:r>
    </w:p>
    <w:p w14:paraId="0C7DEF75" w14:textId="56580371" w:rsidR="00B164A2" w:rsidRDefault="00B164A2" w:rsidP="00B164A2">
      <w:pPr>
        <w:pStyle w:val="a9"/>
        <w:numPr>
          <w:ilvl w:val="0"/>
          <w:numId w:val="3"/>
        </w:numPr>
      </w:pPr>
      <w:r>
        <w:t>recognize the deeper value of code-switching</w:t>
      </w:r>
    </w:p>
    <w:p w14:paraId="4B86DF87" w14:textId="0C6AEDE8" w:rsidR="00B164A2" w:rsidRDefault="00B75F88" w:rsidP="00B164A2">
      <w:r w:rsidRPr="00B75F88">
        <w:t xml:space="preserve">Parents should understand that code-switching is not a sign of confusion, but a healthy and </w:t>
      </w:r>
      <w:r>
        <w:t>normal</w:t>
      </w:r>
      <w:r w:rsidRPr="00B75F88">
        <w:t xml:space="preserve"> expression of bilingual competence. It is a natural phenomenon that reflects a child’s ability to manage and switch between two linguistic systems flexibly.</w:t>
      </w:r>
    </w:p>
    <w:p w14:paraId="77996700" w14:textId="0D6118E8" w:rsidR="00B75F88" w:rsidRDefault="00B75F88" w:rsidP="00B164A2">
      <w:r>
        <w:t>Advice for parents:</w:t>
      </w:r>
    </w:p>
    <w:p w14:paraId="207BA657" w14:textId="35D81E9C" w:rsidR="00B75F88" w:rsidRDefault="00B75F88" w:rsidP="00B164A2">
      <w:r w:rsidRPr="00B75F88">
        <w:t xml:space="preserve">When your child switches between languages, avoid reacting negatively or interrupting their speech. Instead, treat code-switching as a positive sign of cognitive flexibility and language development. This approach allows children to </w:t>
      </w:r>
      <w:r>
        <w:t>acquire</w:t>
      </w:r>
      <w:r w:rsidRPr="00B75F88">
        <w:t xml:space="preserve"> language norms naturally and confidently.</w:t>
      </w:r>
    </w:p>
    <w:p w14:paraId="6BF1CE8A" w14:textId="77777777" w:rsidR="00B164A2" w:rsidRDefault="00B164A2" w:rsidP="00B164A2">
      <w:pPr>
        <w:pStyle w:val="a9"/>
        <w:numPr>
          <w:ilvl w:val="0"/>
          <w:numId w:val="3"/>
        </w:numPr>
      </w:pPr>
      <w:r>
        <w:t>Support code-switching as a tool for identity and emotional expression</w:t>
      </w:r>
    </w:p>
    <w:p w14:paraId="43C58B0A" w14:textId="6444D98C" w:rsidR="0093613B" w:rsidRDefault="0093613B" w:rsidP="0093613B">
      <w:r w:rsidRPr="0093613B">
        <w:t>Code-switching plays an important role in how children express emotions, social identity, and cultural belonging. Bilingual children often use different languages to fulfill different social functions.</w:t>
      </w:r>
    </w:p>
    <w:p w14:paraId="306D67E4" w14:textId="33B926E4" w:rsidR="00CB679B" w:rsidRDefault="00CB679B" w:rsidP="0093613B">
      <w:r>
        <w:t>Advice for parents:</w:t>
      </w:r>
    </w:p>
    <w:p w14:paraId="1DF7B385" w14:textId="40D42158" w:rsidR="00CB679B" w:rsidRPr="00CB679B" w:rsidRDefault="00751E45" w:rsidP="0093613B">
      <w:r w:rsidRPr="00751E45">
        <w:t xml:space="preserve">Help your child understand that both languages are valuable parts of their identity. You can create opportunities for cultural ritual integration—for example, writing spring couplets in Chinese during </w:t>
      </w:r>
      <w:r>
        <w:t>Chinese</w:t>
      </w:r>
      <w:r w:rsidRPr="00751E45">
        <w:t xml:space="preserve"> New Year, or singing carols in English at Christmas. These moments allow children to deepen both their emotional connection and cultural confidence.</w:t>
      </w:r>
    </w:p>
    <w:p w14:paraId="752A61CB" w14:textId="77777777" w:rsidR="00B164A2" w:rsidRDefault="00B164A2" w:rsidP="00B164A2">
      <w:pPr>
        <w:pStyle w:val="a9"/>
        <w:numPr>
          <w:ilvl w:val="0"/>
          <w:numId w:val="3"/>
        </w:numPr>
      </w:pPr>
      <w:r>
        <w:t>Foster a positive and flexible home language environment</w:t>
      </w:r>
    </w:p>
    <w:p w14:paraId="729071B8" w14:textId="676FE461" w:rsidR="00751E45" w:rsidRDefault="00751E45" w:rsidP="00751E45">
      <w:r>
        <w:t>Creating a language-positive family environment is key to nurturing confident bilingual speakers. A flexible and supportive home environment allows children to explore and develop both languages at their own pace.</w:t>
      </w:r>
    </w:p>
    <w:p w14:paraId="2A678EF7" w14:textId="77777777" w:rsidR="00751E45" w:rsidRDefault="00751E45" w:rsidP="00751E45">
      <w:r>
        <w:t>Advice for Parents:</w:t>
      </w:r>
    </w:p>
    <w:p w14:paraId="5E4238E3" w14:textId="07FA97A5" w:rsidR="007D5BA2" w:rsidRPr="007D5BA2" w:rsidRDefault="00751E45" w:rsidP="007D5BA2">
      <w:r>
        <w:lastRenderedPageBreak/>
        <w:t>Focus on building a positive attitude toward both languages. One practical strategy is to make use of multimedia resources to support learning. For example, when watching animated films such as Pixar movies, you might allow your child to first watch the Chinese version to understand the story, then revisit the English version to focus on language expressions and pronunciation. Such activities create meaningful language input while making learning enjoyable and contextualized.</w:t>
      </w:r>
    </w:p>
    <w:sectPr w:rsidR="007D5BA2" w:rsidRPr="007D5BA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DengXian">
    <w:altName w:val="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F76885"/>
    <w:multiLevelType w:val="hybridMultilevel"/>
    <w:tmpl w:val="7DEC5510"/>
    <w:lvl w:ilvl="0" w:tplc="AA309EAA">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61DC7E21"/>
    <w:multiLevelType w:val="multilevel"/>
    <w:tmpl w:val="39FA7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0A82891"/>
    <w:multiLevelType w:val="multilevel"/>
    <w:tmpl w:val="060A244A"/>
    <w:lvl w:ilvl="0">
      <w:start w:val="1"/>
      <w:numFmt w:val="decimal"/>
      <w:lvlText w:val="%1."/>
      <w:lvlJc w:val="left"/>
      <w:pPr>
        <w:ind w:left="360" w:hanging="360"/>
      </w:pPr>
      <w:rPr>
        <w:rFonts w:hint="default"/>
      </w:rPr>
    </w:lvl>
    <w:lvl w:ilvl="1">
      <w:start w:val="1"/>
      <w:numFmt w:val="decimal"/>
      <w:isLgl/>
      <w:lvlText w:val="%1.%2"/>
      <w:lvlJc w:val="left"/>
      <w:pPr>
        <w:ind w:left="380" w:hanging="3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num w:numId="1" w16cid:durableId="2091273773">
    <w:abstractNumId w:val="2"/>
  </w:num>
  <w:num w:numId="2" w16cid:durableId="651715777">
    <w:abstractNumId w:val="1"/>
  </w:num>
  <w:num w:numId="3" w16cid:durableId="15392709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0655"/>
    <w:rsid w:val="00016451"/>
    <w:rsid w:val="00033E99"/>
    <w:rsid w:val="00092D88"/>
    <w:rsid w:val="000B69B7"/>
    <w:rsid w:val="000D0596"/>
    <w:rsid w:val="000D74AA"/>
    <w:rsid w:val="00106660"/>
    <w:rsid w:val="00126BB6"/>
    <w:rsid w:val="001448C4"/>
    <w:rsid w:val="0021511D"/>
    <w:rsid w:val="00215D16"/>
    <w:rsid w:val="00222898"/>
    <w:rsid w:val="0024319E"/>
    <w:rsid w:val="002447C0"/>
    <w:rsid w:val="00263BF8"/>
    <w:rsid w:val="00283557"/>
    <w:rsid w:val="00306404"/>
    <w:rsid w:val="00342C98"/>
    <w:rsid w:val="0034317B"/>
    <w:rsid w:val="00370398"/>
    <w:rsid w:val="00381561"/>
    <w:rsid w:val="00383D84"/>
    <w:rsid w:val="004318D9"/>
    <w:rsid w:val="0044010A"/>
    <w:rsid w:val="004403C1"/>
    <w:rsid w:val="004506A0"/>
    <w:rsid w:val="004642AD"/>
    <w:rsid w:val="0047567A"/>
    <w:rsid w:val="00490BF2"/>
    <w:rsid w:val="004A17CE"/>
    <w:rsid w:val="004C3C56"/>
    <w:rsid w:val="005335C9"/>
    <w:rsid w:val="005521F6"/>
    <w:rsid w:val="00574ABE"/>
    <w:rsid w:val="00574DAF"/>
    <w:rsid w:val="00594EA3"/>
    <w:rsid w:val="005C6178"/>
    <w:rsid w:val="005E18B9"/>
    <w:rsid w:val="005E4D7A"/>
    <w:rsid w:val="005E657E"/>
    <w:rsid w:val="006C720F"/>
    <w:rsid w:val="006D7B79"/>
    <w:rsid w:val="00715600"/>
    <w:rsid w:val="00716097"/>
    <w:rsid w:val="00721831"/>
    <w:rsid w:val="00751E45"/>
    <w:rsid w:val="00782C8F"/>
    <w:rsid w:val="007D5BA2"/>
    <w:rsid w:val="007E2AAE"/>
    <w:rsid w:val="0081425C"/>
    <w:rsid w:val="0082250D"/>
    <w:rsid w:val="00857EFF"/>
    <w:rsid w:val="008B0655"/>
    <w:rsid w:val="00900DCC"/>
    <w:rsid w:val="0093613B"/>
    <w:rsid w:val="0098633A"/>
    <w:rsid w:val="009D1B79"/>
    <w:rsid w:val="009E0B38"/>
    <w:rsid w:val="009F785E"/>
    <w:rsid w:val="00A13C48"/>
    <w:rsid w:val="00A45F42"/>
    <w:rsid w:val="00A5620C"/>
    <w:rsid w:val="00AD7A74"/>
    <w:rsid w:val="00AE5EEB"/>
    <w:rsid w:val="00B1129B"/>
    <w:rsid w:val="00B11BA0"/>
    <w:rsid w:val="00B164A2"/>
    <w:rsid w:val="00B34999"/>
    <w:rsid w:val="00B369D5"/>
    <w:rsid w:val="00B75F88"/>
    <w:rsid w:val="00BA4B81"/>
    <w:rsid w:val="00BB716F"/>
    <w:rsid w:val="00BE6DE8"/>
    <w:rsid w:val="00BF1D1E"/>
    <w:rsid w:val="00C052A6"/>
    <w:rsid w:val="00C22442"/>
    <w:rsid w:val="00C417EE"/>
    <w:rsid w:val="00C423CE"/>
    <w:rsid w:val="00C654BE"/>
    <w:rsid w:val="00C6729E"/>
    <w:rsid w:val="00C71F76"/>
    <w:rsid w:val="00CB679B"/>
    <w:rsid w:val="00CE7838"/>
    <w:rsid w:val="00D229E6"/>
    <w:rsid w:val="00D472AA"/>
    <w:rsid w:val="00D82DE2"/>
    <w:rsid w:val="00E05798"/>
    <w:rsid w:val="00E60D10"/>
    <w:rsid w:val="00E82206"/>
    <w:rsid w:val="00E93061"/>
    <w:rsid w:val="00EB4685"/>
    <w:rsid w:val="00F157B3"/>
    <w:rsid w:val="00F33088"/>
    <w:rsid w:val="00F41EB5"/>
    <w:rsid w:val="00FB1C5A"/>
    <w:rsid w:val="00FB2361"/>
    <w:rsid w:val="00FD1CF4"/>
    <w:rsid w:val="00FF16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82E04"/>
  <w15:chartTrackingRefBased/>
  <w15:docId w15:val="{D9775754-EA6E-DA41-8212-A4D11AFA0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B0655"/>
    <w:pPr>
      <w:widowControl w:val="0"/>
      <w:spacing w:line="360" w:lineRule="auto"/>
      <w:jc w:val="both"/>
    </w:pPr>
    <w:rPr>
      <w:rFonts w:ascii="Times New Roman" w:eastAsia="宋体" w:hAnsi="Times New Roman"/>
    </w:rPr>
  </w:style>
  <w:style w:type="paragraph" w:styleId="1">
    <w:name w:val="heading 1"/>
    <w:basedOn w:val="a"/>
    <w:next w:val="a"/>
    <w:link w:val="10"/>
    <w:uiPriority w:val="9"/>
    <w:qFormat/>
    <w:rsid w:val="008B0655"/>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8B0655"/>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8B0655"/>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8B0655"/>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8B0655"/>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8B0655"/>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8B0655"/>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8B0655"/>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8B0655"/>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8B0655"/>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8B0655"/>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8B0655"/>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8B0655"/>
    <w:rPr>
      <w:rFonts w:cstheme="majorBidi"/>
      <w:color w:val="0F4761" w:themeColor="accent1" w:themeShade="BF"/>
      <w:sz w:val="28"/>
      <w:szCs w:val="28"/>
    </w:rPr>
  </w:style>
  <w:style w:type="character" w:customStyle="1" w:styleId="50">
    <w:name w:val="标题 5 字符"/>
    <w:basedOn w:val="a0"/>
    <w:link w:val="5"/>
    <w:uiPriority w:val="9"/>
    <w:semiHidden/>
    <w:rsid w:val="008B0655"/>
    <w:rPr>
      <w:rFonts w:cstheme="majorBidi"/>
      <w:color w:val="0F4761" w:themeColor="accent1" w:themeShade="BF"/>
      <w:sz w:val="24"/>
    </w:rPr>
  </w:style>
  <w:style w:type="character" w:customStyle="1" w:styleId="60">
    <w:name w:val="标题 6 字符"/>
    <w:basedOn w:val="a0"/>
    <w:link w:val="6"/>
    <w:uiPriority w:val="9"/>
    <w:semiHidden/>
    <w:rsid w:val="008B0655"/>
    <w:rPr>
      <w:rFonts w:cstheme="majorBidi"/>
      <w:b/>
      <w:bCs/>
      <w:color w:val="0F4761" w:themeColor="accent1" w:themeShade="BF"/>
    </w:rPr>
  </w:style>
  <w:style w:type="character" w:customStyle="1" w:styleId="70">
    <w:name w:val="标题 7 字符"/>
    <w:basedOn w:val="a0"/>
    <w:link w:val="7"/>
    <w:uiPriority w:val="9"/>
    <w:semiHidden/>
    <w:rsid w:val="008B0655"/>
    <w:rPr>
      <w:rFonts w:cstheme="majorBidi"/>
      <w:b/>
      <w:bCs/>
      <w:color w:val="595959" w:themeColor="text1" w:themeTint="A6"/>
    </w:rPr>
  </w:style>
  <w:style w:type="character" w:customStyle="1" w:styleId="80">
    <w:name w:val="标题 8 字符"/>
    <w:basedOn w:val="a0"/>
    <w:link w:val="8"/>
    <w:uiPriority w:val="9"/>
    <w:semiHidden/>
    <w:rsid w:val="008B0655"/>
    <w:rPr>
      <w:rFonts w:cstheme="majorBidi"/>
      <w:color w:val="595959" w:themeColor="text1" w:themeTint="A6"/>
    </w:rPr>
  </w:style>
  <w:style w:type="character" w:customStyle="1" w:styleId="90">
    <w:name w:val="标题 9 字符"/>
    <w:basedOn w:val="a0"/>
    <w:link w:val="9"/>
    <w:uiPriority w:val="9"/>
    <w:semiHidden/>
    <w:rsid w:val="008B0655"/>
    <w:rPr>
      <w:rFonts w:eastAsiaTheme="majorEastAsia" w:cstheme="majorBidi"/>
      <w:color w:val="595959" w:themeColor="text1" w:themeTint="A6"/>
    </w:rPr>
  </w:style>
  <w:style w:type="paragraph" w:styleId="a3">
    <w:name w:val="Title"/>
    <w:basedOn w:val="a"/>
    <w:next w:val="a"/>
    <w:link w:val="a4"/>
    <w:uiPriority w:val="10"/>
    <w:qFormat/>
    <w:rsid w:val="008B0655"/>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8B065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8B0655"/>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8B0655"/>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8B0655"/>
    <w:pPr>
      <w:spacing w:before="160"/>
      <w:jc w:val="center"/>
    </w:pPr>
    <w:rPr>
      <w:i/>
      <w:iCs/>
      <w:color w:val="404040" w:themeColor="text1" w:themeTint="BF"/>
    </w:rPr>
  </w:style>
  <w:style w:type="character" w:customStyle="1" w:styleId="a8">
    <w:name w:val="引用 字符"/>
    <w:basedOn w:val="a0"/>
    <w:link w:val="a7"/>
    <w:uiPriority w:val="29"/>
    <w:rsid w:val="008B0655"/>
    <w:rPr>
      <w:i/>
      <w:iCs/>
      <w:color w:val="404040" w:themeColor="text1" w:themeTint="BF"/>
    </w:rPr>
  </w:style>
  <w:style w:type="paragraph" w:styleId="a9">
    <w:name w:val="List Paragraph"/>
    <w:basedOn w:val="a"/>
    <w:uiPriority w:val="34"/>
    <w:qFormat/>
    <w:rsid w:val="008B0655"/>
    <w:pPr>
      <w:ind w:left="720"/>
      <w:contextualSpacing/>
    </w:pPr>
  </w:style>
  <w:style w:type="character" w:styleId="aa">
    <w:name w:val="Intense Emphasis"/>
    <w:basedOn w:val="a0"/>
    <w:uiPriority w:val="21"/>
    <w:qFormat/>
    <w:rsid w:val="008B0655"/>
    <w:rPr>
      <w:i/>
      <w:iCs/>
      <w:color w:val="0F4761" w:themeColor="accent1" w:themeShade="BF"/>
    </w:rPr>
  </w:style>
  <w:style w:type="paragraph" w:styleId="ab">
    <w:name w:val="Intense Quote"/>
    <w:basedOn w:val="a"/>
    <w:next w:val="a"/>
    <w:link w:val="ac"/>
    <w:uiPriority w:val="30"/>
    <w:qFormat/>
    <w:rsid w:val="008B06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8B0655"/>
    <w:rPr>
      <w:i/>
      <w:iCs/>
      <w:color w:val="0F4761" w:themeColor="accent1" w:themeShade="BF"/>
    </w:rPr>
  </w:style>
  <w:style w:type="character" w:styleId="ad">
    <w:name w:val="Intense Reference"/>
    <w:basedOn w:val="a0"/>
    <w:uiPriority w:val="32"/>
    <w:qFormat/>
    <w:rsid w:val="008B0655"/>
    <w:rPr>
      <w:b/>
      <w:bCs/>
      <w:smallCaps/>
      <w:color w:val="0F4761" w:themeColor="accent1" w:themeShade="BF"/>
      <w:spacing w:val="5"/>
    </w:rPr>
  </w:style>
  <w:style w:type="paragraph" w:customStyle="1" w:styleId="p1">
    <w:name w:val="p1"/>
    <w:basedOn w:val="a"/>
    <w:rsid w:val="00782C8F"/>
    <w:pPr>
      <w:widowControl/>
      <w:spacing w:after="0" w:line="240" w:lineRule="auto"/>
      <w:jc w:val="left"/>
    </w:pPr>
    <w:rPr>
      <w:rFonts w:ascii="Helvetica" w:hAnsi="Helvetica" w:cs="宋体"/>
      <w:color w:val="000000"/>
      <w:kern w:val="0"/>
      <w:sz w:val="15"/>
      <w:szCs w:val="15"/>
      <w14:ligatures w14:val="none"/>
    </w:rPr>
  </w:style>
  <w:style w:type="paragraph" w:customStyle="1" w:styleId="p2">
    <w:name w:val="p2"/>
    <w:basedOn w:val="a"/>
    <w:rsid w:val="00782C8F"/>
    <w:pPr>
      <w:widowControl/>
      <w:spacing w:after="0" w:line="240" w:lineRule="auto"/>
      <w:jc w:val="left"/>
    </w:pPr>
    <w:rPr>
      <w:rFonts w:ascii="Helvetica" w:hAnsi="Helvetica" w:cs="宋体"/>
      <w:color w:val="000000"/>
      <w:kern w:val="0"/>
      <w:sz w:val="14"/>
      <w:szCs w:val="14"/>
      <w14:ligatures w14:val="none"/>
    </w:rPr>
  </w:style>
  <w:style w:type="character" w:customStyle="1" w:styleId="s1">
    <w:name w:val="s1"/>
    <w:basedOn w:val="a0"/>
    <w:rsid w:val="00782C8F"/>
    <w:rPr>
      <w:rFonts w:ascii="Helvetica" w:hAnsi="Helvetica" w:hint="default"/>
      <w:sz w:val="13"/>
      <w:szCs w:val="13"/>
    </w:rPr>
  </w:style>
  <w:style w:type="character" w:customStyle="1" w:styleId="s2">
    <w:name w:val="s2"/>
    <w:basedOn w:val="a0"/>
    <w:rsid w:val="00782C8F"/>
    <w:rPr>
      <w:rFonts w:ascii="Helvetica" w:hAnsi="Helvetica" w:hint="default"/>
      <w:sz w:val="14"/>
      <w:szCs w:val="14"/>
    </w:rPr>
  </w:style>
  <w:style w:type="character" w:customStyle="1" w:styleId="s3">
    <w:name w:val="s3"/>
    <w:basedOn w:val="a0"/>
    <w:rsid w:val="00782C8F"/>
    <w:rPr>
      <w:rFonts w:ascii="Helvetica" w:hAnsi="Helvetica" w:hint="default"/>
      <w:sz w:val="13"/>
      <w:szCs w:val="13"/>
    </w:rPr>
  </w:style>
  <w:style w:type="character" w:customStyle="1" w:styleId="s4">
    <w:name w:val="s4"/>
    <w:basedOn w:val="a0"/>
    <w:rsid w:val="00782C8F"/>
    <w:rPr>
      <w:rFonts w:ascii="Helvetica" w:hAnsi="Helvetica" w:hint="default"/>
      <w:sz w:val="16"/>
      <w:szCs w:val="16"/>
    </w:rPr>
  </w:style>
  <w:style w:type="character" w:customStyle="1" w:styleId="s5">
    <w:name w:val="s5"/>
    <w:basedOn w:val="a0"/>
    <w:rsid w:val="00782C8F"/>
    <w:rPr>
      <w:rFonts w:ascii="Helvetica" w:hAnsi="Helvetica" w:hint="default"/>
      <w:sz w:val="14"/>
      <w:szCs w:val="14"/>
    </w:rPr>
  </w:style>
  <w:style w:type="character" w:customStyle="1" w:styleId="s6">
    <w:name w:val="s6"/>
    <w:basedOn w:val="a0"/>
    <w:rsid w:val="00782C8F"/>
    <w:rPr>
      <w:rFonts w:ascii="Helvetica" w:hAnsi="Helvetica" w:hint="default"/>
      <w:sz w:val="14"/>
      <w:szCs w:val="14"/>
    </w:rPr>
  </w:style>
  <w:style w:type="character" w:customStyle="1" w:styleId="s7">
    <w:name w:val="s7"/>
    <w:basedOn w:val="a0"/>
    <w:rsid w:val="00782C8F"/>
    <w:rPr>
      <w:rFonts w:ascii="Helvetica" w:hAnsi="Helvetica" w:hint="default"/>
      <w:sz w:val="15"/>
      <w:szCs w:val="15"/>
    </w:rPr>
  </w:style>
  <w:style w:type="character" w:customStyle="1" w:styleId="s8">
    <w:name w:val="s8"/>
    <w:basedOn w:val="a0"/>
    <w:rsid w:val="00782C8F"/>
    <w:rPr>
      <w:rFonts w:ascii="Helvetica" w:hAnsi="Helvetica" w:hint="default"/>
      <w:sz w:val="15"/>
      <w:szCs w:val="15"/>
    </w:rPr>
  </w:style>
  <w:style w:type="character" w:customStyle="1" w:styleId="s9">
    <w:name w:val="s9"/>
    <w:basedOn w:val="a0"/>
    <w:rsid w:val="00782C8F"/>
    <w:rPr>
      <w:rFonts w:ascii="Helvetica" w:hAnsi="Helvetica" w:hint="default"/>
      <w:sz w:val="14"/>
      <w:szCs w:val="14"/>
    </w:rPr>
  </w:style>
  <w:style w:type="character" w:customStyle="1" w:styleId="s10">
    <w:name w:val="s10"/>
    <w:basedOn w:val="a0"/>
    <w:rsid w:val="00782C8F"/>
    <w:rPr>
      <w:rFonts w:ascii="Helvetica" w:hAnsi="Helvetica" w:hint="default"/>
      <w:sz w:val="15"/>
      <w:szCs w:val="15"/>
    </w:rPr>
  </w:style>
  <w:style w:type="character" w:customStyle="1" w:styleId="s11">
    <w:name w:val="s11"/>
    <w:basedOn w:val="a0"/>
    <w:rsid w:val="00782C8F"/>
    <w:rPr>
      <w:rFonts w:ascii="Helvetica" w:hAnsi="Helvetica" w:hint="default"/>
      <w:sz w:val="15"/>
      <w:szCs w:val="15"/>
    </w:rPr>
  </w:style>
  <w:style w:type="character" w:customStyle="1" w:styleId="s12">
    <w:name w:val="s12"/>
    <w:basedOn w:val="a0"/>
    <w:rsid w:val="00782C8F"/>
    <w:rPr>
      <w:rFonts w:ascii="Helvetica" w:hAnsi="Helvetica" w:hint="default"/>
      <w:sz w:val="15"/>
      <w:szCs w:val="15"/>
    </w:rPr>
  </w:style>
  <w:style w:type="character" w:customStyle="1" w:styleId="s13">
    <w:name w:val="s13"/>
    <w:basedOn w:val="a0"/>
    <w:rsid w:val="00782C8F"/>
    <w:rPr>
      <w:rFonts w:ascii="Helvetica" w:hAnsi="Helvetica" w:hint="default"/>
      <w:sz w:val="14"/>
      <w:szCs w:val="14"/>
    </w:rPr>
  </w:style>
  <w:style w:type="paragraph" w:styleId="ae">
    <w:name w:val="Normal (Web)"/>
    <w:basedOn w:val="a"/>
    <w:uiPriority w:val="99"/>
    <w:unhideWhenUsed/>
    <w:rsid w:val="00C052A6"/>
    <w:pPr>
      <w:widowControl/>
      <w:spacing w:before="100" w:beforeAutospacing="1" w:after="100" w:afterAutospacing="1" w:line="240" w:lineRule="auto"/>
      <w:jc w:val="left"/>
    </w:pPr>
    <w:rPr>
      <w:rFonts w:ascii="宋体" w:hAnsi="宋体" w:cs="宋体"/>
      <w:kern w:val="0"/>
      <w:sz w:val="24"/>
      <w14:ligatures w14:val="none"/>
    </w:rPr>
  </w:style>
  <w:style w:type="character" w:styleId="af">
    <w:name w:val="Hyperlink"/>
    <w:basedOn w:val="a0"/>
    <w:uiPriority w:val="99"/>
    <w:unhideWhenUsed/>
    <w:rsid w:val="00B34999"/>
    <w:rPr>
      <w:color w:val="467886" w:themeColor="hyperlink"/>
      <w:u w:val="single"/>
    </w:rPr>
  </w:style>
  <w:style w:type="character" w:styleId="af0">
    <w:name w:val="Unresolved Mention"/>
    <w:basedOn w:val="a0"/>
    <w:uiPriority w:val="99"/>
    <w:semiHidden/>
    <w:unhideWhenUsed/>
    <w:rsid w:val="00B34999"/>
    <w:rPr>
      <w:color w:val="605E5C"/>
      <w:shd w:val="clear" w:color="auto" w:fill="E1DFDD"/>
    </w:rPr>
  </w:style>
  <w:style w:type="character" w:styleId="af1">
    <w:name w:val="FollowedHyperlink"/>
    <w:basedOn w:val="a0"/>
    <w:uiPriority w:val="99"/>
    <w:semiHidden/>
    <w:unhideWhenUsed/>
    <w:rsid w:val="00B3499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1211651">
      <w:bodyDiv w:val="1"/>
      <w:marLeft w:val="0"/>
      <w:marRight w:val="0"/>
      <w:marTop w:val="0"/>
      <w:marBottom w:val="0"/>
      <w:divBdr>
        <w:top w:val="none" w:sz="0" w:space="0" w:color="auto"/>
        <w:left w:val="none" w:sz="0" w:space="0" w:color="auto"/>
        <w:bottom w:val="none" w:sz="0" w:space="0" w:color="auto"/>
        <w:right w:val="none" w:sz="0" w:space="0" w:color="auto"/>
      </w:divBdr>
    </w:div>
    <w:div w:id="627009210">
      <w:bodyDiv w:val="1"/>
      <w:marLeft w:val="0"/>
      <w:marRight w:val="0"/>
      <w:marTop w:val="0"/>
      <w:marBottom w:val="0"/>
      <w:divBdr>
        <w:top w:val="none" w:sz="0" w:space="0" w:color="auto"/>
        <w:left w:val="none" w:sz="0" w:space="0" w:color="auto"/>
        <w:bottom w:val="none" w:sz="0" w:space="0" w:color="auto"/>
        <w:right w:val="none" w:sz="0" w:space="0" w:color="auto"/>
      </w:divBdr>
    </w:div>
    <w:div w:id="1249579759">
      <w:bodyDiv w:val="1"/>
      <w:marLeft w:val="0"/>
      <w:marRight w:val="0"/>
      <w:marTop w:val="0"/>
      <w:marBottom w:val="0"/>
      <w:divBdr>
        <w:top w:val="none" w:sz="0" w:space="0" w:color="auto"/>
        <w:left w:val="none" w:sz="0" w:space="0" w:color="auto"/>
        <w:bottom w:val="none" w:sz="0" w:space="0" w:color="auto"/>
        <w:right w:val="none" w:sz="0" w:space="0" w:color="auto"/>
      </w:divBdr>
    </w:div>
    <w:div w:id="1399480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16/j.cognition.2020.104575" TargetMode="External"/><Relationship Id="rId5" Type="http://schemas.openxmlformats.org/officeDocument/2006/relationships/hyperlink" Target="https://doi.org/10.3390/languages3020008" TargetMode="Externa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263</TotalTime>
  <Pages>11</Pages>
  <Words>3052</Words>
  <Characters>17403</Characters>
  <Application>Microsoft Office Word</Application>
  <DocSecurity>0</DocSecurity>
  <Lines>145</Lines>
  <Paragraphs>40</Paragraphs>
  <ScaleCrop>false</ScaleCrop>
  <Company/>
  <LinksUpToDate>false</LinksUpToDate>
  <CharactersWithSpaces>20415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c4507</dc:creator>
  <cp:keywords/>
  <dc:description/>
  <cp:lastModifiedBy>Puyang Sun (2405847)</cp:lastModifiedBy>
  <cp:revision>97</cp:revision>
  <dcterms:created xsi:type="dcterms:W3CDTF">2025-03-22T13:15:00Z</dcterms:created>
  <dcterms:modified xsi:type="dcterms:W3CDTF">2025-03-27T12:00:00Z</dcterms:modified>
</cp:coreProperties>
</file>