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80F7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076F9C1" wp14:editId="5F582D2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51BCD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C77D56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076F9C1"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51BCD2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C77D56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4C98C1C" wp14:editId="5310DE9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F1B85A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DE39E0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4C98C1C"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F1B85A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DE39E0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F675BDE"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9375D0E" wp14:editId="6BF9D00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10857A0" w14:textId="77777777" w:rsidR="00530E16" w:rsidRDefault="004468F8">
                            <w:pPr>
                              <w:spacing w:after="0" w:line="240" w:lineRule="auto"/>
                              <w:textDirection w:val="btLr"/>
                            </w:pPr>
                            <w:r>
                              <w:rPr>
                                <w:rFonts w:ascii="Play" w:eastAsia="Play" w:hAnsi="Play" w:cs="Play"/>
                                <w:color w:val="262626"/>
                                <w:sz w:val="72"/>
                              </w:rPr>
                              <w:t>Individual Report</w:t>
                            </w:r>
                          </w:p>
                          <w:p w14:paraId="781668BE" w14:textId="77777777" w:rsidR="00530E16" w:rsidRDefault="004468F8">
                            <w:pPr>
                              <w:spacing w:before="120" w:line="277" w:lineRule="auto"/>
                              <w:textDirection w:val="btLr"/>
                            </w:pPr>
                            <w:r>
                              <w:rPr>
                                <w:color w:val="404040"/>
                                <w:sz w:val="36"/>
                              </w:rPr>
                              <w:t>Module Name: Digital Skills and Research Methods</w:t>
                            </w:r>
                          </w:p>
                          <w:p w14:paraId="0EBD3624" w14:textId="77777777" w:rsidR="00530E16" w:rsidRDefault="004468F8">
                            <w:pPr>
                              <w:spacing w:before="120" w:line="277" w:lineRule="auto"/>
                              <w:textDirection w:val="btLr"/>
                            </w:pPr>
                            <w:r>
                              <w:rPr>
                                <w:color w:val="404040"/>
                                <w:sz w:val="36"/>
                              </w:rPr>
                              <w:t>Module Code: LCHS 4007</w:t>
                            </w:r>
                          </w:p>
                          <w:p w14:paraId="0BD2B2F6" w14:textId="6D06F5E4" w:rsidR="00530E16" w:rsidRDefault="004468F8">
                            <w:pPr>
                              <w:spacing w:before="120" w:line="277" w:lineRule="auto"/>
                              <w:textDirection w:val="btLr"/>
                            </w:pPr>
                            <w:r>
                              <w:rPr>
                                <w:color w:val="404040"/>
                                <w:sz w:val="36"/>
                              </w:rPr>
                              <w:t xml:space="preserve">Student name: </w:t>
                            </w:r>
                            <w:r w:rsidR="008867B0">
                              <w:rPr>
                                <w:color w:val="404040"/>
                                <w:sz w:val="36"/>
                              </w:rPr>
                              <w:t>Ejiroghene Barbara Onyeme Campbell</w:t>
                            </w:r>
                          </w:p>
                          <w:p w14:paraId="2D283D78" w14:textId="261F5D8F" w:rsidR="00530E16" w:rsidRDefault="004468F8">
                            <w:pPr>
                              <w:spacing w:before="120" w:line="277" w:lineRule="auto"/>
                              <w:textDirection w:val="btLr"/>
                            </w:pPr>
                            <w:r>
                              <w:rPr>
                                <w:color w:val="404040"/>
                                <w:sz w:val="36"/>
                              </w:rPr>
                              <w:t>Student ID:</w:t>
                            </w:r>
                            <w:r w:rsidR="008867B0">
                              <w:rPr>
                                <w:color w:val="404040"/>
                                <w:sz w:val="36"/>
                              </w:rPr>
                              <w:t xml:space="preserve"> 20516659</w:t>
                            </w:r>
                          </w:p>
                          <w:p w14:paraId="7BCADD9C" w14:textId="2ECF0AB7" w:rsidR="00530E16" w:rsidRDefault="004468F8">
                            <w:pPr>
                              <w:spacing w:before="120" w:line="277" w:lineRule="auto"/>
                              <w:textDirection w:val="btLr"/>
                            </w:pPr>
                            <w:r>
                              <w:rPr>
                                <w:color w:val="404040"/>
                                <w:sz w:val="36"/>
                              </w:rPr>
                              <w:t xml:space="preserve">Lecturer’s Name: </w:t>
                            </w:r>
                            <w:r w:rsidR="008867B0">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49375D0E"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10857A0" w14:textId="77777777" w:rsidR="00530E16" w:rsidRDefault="004468F8">
                      <w:pPr>
                        <w:spacing w:after="0" w:line="240" w:lineRule="auto"/>
                        <w:textDirection w:val="btLr"/>
                      </w:pPr>
                      <w:r>
                        <w:rPr>
                          <w:rFonts w:ascii="Play" w:eastAsia="Play" w:hAnsi="Play" w:cs="Play"/>
                          <w:color w:val="262626"/>
                          <w:sz w:val="72"/>
                        </w:rPr>
                        <w:t>Individual Report</w:t>
                      </w:r>
                    </w:p>
                    <w:p w14:paraId="781668BE" w14:textId="77777777" w:rsidR="00530E16" w:rsidRDefault="004468F8">
                      <w:pPr>
                        <w:spacing w:before="120" w:line="277" w:lineRule="auto"/>
                        <w:textDirection w:val="btLr"/>
                      </w:pPr>
                      <w:r>
                        <w:rPr>
                          <w:color w:val="404040"/>
                          <w:sz w:val="36"/>
                        </w:rPr>
                        <w:t>Module Name: Digital Skills and Research Methods</w:t>
                      </w:r>
                    </w:p>
                    <w:p w14:paraId="0EBD3624" w14:textId="77777777" w:rsidR="00530E16" w:rsidRDefault="004468F8">
                      <w:pPr>
                        <w:spacing w:before="120" w:line="277" w:lineRule="auto"/>
                        <w:textDirection w:val="btLr"/>
                      </w:pPr>
                      <w:r>
                        <w:rPr>
                          <w:color w:val="404040"/>
                          <w:sz w:val="36"/>
                        </w:rPr>
                        <w:t>Module Code: LCHS 4007</w:t>
                      </w:r>
                    </w:p>
                    <w:p w14:paraId="0BD2B2F6" w14:textId="6D06F5E4" w:rsidR="00530E16" w:rsidRDefault="004468F8">
                      <w:pPr>
                        <w:spacing w:before="120" w:line="277" w:lineRule="auto"/>
                        <w:textDirection w:val="btLr"/>
                      </w:pPr>
                      <w:r>
                        <w:rPr>
                          <w:color w:val="404040"/>
                          <w:sz w:val="36"/>
                        </w:rPr>
                        <w:t xml:space="preserve">Student name: </w:t>
                      </w:r>
                      <w:r w:rsidR="008867B0">
                        <w:rPr>
                          <w:color w:val="404040"/>
                          <w:sz w:val="36"/>
                        </w:rPr>
                        <w:t>Ejiroghene Barbara Onyeme Campbell</w:t>
                      </w:r>
                    </w:p>
                    <w:p w14:paraId="2D283D78" w14:textId="261F5D8F" w:rsidR="00530E16" w:rsidRDefault="004468F8">
                      <w:pPr>
                        <w:spacing w:before="120" w:line="277" w:lineRule="auto"/>
                        <w:textDirection w:val="btLr"/>
                      </w:pPr>
                      <w:r>
                        <w:rPr>
                          <w:color w:val="404040"/>
                          <w:sz w:val="36"/>
                        </w:rPr>
                        <w:t>Student ID:</w:t>
                      </w:r>
                      <w:r w:rsidR="008867B0">
                        <w:rPr>
                          <w:color w:val="404040"/>
                          <w:sz w:val="36"/>
                        </w:rPr>
                        <w:t xml:space="preserve"> 20516659</w:t>
                      </w:r>
                    </w:p>
                    <w:p w14:paraId="7BCADD9C" w14:textId="2ECF0AB7" w:rsidR="00530E16" w:rsidRDefault="004468F8">
                      <w:pPr>
                        <w:spacing w:before="120" w:line="277" w:lineRule="auto"/>
                        <w:textDirection w:val="btLr"/>
                      </w:pPr>
                      <w:r>
                        <w:rPr>
                          <w:color w:val="404040"/>
                          <w:sz w:val="36"/>
                        </w:rPr>
                        <w:t xml:space="preserve">Lecturer’s Name: </w:t>
                      </w:r>
                      <w:r w:rsidR="008867B0">
                        <w:rPr>
                          <w:color w:val="404040"/>
                          <w:sz w:val="36"/>
                        </w:rPr>
                        <w:t>Dr Kwame Assa-Agyei</w:t>
                      </w:r>
                    </w:p>
                  </w:txbxContent>
                </v:textbox>
                <w10:wrap anchorx="page" anchory="page"/>
              </v:rect>
            </w:pict>
          </mc:Fallback>
        </mc:AlternateContent>
      </w:r>
      <w:r>
        <w:br w:type="page"/>
      </w:r>
    </w:p>
    <w:p w14:paraId="4B3C4098" w14:textId="77777777" w:rsidR="00530E16" w:rsidRDefault="00530E16">
      <w:pPr>
        <w:rPr>
          <w:rFonts w:ascii="Arial" w:eastAsia="Arial" w:hAnsi="Arial" w:cs="Arial"/>
        </w:rPr>
      </w:pPr>
    </w:p>
    <w:p w14:paraId="6186E51A" w14:textId="77777777" w:rsidR="00530E16" w:rsidRPr="00BB3C30" w:rsidRDefault="004468F8">
      <w:pPr>
        <w:keepNext/>
        <w:keepLines/>
        <w:pBdr>
          <w:top w:val="nil"/>
          <w:left w:val="nil"/>
          <w:bottom w:val="nil"/>
          <w:right w:val="nil"/>
          <w:between w:val="nil"/>
        </w:pBdr>
        <w:spacing w:before="240" w:after="0" w:line="259" w:lineRule="auto"/>
        <w:rPr>
          <w:rFonts w:asciiTheme="minorHAnsi" w:eastAsia="Play" w:hAnsiTheme="minorHAnsi" w:cs="Play"/>
          <w:color w:val="0F4761"/>
          <w:sz w:val="36"/>
          <w:szCs w:val="36"/>
        </w:rPr>
      </w:pPr>
      <w:r w:rsidRPr="00BB3C30">
        <w:rPr>
          <w:rFonts w:asciiTheme="minorHAnsi" w:eastAsia="Play" w:hAnsiTheme="minorHAnsi" w:cs="Play"/>
          <w:color w:val="0F4761"/>
          <w:sz w:val="36"/>
          <w:szCs w:val="36"/>
        </w:rPr>
        <w:t>Table of Contents</w:t>
      </w:r>
    </w:p>
    <w:sdt>
      <w:sdtPr>
        <w:rPr>
          <w:rFonts w:asciiTheme="minorHAnsi" w:hAnsiTheme="minorHAnsi"/>
          <w:sz w:val="28"/>
          <w:szCs w:val="28"/>
        </w:rPr>
        <w:id w:val="-2066176513"/>
        <w:docPartObj>
          <w:docPartGallery w:val="Table of Contents"/>
          <w:docPartUnique/>
        </w:docPartObj>
      </w:sdtPr>
      <w:sdtEndPr/>
      <w:sdtContent>
        <w:p w14:paraId="0F100724" w14:textId="2BC1E4ED" w:rsidR="00DB181C" w:rsidRPr="00BB3C30" w:rsidRDefault="004468F8">
          <w:pPr>
            <w:pStyle w:val="TOC1"/>
            <w:tabs>
              <w:tab w:val="right" w:leader="dot" w:pos="9016"/>
            </w:tabs>
            <w:rPr>
              <w:rFonts w:asciiTheme="minorHAnsi" w:eastAsiaTheme="minorEastAsia" w:hAnsiTheme="minorHAnsi" w:cstheme="minorBidi"/>
              <w:noProof/>
              <w:sz w:val="28"/>
              <w:szCs w:val="28"/>
            </w:rPr>
          </w:pPr>
          <w:r w:rsidRPr="00BB3C30">
            <w:rPr>
              <w:rFonts w:asciiTheme="minorHAnsi" w:hAnsiTheme="minorHAnsi"/>
              <w:sz w:val="28"/>
              <w:szCs w:val="28"/>
            </w:rPr>
            <w:fldChar w:fldCharType="begin"/>
          </w:r>
          <w:r w:rsidRPr="00BB3C30">
            <w:rPr>
              <w:rFonts w:asciiTheme="minorHAnsi" w:hAnsiTheme="minorHAnsi"/>
              <w:sz w:val="28"/>
              <w:szCs w:val="28"/>
            </w:rPr>
            <w:instrText xml:space="preserve"> TOC \h \u \z \t "Heading 1,1,Heading 2,2,Heading 3,3,"</w:instrText>
          </w:r>
          <w:r w:rsidRPr="00BB3C30">
            <w:rPr>
              <w:rFonts w:asciiTheme="minorHAnsi" w:hAnsiTheme="minorHAnsi"/>
              <w:sz w:val="28"/>
              <w:szCs w:val="28"/>
            </w:rPr>
            <w:fldChar w:fldCharType="separate"/>
          </w:r>
          <w:hyperlink w:anchor="_Toc213674530" w:history="1">
            <w:r w:rsidR="00DB181C" w:rsidRPr="00BB3C30">
              <w:rPr>
                <w:rStyle w:val="Hyperlink"/>
                <w:rFonts w:asciiTheme="minorHAnsi" w:hAnsiTheme="minorHAnsi"/>
                <w:noProof/>
                <w:sz w:val="28"/>
                <w:szCs w:val="28"/>
              </w:rPr>
              <w:t xml:space="preserve">Research Topic: </w:t>
            </w:r>
            <w:r w:rsidR="00371225">
              <w:rPr>
                <w:rStyle w:val="Hyperlink"/>
                <w:rFonts w:asciiTheme="minorHAnsi" w:hAnsiTheme="minorHAnsi"/>
                <w:noProof/>
                <w:sz w:val="28"/>
                <w:szCs w:val="28"/>
              </w:rPr>
              <w:t xml:space="preserve">Staff Shortage and Burnout in Health and social care </w:t>
            </w:r>
            <w:r w:rsidR="00DB181C" w:rsidRPr="00BB3C30">
              <w:rPr>
                <w:rFonts w:asciiTheme="minorHAnsi" w:hAnsiTheme="minorHAnsi"/>
                <w:noProof/>
                <w:webHidden/>
                <w:sz w:val="28"/>
                <w:szCs w:val="28"/>
              </w:rPr>
              <w:tab/>
            </w:r>
            <w:r w:rsidR="00DB181C" w:rsidRPr="00BB3C30">
              <w:rPr>
                <w:rFonts w:asciiTheme="minorHAnsi" w:hAnsiTheme="minorHAnsi"/>
                <w:noProof/>
                <w:webHidden/>
                <w:sz w:val="28"/>
                <w:szCs w:val="28"/>
              </w:rPr>
              <w:fldChar w:fldCharType="begin"/>
            </w:r>
            <w:r w:rsidR="00DB181C" w:rsidRPr="00BB3C30">
              <w:rPr>
                <w:rFonts w:asciiTheme="minorHAnsi" w:hAnsiTheme="minorHAnsi"/>
                <w:noProof/>
                <w:webHidden/>
                <w:sz w:val="28"/>
                <w:szCs w:val="28"/>
              </w:rPr>
              <w:instrText xml:space="preserve"> PAGEREF _Toc213674530 \h </w:instrText>
            </w:r>
            <w:r w:rsidR="00DB181C" w:rsidRPr="00BB3C30">
              <w:rPr>
                <w:rFonts w:asciiTheme="minorHAnsi" w:hAnsiTheme="minorHAnsi"/>
                <w:noProof/>
                <w:webHidden/>
                <w:sz w:val="28"/>
                <w:szCs w:val="28"/>
              </w:rPr>
            </w:r>
            <w:r w:rsidR="00DB181C" w:rsidRPr="00BB3C30">
              <w:rPr>
                <w:rFonts w:asciiTheme="minorHAnsi" w:hAnsiTheme="minorHAnsi"/>
                <w:noProof/>
                <w:webHidden/>
                <w:sz w:val="28"/>
                <w:szCs w:val="28"/>
              </w:rPr>
              <w:fldChar w:fldCharType="separate"/>
            </w:r>
            <w:r w:rsidR="00DB181C" w:rsidRPr="00BB3C30">
              <w:rPr>
                <w:rFonts w:asciiTheme="minorHAnsi" w:hAnsiTheme="minorHAnsi"/>
                <w:noProof/>
                <w:webHidden/>
                <w:sz w:val="28"/>
                <w:szCs w:val="28"/>
              </w:rPr>
              <w:t>2</w:t>
            </w:r>
            <w:r w:rsidR="00DB181C" w:rsidRPr="00BB3C30">
              <w:rPr>
                <w:rFonts w:asciiTheme="minorHAnsi" w:hAnsiTheme="minorHAnsi"/>
                <w:noProof/>
                <w:webHidden/>
                <w:sz w:val="28"/>
                <w:szCs w:val="28"/>
              </w:rPr>
              <w:fldChar w:fldCharType="end"/>
            </w:r>
          </w:hyperlink>
        </w:p>
        <w:p w14:paraId="74EEAABE"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31" w:history="1">
            <w:r w:rsidRPr="00BB3C30">
              <w:rPr>
                <w:rStyle w:val="Hyperlink"/>
                <w:rFonts w:asciiTheme="minorHAnsi" w:hAnsiTheme="minorHAnsi"/>
                <w:noProof/>
                <w:sz w:val="28"/>
                <w:szCs w:val="28"/>
              </w:rPr>
              <w:t>Introduction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_Toc213674531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031943D9"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2" w:history="1">
            <w:r w:rsidRPr="00BB3C30">
              <w:rPr>
                <w:rStyle w:val="Hyperlink"/>
                <w:rFonts w:asciiTheme="minorHAnsi" w:hAnsiTheme="minorHAnsi"/>
                <w:noProof/>
                <w:sz w:val="28"/>
                <w:szCs w:val="28"/>
              </w:rPr>
              <w:t>Problem Statement</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_Toc213674532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7B4C8304"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3" w:history="1">
            <w:r w:rsidRPr="00BB3C30">
              <w:rPr>
                <w:rStyle w:val="Hyperlink"/>
                <w:rFonts w:asciiTheme="minorHAnsi" w:hAnsiTheme="minorHAnsi"/>
                <w:noProof/>
                <w:sz w:val="28"/>
                <w:szCs w:val="28"/>
              </w:rPr>
              <w:t>Justification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_Toc213674533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414B3095"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4" w:history="1">
            <w:r w:rsidRPr="00BB3C30">
              <w:rPr>
                <w:rStyle w:val="Hyperlink"/>
                <w:rFonts w:asciiTheme="minorHAnsi" w:hAnsiTheme="minorHAnsi"/>
                <w:noProof/>
                <w:sz w:val="28"/>
                <w:szCs w:val="28"/>
              </w:rPr>
              <w:t>Information Sources and Justification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_Toc213674534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7C93A5E8"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35" w:history="1">
            <w:r w:rsidRPr="00BB3C30">
              <w:rPr>
                <w:rStyle w:val="Hyperlink"/>
                <w:rFonts w:asciiTheme="minorHAnsi" w:hAnsiTheme="minorHAnsi"/>
                <w:noProof/>
                <w:sz w:val="28"/>
                <w:szCs w:val="28"/>
              </w:rPr>
              <w:t xml:space="preserve">Task 2: </w:t>
            </w:r>
            <w:r w:rsidRPr="00BB3C30">
              <w:rPr>
                <w:rStyle w:val="Hyperlink"/>
                <w:rFonts w:asciiTheme="minorHAnsi" w:hAnsiTheme="minorHAnsi" w:cs="Arial"/>
                <w:bCs/>
                <w:noProof/>
                <w:kern w:val="2"/>
                <w:sz w:val="28"/>
                <w:szCs w:val="28"/>
                <w:lang w:eastAsia="en-US"/>
                <w14:ligatures w14:val="standardContextual"/>
              </w:rPr>
              <w:t>Research Methodologies</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_Toc213674535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4750B70F"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6" w:history="1">
            <w:r w:rsidRPr="00BB3C30">
              <w:rPr>
                <w:rStyle w:val="Hyperlink"/>
                <w:rFonts w:asciiTheme="minorHAnsi" w:hAnsiTheme="minorHAnsi" w:cs="Arial"/>
                <w:noProof/>
                <w:kern w:val="2"/>
                <w:sz w:val="28"/>
                <w:szCs w:val="28"/>
                <w:lang w:eastAsia="en-US"/>
                <w14:ligatures w14:val="standardContextual"/>
              </w:rPr>
              <w:t>Give a brief overview of quantitative and qualitative research.</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_Toc213674536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2</w:t>
            </w:r>
            <w:r w:rsidRPr="00BB3C30">
              <w:rPr>
                <w:rFonts w:asciiTheme="minorHAnsi" w:hAnsiTheme="minorHAnsi"/>
                <w:noProof/>
                <w:webHidden/>
                <w:sz w:val="28"/>
                <w:szCs w:val="28"/>
              </w:rPr>
              <w:fldChar w:fldCharType="end"/>
            </w:r>
          </w:hyperlink>
        </w:p>
        <w:p w14:paraId="7E8B8500"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7" w:history="1">
            <w:r w:rsidRPr="00BB3C30">
              <w:rPr>
                <w:rStyle w:val="Hyperlink"/>
                <w:rFonts w:asciiTheme="minorHAnsi" w:hAnsiTheme="minorHAnsi"/>
                <w:noProof/>
                <w:sz w:val="28"/>
                <w:szCs w:val="28"/>
                <w:lang w:eastAsia="en-US"/>
              </w:rPr>
              <w:t>What type of research methodology will you use for your research and why?</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_Toc213674537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497A46F0"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38" w:history="1">
            <w:r w:rsidRPr="00BB3C30">
              <w:rPr>
                <w:rStyle w:val="Hyperlink"/>
                <w:rFonts w:asciiTheme="minorHAnsi" w:hAnsiTheme="minorHAnsi"/>
                <w:noProof/>
                <w:sz w:val="28"/>
                <w:szCs w:val="28"/>
              </w:rPr>
              <w:t>Task 3: Data Collection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_Toc213674538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73003B6D"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39" w:history="1">
            <w:r w:rsidRPr="00BB3C30">
              <w:rPr>
                <w:rStyle w:val="Hyperlink"/>
                <w:rFonts w:asciiTheme="minorHAnsi" w:hAnsiTheme="minorHAnsi"/>
                <w:noProof/>
                <w:sz w:val="28"/>
                <w:szCs w:val="28"/>
                <w:lang w:eastAsia="en-US"/>
              </w:rPr>
              <w:t>Overview of primary and secondary data collection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_Toc213674539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6AF4C76C" w14:textId="77777777" w:rsidR="00DB181C" w:rsidRPr="00BB3C30" w:rsidRDefault="00DB181C">
          <w:pPr>
            <w:pStyle w:val="TOC2"/>
            <w:tabs>
              <w:tab w:val="right" w:leader="dot" w:pos="9016"/>
            </w:tabs>
            <w:rPr>
              <w:rFonts w:asciiTheme="minorHAnsi" w:eastAsiaTheme="minorEastAsia" w:hAnsiTheme="minorHAnsi" w:cstheme="minorBidi"/>
              <w:noProof/>
              <w:sz w:val="28"/>
              <w:szCs w:val="28"/>
            </w:rPr>
          </w:pPr>
          <w:hyperlink w:anchor="_Toc213674540" w:history="1">
            <w:r w:rsidRPr="00BB3C30">
              <w:rPr>
                <w:rStyle w:val="Hyperlink"/>
                <w:rFonts w:asciiTheme="minorHAnsi" w:hAnsiTheme="minorHAnsi"/>
                <w:noProof/>
                <w:sz w:val="28"/>
                <w:szCs w:val="28"/>
                <w:lang w:eastAsia="en-US"/>
              </w:rPr>
              <w:t>What form of data will be used to address your research problem, and why?</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_Toc213674540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4B9359C4"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41" w:history="1">
            <w:r w:rsidRPr="00BB3C30">
              <w:rPr>
                <w:rStyle w:val="Hyperlink"/>
                <w:rFonts w:asciiTheme="minorHAnsi" w:hAnsiTheme="minorHAnsi"/>
                <w:noProof/>
                <w:sz w:val="28"/>
                <w:szCs w:val="28"/>
              </w:rPr>
              <w:t>Conclusion</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_Toc213674541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6EE7A4D1" w14:textId="77777777" w:rsidR="00DB181C" w:rsidRPr="00BB3C30" w:rsidRDefault="00DB181C">
          <w:pPr>
            <w:pStyle w:val="TOC1"/>
            <w:tabs>
              <w:tab w:val="right" w:leader="dot" w:pos="9016"/>
            </w:tabs>
            <w:rPr>
              <w:rFonts w:asciiTheme="minorHAnsi" w:eastAsiaTheme="minorEastAsia" w:hAnsiTheme="minorHAnsi" w:cstheme="minorBidi"/>
              <w:noProof/>
              <w:sz w:val="28"/>
              <w:szCs w:val="28"/>
            </w:rPr>
          </w:pPr>
          <w:hyperlink w:anchor="_Toc213674542" w:history="1">
            <w:r w:rsidRPr="00BB3C30">
              <w:rPr>
                <w:rStyle w:val="Hyperlink"/>
                <w:rFonts w:asciiTheme="minorHAnsi" w:hAnsiTheme="minorHAnsi"/>
                <w:noProof/>
                <w:sz w:val="28"/>
                <w:szCs w:val="28"/>
              </w:rPr>
              <w:t>References</w:t>
            </w:r>
            <w:r w:rsidRPr="00BB3C30">
              <w:rPr>
                <w:rFonts w:asciiTheme="minorHAnsi" w:hAnsiTheme="minorHAnsi"/>
                <w:noProof/>
                <w:webHidden/>
                <w:sz w:val="28"/>
                <w:szCs w:val="28"/>
              </w:rPr>
              <w:tab/>
            </w:r>
            <w:r w:rsidRPr="00BB3C30">
              <w:rPr>
                <w:rFonts w:asciiTheme="minorHAnsi" w:hAnsiTheme="minorHAnsi"/>
                <w:noProof/>
                <w:webHidden/>
                <w:sz w:val="28"/>
                <w:szCs w:val="28"/>
              </w:rPr>
              <w:fldChar w:fldCharType="begin"/>
            </w:r>
            <w:r w:rsidRPr="00BB3C30">
              <w:rPr>
                <w:rFonts w:asciiTheme="minorHAnsi" w:hAnsiTheme="minorHAnsi"/>
                <w:noProof/>
                <w:webHidden/>
                <w:sz w:val="28"/>
                <w:szCs w:val="28"/>
              </w:rPr>
              <w:instrText xml:space="preserve"> PAGEREF _Toc213674542 \h </w:instrText>
            </w:r>
            <w:r w:rsidRPr="00BB3C30">
              <w:rPr>
                <w:rFonts w:asciiTheme="minorHAnsi" w:hAnsiTheme="minorHAnsi"/>
                <w:noProof/>
                <w:webHidden/>
                <w:sz w:val="28"/>
                <w:szCs w:val="28"/>
              </w:rPr>
            </w:r>
            <w:r w:rsidRPr="00BB3C30">
              <w:rPr>
                <w:rFonts w:asciiTheme="minorHAnsi" w:hAnsiTheme="minorHAnsi"/>
                <w:noProof/>
                <w:webHidden/>
                <w:sz w:val="28"/>
                <w:szCs w:val="28"/>
              </w:rPr>
              <w:fldChar w:fldCharType="separate"/>
            </w:r>
            <w:r w:rsidRPr="00BB3C30">
              <w:rPr>
                <w:rFonts w:asciiTheme="minorHAnsi" w:hAnsiTheme="minorHAnsi"/>
                <w:noProof/>
                <w:webHidden/>
                <w:sz w:val="28"/>
                <w:szCs w:val="28"/>
              </w:rPr>
              <w:t>3</w:t>
            </w:r>
            <w:r w:rsidRPr="00BB3C30">
              <w:rPr>
                <w:rFonts w:asciiTheme="minorHAnsi" w:hAnsiTheme="minorHAnsi"/>
                <w:noProof/>
                <w:webHidden/>
                <w:sz w:val="28"/>
                <w:szCs w:val="28"/>
              </w:rPr>
              <w:fldChar w:fldCharType="end"/>
            </w:r>
          </w:hyperlink>
        </w:p>
        <w:p w14:paraId="47AAE65A" w14:textId="77777777" w:rsidR="00530E16" w:rsidRPr="00BB3C30" w:rsidRDefault="004468F8">
          <w:pPr>
            <w:rPr>
              <w:rFonts w:asciiTheme="minorHAnsi" w:hAnsiTheme="minorHAnsi"/>
              <w:sz w:val="28"/>
              <w:szCs w:val="28"/>
            </w:rPr>
          </w:pPr>
          <w:r w:rsidRPr="00BB3C30">
            <w:rPr>
              <w:rFonts w:asciiTheme="minorHAnsi" w:hAnsiTheme="minorHAnsi"/>
              <w:sz w:val="28"/>
              <w:szCs w:val="28"/>
            </w:rPr>
            <w:fldChar w:fldCharType="end"/>
          </w:r>
        </w:p>
      </w:sdtContent>
    </w:sdt>
    <w:p w14:paraId="0253F16D" w14:textId="77777777" w:rsidR="00530E16" w:rsidRPr="00BB3C30" w:rsidRDefault="00530E16">
      <w:pPr>
        <w:rPr>
          <w:rFonts w:asciiTheme="minorHAnsi" w:eastAsia="Arial" w:hAnsiTheme="minorHAnsi" w:cs="Arial"/>
          <w:sz w:val="28"/>
          <w:szCs w:val="28"/>
        </w:rPr>
      </w:pPr>
    </w:p>
    <w:p w14:paraId="69619732" w14:textId="77777777" w:rsidR="00530E16" w:rsidRDefault="00530E16">
      <w:pPr>
        <w:rPr>
          <w:rFonts w:ascii="Arial" w:eastAsia="Arial" w:hAnsi="Arial" w:cs="Arial"/>
        </w:rPr>
      </w:pPr>
    </w:p>
    <w:p w14:paraId="6C8CB427" w14:textId="77777777" w:rsidR="00530E16" w:rsidRDefault="00530E16">
      <w:pPr>
        <w:rPr>
          <w:rFonts w:ascii="Arial" w:eastAsia="Arial" w:hAnsi="Arial" w:cs="Arial"/>
        </w:rPr>
      </w:pPr>
    </w:p>
    <w:p w14:paraId="6CE82D4F" w14:textId="77777777" w:rsidR="00530E16" w:rsidRDefault="00530E16">
      <w:pPr>
        <w:rPr>
          <w:rFonts w:ascii="Arial" w:eastAsia="Arial" w:hAnsi="Arial" w:cs="Arial"/>
        </w:rPr>
      </w:pPr>
    </w:p>
    <w:p w14:paraId="221F1454" w14:textId="77777777" w:rsidR="00530E16" w:rsidRDefault="00530E16">
      <w:pPr>
        <w:rPr>
          <w:rFonts w:ascii="Arial" w:eastAsia="Arial" w:hAnsi="Arial" w:cs="Arial"/>
        </w:rPr>
      </w:pPr>
    </w:p>
    <w:p w14:paraId="1D5BB242" w14:textId="77777777" w:rsidR="00530E16" w:rsidRDefault="00530E16">
      <w:pPr>
        <w:rPr>
          <w:rFonts w:ascii="Arial" w:eastAsia="Arial" w:hAnsi="Arial" w:cs="Arial"/>
        </w:rPr>
      </w:pPr>
    </w:p>
    <w:p w14:paraId="61D25C5A" w14:textId="77777777" w:rsidR="00530E16" w:rsidRDefault="00530E16">
      <w:pPr>
        <w:rPr>
          <w:rFonts w:ascii="Arial" w:eastAsia="Arial" w:hAnsi="Arial" w:cs="Arial"/>
        </w:rPr>
      </w:pPr>
    </w:p>
    <w:p w14:paraId="5E2DC262" w14:textId="77777777" w:rsidR="00530E16" w:rsidRDefault="00530E16">
      <w:pPr>
        <w:rPr>
          <w:rFonts w:ascii="Arial" w:eastAsia="Arial" w:hAnsi="Arial" w:cs="Arial"/>
        </w:rPr>
      </w:pPr>
    </w:p>
    <w:p w14:paraId="535DD751"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2CAEFBC" w14:textId="687D06CB" w:rsidR="008867B0" w:rsidRPr="00BB3C30" w:rsidRDefault="00F82B52">
      <w:pPr>
        <w:pStyle w:val="Heading1"/>
        <w:rPr>
          <w:rFonts w:asciiTheme="minorHAnsi" w:hAnsiTheme="minorHAnsi"/>
        </w:rPr>
      </w:pPr>
      <w:bookmarkStart w:id="0" w:name="_Toc213674530"/>
      <w:bookmarkStart w:id="1" w:name="_Hlk215821150"/>
      <w:r w:rsidRPr="00BB3C30">
        <w:rPr>
          <w:rFonts w:asciiTheme="minorHAnsi" w:hAnsiTheme="minorHAnsi"/>
        </w:rPr>
        <w:lastRenderedPageBreak/>
        <w:t>Staff Shortage and Burnout</w:t>
      </w:r>
      <w:r w:rsidR="00C94A14" w:rsidRPr="00BB3C30">
        <w:rPr>
          <w:rFonts w:asciiTheme="minorHAnsi" w:hAnsiTheme="minorHAnsi"/>
        </w:rPr>
        <w:t xml:space="preserve"> in health and social care</w:t>
      </w:r>
      <w:bookmarkEnd w:id="1"/>
    </w:p>
    <w:p w14:paraId="51E3109E" w14:textId="77777777" w:rsidR="00530E16" w:rsidRPr="00BB3C30" w:rsidRDefault="00BA0043">
      <w:pPr>
        <w:pStyle w:val="Heading1"/>
        <w:rPr>
          <w:rFonts w:asciiTheme="minorHAnsi" w:hAnsiTheme="minorHAnsi"/>
          <w:sz w:val="32"/>
          <w:szCs w:val="32"/>
        </w:rPr>
      </w:pPr>
      <w:bookmarkStart w:id="2" w:name="_Toc213674531"/>
      <w:bookmarkEnd w:id="0"/>
      <w:r w:rsidRPr="00BB3C30">
        <w:rPr>
          <w:rFonts w:asciiTheme="minorHAnsi" w:hAnsiTheme="minorHAnsi"/>
          <w:sz w:val="32"/>
          <w:szCs w:val="32"/>
        </w:rPr>
        <w:t>Introduction</w:t>
      </w:r>
      <w:bookmarkEnd w:id="2"/>
    </w:p>
    <w:p w14:paraId="695424F4" w14:textId="77777777" w:rsidR="007269FE" w:rsidRDefault="007269FE" w:rsidP="007269F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Health and social care services play a crucial role in safeguarding public health, promoting well-being, and supporting vulnerable populations. In the UK, these sectors are facing significant workforce challenges, particularly in relation to persistent staff shortages and rising levels of burnout. Staff shortages refer to situations where the number of qualified workers is insufficient to meet service demand, while burnout is a work-related stress condition characterised by emotional exhaustion, depersonalisation, and reduced professional capability.</w:t>
      </w:r>
      <w:r>
        <w:rPr>
          <w:rStyle w:val="eop"/>
          <w:rFonts w:ascii="Aptos" w:eastAsiaTheme="majorEastAsia" w:hAnsi="Aptos" w:cs="Segoe UI"/>
        </w:rPr>
        <w:t> </w:t>
      </w:r>
    </w:p>
    <w:p w14:paraId="5C1A909C" w14:textId="77777777" w:rsidR="007269FE" w:rsidRDefault="007269FE" w:rsidP="007269FE">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22AA710" w14:textId="5D3F3D57" w:rsidR="007269FE" w:rsidRDefault="007269FE" w:rsidP="007269F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xml:space="preserve">These challenges are closely linked. When staffing levels fall, existing workers experience heavier workloads and increased pressure, raising the risk of burnout. In turn, burnout contributes to higher turnover rates, which further intensifies staffing shortages. This research aims to </w:t>
      </w:r>
      <w:r w:rsidR="00D41BD2">
        <w:rPr>
          <w:rStyle w:val="normaltextrun"/>
          <w:rFonts w:ascii="Aptos" w:eastAsiaTheme="majorEastAsia" w:hAnsi="Aptos" w:cs="Segoe UI"/>
        </w:rPr>
        <w:t>examine</w:t>
      </w:r>
      <w:r>
        <w:rPr>
          <w:rStyle w:val="normaltextrun"/>
          <w:rFonts w:ascii="Aptos" w:eastAsiaTheme="majorEastAsia" w:hAnsi="Aptos" w:cs="Segoe UI"/>
        </w:rPr>
        <w:t xml:space="preserve"> the underlying causes and consequences of these issues </w:t>
      </w:r>
      <w:r w:rsidR="00D41BD2">
        <w:rPr>
          <w:rStyle w:val="normaltextrun"/>
          <w:rFonts w:ascii="Aptos" w:eastAsiaTheme="majorEastAsia" w:hAnsi="Aptos" w:cs="Segoe UI"/>
        </w:rPr>
        <w:t xml:space="preserve">in UK health and social care, and to </w:t>
      </w:r>
      <w:r>
        <w:rPr>
          <w:rStyle w:val="normaltextrun"/>
          <w:rFonts w:ascii="Aptos" w:eastAsiaTheme="majorEastAsia" w:hAnsi="Aptos" w:cs="Segoe UI"/>
        </w:rPr>
        <w:t>propose evidence-based strategies to strengthen workforce sustainability and improve service quality.</w:t>
      </w:r>
      <w:r>
        <w:rPr>
          <w:rStyle w:val="eop"/>
          <w:rFonts w:ascii="Aptos" w:eastAsiaTheme="majorEastAsia" w:hAnsi="Aptos" w:cs="Segoe UI"/>
        </w:rPr>
        <w:t> </w:t>
      </w:r>
    </w:p>
    <w:p w14:paraId="7F8FF808" w14:textId="77777777" w:rsidR="004468F8" w:rsidRPr="00BB3C30" w:rsidRDefault="004468F8" w:rsidP="004468F8">
      <w:pPr>
        <w:rPr>
          <w:rFonts w:asciiTheme="minorHAnsi" w:hAnsiTheme="minorHAnsi"/>
        </w:rPr>
      </w:pPr>
    </w:p>
    <w:p w14:paraId="512B4C28" w14:textId="77777777" w:rsidR="00530E16" w:rsidRPr="00BB3C30" w:rsidRDefault="004468F8">
      <w:pPr>
        <w:pStyle w:val="Heading2"/>
        <w:jc w:val="both"/>
        <w:rPr>
          <w:rFonts w:asciiTheme="minorHAnsi" w:hAnsiTheme="minorHAnsi"/>
        </w:rPr>
      </w:pPr>
      <w:bookmarkStart w:id="3" w:name="_Toc213674532"/>
      <w:r w:rsidRPr="00BB3C30">
        <w:rPr>
          <w:rFonts w:asciiTheme="minorHAnsi" w:hAnsiTheme="minorHAnsi"/>
        </w:rPr>
        <w:t>Problem Statement</w:t>
      </w:r>
      <w:bookmarkEnd w:id="3"/>
    </w:p>
    <w:p w14:paraId="3FB6E91E"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bookmarkStart w:id="4" w:name="_Toc213674533"/>
      <w:r>
        <w:rPr>
          <w:rStyle w:val="normaltextrun"/>
          <w:rFonts w:ascii="Aptos" w:eastAsiaTheme="majorEastAsia" w:hAnsi="Aptos" w:cs="Segoe UI"/>
        </w:rPr>
        <w:t>Workforce shortages and burnout represent major concerns across UK health and social care. Recent figures show 152,000 vacancies in adult social care in 2023—a vacancy rate of 9.9%—and an 8.4% vacancy rate in NHS nursing posts (Skills for Care, 2023; King’s Fund, 2022). These conditions have resulted in long working hours, increased emotional pressure, and reduced job satisfaction, contributing to high turnover and challenges in delivering consistent, high-quality care.</w:t>
      </w:r>
      <w:r>
        <w:rPr>
          <w:rStyle w:val="eop"/>
          <w:rFonts w:ascii="Aptos" w:eastAsiaTheme="majorEastAsia" w:hAnsi="Aptos" w:cs="Segoe UI"/>
        </w:rPr>
        <w:t> </w:t>
      </w:r>
    </w:p>
    <w:p w14:paraId="6719EE13"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8CF485C"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The impact extends beyond staff well-being. Patients experience longer waiting times, rushed interventions, and inconsistencies in support, while organisations struggle to maintain standards and manage costs associated with high turnover and agency staffing.</w:t>
      </w:r>
      <w:r>
        <w:rPr>
          <w:rStyle w:val="eop"/>
          <w:rFonts w:ascii="Aptos" w:eastAsiaTheme="majorEastAsia" w:hAnsi="Aptos" w:cs="Segoe UI"/>
        </w:rPr>
        <w:t> </w:t>
      </w:r>
    </w:p>
    <w:p w14:paraId="7317DC1E"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5645DE9"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UK Examples Include:</w:t>
      </w:r>
      <w:r>
        <w:rPr>
          <w:rStyle w:val="eop"/>
          <w:rFonts w:ascii="Aptos" w:eastAsiaTheme="majorEastAsia" w:hAnsi="Aptos" w:cs="Segoe UI"/>
        </w:rPr>
        <w:t> </w:t>
      </w:r>
    </w:p>
    <w:p w14:paraId="2673ACF5"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EBEE97A"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NHS nurses report unmanageable patient caseloads and significant administrative burdens, contributing to burnout (RCN, 2022).</w:t>
      </w:r>
      <w:r>
        <w:rPr>
          <w:rStyle w:val="eop"/>
          <w:rFonts w:ascii="Aptos" w:eastAsiaTheme="majorEastAsia" w:hAnsi="Aptos" w:cs="Segoe UI"/>
        </w:rPr>
        <w:t> </w:t>
      </w:r>
    </w:p>
    <w:p w14:paraId="3D0FC92F"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1A5DE14"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Social care workers frequently experience missed or shortened visits </w:t>
      </w:r>
      <w:proofErr w:type="gramStart"/>
      <w:r>
        <w:rPr>
          <w:rStyle w:val="normaltextrun"/>
          <w:rFonts w:ascii="Aptos" w:eastAsiaTheme="majorEastAsia" w:hAnsi="Aptos" w:cs="Segoe UI"/>
        </w:rPr>
        <w:t>as a result of</w:t>
      </w:r>
      <w:proofErr w:type="gramEnd"/>
      <w:r>
        <w:rPr>
          <w:rStyle w:val="normaltextrun"/>
          <w:rFonts w:ascii="Aptos" w:eastAsiaTheme="majorEastAsia" w:hAnsi="Aptos" w:cs="Segoe UI"/>
        </w:rPr>
        <w:t> staffing gaps (CQC, 2023).</w:t>
      </w:r>
      <w:r>
        <w:rPr>
          <w:rStyle w:val="eop"/>
          <w:rFonts w:ascii="Aptos" w:eastAsiaTheme="majorEastAsia" w:hAnsi="Aptos" w:cs="Segoe UI"/>
        </w:rPr>
        <w:t> </w:t>
      </w:r>
    </w:p>
    <w:p w14:paraId="73455C1C"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6EB9CE0"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Early-career doctors, with 24% at high risk of burnout, face pressures that threaten future workforce stability (GMC, 2024).</w:t>
      </w:r>
      <w:r>
        <w:rPr>
          <w:rStyle w:val="eop"/>
          <w:rFonts w:ascii="Aptos" w:eastAsiaTheme="majorEastAsia" w:hAnsi="Aptos" w:cs="Segoe UI"/>
        </w:rPr>
        <w:t> </w:t>
      </w:r>
    </w:p>
    <w:p w14:paraId="57EE1D35"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4E3604E"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lastRenderedPageBreak/>
        <w:t>Mental health services report turnover rates exceeding 40%, disrupting ongoing patient care (AMHP, 2024).</w:t>
      </w:r>
      <w:r>
        <w:rPr>
          <w:rStyle w:val="eop"/>
          <w:rFonts w:ascii="Aptos" w:eastAsiaTheme="majorEastAsia" w:hAnsi="Aptos" w:cs="Segoe UI"/>
        </w:rPr>
        <w:t> </w:t>
      </w:r>
    </w:p>
    <w:p w14:paraId="01F27951"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E24B7E5"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Care home managers, with an 11.4% vacancy rate, struggle to maintain oversight and staff morale (CQC, 2023).</w:t>
      </w:r>
      <w:r>
        <w:rPr>
          <w:rStyle w:val="eop"/>
          <w:rFonts w:ascii="Aptos" w:eastAsiaTheme="majorEastAsia" w:hAnsi="Aptos" w:cs="Segoe UI"/>
        </w:rPr>
        <w:t> </w:t>
      </w:r>
    </w:p>
    <w:p w14:paraId="71AFB11F"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C2AD670"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These examples highlight the widespread and harmful effects of workforce instability across different areas of UK care provision.</w:t>
      </w:r>
      <w:r>
        <w:rPr>
          <w:rStyle w:val="eop"/>
          <w:rFonts w:ascii="Aptos" w:eastAsiaTheme="majorEastAsia" w:hAnsi="Aptos" w:cs="Segoe UI"/>
        </w:rPr>
        <w:t> </w:t>
      </w:r>
    </w:p>
    <w:p w14:paraId="12718159" w14:textId="77777777" w:rsidR="00EA555F" w:rsidRDefault="00EA555F" w:rsidP="00EA555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F28E30D" w14:textId="77777777" w:rsidR="00530E16" w:rsidRPr="00BB3C30" w:rsidRDefault="004468F8">
      <w:pPr>
        <w:pStyle w:val="Heading2"/>
        <w:jc w:val="both"/>
        <w:rPr>
          <w:rFonts w:asciiTheme="minorHAnsi" w:hAnsiTheme="minorHAnsi"/>
        </w:rPr>
      </w:pPr>
      <w:r w:rsidRPr="00BB3C30">
        <w:rPr>
          <w:rFonts w:asciiTheme="minorHAnsi" w:hAnsiTheme="minorHAnsi"/>
        </w:rPr>
        <w:t>Justification</w:t>
      </w:r>
      <w:bookmarkEnd w:id="4"/>
    </w:p>
    <w:p w14:paraId="5562D8C7"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Exploring staff shortages and burnout is vital for several reasons:</w:t>
      </w:r>
      <w:r>
        <w:rPr>
          <w:rStyle w:val="eop"/>
          <w:rFonts w:ascii="Aptos" w:eastAsiaTheme="majorEastAsia" w:hAnsi="Aptos" w:cs="Segoe UI"/>
        </w:rPr>
        <w:t> </w:t>
      </w:r>
    </w:p>
    <w:p w14:paraId="4C232854"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BCEF6C7" w14:textId="76061DFB" w:rsidR="00DE78F9" w:rsidRDefault="00DE78F9" w:rsidP="00460ED8">
      <w:pPr>
        <w:pStyle w:val="paragraph"/>
        <w:numPr>
          <w:ilvl w:val="0"/>
          <w:numId w:val="21"/>
        </w:numPr>
        <w:spacing w:before="0" w:beforeAutospacing="0" w:after="0" w:afterAutospacing="0"/>
        <w:textAlignment w:val="baseline"/>
        <w:rPr>
          <w:rFonts w:ascii="Aptos" w:hAnsi="Aptos" w:cs="Segoe UI"/>
        </w:rPr>
      </w:pPr>
      <w:r>
        <w:rPr>
          <w:rStyle w:val="normaltextrun"/>
          <w:rFonts w:ascii="Aptos" w:eastAsiaTheme="majorEastAsia" w:hAnsi="Aptos" w:cs="Segoe UI"/>
        </w:rPr>
        <w:t>Patient Safety: Insufficient staffing and high levels of burnout can increase the likelihood of errors and reduce the overall quality of care (CQC, 2023).</w:t>
      </w:r>
      <w:r>
        <w:rPr>
          <w:rStyle w:val="eop"/>
          <w:rFonts w:ascii="Aptos" w:eastAsiaTheme="majorEastAsia" w:hAnsi="Aptos" w:cs="Segoe UI"/>
        </w:rPr>
        <w:t> </w:t>
      </w:r>
    </w:p>
    <w:p w14:paraId="4DDE2F72"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FCF0BB1"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50078FE" w14:textId="4B0D1848" w:rsidR="00DE78F9" w:rsidRDefault="00DE78F9" w:rsidP="00BC6DFB">
      <w:pPr>
        <w:pStyle w:val="paragraph"/>
        <w:numPr>
          <w:ilvl w:val="0"/>
          <w:numId w:val="21"/>
        </w:numPr>
        <w:spacing w:before="0" w:beforeAutospacing="0" w:after="0" w:afterAutospacing="0"/>
        <w:textAlignment w:val="baseline"/>
        <w:rPr>
          <w:rFonts w:ascii="Aptos" w:hAnsi="Aptos" w:cs="Segoe UI"/>
        </w:rPr>
      </w:pPr>
      <w:r>
        <w:rPr>
          <w:rStyle w:val="normaltextrun"/>
          <w:rFonts w:ascii="Aptos" w:eastAsiaTheme="majorEastAsia" w:hAnsi="Aptos" w:cs="Segoe UI"/>
        </w:rPr>
        <w:t>Staff Well-being: Chronic stress and emotional exhaustion contribute to lower morale, poor mental health, and decisions to leave the profession (GMC, 2024; RCN, 2022).</w:t>
      </w:r>
      <w:r>
        <w:rPr>
          <w:rStyle w:val="eop"/>
          <w:rFonts w:ascii="Aptos" w:eastAsiaTheme="majorEastAsia" w:hAnsi="Aptos" w:cs="Segoe UI"/>
        </w:rPr>
        <w:t> </w:t>
      </w:r>
    </w:p>
    <w:p w14:paraId="1E2E6D23"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61D886A"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6074D41" w14:textId="52FC8477" w:rsidR="00DE78F9" w:rsidRDefault="00DE78F9" w:rsidP="00BC6DFB">
      <w:pPr>
        <w:pStyle w:val="paragraph"/>
        <w:numPr>
          <w:ilvl w:val="0"/>
          <w:numId w:val="21"/>
        </w:numPr>
        <w:spacing w:before="0" w:beforeAutospacing="0" w:after="0" w:afterAutospacing="0"/>
        <w:textAlignment w:val="baseline"/>
        <w:rPr>
          <w:rFonts w:ascii="Aptos" w:hAnsi="Aptos" w:cs="Segoe UI"/>
        </w:rPr>
      </w:pPr>
      <w:r>
        <w:rPr>
          <w:rStyle w:val="normaltextrun"/>
          <w:rFonts w:ascii="Aptos" w:eastAsiaTheme="majorEastAsia" w:hAnsi="Aptos" w:cs="Segoe UI"/>
        </w:rPr>
        <w:t>Organisational Performance: Turnover and heavy reliance on temporary staff raise operational costs and undermine continuity of care (Skills for Care, 2023).</w:t>
      </w:r>
      <w:r>
        <w:rPr>
          <w:rStyle w:val="eop"/>
          <w:rFonts w:ascii="Aptos" w:eastAsiaTheme="majorEastAsia" w:hAnsi="Aptos" w:cs="Segoe UI"/>
        </w:rPr>
        <w:t> </w:t>
      </w:r>
    </w:p>
    <w:p w14:paraId="412BB578"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4DD83ED"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11AF1F2" w14:textId="7FC6FD66" w:rsidR="00DE78F9" w:rsidRDefault="00DE78F9" w:rsidP="00BC6DFB">
      <w:pPr>
        <w:pStyle w:val="paragraph"/>
        <w:numPr>
          <w:ilvl w:val="0"/>
          <w:numId w:val="21"/>
        </w:numPr>
        <w:spacing w:before="0" w:beforeAutospacing="0" w:after="0" w:afterAutospacing="0"/>
        <w:textAlignment w:val="baseline"/>
        <w:rPr>
          <w:rFonts w:ascii="Aptos" w:hAnsi="Aptos" w:cs="Segoe UI"/>
        </w:rPr>
      </w:pPr>
      <w:r>
        <w:rPr>
          <w:rStyle w:val="normaltextrun"/>
          <w:rFonts w:ascii="Aptos" w:eastAsiaTheme="majorEastAsia" w:hAnsi="Aptos" w:cs="Segoe UI"/>
        </w:rPr>
        <w:t>Policy Development: Understanding the factors that contribute to burnout and shortages informs effective workforce planning, support programmes, and flexible working practices (DHSC, 2021; NHS England, 2023).</w:t>
      </w:r>
      <w:r>
        <w:rPr>
          <w:rStyle w:val="eop"/>
          <w:rFonts w:ascii="Aptos" w:eastAsiaTheme="majorEastAsia" w:hAnsi="Aptos" w:cs="Segoe UI"/>
        </w:rPr>
        <w:t> </w:t>
      </w:r>
    </w:p>
    <w:p w14:paraId="01C07209"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EE381AF" w14:textId="77777777" w:rsidR="00DE78F9" w:rsidRDefault="00DE78F9" w:rsidP="00DE78F9">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By addressing these concerns, the research aims to identify practical recommendations to support a more resilient and motivated workforce.</w:t>
      </w:r>
      <w:r>
        <w:rPr>
          <w:rStyle w:val="eop"/>
          <w:rFonts w:ascii="Aptos" w:eastAsiaTheme="majorEastAsia" w:hAnsi="Aptos" w:cs="Segoe UI"/>
        </w:rPr>
        <w:t> </w:t>
      </w:r>
    </w:p>
    <w:p w14:paraId="27E0A909" w14:textId="77777777" w:rsidR="007536F6" w:rsidRPr="00BB3C30" w:rsidRDefault="007536F6" w:rsidP="007536F6">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250117A0" w14:textId="77777777" w:rsidR="004468F8" w:rsidRDefault="004468F8" w:rsidP="004468F8">
      <w:pPr>
        <w:rPr>
          <w:rFonts w:asciiTheme="minorHAnsi" w:hAnsiTheme="minorHAnsi"/>
        </w:rPr>
      </w:pPr>
    </w:p>
    <w:p w14:paraId="2834BC22" w14:textId="77777777" w:rsidR="00142973" w:rsidRPr="00BB3C30" w:rsidRDefault="00142973" w:rsidP="004468F8">
      <w:pPr>
        <w:rPr>
          <w:rFonts w:asciiTheme="minorHAnsi" w:hAnsiTheme="minorHAnsi"/>
        </w:rPr>
      </w:pPr>
    </w:p>
    <w:p w14:paraId="35F421A1" w14:textId="77777777" w:rsidR="00530E16" w:rsidRPr="00BB3C30" w:rsidRDefault="004468F8">
      <w:pPr>
        <w:pStyle w:val="Heading2"/>
        <w:jc w:val="both"/>
        <w:rPr>
          <w:rFonts w:asciiTheme="minorHAnsi" w:hAnsiTheme="minorHAnsi"/>
        </w:rPr>
      </w:pPr>
      <w:bookmarkStart w:id="5" w:name="_Toc213674534"/>
      <w:r w:rsidRPr="00BB3C30">
        <w:rPr>
          <w:rFonts w:asciiTheme="minorHAnsi" w:hAnsiTheme="minorHAnsi"/>
        </w:rPr>
        <w:t>Information Sources and Justification</w:t>
      </w:r>
      <w:bookmarkEnd w:id="5"/>
    </w:p>
    <w:p w14:paraId="79020591"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This study will draw on both primary and secondary data sources.</w:t>
      </w:r>
      <w:r>
        <w:rPr>
          <w:rStyle w:val="eop"/>
          <w:rFonts w:ascii="Aptos" w:eastAsiaTheme="majorEastAsia" w:hAnsi="Aptos" w:cs="Segoe UI"/>
        </w:rPr>
        <w:t> </w:t>
      </w:r>
    </w:p>
    <w:p w14:paraId="5D9C8B6D"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99DC943"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Primary Data</w:t>
      </w:r>
      <w:r>
        <w:rPr>
          <w:rStyle w:val="eop"/>
          <w:rFonts w:ascii="Aptos" w:eastAsiaTheme="majorEastAsia" w:hAnsi="Aptos" w:cs="Segoe UI"/>
        </w:rPr>
        <w:t> </w:t>
      </w:r>
    </w:p>
    <w:p w14:paraId="153EE210"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87347AC"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Surveys and semi-structured interviews will be used to collect first-hand accounts from health and social care staff. These methods will provide current, sector-specific insights into workplace pressures, burnout experiences, and coping mechanisms.</w:t>
      </w:r>
      <w:r>
        <w:rPr>
          <w:rStyle w:val="eop"/>
          <w:rFonts w:ascii="Aptos" w:eastAsiaTheme="majorEastAsia" w:hAnsi="Aptos" w:cs="Segoe UI"/>
        </w:rPr>
        <w:t> </w:t>
      </w:r>
    </w:p>
    <w:p w14:paraId="69914C60"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62BF63D"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Secondary Data</w:t>
      </w:r>
      <w:r>
        <w:rPr>
          <w:rStyle w:val="eop"/>
          <w:rFonts w:ascii="Aptos" w:eastAsiaTheme="majorEastAsia" w:hAnsi="Aptos" w:cs="Segoe UI"/>
        </w:rPr>
        <w:t> </w:t>
      </w:r>
    </w:p>
    <w:p w14:paraId="5F924332"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lastRenderedPageBreak/>
        <w:t> </w:t>
      </w:r>
    </w:p>
    <w:p w14:paraId="0928C87B"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Reports, national statistics, academic studies, and workforce reviews—such as those produced by NHS England, CQC, Skills for Care, and the GMC—will provide broader context and help identify national trends (King’s Fund, 2022; AMHP, 2024).</w:t>
      </w:r>
      <w:r>
        <w:rPr>
          <w:rStyle w:val="eop"/>
          <w:rFonts w:ascii="Aptos" w:eastAsiaTheme="majorEastAsia" w:hAnsi="Aptos" w:cs="Segoe UI"/>
        </w:rPr>
        <w:t> </w:t>
      </w:r>
    </w:p>
    <w:p w14:paraId="7C9FDF10"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C3D547D" w14:textId="77777777" w:rsidR="00C961FF" w:rsidRDefault="00C961FF" w:rsidP="00C961F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The combination of primary and secondary evidence will offer a balanced and robust understanding of the issues.</w:t>
      </w:r>
      <w:r>
        <w:rPr>
          <w:rStyle w:val="eop"/>
          <w:rFonts w:ascii="Aptos" w:eastAsiaTheme="majorEastAsia" w:hAnsi="Aptos" w:cs="Segoe UI"/>
        </w:rPr>
        <w:t> </w:t>
      </w:r>
    </w:p>
    <w:p w14:paraId="298D2745" w14:textId="77777777" w:rsidR="00172AD1" w:rsidRPr="00BB3C30" w:rsidRDefault="00172AD1" w:rsidP="004468F8">
      <w:pPr>
        <w:rPr>
          <w:rFonts w:asciiTheme="minorHAnsi" w:hAnsiTheme="minorHAnsi"/>
        </w:rPr>
      </w:pPr>
    </w:p>
    <w:p w14:paraId="27285A69" w14:textId="77777777" w:rsidR="004468F8" w:rsidRPr="00BB3C30" w:rsidRDefault="004468F8" w:rsidP="004468F8">
      <w:pPr>
        <w:pStyle w:val="Heading1"/>
        <w:jc w:val="both"/>
        <w:rPr>
          <w:rFonts w:asciiTheme="minorHAnsi" w:hAnsiTheme="minorHAnsi"/>
        </w:rPr>
      </w:pPr>
      <w:bookmarkStart w:id="6" w:name="_Toc213674535"/>
      <w:r w:rsidRPr="00BB3C30">
        <w:rPr>
          <w:rFonts w:asciiTheme="minorHAnsi" w:hAnsiTheme="minorHAnsi"/>
        </w:rPr>
        <w:t xml:space="preserve">Task 2: </w:t>
      </w:r>
      <w:r w:rsidR="00172AD1" w:rsidRPr="00BB3C30">
        <w:rPr>
          <w:rFonts w:asciiTheme="minorHAnsi" w:eastAsia="Aptos" w:hAnsiTheme="minorHAnsi" w:cs="Arial"/>
          <w:bCs/>
          <w:kern w:val="2"/>
          <w:lang w:eastAsia="en-US"/>
          <w14:ligatures w14:val="standardContextual"/>
        </w:rPr>
        <w:t>Research M</w:t>
      </w:r>
      <w:r w:rsidRPr="00BB3C30">
        <w:rPr>
          <w:rFonts w:asciiTheme="minorHAnsi" w:eastAsia="Aptos" w:hAnsiTheme="minorHAnsi" w:cs="Arial"/>
          <w:bCs/>
          <w:kern w:val="2"/>
          <w:lang w:eastAsia="en-US"/>
          <w14:ligatures w14:val="standardContextual"/>
        </w:rPr>
        <w:t>ethodologies</w:t>
      </w:r>
      <w:bookmarkEnd w:id="6"/>
    </w:p>
    <w:p w14:paraId="5221278A" w14:textId="77777777" w:rsidR="004468F8" w:rsidRPr="00BB3C30" w:rsidRDefault="004468F8" w:rsidP="004468F8">
      <w:pPr>
        <w:pStyle w:val="Heading2"/>
        <w:jc w:val="both"/>
        <w:rPr>
          <w:rFonts w:asciiTheme="minorHAnsi" w:eastAsia="Aptos" w:hAnsiTheme="minorHAnsi" w:cs="Arial"/>
          <w:kern w:val="2"/>
          <w:lang w:eastAsia="en-US"/>
          <w14:ligatures w14:val="standardContextual"/>
        </w:rPr>
      </w:pPr>
      <w:bookmarkStart w:id="7" w:name="_Toc213674536"/>
      <w:r w:rsidRPr="00BB3C30">
        <w:rPr>
          <w:rFonts w:asciiTheme="minorHAnsi" w:eastAsia="Aptos" w:hAnsiTheme="minorHAnsi" w:cs="Arial"/>
          <w:kern w:val="2"/>
          <w:lang w:eastAsia="en-US"/>
          <w14:ligatures w14:val="standardContextual"/>
        </w:rPr>
        <w:t>Give a brief overview of quantitative and qualitative research.</w:t>
      </w:r>
      <w:bookmarkEnd w:id="7"/>
    </w:p>
    <w:p w14:paraId="4FACE213" w14:textId="77777777" w:rsidR="008525CE" w:rsidRDefault="008525CE" w:rsidP="008525C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Quantitative methods involve collecting numerical data, such as staff turnover rates, burnout prevalence scores, working hours, and caseload sizes.</w:t>
      </w:r>
      <w:r>
        <w:rPr>
          <w:rStyle w:val="eop"/>
          <w:rFonts w:ascii="Aptos" w:eastAsiaTheme="majorEastAsia" w:hAnsi="Aptos" w:cs="Segoe UI"/>
        </w:rPr>
        <w:t> </w:t>
      </w:r>
    </w:p>
    <w:p w14:paraId="3669DB81" w14:textId="77777777" w:rsidR="008525CE" w:rsidRDefault="008525CE" w:rsidP="008525CE">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616AD39" w14:textId="77777777" w:rsidR="008525CE" w:rsidRDefault="008525CE" w:rsidP="008525C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Qualitative methods explore personal experiences, perceptions, and emotions, helping uncover the deeper reasons behind burnout and workforce challenges.</w:t>
      </w:r>
      <w:r>
        <w:rPr>
          <w:rStyle w:val="eop"/>
          <w:rFonts w:ascii="Aptos" w:eastAsiaTheme="majorEastAsia" w:hAnsi="Aptos" w:cs="Segoe UI"/>
        </w:rPr>
        <w:t> </w:t>
      </w:r>
    </w:p>
    <w:p w14:paraId="7F001083" w14:textId="77777777" w:rsidR="008525CE" w:rsidRDefault="008525CE" w:rsidP="008525CE">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B598C78" w14:textId="6DDB91AA" w:rsidR="004468F8" w:rsidRPr="008525CE" w:rsidRDefault="008525CE" w:rsidP="008525CE">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56EAD89" w14:textId="77777777" w:rsidR="004468F8" w:rsidRPr="00BB3C30" w:rsidRDefault="004468F8" w:rsidP="004468F8">
      <w:pPr>
        <w:pStyle w:val="Heading2"/>
        <w:rPr>
          <w:rFonts w:asciiTheme="minorHAnsi" w:eastAsia="Aptos" w:hAnsiTheme="minorHAnsi"/>
          <w:b/>
          <w:bCs/>
          <w:lang w:eastAsia="en-US"/>
        </w:rPr>
      </w:pPr>
      <w:bookmarkStart w:id="8" w:name="_Toc213674537"/>
      <w:r w:rsidRPr="00BB3C30">
        <w:rPr>
          <w:rFonts w:asciiTheme="minorHAnsi" w:eastAsia="Aptos" w:hAnsiTheme="minorHAnsi"/>
          <w:lang w:eastAsia="en-US"/>
        </w:rPr>
        <w:t>What type of research methodology will you use for your research and why?</w:t>
      </w:r>
      <w:bookmarkEnd w:id="8"/>
    </w:p>
    <w:p w14:paraId="4D6120FF" w14:textId="77777777" w:rsidR="008525CE" w:rsidRDefault="008525CE" w:rsidP="008525C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Chosen Methodology</w:t>
      </w:r>
      <w:r>
        <w:rPr>
          <w:rStyle w:val="eop"/>
          <w:rFonts w:ascii="Aptos" w:eastAsiaTheme="majorEastAsia" w:hAnsi="Aptos" w:cs="Segoe UI"/>
        </w:rPr>
        <w:t> </w:t>
      </w:r>
    </w:p>
    <w:p w14:paraId="223BB01A" w14:textId="77777777" w:rsidR="008525CE" w:rsidRDefault="008525CE" w:rsidP="008525CE">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6DFAAA3" w14:textId="5CD19951" w:rsidR="008525CE" w:rsidRDefault="00DD6C05" w:rsidP="008525CE">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A mixed-methods approach will be employed. Quantitative surveys will identify the extent of burnout and staffing pressures, while qualitative interviews will provide insight by exploring how staff interpret and respond to these challenges. This integrated approach guarantees a comprehensive analysis of both the magnitude and underlying causes of the issue. </w:t>
      </w:r>
    </w:p>
    <w:p w14:paraId="59688B24"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1AAEC856"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b/>
          <w:bCs/>
        </w:rPr>
      </w:pPr>
      <w:r w:rsidRPr="00BB3C30">
        <w:rPr>
          <w:rStyle w:val="normaltextrun"/>
          <w:rFonts w:asciiTheme="minorHAnsi" w:eastAsiaTheme="majorEastAsia" w:hAnsiTheme="minorHAnsi" w:cs="Segoe UI"/>
          <w:b/>
          <w:bCs/>
        </w:rPr>
        <w:t>Why Mixed Methods?</w:t>
      </w:r>
      <w:r w:rsidRPr="00BB3C30">
        <w:rPr>
          <w:rStyle w:val="eop"/>
          <w:rFonts w:asciiTheme="minorHAnsi" w:eastAsiaTheme="majorEastAsia" w:hAnsiTheme="minorHAnsi" w:cs="Segoe UI"/>
          <w:b/>
          <w:bCs/>
        </w:rPr>
        <w:t> </w:t>
      </w:r>
    </w:p>
    <w:p w14:paraId="177D712C" w14:textId="77777777" w:rsidR="00B3070A" w:rsidRPr="00BB3C30" w:rsidRDefault="00B3070A" w:rsidP="00B3070A">
      <w:pPr>
        <w:pStyle w:val="paragraph"/>
        <w:spacing w:before="0" w:beforeAutospacing="0" w:after="0" w:afterAutospacing="0"/>
        <w:textAlignment w:val="baseline"/>
        <w:rPr>
          <w:rFonts w:asciiTheme="minorHAnsi" w:hAnsiTheme="minorHAnsi" w:cs="Segoe UI"/>
          <w:b/>
          <w:bCs/>
        </w:rPr>
      </w:pPr>
    </w:p>
    <w:p w14:paraId="3E484011" w14:textId="144AA645" w:rsidR="00B3070A" w:rsidRPr="00BB3C30" w:rsidRDefault="00B3070A" w:rsidP="00B3070A">
      <w:pPr>
        <w:pStyle w:val="paragraph"/>
        <w:numPr>
          <w:ilvl w:val="0"/>
          <w:numId w:val="16"/>
        </w:numPr>
        <w:spacing w:before="0" w:beforeAutospacing="0" w:after="0" w:afterAutospacing="0"/>
        <w:textAlignment w:val="baseline"/>
        <w:rPr>
          <w:rFonts w:asciiTheme="minorHAnsi" w:hAnsiTheme="minorHAnsi" w:cs="Segoe UI"/>
          <w:b/>
          <w:bCs/>
        </w:rPr>
      </w:pPr>
      <w:r w:rsidRPr="00BB3C30">
        <w:rPr>
          <w:rStyle w:val="normaltextrun"/>
          <w:rFonts w:asciiTheme="minorHAnsi" w:eastAsiaTheme="majorEastAsia" w:hAnsiTheme="minorHAnsi" w:cs="Segoe UI"/>
          <w:b/>
          <w:bCs/>
        </w:rPr>
        <w:t>Quantitative data for measuring the problem</w:t>
      </w:r>
      <w:r w:rsidRPr="00BB3C30">
        <w:rPr>
          <w:rStyle w:val="eop"/>
          <w:rFonts w:asciiTheme="minorHAnsi" w:eastAsiaTheme="majorEastAsia" w:hAnsiTheme="minorHAnsi" w:cs="Segoe UI"/>
          <w:b/>
          <w:bCs/>
        </w:rPr>
        <w:t> </w:t>
      </w:r>
    </w:p>
    <w:p w14:paraId="74CEA82F"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b/>
          <w:bCs/>
        </w:rPr>
      </w:pPr>
      <w:r w:rsidRPr="00BB3C30">
        <w:rPr>
          <w:rStyle w:val="normaltextrun"/>
          <w:rFonts w:asciiTheme="minorHAnsi" w:eastAsiaTheme="majorEastAsia" w:hAnsiTheme="minorHAnsi" w:cs="Segoe UI"/>
          <w:b/>
          <w:bCs/>
        </w:rPr>
        <w:t>Quantitative surveys will be used to collect numerical data, such as:</w:t>
      </w:r>
      <w:r w:rsidRPr="00BB3C30">
        <w:rPr>
          <w:rStyle w:val="eop"/>
          <w:rFonts w:asciiTheme="minorHAnsi" w:eastAsiaTheme="majorEastAsia" w:hAnsiTheme="minorHAnsi" w:cs="Segoe UI"/>
          <w:b/>
          <w:bCs/>
        </w:rPr>
        <w:t> </w:t>
      </w:r>
    </w:p>
    <w:p w14:paraId="23EDE287" w14:textId="77777777" w:rsidR="003F74D1" w:rsidRPr="00BB3C30" w:rsidRDefault="003F74D1" w:rsidP="00B3070A">
      <w:pPr>
        <w:pStyle w:val="paragraph"/>
        <w:spacing w:before="0" w:beforeAutospacing="0" w:after="0" w:afterAutospacing="0"/>
        <w:textAlignment w:val="baseline"/>
        <w:rPr>
          <w:rFonts w:asciiTheme="minorHAnsi" w:hAnsiTheme="minorHAnsi" w:cs="Segoe UI"/>
          <w:b/>
          <w:bCs/>
        </w:rPr>
      </w:pPr>
    </w:p>
    <w:p w14:paraId="37171560"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Levels of burnout</w:t>
      </w:r>
      <w:r w:rsidRPr="00BB3C30">
        <w:rPr>
          <w:rStyle w:val="eop"/>
          <w:rFonts w:asciiTheme="minorHAnsi" w:eastAsiaTheme="majorEastAsia" w:hAnsiTheme="minorHAnsi" w:cs="Segoe UI"/>
        </w:rPr>
        <w:t> </w:t>
      </w:r>
    </w:p>
    <w:p w14:paraId="3353639F"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0DFB7636" w14:textId="77777777" w:rsidR="003F74D1" w:rsidRPr="00BB3C30" w:rsidRDefault="00B3070A" w:rsidP="00B3070A">
      <w:pPr>
        <w:pStyle w:val="paragraph"/>
        <w:spacing w:before="0" w:beforeAutospacing="0" w:after="0" w:afterAutospacing="0"/>
        <w:textAlignment w:val="baseline"/>
        <w:rPr>
          <w:rStyle w:val="normaltextrun"/>
          <w:rFonts w:asciiTheme="minorHAnsi" w:eastAsiaTheme="majorEastAsia" w:hAnsiTheme="minorHAnsi" w:cs="Segoe UI"/>
        </w:rPr>
      </w:pPr>
      <w:r w:rsidRPr="00BB3C30">
        <w:rPr>
          <w:rStyle w:val="normaltextrun"/>
          <w:rFonts w:asciiTheme="minorHAnsi" w:eastAsiaTheme="majorEastAsia" w:hAnsiTheme="minorHAnsi" w:cs="Segoe UI"/>
        </w:rPr>
        <w:t>Number of hours worked</w:t>
      </w:r>
    </w:p>
    <w:p w14:paraId="0B9BD8EC" w14:textId="5CBB06A9"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74DD8F6D"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Staff-to-patient ratios</w:t>
      </w:r>
      <w:r w:rsidRPr="00BB3C30">
        <w:rPr>
          <w:rStyle w:val="eop"/>
          <w:rFonts w:asciiTheme="minorHAnsi" w:eastAsiaTheme="majorEastAsia" w:hAnsiTheme="minorHAnsi" w:cs="Segoe UI"/>
        </w:rPr>
        <w:t> </w:t>
      </w:r>
    </w:p>
    <w:p w14:paraId="1ECA94CC"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72D4438D"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Frequency of overtime</w:t>
      </w:r>
      <w:r w:rsidRPr="00BB3C30">
        <w:rPr>
          <w:rStyle w:val="eop"/>
          <w:rFonts w:asciiTheme="minorHAnsi" w:eastAsiaTheme="majorEastAsia" w:hAnsiTheme="minorHAnsi" w:cs="Segoe UI"/>
        </w:rPr>
        <w:t> </w:t>
      </w:r>
    </w:p>
    <w:p w14:paraId="54307B45"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62F5FA6E"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This helps identify how common burnout and staffing pressures are across different settings.</w:t>
      </w:r>
      <w:r w:rsidRPr="00BB3C30">
        <w:rPr>
          <w:rStyle w:val="eop"/>
          <w:rFonts w:asciiTheme="minorHAnsi" w:eastAsiaTheme="majorEastAsia" w:hAnsiTheme="minorHAnsi" w:cs="Segoe UI"/>
        </w:rPr>
        <w:t> </w:t>
      </w:r>
    </w:p>
    <w:p w14:paraId="65103B2E"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p>
    <w:p w14:paraId="11952B2D" w14:textId="01452D39" w:rsidR="00B3070A" w:rsidRPr="00BB3C30" w:rsidRDefault="00B3070A" w:rsidP="003F74D1">
      <w:pPr>
        <w:pStyle w:val="paragraph"/>
        <w:numPr>
          <w:ilvl w:val="0"/>
          <w:numId w:val="16"/>
        </w:numPr>
        <w:spacing w:before="0" w:beforeAutospacing="0" w:after="0" w:afterAutospacing="0"/>
        <w:textAlignment w:val="baseline"/>
        <w:rPr>
          <w:rFonts w:asciiTheme="minorHAnsi" w:hAnsiTheme="minorHAnsi" w:cs="Segoe UI"/>
          <w:b/>
          <w:bCs/>
        </w:rPr>
      </w:pPr>
      <w:r w:rsidRPr="00BB3C30">
        <w:rPr>
          <w:rStyle w:val="normaltextrun"/>
          <w:rFonts w:asciiTheme="minorHAnsi" w:eastAsiaTheme="majorEastAsia" w:hAnsiTheme="minorHAnsi" w:cs="Segoe UI"/>
          <w:b/>
          <w:bCs/>
        </w:rPr>
        <w:t>Qualitative data for understanding experiences</w:t>
      </w:r>
      <w:r w:rsidRPr="00BB3C30">
        <w:rPr>
          <w:rStyle w:val="eop"/>
          <w:rFonts w:asciiTheme="minorHAnsi" w:eastAsiaTheme="majorEastAsia" w:hAnsiTheme="minorHAnsi" w:cs="Segoe UI"/>
          <w:b/>
          <w:bCs/>
        </w:rPr>
        <w:t> </w:t>
      </w:r>
    </w:p>
    <w:p w14:paraId="22A60F54"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b/>
          <w:bCs/>
        </w:rPr>
        <w:t>Interviews or open-ended survey questions will explore:</w:t>
      </w:r>
      <w:r w:rsidRPr="00BB3C30">
        <w:rPr>
          <w:rStyle w:val="eop"/>
          <w:rFonts w:asciiTheme="minorHAnsi" w:eastAsiaTheme="majorEastAsia" w:hAnsiTheme="minorHAnsi" w:cs="Segoe UI"/>
        </w:rPr>
        <w:t> </w:t>
      </w:r>
    </w:p>
    <w:p w14:paraId="769AFB20"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57A6C2E9"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Personal experiences of stress</w:t>
      </w:r>
      <w:r w:rsidRPr="00BB3C30">
        <w:rPr>
          <w:rStyle w:val="eop"/>
          <w:rFonts w:asciiTheme="minorHAnsi" w:eastAsiaTheme="majorEastAsia" w:hAnsiTheme="minorHAnsi" w:cs="Segoe UI"/>
        </w:rPr>
        <w:t> </w:t>
      </w:r>
    </w:p>
    <w:p w14:paraId="63285B2E"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339043BB"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How shortages affect daily work</w:t>
      </w:r>
      <w:r w:rsidRPr="00BB3C30">
        <w:rPr>
          <w:rStyle w:val="eop"/>
          <w:rFonts w:asciiTheme="minorHAnsi" w:eastAsiaTheme="majorEastAsia" w:hAnsiTheme="minorHAnsi" w:cs="Segoe UI"/>
        </w:rPr>
        <w:t> </w:t>
      </w:r>
    </w:p>
    <w:p w14:paraId="6C62F4BE"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408323AB"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Factors that contribute to burnout</w:t>
      </w:r>
      <w:r w:rsidRPr="00BB3C30">
        <w:rPr>
          <w:rStyle w:val="eop"/>
          <w:rFonts w:asciiTheme="minorHAnsi" w:eastAsiaTheme="majorEastAsia" w:hAnsiTheme="minorHAnsi" w:cs="Segoe UI"/>
        </w:rPr>
        <w:t> </w:t>
      </w:r>
    </w:p>
    <w:p w14:paraId="53907BA6"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01FC1C95"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Coping strategies used by staff</w:t>
      </w:r>
      <w:r w:rsidRPr="00BB3C30">
        <w:rPr>
          <w:rStyle w:val="eop"/>
          <w:rFonts w:asciiTheme="minorHAnsi" w:eastAsiaTheme="majorEastAsia" w:hAnsiTheme="minorHAnsi" w:cs="Segoe UI"/>
        </w:rPr>
        <w:t> </w:t>
      </w:r>
    </w:p>
    <w:p w14:paraId="3FE14237"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3FB619C4"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This provides deeper insight into the causes and impacts of burnout that numbers alone cannot explain.</w:t>
      </w:r>
      <w:r w:rsidRPr="00BB3C30">
        <w:rPr>
          <w:rStyle w:val="eop"/>
          <w:rFonts w:asciiTheme="minorHAnsi" w:eastAsiaTheme="majorEastAsia" w:hAnsiTheme="minorHAnsi" w:cs="Segoe UI"/>
        </w:rPr>
        <w:t> </w:t>
      </w:r>
    </w:p>
    <w:p w14:paraId="4D4AE525" w14:textId="77777777" w:rsidR="003F74D1" w:rsidRPr="00BB3C30" w:rsidRDefault="003F74D1" w:rsidP="00B3070A">
      <w:pPr>
        <w:pStyle w:val="paragraph"/>
        <w:spacing w:before="0" w:beforeAutospacing="0" w:after="0" w:afterAutospacing="0"/>
        <w:textAlignment w:val="baseline"/>
        <w:rPr>
          <w:rStyle w:val="eop"/>
          <w:rFonts w:asciiTheme="minorHAnsi" w:eastAsiaTheme="majorEastAsia" w:hAnsiTheme="minorHAnsi" w:cs="Segoe UI"/>
        </w:rPr>
      </w:pPr>
    </w:p>
    <w:p w14:paraId="7F7B32A8"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48074041" w14:textId="52118121" w:rsidR="00B3070A" w:rsidRPr="00BB3C30" w:rsidRDefault="00B3070A" w:rsidP="003F74D1">
      <w:pPr>
        <w:pStyle w:val="paragraph"/>
        <w:numPr>
          <w:ilvl w:val="0"/>
          <w:numId w:val="16"/>
        </w:numPr>
        <w:spacing w:before="0" w:beforeAutospacing="0" w:after="0" w:afterAutospacing="0"/>
        <w:textAlignment w:val="baseline"/>
        <w:rPr>
          <w:rFonts w:asciiTheme="minorHAnsi" w:hAnsiTheme="minorHAnsi" w:cs="Segoe UI"/>
          <w:b/>
          <w:bCs/>
        </w:rPr>
      </w:pPr>
      <w:r w:rsidRPr="00BB3C30">
        <w:rPr>
          <w:rStyle w:val="normaltextrun"/>
          <w:rFonts w:asciiTheme="minorHAnsi" w:eastAsiaTheme="majorEastAsia" w:hAnsiTheme="minorHAnsi" w:cs="Segoe UI"/>
          <w:b/>
          <w:bCs/>
        </w:rPr>
        <w:t>Strength of combining both</w:t>
      </w:r>
      <w:r w:rsidRPr="00BB3C30">
        <w:rPr>
          <w:rStyle w:val="eop"/>
          <w:rFonts w:asciiTheme="minorHAnsi" w:eastAsiaTheme="majorEastAsia" w:hAnsiTheme="minorHAnsi" w:cs="Segoe UI"/>
          <w:b/>
          <w:bCs/>
        </w:rPr>
        <w:t> </w:t>
      </w:r>
    </w:p>
    <w:p w14:paraId="5938E576"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b/>
          <w:bCs/>
        </w:rPr>
      </w:pPr>
      <w:r w:rsidRPr="00BB3C30">
        <w:rPr>
          <w:rStyle w:val="normaltextrun"/>
          <w:rFonts w:asciiTheme="minorHAnsi" w:eastAsiaTheme="majorEastAsia" w:hAnsiTheme="minorHAnsi" w:cs="Segoe UI"/>
          <w:b/>
          <w:bCs/>
        </w:rPr>
        <w:t>Using both approaches together means the research can:</w:t>
      </w:r>
      <w:r w:rsidRPr="00BB3C30">
        <w:rPr>
          <w:rStyle w:val="eop"/>
          <w:rFonts w:asciiTheme="minorHAnsi" w:eastAsiaTheme="majorEastAsia" w:hAnsiTheme="minorHAnsi" w:cs="Segoe UI"/>
          <w:b/>
          <w:bCs/>
        </w:rPr>
        <w:t> </w:t>
      </w:r>
    </w:p>
    <w:p w14:paraId="55B59F2E"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76C7D6A0"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Measure the scale of the issue (quantitative)</w:t>
      </w:r>
      <w:r w:rsidRPr="00BB3C30">
        <w:rPr>
          <w:rStyle w:val="eop"/>
          <w:rFonts w:asciiTheme="minorHAnsi" w:eastAsiaTheme="majorEastAsia" w:hAnsiTheme="minorHAnsi" w:cs="Segoe UI"/>
        </w:rPr>
        <w:t> </w:t>
      </w:r>
    </w:p>
    <w:p w14:paraId="7A0D4426"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6B81B481" w14:textId="77777777" w:rsidR="00B3070A" w:rsidRPr="00BB3C30" w:rsidRDefault="00B3070A" w:rsidP="00B3070A">
      <w:pPr>
        <w:pStyle w:val="paragraph"/>
        <w:spacing w:before="0" w:beforeAutospacing="0" w:after="0" w:afterAutospacing="0"/>
        <w:textAlignment w:val="baseline"/>
        <w:rPr>
          <w:rStyle w:val="eop"/>
          <w:rFonts w:asciiTheme="minorHAnsi" w:eastAsiaTheme="majorEastAsia" w:hAnsiTheme="minorHAnsi" w:cs="Segoe UI"/>
        </w:rPr>
      </w:pPr>
      <w:r w:rsidRPr="00BB3C30">
        <w:rPr>
          <w:rStyle w:val="normaltextrun"/>
          <w:rFonts w:asciiTheme="minorHAnsi" w:eastAsiaTheme="majorEastAsia" w:hAnsiTheme="minorHAnsi" w:cs="Segoe UI"/>
        </w:rPr>
        <w:t>Understand the reasons behind it (qualitative)</w:t>
      </w:r>
      <w:r w:rsidRPr="00BB3C30">
        <w:rPr>
          <w:rStyle w:val="eop"/>
          <w:rFonts w:asciiTheme="minorHAnsi" w:eastAsiaTheme="majorEastAsia" w:hAnsiTheme="minorHAnsi" w:cs="Segoe UI"/>
        </w:rPr>
        <w:t> </w:t>
      </w:r>
    </w:p>
    <w:p w14:paraId="0FA93185" w14:textId="77777777" w:rsidR="003F74D1" w:rsidRPr="00BB3C30" w:rsidRDefault="003F74D1" w:rsidP="00B3070A">
      <w:pPr>
        <w:pStyle w:val="paragraph"/>
        <w:spacing w:before="0" w:beforeAutospacing="0" w:after="0" w:afterAutospacing="0"/>
        <w:textAlignment w:val="baseline"/>
        <w:rPr>
          <w:rFonts w:asciiTheme="minorHAnsi" w:hAnsiTheme="minorHAnsi" w:cs="Segoe UI"/>
        </w:rPr>
      </w:pPr>
    </w:p>
    <w:p w14:paraId="69F6A6C8"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Compare staff experiences with national workforce challenges</w:t>
      </w:r>
      <w:r w:rsidRPr="00BB3C30">
        <w:rPr>
          <w:rStyle w:val="eop"/>
          <w:rFonts w:asciiTheme="minorHAnsi" w:eastAsiaTheme="majorEastAsia" w:hAnsiTheme="minorHAnsi" w:cs="Segoe UI"/>
        </w:rPr>
        <w:t> </w:t>
      </w:r>
    </w:p>
    <w:p w14:paraId="3669327B"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Segoe UI"/>
        </w:rPr>
        <w:t> </w:t>
      </w:r>
    </w:p>
    <w:p w14:paraId="7CC25AC4" w14:textId="77777777" w:rsidR="00B3070A" w:rsidRPr="00BB3C30" w:rsidRDefault="00B3070A" w:rsidP="00B3070A">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Segoe UI"/>
        </w:rPr>
        <w:t>A mixed-methods approach is therefore suitable because it gives a balanced, reliable, and realistic picture of workforce pressures in health and social care.</w:t>
      </w:r>
      <w:r w:rsidRPr="00BB3C30">
        <w:rPr>
          <w:rStyle w:val="eop"/>
          <w:rFonts w:asciiTheme="minorHAnsi" w:eastAsiaTheme="majorEastAsia" w:hAnsiTheme="minorHAnsi" w:cs="Segoe UI"/>
        </w:rPr>
        <w:t> </w:t>
      </w:r>
    </w:p>
    <w:p w14:paraId="47211959" w14:textId="5C85290C" w:rsidR="00B3070A" w:rsidRPr="00BB3C30" w:rsidRDefault="00C26E13" w:rsidP="00B3070A">
      <w:pPr>
        <w:pStyle w:val="paragraph"/>
        <w:spacing w:before="0" w:beforeAutospacing="0" w:after="0" w:afterAutospacing="0"/>
        <w:textAlignment w:val="baseline"/>
        <w:rPr>
          <w:rFonts w:asciiTheme="minorHAnsi" w:hAnsiTheme="minorHAnsi" w:cs="Segoe UI"/>
        </w:rPr>
      </w:pPr>
      <w:r>
        <w:rPr>
          <w:rStyle w:val="normaltextrun"/>
          <w:rFonts w:asciiTheme="minorHAnsi" w:eastAsiaTheme="majorEastAsia" w:hAnsiTheme="minorHAnsi" w:cs="Segoe UI"/>
        </w:rPr>
        <w:t>This research will utilise a mixed-methods approach, combining quantitative surveys and qualitative interviews. Quantitative data will assess burnout prevalence and staffing pressures, while qualitative data will offer detailed insights into staff experiences. This approach enables a comprehensive understanding of both the extent and the causes of staff burnout and shortages. </w:t>
      </w:r>
    </w:p>
    <w:p w14:paraId="064363EE" w14:textId="77777777" w:rsidR="004468F8" w:rsidRPr="00BB3C30" w:rsidRDefault="004468F8">
      <w:pPr>
        <w:spacing w:line="360" w:lineRule="auto"/>
        <w:jc w:val="both"/>
        <w:rPr>
          <w:rFonts w:asciiTheme="minorHAnsi" w:eastAsia="Arial" w:hAnsiTheme="minorHAnsi" w:cs="Arial"/>
          <w:sz w:val="22"/>
          <w:szCs w:val="22"/>
        </w:rPr>
      </w:pPr>
    </w:p>
    <w:p w14:paraId="625D4667" w14:textId="77777777" w:rsidR="00530E16" w:rsidRPr="00BB3C30" w:rsidRDefault="004468F8">
      <w:pPr>
        <w:pStyle w:val="Heading1"/>
        <w:jc w:val="both"/>
        <w:rPr>
          <w:rFonts w:asciiTheme="minorHAnsi" w:hAnsiTheme="minorHAnsi"/>
        </w:rPr>
      </w:pPr>
      <w:bookmarkStart w:id="9" w:name="_Toc213674538"/>
      <w:r w:rsidRPr="00BB3C30">
        <w:rPr>
          <w:rFonts w:asciiTheme="minorHAnsi" w:hAnsiTheme="minorHAnsi"/>
        </w:rPr>
        <w:t>Task 3: Data Collection</w:t>
      </w:r>
      <w:bookmarkEnd w:id="9"/>
      <w:r w:rsidRPr="00BB3C30">
        <w:rPr>
          <w:rFonts w:asciiTheme="minorHAnsi" w:hAnsiTheme="minorHAnsi"/>
        </w:rPr>
        <w:t xml:space="preserve"> </w:t>
      </w:r>
    </w:p>
    <w:p w14:paraId="2F62BCF2" w14:textId="77777777" w:rsidR="004468F8" w:rsidRPr="00BB3C30" w:rsidRDefault="00BA0043" w:rsidP="004468F8">
      <w:pPr>
        <w:pStyle w:val="Heading2"/>
        <w:rPr>
          <w:rFonts w:asciiTheme="minorHAnsi" w:eastAsia="Aptos" w:hAnsiTheme="minorHAnsi"/>
          <w:lang w:eastAsia="en-US"/>
        </w:rPr>
      </w:pPr>
      <w:bookmarkStart w:id="10" w:name="_Toc213674539"/>
      <w:r w:rsidRPr="00BB3C30">
        <w:rPr>
          <w:rFonts w:asciiTheme="minorHAnsi" w:eastAsia="Aptos" w:hAnsiTheme="minorHAnsi"/>
          <w:lang w:eastAsia="en-US"/>
        </w:rPr>
        <w:t>Overview of primary and secondary data collection</w:t>
      </w:r>
      <w:bookmarkEnd w:id="10"/>
    </w:p>
    <w:p w14:paraId="173A7934" w14:textId="77777777" w:rsidR="00A04491" w:rsidRDefault="00A04491" w:rsidP="00A04491">
      <w:pPr>
        <w:pStyle w:val="paragraph"/>
        <w:spacing w:before="0" w:beforeAutospacing="0" w:after="0" w:afterAutospacing="0"/>
        <w:textAlignment w:val="baseline"/>
        <w:rPr>
          <w:rFonts w:ascii="Segoe UI" w:hAnsi="Segoe UI" w:cs="Segoe UI"/>
          <w:sz w:val="18"/>
          <w:szCs w:val="18"/>
        </w:rPr>
      </w:pPr>
      <w:r w:rsidRPr="00A04491">
        <w:rPr>
          <w:rStyle w:val="normaltextrun"/>
          <w:rFonts w:ascii="Aptos" w:eastAsiaTheme="majorEastAsia" w:hAnsi="Aptos" w:cs="Segoe UI"/>
          <w:b/>
          <w:bCs/>
        </w:rPr>
        <w:t>Primary data:</w:t>
      </w:r>
      <w:r>
        <w:rPr>
          <w:rStyle w:val="normaltextrun"/>
          <w:rFonts w:ascii="Aptos" w:eastAsiaTheme="majorEastAsia" w:hAnsi="Aptos" w:cs="Segoe UI"/>
        </w:rPr>
        <w:t xml:space="preserve"> Surveys and interviews with staff across health and social care settings will provide up-to-date, relevant insights.</w:t>
      </w:r>
      <w:r>
        <w:rPr>
          <w:rStyle w:val="eop"/>
          <w:rFonts w:ascii="Aptos" w:eastAsiaTheme="majorEastAsia" w:hAnsi="Aptos" w:cs="Segoe UI"/>
        </w:rPr>
        <w:t> </w:t>
      </w:r>
    </w:p>
    <w:p w14:paraId="39487A7C" w14:textId="77777777" w:rsidR="00A04491" w:rsidRDefault="00A04491" w:rsidP="00A04491">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C8FC289" w14:textId="77777777" w:rsidR="00A04491" w:rsidRDefault="00A04491" w:rsidP="00A04491">
      <w:pPr>
        <w:pStyle w:val="paragraph"/>
        <w:spacing w:before="0" w:beforeAutospacing="0" w:after="0" w:afterAutospacing="0"/>
        <w:textAlignment w:val="baseline"/>
        <w:rPr>
          <w:rFonts w:ascii="Segoe UI" w:hAnsi="Segoe UI" w:cs="Segoe UI"/>
          <w:sz w:val="18"/>
          <w:szCs w:val="18"/>
        </w:rPr>
      </w:pPr>
      <w:r w:rsidRPr="00A04491">
        <w:rPr>
          <w:rStyle w:val="normaltextrun"/>
          <w:rFonts w:ascii="Aptos" w:eastAsiaTheme="majorEastAsia" w:hAnsi="Aptos" w:cs="Segoe UI"/>
          <w:b/>
          <w:bCs/>
        </w:rPr>
        <w:t>Secondary data:</w:t>
      </w:r>
      <w:r>
        <w:rPr>
          <w:rStyle w:val="normaltextrun"/>
          <w:rFonts w:ascii="Aptos" w:eastAsiaTheme="majorEastAsia" w:hAnsi="Aptos" w:cs="Segoe UI"/>
        </w:rPr>
        <w:t xml:space="preserve"> National reports, policy documents, and published research will help contextualise findings and support comparative analysis.</w:t>
      </w:r>
      <w:r>
        <w:rPr>
          <w:rStyle w:val="eop"/>
          <w:rFonts w:ascii="Aptos" w:eastAsiaTheme="majorEastAsia" w:hAnsi="Aptos" w:cs="Segoe UI"/>
        </w:rPr>
        <w:t> </w:t>
      </w:r>
    </w:p>
    <w:p w14:paraId="06903DA5" w14:textId="77777777" w:rsidR="004468F8" w:rsidRPr="00BB3C30" w:rsidRDefault="004468F8" w:rsidP="004468F8">
      <w:pPr>
        <w:rPr>
          <w:rFonts w:asciiTheme="minorHAnsi" w:hAnsiTheme="minorHAnsi"/>
          <w:lang w:eastAsia="en-US"/>
        </w:rPr>
      </w:pPr>
    </w:p>
    <w:p w14:paraId="6699907F" w14:textId="77777777" w:rsidR="004468F8" w:rsidRPr="00BB3C30" w:rsidRDefault="004468F8" w:rsidP="004468F8">
      <w:pPr>
        <w:rPr>
          <w:rFonts w:asciiTheme="minorHAnsi" w:hAnsiTheme="minorHAnsi"/>
          <w:lang w:eastAsia="en-US"/>
        </w:rPr>
      </w:pPr>
    </w:p>
    <w:p w14:paraId="2C4942C3" w14:textId="77777777" w:rsidR="004468F8" w:rsidRPr="00BB3C30" w:rsidRDefault="004468F8" w:rsidP="004468F8">
      <w:pPr>
        <w:pStyle w:val="Heading2"/>
        <w:rPr>
          <w:rFonts w:asciiTheme="minorHAnsi" w:eastAsia="Aptos" w:hAnsiTheme="minorHAnsi"/>
          <w:lang w:eastAsia="en-US"/>
        </w:rPr>
      </w:pPr>
      <w:bookmarkStart w:id="11" w:name="_Toc213674540"/>
      <w:r w:rsidRPr="00BB3C30">
        <w:rPr>
          <w:rFonts w:asciiTheme="minorHAnsi" w:eastAsia="Aptos" w:hAnsiTheme="minorHAnsi"/>
          <w:lang w:eastAsia="en-US"/>
        </w:rPr>
        <w:lastRenderedPageBreak/>
        <w:t>What form of data will be used to address your research problem, and why?</w:t>
      </w:r>
      <w:bookmarkEnd w:id="11"/>
    </w:p>
    <w:p w14:paraId="2A8CE076" w14:textId="00CE5D2C" w:rsidR="0043151C" w:rsidRPr="009A788E" w:rsidRDefault="004D7FC4" w:rsidP="0043151C">
      <w:pPr>
        <w:pStyle w:val="paragraph"/>
        <w:spacing w:before="0" w:beforeAutospacing="0" w:after="0" w:afterAutospacing="0"/>
        <w:textAlignment w:val="baseline"/>
        <w:rPr>
          <w:rFonts w:asciiTheme="minorHAnsi" w:hAnsiTheme="minorHAnsi" w:cs="Segoe UI"/>
        </w:rPr>
      </w:pPr>
      <w:r>
        <w:rPr>
          <w:rStyle w:val="normaltextrun"/>
          <w:rFonts w:asciiTheme="minorHAnsi" w:eastAsiaTheme="majorEastAsia" w:hAnsiTheme="minorHAnsi" w:cs="Arial"/>
          <w:color w:val="000000"/>
        </w:rPr>
        <w:t>This research will utilise both primary and secondary data to understand how staff shortages contribute to burnout in UK health and social care settings. </w:t>
      </w:r>
    </w:p>
    <w:p w14:paraId="2DEE336E" w14:textId="16E47F0F" w:rsidR="008B5E9D" w:rsidRPr="009A788E" w:rsidRDefault="0043151C" w:rsidP="008B5E9D">
      <w:pPr>
        <w:pStyle w:val="paragraph"/>
        <w:spacing w:before="0" w:beforeAutospacing="0" w:after="0" w:afterAutospacing="0"/>
        <w:textAlignment w:val="baseline"/>
        <w:rPr>
          <w:rFonts w:asciiTheme="minorHAnsi" w:hAnsiTheme="minorHAnsi" w:cs="Segoe UI"/>
        </w:rPr>
      </w:pPr>
      <w:r w:rsidRPr="009A788E">
        <w:rPr>
          <w:rStyle w:val="eop"/>
          <w:rFonts w:asciiTheme="minorHAnsi" w:eastAsiaTheme="majorEastAsia" w:hAnsiTheme="minorHAnsi" w:cs="Arial"/>
          <w:color w:val="000000"/>
        </w:rPr>
        <w:t> </w:t>
      </w:r>
      <w:bookmarkStart w:id="12" w:name="_Toc213674541"/>
    </w:p>
    <w:p w14:paraId="2637C56D" w14:textId="77777777" w:rsidR="008B5E9D" w:rsidRPr="009A788E" w:rsidRDefault="008B5E9D" w:rsidP="008B5E9D">
      <w:pPr>
        <w:pStyle w:val="paragraph"/>
        <w:spacing w:before="0" w:beforeAutospacing="0" w:after="0" w:afterAutospacing="0"/>
        <w:textAlignment w:val="baseline"/>
        <w:rPr>
          <w:rFonts w:asciiTheme="minorHAnsi" w:hAnsiTheme="minorHAnsi" w:cs="Segoe UI"/>
          <w:sz w:val="18"/>
          <w:szCs w:val="18"/>
        </w:rPr>
      </w:pPr>
      <w:r w:rsidRPr="009A788E">
        <w:rPr>
          <w:rStyle w:val="normaltextrun"/>
          <w:rFonts w:asciiTheme="minorHAnsi" w:eastAsiaTheme="majorEastAsia" w:hAnsiTheme="minorHAnsi" w:cs="Segoe UI"/>
        </w:rPr>
        <w:t>Primary data is essential for capturing real-time staff experiences, while secondary data ensures that findings are situated within wider national workforce patterns (HEE, 2020; DHSC, 2021). Together, these sources strengthen the overall reliability and validity of the research.</w:t>
      </w:r>
      <w:r w:rsidRPr="009A788E">
        <w:rPr>
          <w:rStyle w:val="eop"/>
          <w:rFonts w:asciiTheme="minorHAnsi" w:eastAsiaTheme="majorEastAsia" w:hAnsiTheme="minorHAnsi" w:cs="Segoe UI"/>
        </w:rPr>
        <w:t> </w:t>
      </w:r>
    </w:p>
    <w:p w14:paraId="449D9E7F"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DD634F1"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Case Studies</w:t>
      </w:r>
      <w:r>
        <w:rPr>
          <w:rStyle w:val="eop"/>
          <w:rFonts w:ascii="Aptos" w:eastAsiaTheme="majorEastAsia" w:hAnsi="Aptos" w:cs="Segoe UI"/>
        </w:rPr>
        <w:t> </w:t>
      </w:r>
    </w:p>
    <w:p w14:paraId="4DB9F457"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1DF91EF"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1. NHS Nursing Shortages:</w:t>
      </w:r>
      <w:r>
        <w:rPr>
          <w:rStyle w:val="normaltextrun"/>
          <w:rFonts w:ascii="Aptos" w:eastAsiaTheme="majorEastAsia" w:hAnsi="Aptos" w:cs="Segoe UI"/>
        </w:rPr>
        <w:t> Rising workloads and administrative demands continue to affect retention (RCN, 2022).</w:t>
      </w:r>
      <w:r>
        <w:rPr>
          <w:rStyle w:val="eop"/>
          <w:rFonts w:ascii="Aptos" w:eastAsiaTheme="majorEastAsia" w:hAnsi="Aptos" w:cs="Segoe UI"/>
        </w:rPr>
        <w:t> </w:t>
      </w:r>
    </w:p>
    <w:p w14:paraId="28EE5FFB"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BE4F839"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A138CF4"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2. Adult Social Care: </w:t>
      </w:r>
      <w:r>
        <w:rPr>
          <w:rStyle w:val="normaltextrun"/>
          <w:rFonts w:ascii="Aptos" w:eastAsiaTheme="majorEastAsia" w:hAnsi="Aptos" w:cs="Segoe UI"/>
        </w:rPr>
        <w:t>Staffing gaps contribute to missed visits and inconsistent care delivery (CQC, 2023).</w:t>
      </w:r>
      <w:r>
        <w:rPr>
          <w:rStyle w:val="eop"/>
          <w:rFonts w:ascii="Aptos" w:eastAsiaTheme="majorEastAsia" w:hAnsi="Aptos" w:cs="Segoe UI"/>
        </w:rPr>
        <w:t> </w:t>
      </w:r>
    </w:p>
    <w:p w14:paraId="5B135C35"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0C548EE"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B8B869C"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3. Early-Career Doctors:</w:t>
      </w:r>
      <w:r>
        <w:rPr>
          <w:rStyle w:val="normaltextrun"/>
          <w:rFonts w:ascii="Aptos" w:eastAsiaTheme="majorEastAsia" w:hAnsi="Aptos" w:cs="Segoe UI"/>
        </w:rPr>
        <w:t> High burnout rates pose risks to training quality and future workforce numbers (GMC, 2024).</w:t>
      </w:r>
      <w:r>
        <w:rPr>
          <w:rStyle w:val="eop"/>
          <w:rFonts w:ascii="Aptos" w:eastAsiaTheme="majorEastAsia" w:hAnsi="Aptos" w:cs="Segoe UI"/>
        </w:rPr>
        <w:t> </w:t>
      </w:r>
    </w:p>
    <w:p w14:paraId="32B7F8B2"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6CC9F67"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30C0AFD"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4. Mental Health Services:</w:t>
      </w:r>
      <w:r>
        <w:rPr>
          <w:rStyle w:val="normaltextrun"/>
          <w:rFonts w:ascii="Aptos" w:eastAsiaTheme="majorEastAsia" w:hAnsi="Aptos" w:cs="Segoe UI"/>
        </w:rPr>
        <w:t> Turnover above 40% disrupts therapeutic continuity (AMHP, 2024).</w:t>
      </w:r>
      <w:r>
        <w:rPr>
          <w:rStyle w:val="eop"/>
          <w:rFonts w:ascii="Aptos" w:eastAsiaTheme="majorEastAsia" w:hAnsi="Aptos" w:cs="Segoe UI"/>
        </w:rPr>
        <w:t> </w:t>
      </w:r>
    </w:p>
    <w:p w14:paraId="000E33DA"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BE7DE8E"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951CC70"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rPr>
        <w:t>5. Care Home Management:</w:t>
      </w:r>
      <w:r>
        <w:rPr>
          <w:rStyle w:val="normaltextrun"/>
          <w:rFonts w:ascii="Aptos" w:eastAsiaTheme="majorEastAsia" w:hAnsi="Aptos" w:cs="Segoe UI"/>
        </w:rPr>
        <w:t> High vacancy rates among managers reduce staff support and oversight (CQC, 2023).</w:t>
      </w:r>
      <w:r>
        <w:rPr>
          <w:rStyle w:val="eop"/>
          <w:rFonts w:ascii="Aptos" w:eastAsiaTheme="majorEastAsia" w:hAnsi="Aptos" w:cs="Segoe UI"/>
        </w:rPr>
        <w:t> </w:t>
      </w:r>
    </w:p>
    <w:p w14:paraId="621CD24E"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6BCF094" w14:textId="77777777" w:rsidR="008B5E9D" w:rsidRDefault="008B5E9D" w:rsidP="008B5E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These examples illustrate the broad impact of staffing challenges on care outcomes, staff morale, and organisational functioning.</w:t>
      </w:r>
      <w:r>
        <w:rPr>
          <w:rStyle w:val="eop"/>
          <w:rFonts w:ascii="Aptos" w:eastAsiaTheme="majorEastAsia" w:hAnsi="Aptos" w:cs="Segoe UI"/>
        </w:rPr>
        <w:t> </w:t>
      </w:r>
    </w:p>
    <w:p w14:paraId="69395C7E" w14:textId="77777777" w:rsidR="00530E16" w:rsidRPr="00BB3C30" w:rsidRDefault="004468F8">
      <w:pPr>
        <w:pStyle w:val="Heading1"/>
        <w:jc w:val="both"/>
        <w:rPr>
          <w:rFonts w:asciiTheme="minorHAnsi" w:hAnsiTheme="minorHAnsi"/>
        </w:rPr>
      </w:pPr>
      <w:r w:rsidRPr="00BB3C30">
        <w:rPr>
          <w:rFonts w:asciiTheme="minorHAnsi" w:hAnsiTheme="minorHAnsi"/>
        </w:rPr>
        <w:t>Conclusion</w:t>
      </w:r>
      <w:bookmarkEnd w:id="12"/>
    </w:p>
    <w:p w14:paraId="51969C15" w14:textId="77777777" w:rsidR="00531D99" w:rsidRDefault="00531D99" w:rsidP="00531D99">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Staff shortages and burnout remain critical issues across UK health and social care. High workloads, emotional strain, and limited support systems contribute to reduced staff well-being, increased turnover, and compromised patient care. These challenges also place considerable pressure on organisations striving to maintain safety and service quality.</w:t>
      </w:r>
      <w:r>
        <w:rPr>
          <w:rStyle w:val="eop"/>
          <w:rFonts w:ascii="Aptos" w:eastAsiaTheme="majorEastAsia" w:hAnsi="Aptos" w:cs="Segoe UI"/>
        </w:rPr>
        <w:t> </w:t>
      </w:r>
    </w:p>
    <w:p w14:paraId="19EEC28C" w14:textId="77777777" w:rsidR="00531D99" w:rsidRDefault="00531D99" w:rsidP="00531D99">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7AA446E" w14:textId="259C25B2" w:rsidR="00531D99" w:rsidRDefault="00531D99" w:rsidP="00531D99">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ptos" w:eastAsiaTheme="majorEastAsia" w:hAnsi="Aptos" w:cs="Segoe UI"/>
        </w:rPr>
        <w:t>Through the use of</w:t>
      </w:r>
      <w:proofErr w:type="gramEnd"/>
      <w:r>
        <w:rPr>
          <w:rStyle w:val="normaltextrun"/>
          <w:rFonts w:ascii="Aptos" w:eastAsiaTheme="majorEastAsia" w:hAnsi="Aptos" w:cs="Segoe UI"/>
        </w:rPr>
        <w:t> mixed methods</w:t>
      </w:r>
      <w:r w:rsidR="00460ED8">
        <w:rPr>
          <w:rStyle w:val="normaltextrun"/>
          <w:rFonts w:ascii="Aptos" w:eastAsiaTheme="majorEastAsia" w:hAnsi="Aptos" w:cs="Segoe UI"/>
        </w:rPr>
        <w:t xml:space="preserve">, </w:t>
      </w:r>
      <w:r>
        <w:rPr>
          <w:rStyle w:val="normaltextrun"/>
          <w:rFonts w:ascii="Aptos" w:eastAsiaTheme="majorEastAsia" w:hAnsi="Aptos" w:cs="Segoe UI"/>
        </w:rPr>
        <w:t>combining staff surveys, interviews, and national workforce data</w:t>
      </w:r>
      <w:r w:rsidR="00460ED8">
        <w:rPr>
          <w:rStyle w:val="normaltextrun"/>
          <w:rFonts w:ascii="Aptos" w:eastAsiaTheme="majorEastAsia" w:hAnsi="Aptos" w:cs="Segoe UI"/>
        </w:rPr>
        <w:t xml:space="preserve">, </w:t>
      </w:r>
      <w:r>
        <w:rPr>
          <w:rStyle w:val="normaltextrun"/>
          <w:rFonts w:ascii="Aptos" w:eastAsiaTheme="majorEastAsia" w:hAnsi="Aptos" w:cs="Segoe UI"/>
        </w:rPr>
        <w:t xml:space="preserve">this research will generate practical recommendations aimed at improving working conditions, supporting staff mental health, and strengthening </w:t>
      </w:r>
      <w:r>
        <w:rPr>
          <w:rStyle w:val="normaltextrun"/>
          <w:rFonts w:ascii="Aptos" w:eastAsiaTheme="majorEastAsia" w:hAnsi="Aptos" w:cs="Segoe UI"/>
        </w:rPr>
        <w:lastRenderedPageBreak/>
        <w:t>workforce sustainability. Key areas of focus will include flexible working arrangements, mental health support, and long-term workforce planning.</w:t>
      </w:r>
    </w:p>
    <w:p w14:paraId="4714BBB0" w14:textId="77777777" w:rsidR="004468F8" w:rsidRPr="00BB3C30" w:rsidRDefault="004468F8" w:rsidP="004468F8">
      <w:pPr>
        <w:rPr>
          <w:rFonts w:asciiTheme="minorHAnsi" w:hAnsiTheme="minorHAnsi"/>
        </w:rPr>
      </w:pPr>
    </w:p>
    <w:p w14:paraId="0171355E" w14:textId="77777777" w:rsidR="00530E16" w:rsidRPr="00BB3C30" w:rsidRDefault="004468F8">
      <w:pPr>
        <w:pStyle w:val="Heading1"/>
        <w:rPr>
          <w:rFonts w:asciiTheme="minorHAnsi" w:hAnsiTheme="minorHAnsi"/>
        </w:rPr>
      </w:pPr>
      <w:bookmarkStart w:id="13" w:name="_Toc213674542"/>
      <w:r w:rsidRPr="00BB3C30">
        <w:rPr>
          <w:rFonts w:asciiTheme="minorHAnsi" w:hAnsiTheme="minorHAnsi"/>
        </w:rPr>
        <w:t>References</w:t>
      </w:r>
      <w:bookmarkEnd w:id="13"/>
    </w:p>
    <w:p w14:paraId="5DF63EE0"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Buchan, J. et al. (2019) A critical moment: NHS staffing trends, retention and attrition. London: The Health Foundation.</w:t>
      </w:r>
      <w:r w:rsidRPr="00BB3C30">
        <w:rPr>
          <w:rStyle w:val="eop"/>
          <w:rFonts w:asciiTheme="minorHAnsi" w:eastAsiaTheme="majorEastAsia" w:hAnsiTheme="minorHAnsi" w:cs="Arial"/>
          <w:color w:val="000000"/>
        </w:rPr>
        <w:t> </w:t>
      </w:r>
    </w:p>
    <w:p w14:paraId="4AD70BF7"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36F2CE7C"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Care Quality Commission (CQC) (2023) The state of health care and adult social care in England 2022/23. Newcastle upon Tyne: CQC. Available at: https://www.cqc.org.uk (Accessed: 28 November 2025).</w:t>
      </w:r>
      <w:r w:rsidRPr="00BB3C30">
        <w:rPr>
          <w:rStyle w:val="eop"/>
          <w:rFonts w:asciiTheme="minorHAnsi" w:eastAsiaTheme="majorEastAsia" w:hAnsiTheme="minorHAnsi" w:cs="Arial"/>
          <w:color w:val="000000"/>
        </w:rPr>
        <w:t> </w:t>
      </w:r>
    </w:p>
    <w:p w14:paraId="1BE83707"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3693C210"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Department of Health and Social Care (DHSC) (2021) People at the Heart of Care: Adult Social Care Reform White Paper. London: DHSC. Available at: https://www.gov.uk/government/publications (Accessed: 28 November 2025).</w:t>
      </w:r>
      <w:r w:rsidRPr="00BB3C30">
        <w:rPr>
          <w:rStyle w:val="eop"/>
          <w:rFonts w:asciiTheme="minorHAnsi" w:eastAsiaTheme="majorEastAsia" w:hAnsiTheme="minorHAnsi" w:cs="Arial"/>
          <w:color w:val="000000"/>
        </w:rPr>
        <w:t> </w:t>
      </w:r>
    </w:p>
    <w:p w14:paraId="5D88B455"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07AF685"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Health Education England (HEE) (2020) The future NHS workforce: A digital vision. London: HEE. Available at: https://www.hee.nhs.uk (Accessed: 28 November 2025).</w:t>
      </w:r>
      <w:r w:rsidRPr="00BB3C30">
        <w:rPr>
          <w:rStyle w:val="eop"/>
          <w:rFonts w:asciiTheme="minorHAnsi" w:eastAsiaTheme="majorEastAsia" w:hAnsiTheme="minorHAnsi" w:cs="Arial"/>
          <w:color w:val="000000"/>
        </w:rPr>
        <w:t> </w:t>
      </w:r>
    </w:p>
    <w:p w14:paraId="68503DC1"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95E1577"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House of Commons Health and Social Care Committee (2022) Workforce: Recruitment, training and retention in health and social care. London: House of Commons. Available at: https://committees.parliament.uk (Accessed: 28 November 2025).</w:t>
      </w:r>
      <w:r w:rsidRPr="00BB3C30">
        <w:rPr>
          <w:rStyle w:val="eop"/>
          <w:rFonts w:asciiTheme="minorHAnsi" w:eastAsiaTheme="majorEastAsia" w:hAnsiTheme="minorHAnsi" w:cs="Arial"/>
          <w:color w:val="000000"/>
        </w:rPr>
        <w:t> </w:t>
      </w:r>
    </w:p>
    <w:p w14:paraId="596A55D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5F6BEA40"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King’s Fund (2022) NHS workforce: Key issues and challenges. London: King’s Fund. Available at: https://www.kingsfund.org.uk (Accessed: 29 November 2025).</w:t>
      </w:r>
      <w:r w:rsidRPr="00BB3C30">
        <w:rPr>
          <w:rStyle w:val="eop"/>
          <w:rFonts w:asciiTheme="minorHAnsi" w:eastAsiaTheme="majorEastAsia" w:hAnsiTheme="minorHAnsi" w:cs="Arial"/>
          <w:color w:val="000000"/>
        </w:rPr>
        <w:t> </w:t>
      </w:r>
    </w:p>
    <w:p w14:paraId="4A068E9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7898FB90"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Mental Health Foundation (2020) Burnout: Risk factors and prevention. London: Mental Health Foundation. Available at: https://www.mentalhealth.org.uk (Accessed: 29 November 2025).</w:t>
      </w:r>
      <w:r w:rsidRPr="00BB3C30">
        <w:rPr>
          <w:rStyle w:val="eop"/>
          <w:rFonts w:asciiTheme="minorHAnsi" w:eastAsiaTheme="majorEastAsia" w:hAnsiTheme="minorHAnsi" w:cs="Arial"/>
          <w:color w:val="000000"/>
        </w:rPr>
        <w:t> </w:t>
      </w:r>
    </w:p>
    <w:p w14:paraId="1FF7B2CF"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7C936D7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NHS England (2023) NHS Long Term Workforce Plan. Leeds: NHS England. Available at: https://www.england.nhs.uk (Accessed: 28 November 2025).</w:t>
      </w:r>
      <w:r w:rsidRPr="00BB3C30">
        <w:rPr>
          <w:rStyle w:val="eop"/>
          <w:rFonts w:asciiTheme="minorHAnsi" w:eastAsiaTheme="majorEastAsia" w:hAnsiTheme="minorHAnsi" w:cs="Arial"/>
          <w:color w:val="000000"/>
        </w:rPr>
        <w:t> </w:t>
      </w:r>
    </w:p>
    <w:p w14:paraId="3EDB45E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7D15501C"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Royal College of Nursing (RCN) (2022) Nursing workforce shortages: The urgent need for action. London: RCN. Available at: https://www.rcn.org.uk (Accessed: 29 November 2025).</w:t>
      </w:r>
      <w:r w:rsidRPr="00BB3C30">
        <w:rPr>
          <w:rStyle w:val="eop"/>
          <w:rFonts w:asciiTheme="minorHAnsi" w:eastAsiaTheme="majorEastAsia" w:hAnsiTheme="minorHAnsi" w:cs="Arial"/>
          <w:color w:val="000000"/>
        </w:rPr>
        <w:t> </w:t>
      </w:r>
    </w:p>
    <w:p w14:paraId="35AF2DEB"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1C817201"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Skills for Care (2023) The state of the adult social care sector and workforce in England 2023. Leeds: Skills for Care. Available at: https://www.skillsforcare.org.uk (Accessed: 29 November 2025).</w:t>
      </w:r>
      <w:r w:rsidRPr="00BB3C30">
        <w:rPr>
          <w:rStyle w:val="eop"/>
          <w:rFonts w:asciiTheme="minorHAnsi" w:eastAsiaTheme="majorEastAsia" w:hAnsiTheme="minorHAnsi" w:cs="Arial"/>
          <w:color w:val="000000"/>
        </w:rPr>
        <w:t> </w:t>
      </w:r>
    </w:p>
    <w:p w14:paraId="2CFF5DD7"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5BBFD3E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General Medical Council (GMC) (2024) Workplace and training experiences survey. London: GMC. Available at: https://www.gmc-uk.org (Accessed: 28 November 2025).</w:t>
      </w:r>
      <w:r w:rsidRPr="00BB3C30">
        <w:rPr>
          <w:rStyle w:val="eop"/>
          <w:rFonts w:asciiTheme="minorHAnsi" w:eastAsiaTheme="majorEastAsia" w:hAnsiTheme="minorHAnsi" w:cs="Arial"/>
          <w:color w:val="000000"/>
        </w:rPr>
        <w:t> </w:t>
      </w:r>
    </w:p>
    <w:p w14:paraId="693113BE"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1ACF3D29"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lastRenderedPageBreak/>
        <w:t>World Health Organization (WHO) (2019) Burn-out an “occupational phenomenon”: International Classification of Diseases. Geneva: WHO. Available at: https://www.who.int (Accessed: 28 November 2025).</w:t>
      </w:r>
      <w:r w:rsidRPr="00BB3C30">
        <w:rPr>
          <w:rStyle w:val="eop"/>
          <w:rFonts w:asciiTheme="minorHAnsi" w:eastAsiaTheme="majorEastAsia" w:hAnsiTheme="minorHAnsi" w:cs="Arial"/>
          <w:color w:val="000000"/>
        </w:rPr>
        <w:t> </w:t>
      </w:r>
    </w:p>
    <w:p w14:paraId="1B6A1F45"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513E5795"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normaltextrun"/>
          <w:rFonts w:asciiTheme="minorHAnsi" w:eastAsiaTheme="majorEastAsia" w:hAnsiTheme="minorHAnsi" w:cs="Arial"/>
          <w:color w:val="000000"/>
        </w:rPr>
        <w:t>Association of Mental Health Providers (AMHP) (2024) Workforce pressures in mental health services. London: AMHP. Available at: https://www.amhp.org.uk (Accessed: 29 November 2025).</w:t>
      </w:r>
      <w:r w:rsidRPr="00BB3C30">
        <w:rPr>
          <w:rStyle w:val="eop"/>
          <w:rFonts w:asciiTheme="minorHAnsi" w:eastAsiaTheme="majorEastAsia" w:hAnsiTheme="minorHAnsi" w:cs="Arial"/>
          <w:color w:val="000000"/>
        </w:rPr>
        <w:t> </w:t>
      </w:r>
    </w:p>
    <w:p w14:paraId="5FB2CDD6" w14:textId="77777777" w:rsidR="00201EA1" w:rsidRPr="00BB3C30" w:rsidRDefault="00201EA1" w:rsidP="00201EA1">
      <w:pPr>
        <w:pStyle w:val="paragraph"/>
        <w:spacing w:before="0" w:beforeAutospacing="0" w:after="0" w:afterAutospacing="0"/>
        <w:textAlignment w:val="baseline"/>
        <w:rPr>
          <w:rFonts w:asciiTheme="minorHAnsi" w:hAnsiTheme="minorHAnsi" w:cs="Segoe UI"/>
        </w:rPr>
      </w:pPr>
      <w:r w:rsidRPr="00BB3C30">
        <w:rPr>
          <w:rStyle w:val="eop"/>
          <w:rFonts w:asciiTheme="minorHAnsi" w:eastAsiaTheme="majorEastAsia" w:hAnsiTheme="minorHAnsi" w:cs="Arial"/>
          <w:color w:val="000000"/>
        </w:rPr>
        <w:t> </w:t>
      </w:r>
    </w:p>
    <w:p w14:paraId="6F19163C" w14:textId="3FD809A1" w:rsidR="00530E16" w:rsidRPr="00BB3C30" w:rsidRDefault="00530E16" w:rsidP="00201EA1">
      <w:pPr>
        <w:rPr>
          <w:rFonts w:asciiTheme="minorHAnsi" w:eastAsia="Arial" w:hAnsiTheme="minorHAnsi" w:cs="Arial"/>
          <w:color w:val="FF0000"/>
        </w:rPr>
      </w:pPr>
    </w:p>
    <w:sectPr w:rsidR="00530E16" w:rsidRPr="00BB3C30"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76BA3" w14:textId="77777777" w:rsidR="00B108B2" w:rsidRDefault="00B108B2" w:rsidP="002A1842">
      <w:pPr>
        <w:spacing w:after="0" w:line="240" w:lineRule="auto"/>
      </w:pPr>
      <w:r>
        <w:separator/>
      </w:r>
    </w:p>
  </w:endnote>
  <w:endnote w:type="continuationSeparator" w:id="0">
    <w:p w14:paraId="084FE877" w14:textId="77777777" w:rsidR="00B108B2" w:rsidRDefault="00B108B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3C706D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55D5A2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C01CD3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C2AAD7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A704B" w14:textId="77777777" w:rsidR="00B108B2" w:rsidRDefault="00B108B2" w:rsidP="002A1842">
      <w:pPr>
        <w:spacing w:after="0" w:line="240" w:lineRule="auto"/>
      </w:pPr>
      <w:r>
        <w:separator/>
      </w:r>
    </w:p>
  </w:footnote>
  <w:footnote w:type="continuationSeparator" w:id="0">
    <w:p w14:paraId="506B54F3" w14:textId="77777777" w:rsidR="00B108B2" w:rsidRDefault="00B108B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CE1421E"/>
    <w:multiLevelType w:val="multilevel"/>
    <w:tmpl w:val="76CA7E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D84E1A"/>
    <w:multiLevelType w:val="multilevel"/>
    <w:tmpl w:val="F6E430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B616BC"/>
    <w:multiLevelType w:val="multilevel"/>
    <w:tmpl w:val="C20856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2C3ACF"/>
    <w:multiLevelType w:val="multilevel"/>
    <w:tmpl w:val="D35C27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7A27974"/>
    <w:multiLevelType w:val="multilevel"/>
    <w:tmpl w:val="34FE5A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180EEB"/>
    <w:multiLevelType w:val="multilevel"/>
    <w:tmpl w:val="FC749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B31EE0"/>
    <w:multiLevelType w:val="multilevel"/>
    <w:tmpl w:val="6D3AD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585600"/>
    <w:multiLevelType w:val="multilevel"/>
    <w:tmpl w:val="12CC9F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7F4254"/>
    <w:multiLevelType w:val="multilevel"/>
    <w:tmpl w:val="913AF7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6E4A6DB2"/>
    <w:multiLevelType w:val="hybridMultilevel"/>
    <w:tmpl w:val="5470C29A"/>
    <w:lvl w:ilvl="0" w:tplc="C5F8697C">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3D0490D"/>
    <w:multiLevelType w:val="multilevel"/>
    <w:tmpl w:val="7028498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7C9E0785"/>
    <w:multiLevelType w:val="hybridMultilevel"/>
    <w:tmpl w:val="880CDC5A"/>
    <w:lvl w:ilvl="0" w:tplc="784458DC">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7F681BA7"/>
    <w:multiLevelType w:val="multilevel"/>
    <w:tmpl w:val="19B47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4035280">
    <w:abstractNumId w:val="15"/>
  </w:num>
  <w:num w:numId="2" w16cid:durableId="1725568101">
    <w:abstractNumId w:val="12"/>
  </w:num>
  <w:num w:numId="3" w16cid:durableId="835923800">
    <w:abstractNumId w:val="6"/>
  </w:num>
  <w:num w:numId="4" w16cid:durableId="1126121022">
    <w:abstractNumId w:val="3"/>
  </w:num>
  <w:num w:numId="5" w16cid:durableId="843863839">
    <w:abstractNumId w:val="13"/>
  </w:num>
  <w:num w:numId="6" w16cid:durableId="328411521">
    <w:abstractNumId w:val="0"/>
  </w:num>
  <w:num w:numId="7" w16cid:durableId="559291950">
    <w:abstractNumId w:val="19"/>
  </w:num>
  <w:num w:numId="8" w16cid:durableId="2015376347">
    <w:abstractNumId w:val="17"/>
  </w:num>
  <w:num w:numId="9" w16cid:durableId="78257101">
    <w:abstractNumId w:val="20"/>
  </w:num>
  <w:num w:numId="10" w16cid:durableId="975909601">
    <w:abstractNumId w:val="5"/>
  </w:num>
  <w:num w:numId="11" w16cid:durableId="353843162">
    <w:abstractNumId w:val="4"/>
  </w:num>
  <w:num w:numId="12" w16cid:durableId="542056434">
    <w:abstractNumId w:val="11"/>
  </w:num>
  <w:num w:numId="13" w16cid:durableId="263268327">
    <w:abstractNumId w:val="8"/>
  </w:num>
  <w:num w:numId="14" w16cid:durableId="2056853443">
    <w:abstractNumId w:val="2"/>
  </w:num>
  <w:num w:numId="15" w16cid:durableId="1256329843">
    <w:abstractNumId w:val="7"/>
  </w:num>
  <w:num w:numId="16" w16cid:durableId="1920360643">
    <w:abstractNumId w:val="14"/>
  </w:num>
  <w:num w:numId="17" w16cid:durableId="995107873">
    <w:abstractNumId w:val="9"/>
  </w:num>
  <w:num w:numId="18" w16cid:durableId="2076972673">
    <w:abstractNumId w:val="10"/>
  </w:num>
  <w:num w:numId="19" w16cid:durableId="967781758">
    <w:abstractNumId w:val="1"/>
  </w:num>
  <w:num w:numId="20" w16cid:durableId="939145282">
    <w:abstractNumId w:val="16"/>
  </w:num>
  <w:num w:numId="21" w16cid:durableId="32428776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035CC"/>
    <w:rsid w:val="00142973"/>
    <w:rsid w:val="00172AD1"/>
    <w:rsid w:val="001813E7"/>
    <w:rsid w:val="00190327"/>
    <w:rsid w:val="00196C28"/>
    <w:rsid w:val="00201EA1"/>
    <w:rsid w:val="00211E24"/>
    <w:rsid w:val="002A1842"/>
    <w:rsid w:val="002F4E81"/>
    <w:rsid w:val="00313A7F"/>
    <w:rsid w:val="00371225"/>
    <w:rsid w:val="003F74D1"/>
    <w:rsid w:val="0043151C"/>
    <w:rsid w:val="0043270D"/>
    <w:rsid w:val="004468F8"/>
    <w:rsid w:val="00460ED8"/>
    <w:rsid w:val="004D7FC4"/>
    <w:rsid w:val="00530E16"/>
    <w:rsid w:val="00531D99"/>
    <w:rsid w:val="005765A1"/>
    <w:rsid w:val="006100CE"/>
    <w:rsid w:val="00655110"/>
    <w:rsid w:val="00722EFE"/>
    <w:rsid w:val="007269FE"/>
    <w:rsid w:val="007536F6"/>
    <w:rsid w:val="007577A9"/>
    <w:rsid w:val="007637E9"/>
    <w:rsid w:val="00786C68"/>
    <w:rsid w:val="007C5330"/>
    <w:rsid w:val="007C7D14"/>
    <w:rsid w:val="008525CE"/>
    <w:rsid w:val="008867B0"/>
    <w:rsid w:val="008B5E9D"/>
    <w:rsid w:val="008E7834"/>
    <w:rsid w:val="00917C1A"/>
    <w:rsid w:val="00977C6B"/>
    <w:rsid w:val="009A788E"/>
    <w:rsid w:val="009F60D1"/>
    <w:rsid w:val="00A04491"/>
    <w:rsid w:val="00A75B15"/>
    <w:rsid w:val="00AE06EA"/>
    <w:rsid w:val="00B108B2"/>
    <w:rsid w:val="00B3070A"/>
    <w:rsid w:val="00B65ED6"/>
    <w:rsid w:val="00BA0043"/>
    <w:rsid w:val="00BA45E4"/>
    <w:rsid w:val="00BA58E3"/>
    <w:rsid w:val="00BB3C30"/>
    <w:rsid w:val="00BC6DFB"/>
    <w:rsid w:val="00C26E13"/>
    <w:rsid w:val="00C74263"/>
    <w:rsid w:val="00C87A5B"/>
    <w:rsid w:val="00C94A14"/>
    <w:rsid w:val="00C961FF"/>
    <w:rsid w:val="00CA192F"/>
    <w:rsid w:val="00CF650B"/>
    <w:rsid w:val="00D41BD2"/>
    <w:rsid w:val="00D62A9C"/>
    <w:rsid w:val="00DB181C"/>
    <w:rsid w:val="00DD6C05"/>
    <w:rsid w:val="00DE78F9"/>
    <w:rsid w:val="00EA555F"/>
    <w:rsid w:val="00EE1AD3"/>
    <w:rsid w:val="00F618F2"/>
    <w:rsid w:val="00F82B52"/>
    <w:rsid w:val="00FA3CF6"/>
    <w:rsid w:val="00FE6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C34B2"/>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paragraph">
    <w:name w:val="paragraph"/>
    <w:basedOn w:val="Normal"/>
    <w:rsid w:val="00201EA1"/>
    <w:pPr>
      <w:spacing w:before="100" w:beforeAutospacing="1" w:after="100" w:afterAutospacing="1" w:line="240" w:lineRule="auto"/>
    </w:pPr>
    <w:rPr>
      <w:rFonts w:ascii="Times New Roman" w:eastAsia="Times New Roman" w:hAnsi="Times New Roman" w:cs="Times New Roman"/>
    </w:rPr>
  </w:style>
  <w:style w:type="character" w:customStyle="1" w:styleId="normaltextrun">
    <w:name w:val="normaltextrun"/>
    <w:basedOn w:val="DefaultParagraphFont"/>
    <w:rsid w:val="00201EA1"/>
  </w:style>
  <w:style w:type="character" w:customStyle="1" w:styleId="eop">
    <w:name w:val="eop"/>
    <w:basedOn w:val="DefaultParagraphFont"/>
    <w:rsid w:val="00201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3490</TotalTime>
  <Pages>9</Pages>
  <Words>1607</Words>
  <Characters>11148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barbara campbell</cp:lastModifiedBy>
  <cp:revision>23</cp:revision>
  <dcterms:created xsi:type="dcterms:W3CDTF">2025-12-02T23:30:00Z</dcterms:created>
  <dcterms:modified xsi:type="dcterms:W3CDTF">2025-12-05T10:01:00Z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f4127a23-1674-4460-a7da-60031d7ae063</vt:lpwstr>
  </property>
</Properties>
</file>