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8F42F" w14:textId="5684E47B" w:rsidR="00694A8B" w:rsidRDefault="00694A8B" w:rsidP="00C92978">
      <w:pPr>
        <w:spacing w:before="680" w:after="90" w:line="360" w:lineRule="auto"/>
        <w:jc w:val="both"/>
        <w:rPr>
          <w:b/>
          <w:bCs/>
          <w:color w:val="1A1A2E"/>
          <w:sz w:val="50"/>
          <w:szCs w:val="50"/>
        </w:rPr>
      </w:pPr>
      <w:r>
        <w:rPr>
          <w:b/>
          <w:bCs/>
          <w:noProof/>
          <w:color w:val="1A1A2E"/>
          <w:sz w:val="50"/>
          <w:szCs w:val="50"/>
        </w:rPr>
        <w:drawing>
          <wp:anchor distT="0" distB="0" distL="114300" distR="114300" simplePos="0" relativeHeight="251659264" behindDoc="0" locked="0" layoutInCell="1" allowOverlap="1" wp14:anchorId="433E201F" wp14:editId="17862E4B">
            <wp:simplePos x="0" y="0"/>
            <wp:positionH relativeFrom="column">
              <wp:posOffset>1295400</wp:posOffset>
            </wp:positionH>
            <wp:positionV relativeFrom="paragraph">
              <wp:posOffset>0</wp:posOffset>
            </wp:positionV>
            <wp:extent cx="3598164" cy="1440180"/>
            <wp:effectExtent l="0" t="0" r="2540" b="7620"/>
            <wp:wrapThrough wrapText="bothSides">
              <wp:wrapPolygon edited="0">
                <wp:start x="0" y="0"/>
                <wp:lineTo x="0" y="21429"/>
                <wp:lineTo x="21501" y="21429"/>
                <wp:lineTo x="21501" y="0"/>
                <wp:lineTo x="0" y="0"/>
              </wp:wrapPolygon>
            </wp:wrapThrough>
            <wp:docPr id="17068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4364" name="Picture 170684364"/>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p>
    <w:p w14:paraId="08FEF5BC" w14:textId="77777777" w:rsidR="00694A8B" w:rsidRDefault="00694A8B" w:rsidP="00C92978">
      <w:pPr>
        <w:spacing w:before="680" w:after="90" w:line="360" w:lineRule="auto"/>
        <w:jc w:val="both"/>
        <w:rPr>
          <w:b/>
          <w:bCs/>
          <w:color w:val="1A1A2E"/>
          <w:sz w:val="50"/>
          <w:szCs w:val="50"/>
        </w:rPr>
      </w:pPr>
    </w:p>
    <w:p w14:paraId="334ADE21" w14:textId="77777777" w:rsidR="00694A8B" w:rsidRPr="00694A8B" w:rsidRDefault="00694A8B" w:rsidP="00C92978">
      <w:pPr>
        <w:spacing w:before="680" w:after="90" w:line="360" w:lineRule="auto"/>
        <w:jc w:val="center"/>
        <w:rPr>
          <w:b/>
          <w:bCs/>
          <w:color w:val="1A1A2E"/>
          <w:sz w:val="50"/>
          <w:szCs w:val="50"/>
        </w:rPr>
      </w:pPr>
      <w:r>
        <w:rPr>
          <w:b/>
          <w:bCs/>
          <w:color w:val="1A1A2E"/>
          <w:sz w:val="50"/>
          <w:szCs w:val="50"/>
        </w:rPr>
        <w:t>Master of Business Administration</w:t>
      </w:r>
    </w:p>
    <w:p w14:paraId="5A386B75" w14:textId="1B60345A" w:rsidR="00694A8B" w:rsidRPr="00694A8B" w:rsidRDefault="00694A8B" w:rsidP="00C92978">
      <w:pPr>
        <w:spacing w:after="90" w:line="360" w:lineRule="auto"/>
        <w:jc w:val="center"/>
        <w:rPr>
          <w:color w:val="1A1A2E"/>
          <w:sz w:val="32"/>
          <w:szCs w:val="32"/>
        </w:rPr>
      </w:pPr>
      <w:r>
        <w:rPr>
          <w:color w:val="1A1A2E"/>
          <w:sz w:val="32"/>
          <w:szCs w:val="32"/>
        </w:rPr>
        <w:t xml:space="preserve">Lecturer: </w:t>
      </w:r>
      <w:r w:rsidR="006E7775">
        <w:rPr>
          <w:color w:val="1A1A2E"/>
          <w:sz w:val="32"/>
          <w:szCs w:val="32"/>
        </w:rPr>
        <w:t>Balendran Kandasamy</w:t>
      </w:r>
    </w:p>
    <w:p w14:paraId="417F4EAE" w14:textId="52BF9680" w:rsidR="00694A8B" w:rsidRPr="00694A8B" w:rsidRDefault="00694A8B" w:rsidP="00C92978">
      <w:pPr>
        <w:spacing w:after="90" w:line="360" w:lineRule="auto"/>
        <w:jc w:val="center"/>
        <w:rPr>
          <w:b/>
          <w:bCs/>
          <w:color w:val="1A1A2E"/>
          <w:sz w:val="36"/>
          <w:szCs w:val="36"/>
        </w:rPr>
      </w:pPr>
      <w:r>
        <w:rPr>
          <w:b/>
          <w:bCs/>
          <w:color w:val="1A1A2E"/>
          <w:sz w:val="36"/>
          <w:szCs w:val="36"/>
        </w:rPr>
        <w:t>Module</w:t>
      </w:r>
      <w:r w:rsidR="001F06FA">
        <w:rPr>
          <w:b/>
          <w:bCs/>
          <w:color w:val="1A1A2E"/>
          <w:sz w:val="36"/>
          <w:szCs w:val="36"/>
        </w:rPr>
        <w:t>: Strategic</w:t>
      </w:r>
      <w:r>
        <w:rPr>
          <w:b/>
          <w:bCs/>
          <w:color w:val="1A1A2E"/>
          <w:sz w:val="36"/>
          <w:szCs w:val="36"/>
        </w:rPr>
        <w:t xml:space="preserve"> Management</w:t>
      </w:r>
    </w:p>
    <w:p w14:paraId="4BFA479F" w14:textId="77777777" w:rsidR="00694A8B" w:rsidRPr="00694A8B" w:rsidRDefault="00694A8B" w:rsidP="00C92978">
      <w:pPr>
        <w:spacing w:after="90" w:line="360" w:lineRule="auto"/>
        <w:jc w:val="center"/>
        <w:rPr>
          <w:b/>
          <w:bCs/>
          <w:color w:val="1A1A2E"/>
          <w:sz w:val="36"/>
          <w:szCs w:val="36"/>
        </w:rPr>
      </w:pPr>
      <w:r>
        <w:rPr>
          <w:b/>
          <w:bCs/>
          <w:color w:val="1A1A2E"/>
          <w:sz w:val="36"/>
          <w:szCs w:val="36"/>
        </w:rPr>
        <w:t>Module code: LCMB7003</w:t>
      </w:r>
    </w:p>
    <w:p w14:paraId="1DCB7905" w14:textId="7BD3FFDD" w:rsidR="00694A8B" w:rsidRPr="00694A8B" w:rsidRDefault="00694A8B" w:rsidP="00C92978">
      <w:pPr>
        <w:spacing w:after="90" w:line="360" w:lineRule="auto"/>
        <w:jc w:val="center"/>
        <w:rPr>
          <w:color w:val="1A1A2E"/>
          <w:sz w:val="36"/>
          <w:szCs w:val="36"/>
        </w:rPr>
      </w:pPr>
      <w:r>
        <w:rPr>
          <w:color w:val="1A1A2E"/>
          <w:sz w:val="36"/>
          <w:szCs w:val="36"/>
        </w:rPr>
        <w:t>Level</w:t>
      </w:r>
      <w:r w:rsidR="001F06FA">
        <w:rPr>
          <w:color w:val="1A1A2E"/>
          <w:sz w:val="36"/>
          <w:szCs w:val="36"/>
        </w:rPr>
        <w:t>: Masters</w:t>
      </w:r>
      <w:r>
        <w:rPr>
          <w:color w:val="1A1A2E"/>
          <w:sz w:val="36"/>
          <w:szCs w:val="36"/>
        </w:rPr>
        <w:t xml:space="preserve"> (Level 7)</w:t>
      </w:r>
    </w:p>
    <w:p w14:paraId="3B0947A6" w14:textId="3825D0E3" w:rsidR="00420722" w:rsidRDefault="00000000" w:rsidP="00C92978">
      <w:pPr>
        <w:spacing w:before="680" w:after="90" w:line="360" w:lineRule="auto"/>
        <w:jc w:val="center"/>
      </w:pPr>
      <w:r>
        <w:rPr>
          <w:b/>
          <w:bCs/>
          <w:color w:val="1A1A2E"/>
          <w:sz w:val="50"/>
          <w:szCs w:val="50"/>
        </w:rPr>
        <w:t>STRATEGIC MANAGEMENT ANALYSIS</w:t>
      </w:r>
    </w:p>
    <w:p w14:paraId="6E0E87EA" w14:textId="77777777" w:rsidR="00420722" w:rsidRDefault="00000000" w:rsidP="00C92978">
      <w:pPr>
        <w:spacing w:before="70" w:after="70" w:line="360" w:lineRule="auto"/>
        <w:jc w:val="center"/>
      </w:pPr>
      <w:r>
        <w:rPr>
          <w:b/>
          <w:bCs/>
          <w:color w:val="B8860B"/>
          <w:sz w:val="46"/>
          <w:szCs w:val="46"/>
        </w:rPr>
        <w:t>DIAGEO PLC</w:t>
      </w:r>
    </w:p>
    <w:p w14:paraId="3E810954" w14:textId="77777777" w:rsidR="00420722" w:rsidRDefault="00000000" w:rsidP="00C92978">
      <w:pPr>
        <w:spacing w:before="50" w:after="200" w:line="360" w:lineRule="auto"/>
        <w:jc w:val="center"/>
      </w:pPr>
      <w:r>
        <w:rPr>
          <w:i/>
          <w:iCs/>
          <w:color w:val="444444"/>
          <w:sz w:val="24"/>
          <w:szCs w:val="24"/>
        </w:rPr>
        <w:t>Achieving Sustainable Competitive Advantage in the Global Beverages Industry</w:t>
      </w:r>
    </w:p>
    <w:p w14:paraId="2565191A" w14:textId="3A8A9962" w:rsidR="00694A8B" w:rsidRDefault="00000000" w:rsidP="00C92978">
      <w:pPr>
        <w:spacing w:before="38" w:after="38" w:line="360" w:lineRule="auto"/>
        <w:jc w:val="center"/>
        <w:rPr>
          <w:color w:val="444444"/>
        </w:rPr>
      </w:pPr>
      <w:proofErr w:type="spellStart"/>
      <w:r>
        <w:rPr>
          <w:b/>
          <w:bCs/>
          <w:color w:val="1A1A2E"/>
        </w:rPr>
        <w:t>Organisation</w:t>
      </w:r>
      <w:proofErr w:type="spellEnd"/>
      <w:r w:rsidR="001F06FA">
        <w:rPr>
          <w:b/>
          <w:bCs/>
          <w:color w:val="1A1A2E"/>
        </w:rPr>
        <w:t>: Diageo</w:t>
      </w:r>
      <w:r>
        <w:rPr>
          <w:color w:val="444444"/>
        </w:rPr>
        <w:t xml:space="preserve"> Plc</w:t>
      </w:r>
    </w:p>
    <w:p w14:paraId="2742F589" w14:textId="2093983F" w:rsidR="00694A8B" w:rsidRPr="00694A8B" w:rsidRDefault="00694A8B" w:rsidP="00C92978">
      <w:pPr>
        <w:spacing w:before="38" w:after="38" w:line="360" w:lineRule="auto"/>
        <w:jc w:val="center"/>
      </w:pPr>
      <w:r>
        <w:rPr>
          <w:color w:val="444444"/>
        </w:rPr>
        <w:br/>
      </w:r>
      <w:r>
        <w:rPr>
          <w:b/>
          <w:bCs/>
        </w:rPr>
        <w:t>Student name:</w:t>
      </w:r>
      <w:r w:rsidR="006E7775">
        <w:rPr>
          <w:b/>
          <w:bCs/>
        </w:rPr>
        <w:t xml:space="preserve"> Md Ranu Miah</w:t>
      </w:r>
    </w:p>
    <w:p w14:paraId="64666F99" w14:textId="017FF99C" w:rsidR="00420722" w:rsidRDefault="00694A8B" w:rsidP="001F06FA">
      <w:pPr>
        <w:spacing w:before="38" w:after="38" w:line="360" w:lineRule="auto"/>
        <w:jc w:val="center"/>
      </w:pPr>
      <w:r>
        <w:rPr>
          <w:b/>
          <w:bCs/>
        </w:rPr>
        <w:t>Student ID number:</w:t>
      </w:r>
      <w:r w:rsidR="006E7775">
        <w:rPr>
          <w:b/>
          <w:bCs/>
        </w:rPr>
        <w:t xml:space="preserve"> 2437168</w:t>
      </w:r>
    </w:p>
    <w:p w14:paraId="0CD289BA" w14:textId="58AFF397" w:rsidR="00420722" w:rsidRDefault="00000000" w:rsidP="00C92978">
      <w:pPr>
        <w:spacing w:before="200" w:after="80" w:line="360" w:lineRule="auto"/>
        <w:jc w:val="center"/>
      </w:pPr>
      <w:r>
        <w:rPr>
          <w:i/>
          <w:iCs/>
          <w:color w:val="666666"/>
          <w:sz w:val="19"/>
          <w:szCs w:val="19"/>
        </w:rPr>
        <w:t>Word Count: ≈</w:t>
      </w:r>
      <w:r w:rsidR="001F06FA">
        <w:rPr>
          <w:i/>
          <w:iCs/>
          <w:color w:val="666666"/>
          <w:sz w:val="19"/>
          <w:szCs w:val="19"/>
        </w:rPr>
        <w:t>5</w:t>
      </w:r>
      <w:r>
        <w:rPr>
          <w:i/>
          <w:iCs/>
          <w:color w:val="666666"/>
          <w:sz w:val="19"/>
          <w:szCs w:val="19"/>
        </w:rPr>
        <w:t>,</w:t>
      </w:r>
      <w:r w:rsidR="001F06FA">
        <w:rPr>
          <w:i/>
          <w:iCs/>
          <w:color w:val="666666"/>
          <w:sz w:val="19"/>
          <w:szCs w:val="19"/>
        </w:rPr>
        <w:t>24</w:t>
      </w:r>
      <w:r>
        <w:rPr>
          <w:i/>
          <w:iCs/>
          <w:color w:val="666666"/>
          <w:sz w:val="19"/>
          <w:szCs w:val="19"/>
        </w:rPr>
        <w:t>0 words (excluding figures, and references)</w:t>
      </w:r>
    </w:p>
    <w:sdt>
      <w:sdtPr>
        <w:rPr>
          <w:rFonts w:ascii="Arial" w:eastAsia="Arial" w:hAnsi="Arial" w:cs="Arial"/>
          <w:color w:val="auto"/>
          <w:sz w:val="22"/>
          <w:szCs w:val="22"/>
        </w:rPr>
        <w:id w:val="798806014"/>
        <w:docPartObj>
          <w:docPartGallery w:val="Table of Contents"/>
          <w:docPartUnique/>
        </w:docPartObj>
      </w:sdtPr>
      <w:sdtEndPr>
        <w:rPr>
          <w:b/>
          <w:bCs/>
          <w:noProof/>
        </w:rPr>
      </w:sdtEndPr>
      <w:sdtContent>
        <w:p w14:paraId="0DC03162" w14:textId="037AC46F" w:rsidR="009B1869" w:rsidRDefault="009B1869" w:rsidP="00C92978">
          <w:pPr>
            <w:pStyle w:val="TOCHeading"/>
            <w:spacing w:line="360" w:lineRule="auto"/>
            <w:jc w:val="both"/>
          </w:pPr>
          <w:r>
            <w:t>Table of Contents</w:t>
          </w:r>
        </w:p>
        <w:p w14:paraId="061B2332" w14:textId="364DB5BA"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8432222" w:history="1">
            <w:r w:rsidRPr="002673EB">
              <w:rPr>
                <w:rStyle w:val="Hyperlink"/>
                <w:noProof/>
              </w:rPr>
              <w:t>SECTION 1.</w:t>
            </w:r>
            <w:r>
              <w:rPr>
                <w:noProof/>
                <w:webHidden/>
              </w:rPr>
              <w:tab/>
            </w:r>
            <w:r>
              <w:rPr>
                <w:noProof/>
                <w:webHidden/>
              </w:rPr>
              <w:fldChar w:fldCharType="begin"/>
            </w:r>
            <w:r>
              <w:rPr>
                <w:noProof/>
                <w:webHidden/>
              </w:rPr>
              <w:instrText xml:space="preserve"> PAGEREF _Toc228432222 \h </w:instrText>
            </w:r>
            <w:r>
              <w:rPr>
                <w:noProof/>
                <w:webHidden/>
              </w:rPr>
            </w:r>
            <w:r>
              <w:rPr>
                <w:noProof/>
                <w:webHidden/>
              </w:rPr>
              <w:fldChar w:fldCharType="separate"/>
            </w:r>
            <w:r w:rsidR="001F06FA">
              <w:rPr>
                <w:noProof/>
                <w:webHidden/>
              </w:rPr>
              <w:t>4</w:t>
            </w:r>
            <w:r>
              <w:rPr>
                <w:noProof/>
                <w:webHidden/>
              </w:rPr>
              <w:fldChar w:fldCharType="end"/>
            </w:r>
          </w:hyperlink>
        </w:p>
        <w:p w14:paraId="5A21EEEF" w14:textId="0D7B486E"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23" w:history="1">
            <w:r w:rsidRPr="002673EB">
              <w:rPr>
                <w:rStyle w:val="Hyperlink"/>
                <w:noProof/>
              </w:rPr>
              <w:t>1. ORGANISATIONAL CONTEXT AND OVERVIEW</w:t>
            </w:r>
            <w:r>
              <w:rPr>
                <w:noProof/>
                <w:webHidden/>
              </w:rPr>
              <w:tab/>
            </w:r>
            <w:r>
              <w:rPr>
                <w:noProof/>
                <w:webHidden/>
              </w:rPr>
              <w:fldChar w:fldCharType="begin"/>
            </w:r>
            <w:r>
              <w:rPr>
                <w:noProof/>
                <w:webHidden/>
              </w:rPr>
              <w:instrText xml:space="preserve"> PAGEREF _Toc228432223 \h </w:instrText>
            </w:r>
            <w:r>
              <w:rPr>
                <w:noProof/>
                <w:webHidden/>
              </w:rPr>
            </w:r>
            <w:r>
              <w:rPr>
                <w:noProof/>
                <w:webHidden/>
              </w:rPr>
              <w:fldChar w:fldCharType="separate"/>
            </w:r>
            <w:r w:rsidR="001F06FA">
              <w:rPr>
                <w:noProof/>
                <w:webHidden/>
              </w:rPr>
              <w:t>4</w:t>
            </w:r>
            <w:r>
              <w:rPr>
                <w:noProof/>
                <w:webHidden/>
              </w:rPr>
              <w:fldChar w:fldCharType="end"/>
            </w:r>
          </w:hyperlink>
        </w:p>
        <w:p w14:paraId="62D82263" w14:textId="1A0747FC"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24" w:history="1">
            <w:r w:rsidRPr="002673EB">
              <w:rPr>
                <w:rStyle w:val="Hyperlink"/>
                <w:noProof/>
              </w:rPr>
              <w:t>1.1  Organisational History, Mission, Vision, and Business Model</w:t>
            </w:r>
            <w:r>
              <w:rPr>
                <w:noProof/>
                <w:webHidden/>
              </w:rPr>
              <w:tab/>
            </w:r>
            <w:r>
              <w:rPr>
                <w:noProof/>
                <w:webHidden/>
              </w:rPr>
              <w:fldChar w:fldCharType="begin"/>
            </w:r>
            <w:r>
              <w:rPr>
                <w:noProof/>
                <w:webHidden/>
              </w:rPr>
              <w:instrText xml:space="preserve"> PAGEREF _Toc228432224 \h </w:instrText>
            </w:r>
            <w:r>
              <w:rPr>
                <w:noProof/>
                <w:webHidden/>
              </w:rPr>
            </w:r>
            <w:r>
              <w:rPr>
                <w:noProof/>
                <w:webHidden/>
              </w:rPr>
              <w:fldChar w:fldCharType="separate"/>
            </w:r>
            <w:r w:rsidR="001F06FA">
              <w:rPr>
                <w:noProof/>
                <w:webHidden/>
              </w:rPr>
              <w:t>4</w:t>
            </w:r>
            <w:r>
              <w:rPr>
                <w:noProof/>
                <w:webHidden/>
              </w:rPr>
              <w:fldChar w:fldCharType="end"/>
            </w:r>
          </w:hyperlink>
        </w:p>
        <w:p w14:paraId="4DE3E395" w14:textId="44CF5397"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27" w:history="1">
            <w:r w:rsidRPr="002673EB">
              <w:rPr>
                <w:rStyle w:val="Hyperlink"/>
                <w:noProof/>
              </w:rPr>
              <w:t>1.2  Industry, Key Competitors, and Market Position</w:t>
            </w:r>
            <w:r>
              <w:rPr>
                <w:noProof/>
                <w:webHidden/>
              </w:rPr>
              <w:tab/>
            </w:r>
            <w:r>
              <w:rPr>
                <w:noProof/>
                <w:webHidden/>
              </w:rPr>
              <w:fldChar w:fldCharType="begin"/>
            </w:r>
            <w:r>
              <w:rPr>
                <w:noProof/>
                <w:webHidden/>
              </w:rPr>
              <w:instrText xml:space="preserve"> PAGEREF _Toc228432227 \h </w:instrText>
            </w:r>
            <w:r>
              <w:rPr>
                <w:noProof/>
                <w:webHidden/>
              </w:rPr>
            </w:r>
            <w:r>
              <w:rPr>
                <w:noProof/>
                <w:webHidden/>
              </w:rPr>
              <w:fldChar w:fldCharType="separate"/>
            </w:r>
            <w:r w:rsidR="001F06FA">
              <w:rPr>
                <w:noProof/>
                <w:webHidden/>
              </w:rPr>
              <w:t>4</w:t>
            </w:r>
            <w:r>
              <w:rPr>
                <w:noProof/>
                <w:webHidden/>
              </w:rPr>
              <w:fldChar w:fldCharType="end"/>
            </w:r>
          </w:hyperlink>
        </w:p>
        <w:p w14:paraId="3A9EB8F9" w14:textId="3E5B852A"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28" w:history="1">
            <w:r w:rsidRPr="002673EB">
              <w:rPr>
                <w:rStyle w:val="Hyperlink"/>
                <w:noProof/>
              </w:rPr>
              <w:t>2. EXTERNAL AND INTERNAL ENVIRONMENT ANALYSIS</w:t>
            </w:r>
            <w:r>
              <w:rPr>
                <w:noProof/>
                <w:webHidden/>
              </w:rPr>
              <w:tab/>
            </w:r>
            <w:r>
              <w:rPr>
                <w:noProof/>
                <w:webHidden/>
              </w:rPr>
              <w:fldChar w:fldCharType="begin"/>
            </w:r>
            <w:r>
              <w:rPr>
                <w:noProof/>
                <w:webHidden/>
              </w:rPr>
              <w:instrText xml:space="preserve"> PAGEREF _Toc228432228 \h </w:instrText>
            </w:r>
            <w:r>
              <w:rPr>
                <w:noProof/>
                <w:webHidden/>
              </w:rPr>
            </w:r>
            <w:r>
              <w:rPr>
                <w:noProof/>
                <w:webHidden/>
              </w:rPr>
              <w:fldChar w:fldCharType="separate"/>
            </w:r>
            <w:r w:rsidR="001F06FA">
              <w:rPr>
                <w:noProof/>
                <w:webHidden/>
              </w:rPr>
              <w:t>6</w:t>
            </w:r>
            <w:r>
              <w:rPr>
                <w:noProof/>
                <w:webHidden/>
              </w:rPr>
              <w:fldChar w:fldCharType="end"/>
            </w:r>
          </w:hyperlink>
        </w:p>
        <w:p w14:paraId="762B0D3C" w14:textId="0B6FA4AC"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29" w:history="1">
            <w:r w:rsidRPr="002673EB">
              <w:rPr>
                <w:rStyle w:val="Hyperlink"/>
                <w:noProof/>
              </w:rPr>
              <w:t>2.1  PESTEL Analysis</w:t>
            </w:r>
            <w:r>
              <w:rPr>
                <w:noProof/>
                <w:webHidden/>
              </w:rPr>
              <w:tab/>
            </w:r>
            <w:r>
              <w:rPr>
                <w:noProof/>
                <w:webHidden/>
              </w:rPr>
              <w:fldChar w:fldCharType="begin"/>
            </w:r>
            <w:r>
              <w:rPr>
                <w:noProof/>
                <w:webHidden/>
              </w:rPr>
              <w:instrText xml:space="preserve"> PAGEREF _Toc228432229 \h </w:instrText>
            </w:r>
            <w:r>
              <w:rPr>
                <w:noProof/>
                <w:webHidden/>
              </w:rPr>
            </w:r>
            <w:r>
              <w:rPr>
                <w:noProof/>
                <w:webHidden/>
              </w:rPr>
              <w:fldChar w:fldCharType="separate"/>
            </w:r>
            <w:r w:rsidR="001F06FA">
              <w:rPr>
                <w:noProof/>
                <w:webHidden/>
              </w:rPr>
              <w:t>6</w:t>
            </w:r>
            <w:r>
              <w:rPr>
                <w:noProof/>
                <w:webHidden/>
              </w:rPr>
              <w:fldChar w:fldCharType="end"/>
            </w:r>
          </w:hyperlink>
        </w:p>
        <w:p w14:paraId="6CA79C66" w14:textId="6E9E81E7"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0" w:history="1">
            <w:r w:rsidRPr="002673EB">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_Toc228432230 \h </w:instrText>
            </w:r>
            <w:r>
              <w:rPr>
                <w:noProof/>
                <w:webHidden/>
              </w:rPr>
            </w:r>
            <w:r>
              <w:rPr>
                <w:noProof/>
                <w:webHidden/>
              </w:rPr>
              <w:fldChar w:fldCharType="separate"/>
            </w:r>
            <w:r w:rsidR="001F06FA">
              <w:rPr>
                <w:noProof/>
                <w:webHidden/>
              </w:rPr>
              <w:t>9</w:t>
            </w:r>
            <w:r>
              <w:rPr>
                <w:noProof/>
                <w:webHidden/>
              </w:rPr>
              <w:fldChar w:fldCharType="end"/>
            </w:r>
          </w:hyperlink>
        </w:p>
        <w:p w14:paraId="7527DA94" w14:textId="287A08EE"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1" w:history="1">
            <w:r w:rsidRPr="002673EB">
              <w:rPr>
                <w:rStyle w:val="Hyperlink"/>
                <w:noProof/>
              </w:rPr>
              <w:t>2.3  Internal Environment — Resources, Capabilities, and Core Competencies</w:t>
            </w:r>
            <w:r>
              <w:rPr>
                <w:noProof/>
                <w:webHidden/>
              </w:rPr>
              <w:tab/>
            </w:r>
            <w:r>
              <w:rPr>
                <w:noProof/>
                <w:webHidden/>
              </w:rPr>
              <w:fldChar w:fldCharType="begin"/>
            </w:r>
            <w:r>
              <w:rPr>
                <w:noProof/>
                <w:webHidden/>
              </w:rPr>
              <w:instrText xml:space="preserve"> PAGEREF _Toc228432231 \h </w:instrText>
            </w:r>
            <w:r>
              <w:rPr>
                <w:noProof/>
                <w:webHidden/>
              </w:rPr>
            </w:r>
            <w:r>
              <w:rPr>
                <w:noProof/>
                <w:webHidden/>
              </w:rPr>
              <w:fldChar w:fldCharType="separate"/>
            </w:r>
            <w:r w:rsidR="001F06FA">
              <w:rPr>
                <w:noProof/>
                <w:webHidden/>
              </w:rPr>
              <w:t>10</w:t>
            </w:r>
            <w:r>
              <w:rPr>
                <w:noProof/>
                <w:webHidden/>
              </w:rPr>
              <w:fldChar w:fldCharType="end"/>
            </w:r>
          </w:hyperlink>
        </w:p>
        <w:p w14:paraId="14F964C4" w14:textId="0248AE5A"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2" w:history="1">
            <w:r w:rsidRPr="002673EB">
              <w:rPr>
                <w:rStyle w:val="Hyperlink"/>
                <w:noProof/>
              </w:rPr>
              <w:t>2.4  VRIO Framework Analysis</w:t>
            </w:r>
            <w:r>
              <w:rPr>
                <w:noProof/>
                <w:webHidden/>
              </w:rPr>
              <w:tab/>
            </w:r>
            <w:r>
              <w:rPr>
                <w:noProof/>
                <w:webHidden/>
              </w:rPr>
              <w:fldChar w:fldCharType="begin"/>
            </w:r>
            <w:r>
              <w:rPr>
                <w:noProof/>
                <w:webHidden/>
              </w:rPr>
              <w:instrText xml:space="preserve"> PAGEREF _Toc228432232 \h </w:instrText>
            </w:r>
            <w:r>
              <w:rPr>
                <w:noProof/>
                <w:webHidden/>
              </w:rPr>
            </w:r>
            <w:r>
              <w:rPr>
                <w:noProof/>
                <w:webHidden/>
              </w:rPr>
              <w:fldChar w:fldCharType="separate"/>
            </w:r>
            <w:r w:rsidR="001F06FA">
              <w:rPr>
                <w:noProof/>
                <w:webHidden/>
              </w:rPr>
              <w:t>10</w:t>
            </w:r>
            <w:r>
              <w:rPr>
                <w:noProof/>
                <w:webHidden/>
              </w:rPr>
              <w:fldChar w:fldCharType="end"/>
            </w:r>
          </w:hyperlink>
        </w:p>
        <w:p w14:paraId="3E9B7690" w14:textId="1EB5DB36"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3" w:history="1">
            <w:r w:rsidRPr="002673EB">
              <w:rPr>
                <w:rStyle w:val="Hyperlink"/>
                <w:noProof/>
              </w:rPr>
              <w:t>2.5  How Internal Strengths Contribute to Competitive Advantage</w:t>
            </w:r>
            <w:r>
              <w:rPr>
                <w:noProof/>
                <w:webHidden/>
              </w:rPr>
              <w:tab/>
            </w:r>
            <w:r>
              <w:rPr>
                <w:noProof/>
                <w:webHidden/>
              </w:rPr>
              <w:fldChar w:fldCharType="begin"/>
            </w:r>
            <w:r>
              <w:rPr>
                <w:noProof/>
                <w:webHidden/>
              </w:rPr>
              <w:instrText xml:space="preserve"> PAGEREF _Toc228432233 \h </w:instrText>
            </w:r>
            <w:r>
              <w:rPr>
                <w:noProof/>
                <w:webHidden/>
              </w:rPr>
            </w:r>
            <w:r>
              <w:rPr>
                <w:noProof/>
                <w:webHidden/>
              </w:rPr>
              <w:fldChar w:fldCharType="separate"/>
            </w:r>
            <w:r w:rsidR="001F06FA">
              <w:rPr>
                <w:noProof/>
                <w:webHidden/>
              </w:rPr>
              <w:t>12</w:t>
            </w:r>
            <w:r>
              <w:rPr>
                <w:noProof/>
                <w:webHidden/>
              </w:rPr>
              <w:fldChar w:fldCharType="end"/>
            </w:r>
          </w:hyperlink>
        </w:p>
        <w:p w14:paraId="6D205777" w14:textId="4BF5FF5D"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4" w:history="1">
            <w:r w:rsidRPr="002673EB">
              <w:rPr>
                <w:rStyle w:val="Hyperlink"/>
                <w:noProof/>
              </w:rPr>
              <w:t>3. CSR AND SUSTAINABILITY OBJECTIVES</w:t>
            </w:r>
            <w:r>
              <w:rPr>
                <w:noProof/>
                <w:webHidden/>
              </w:rPr>
              <w:tab/>
            </w:r>
            <w:r>
              <w:rPr>
                <w:noProof/>
                <w:webHidden/>
              </w:rPr>
              <w:fldChar w:fldCharType="begin"/>
            </w:r>
            <w:r>
              <w:rPr>
                <w:noProof/>
                <w:webHidden/>
              </w:rPr>
              <w:instrText xml:space="preserve"> PAGEREF _Toc228432234 \h </w:instrText>
            </w:r>
            <w:r>
              <w:rPr>
                <w:noProof/>
                <w:webHidden/>
              </w:rPr>
            </w:r>
            <w:r>
              <w:rPr>
                <w:noProof/>
                <w:webHidden/>
              </w:rPr>
              <w:fldChar w:fldCharType="separate"/>
            </w:r>
            <w:r w:rsidR="001F06FA">
              <w:rPr>
                <w:noProof/>
                <w:webHidden/>
              </w:rPr>
              <w:t>13</w:t>
            </w:r>
            <w:r>
              <w:rPr>
                <w:noProof/>
                <w:webHidden/>
              </w:rPr>
              <w:fldChar w:fldCharType="end"/>
            </w:r>
          </w:hyperlink>
        </w:p>
        <w:p w14:paraId="0CC85251" w14:textId="72C18967"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5" w:history="1">
            <w:r w:rsidRPr="002673EB">
              <w:rPr>
                <w:rStyle w:val="Hyperlink"/>
                <w:noProof/>
              </w:rPr>
              <w:t>3.1  CSR Strategy and Alignment with Business Objectives</w:t>
            </w:r>
            <w:r>
              <w:rPr>
                <w:noProof/>
                <w:webHidden/>
              </w:rPr>
              <w:tab/>
            </w:r>
            <w:r>
              <w:rPr>
                <w:noProof/>
                <w:webHidden/>
              </w:rPr>
              <w:fldChar w:fldCharType="begin"/>
            </w:r>
            <w:r>
              <w:rPr>
                <w:noProof/>
                <w:webHidden/>
              </w:rPr>
              <w:instrText xml:space="preserve"> PAGEREF _Toc228432235 \h </w:instrText>
            </w:r>
            <w:r>
              <w:rPr>
                <w:noProof/>
                <w:webHidden/>
              </w:rPr>
            </w:r>
            <w:r>
              <w:rPr>
                <w:noProof/>
                <w:webHidden/>
              </w:rPr>
              <w:fldChar w:fldCharType="separate"/>
            </w:r>
            <w:r w:rsidR="001F06FA">
              <w:rPr>
                <w:noProof/>
                <w:webHidden/>
              </w:rPr>
              <w:t>13</w:t>
            </w:r>
            <w:r>
              <w:rPr>
                <w:noProof/>
                <w:webHidden/>
              </w:rPr>
              <w:fldChar w:fldCharType="end"/>
            </w:r>
          </w:hyperlink>
        </w:p>
        <w:p w14:paraId="7C0A980F" w14:textId="5E93FA60"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6" w:history="1">
            <w:r w:rsidRPr="002673EB">
              <w:rPr>
                <w:rStyle w:val="Hyperlink"/>
                <w:noProof/>
              </w:rPr>
              <w:t>4. COMPREHENSIVE VIEW — BALANCED SCORECARD</w:t>
            </w:r>
            <w:r>
              <w:rPr>
                <w:noProof/>
                <w:webHidden/>
              </w:rPr>
              <w:tab/>
            </w:r>
            <w:r>
              <w:rPr>
                <w:noProof/>
                <w:webHidden/>
              </w:rPr>
              <w:fldChar w:fldCharType="begin"/>
            </w:r>
            <w:r>
              <w:rPr>
                <w:noProof/>
                <w:webHidden/>
              </w:rPr>
              <w:instrText xml:space="preserve"> PAGEREF _Toc228432236 \h </w:instrText>
            </w:r>
            <w:r>
              <w:rPr>
                <w:noProof/>
                <w:webHidden/>
              </w:rPr>
            </w:r>
            <w:r>
              <w:rPr>
                <w:noProof/>
                <w:webHidden/>
              </w:rPr>
              <w:fldChar w:fldCharType="separate"/>
            </w:r>
            <w:r w:rsidR="001F06FA">
              <w:rPr>
                <w:noProof/>
                <w:webHidden/>
              </w:rPr>
              <w:t>13</w:t>
            </w:r>
            <w:r>
              <w:rPr>
                <w:noProof/>
                <w:webHidden/>
              </w:rPr>
              <w:fldChar w:fldCharType="end"/>
            </w:r>
          </w:hyperlink>
        </w:p>
        <w:p w14:paraId="3D785EDA" w14:textId="070F7026"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7" w:history="1">
            <w:r w:rsidRPr="002673EB">
              <w:rPr>
                <w:rStyle w:val="Hyperlink"/>
                <w:noProof/>
              </w:rPr>
              <w:t>4.1  The Balanced Scorecard Framework</w:t>
            </w:r>
            <w:r>
              <w:rPr>
                <w:noProof/>
                <w:webHidden/>
              </w:rPr>
              <w:tab/>
            </w:r>
            <w:r>
              <w:rPr>
                <w:noProof/>
                <w:webHidden/>
              </w:rPr>
              <w:fldChar w:fldCharType="begin"/>
            </w:r>
            <w:r>
              <w:rPr>
                <w:noProof/>
                <w:webHidden/>
              </w:rPr>
              <w:instrText xml:space="preserve"> PAGEREF _Toc228432237 \h </w:instrText>
            </w:r>
            <w:r>
              <w:rPr>
                <w:noProof/>
                <w:webHidden/>
              </w:rPr>
            </w:r>
            <w:r>
              <w:rPr>
                <w:noProof/>
                <w:webHidden/>
              </w:rPr>
              <w:fldChar w:fldCharType="separate"/>
            </w:r>
            <w:r w:rsidR="001F06FA">
              <w:rPr>
                <w:noProof/>
                <w:webHidden/>
              </w:rPr>
              <w:t>14</w:t>
            </w:r>
            <w:r>
              <w:rPr>
                <w:noProof/>
                <w:webHidden/>
              </w:rPr>
              <w:fldChar w:fldCharType="end"/>
            </w:r>
          </w:hyperlink>
        </w:p>
        <w:p w14:paraId="4DDB9E25" w14:textId="2A9F1355"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8" w:history="1">
            <w:r w:rsidRPr="002673EB">
              <w:rPr>
                <w:rStyle w:val="Hyperlink"/>
                <w:noProof/>
              </w:rPr>
              <w:t>4.2  Four Perspectives Applied to Diageo</w:t>
            </w:r>
            <w:r>
              <w:rPr>
                <w:noProof/>
                <w:webHidden/>
              </w:rPr>
              <w:tab/>
            </w:r>
            <w:r>
              <w:rPr>
                <w:noProof/>
                <w:webHidden/>
              </w:rPr>
              <w:fldChar w:fldCharType="begin"/>
            </w:r>
            <w:r>
              <w:rPr>
                <w:noProof/>
                <w:webHidden/>
              </w:rPr>
              <w:instrText xml:space="preserve"> PAGEREF _Toc228432238 \h </w:instrText>
            </w:r>
            <w:r>
              <w:rPr>
                <w:noProof/>
                <w:webHidden/>
              </w:rPr>
            </w:r>
            <w:r>
              <w:rPr>
                <w:noProof/>
                <w:webHidden/>
              </w:rPr>
              <w:fldChar w:fldCharType="separate"/>
            </w:r>
            <w:r w:rsidR="001F06FA">
              <w:rPr>
                <w:noProof/>
                <w:webHidden/>
              </w:rPr>
              <w:t>15</w:t>
            </w:r>
            <w:r>
              <w:rPr>
                <w:noProof/>
                <w:webHidden/>
              </w:rPr>
              <w:fldChar w:fldCharType="end"/>
            </w:r>
          </w:hyperlink>
        </w:p>
        <w:p w14:paraId="7D4EE02F" w14:textId="52CD62B9"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39" w:history="1">
            <w:r w:rsidRPr="002673EB">
              <w:rPr>
                <w:rStyle w:val="Hyperlink"/>
                <w:noProof/>
              </w:rPr>
              <w:t>5. STRATEGIC CHOICES AND IMPLEMENTATION</w:t>
            </w:r>
            <w:r>
              <w:rPr>
                <w:noProof/>
                <w:webHidden/>
              </w:rPr>
              <w:tab/>
            </w:r>
            <w:r>
              <w:rPr>
                <w:noProof/>
                <w:webHidden/>
              </w:rPr>
              <w:fldChar w:fldCharType="begin"/>
            </w:r>
            <w:r>
              <w:rPr>
                <w:noProof/>
                <w:webHidden/>
              </w:rPr>
              <w:instrText xml:space="preserve"> PAGEREF _Toc228432239 \h </w:instrText>
            </w:r>
            <w:r>
              <w:rPr>
                <w:noProof/>
                <w:webHidden/>
              </w:rPr>
            </w:r>
            <w:r>
              <w:rPr>
                <w:noProof/>
                <w:webHidden/>
              </w:rPr>
              <w:fldChar w:fldCharType="separate"/>
            </w:r>
            <w:r w:rsidR="001F06FA">
              <w:rPr>
                <w:noProof/>
                <w:webHidden/>
              </w:rPr>
              <w:t>17</w:t>
            </w:r>
            <w:r>
              <w:rPr>
                <w:noProof/>
                <w:webHidden/>
              </w:rPr>
              <w:fldChar w:fldCharType="end"/>
            </w:r>
          </w:hyperlink>
        </w:p>
        <w:p w14:paraId="55FB56BF" w14:textId="44B50EF1"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0" w:history="1">
            <w:r w:rsidRPr="002673EB">
              <w:rPr>
                <w:rStyle w:val="Hyperlink"/>
                <w:noProof/>
              </w:rPr>
              <w:t>5.1  Business-Level and Corporate-Level Strategic Options</w:t>
            </w:r>
            <w:r>
              <w:rPr>
                <w:noProof/>
                <w:webHidden/>
              </w:rPr>
              <w:tab/>
            </w:r>
            <w:r>
              <w:rPr>
                <w:noProof/>
                <w:webHidden/>
              </w:rPr>
              <w:fldChar w:fldCharType="begin"/>
            </w:r>
            <w:r>
              <w:rPr>
                <w:noProof/>
                <w:webHidden/>
              </w:rPr>
              <w:instrText xml:space="preserve"> PAGEREF _Toc228432240 \h </w:instrText>
            </w:r>
            <w:r>
              <w:rPr>
                <w:noProof/>
                <w:webHidden/>
              </w:rPr>
            </w:r>
            <w:r>
              <w:rPr>
                <w:noProof/>
                <w:webHidden/>
              </w:rPr>
              <w:fldChar w:fldCharType="separate"/>
            </w:r>
            <w:r w:rsidR="001F06FA">
              <w:rPr>
                <w:noProof/>
                <w:webHidden/>
              </w:rPr>
              <w:t>17</w:t>
            </w:r>
            <w:r>
              <w:rPr>
                <w:noProof/>
                <w:webHidden/>
              </w:rPr>
              <w:fldChar w:fldCharType="end"/>
            </w:r>
          </w:hyperlink>
        </w:p>
        <w:p w14:paraId="263BB7FA" w14:textId="4E419BB1"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1" w:history="1">
            <w:r w:rsidRPr="002673EB">
              <w:rPr>
                <w:rStyle w:val="Hyperlink"/>
                <w:noProof/>
              </w:rPr>
              <w:t>5.2  Change Management and Strategic Implementation</w:t>
            </w:r>
            <w:r>
              <w:rPr>
                <w:noProof/>
                <w:webHidden/>
              </w:rPr>
              <w:tab/>
            </w:r>
            <w:r>
              <w:rPr>
                <w:noProof/>
                <w:webHidden/>
              </w:rPr>
              <w:fldChar w:fldCharType="begin"/>
            </w:r>
            <w:r>
              <w:rPr>
                <w:noProof/>
                <w:webHidden/>
              </w:rPr>
              <w:instrText xml:space="preserve"> PAGEREF _Toc228432241 \h </w:instrText>
            </w:r>
            <w:r>
              <w:rPr>
                <w:noProof/>
                <w:webHidden/>
              </w:rPr>
            </w:r>
            <w:r>
              <w:rPr>
                <w:noProof/>
                <w:webHidden/>
              </w:rPr>
              <w:fldChar w:fldCharType="separate"/>
            </w:r>
            <w:r w:rsidR="001F06FA">
              <w:rPr>
                <w:noProof/>
                <w:webHidden/>
              </w:rPr>
              <w:t>18</w:t>
            </w:r>
            <w:r>
              <w:rPr>
                <w:noProof/>
                <w:webHidden/>
              </w:rPr>
              <w:fldChar w:fldCharType="end"/>
            </w:r>
          </w:hyperlink>
        </w:p>
        <w:p w14:paraId="5C0DBC73" w14:textId="579A3DDA"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2" w:history="1">
            <w:r w:rsidRPr="002673EB">
              <w:rPr>
                <w:rStyle w:val="Hyperlink"/>
                <w:noProof/>
              </w:rPr>
              <w:t>6. STRATEGIC EVALUATION AND RECOMMENDATIONS</w:t>
            </w:r>
            <w:r>
              <w:rPr>
                <w:noProof/>
                <w:webHidden/>
              </w:rPr>
              <w:tab/>
            </w:r>
            <w:r>
              <w:rPr>
                <w:noProof/>
                <w:webHidden/>
              </w:rPr>
              <w:fldChar w:fldCharType="begin"/>
            </w:r>
            <w:r>
              <w:rPr>
                <w:noProof/>
                <w:webHidden/>
              </w:rPr>
              <w:instrText xml:space="preserve"> PAGEREF _Toc228432242 \h </w:instrText>
            </w:r>
            <w:r>
              <w:rPr>
                <w:noProof/>
                <w:webHidden/>
              </w:rPr>
            </w:r>
            <w:r>
              <w:rPr>
                <w:noProof/>
                <w:webHidden/>
              </w:rPr>
              <w:fldChar w:fldCharType="separate"/>
            </w:r>
            <w:r w:rsidR="001F06FA">
              <w:rPr>
                <w:noProof/>
                <w:webHidden/>
              </w:rPr>
              <w:t>19</w:t>
            </w:r>
            <w:r>
              <w:rPr>
                <w:noProof/>
                <w:webHidden/>
              </w:rPr>
              <w:fldChar w:fldCharType="end"/>
            </w:r>
          </w:hyperlink>
        </w:p>
        <w:p w14:paraId="16035E53" w14:textId="671399F5"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3" w:history="1">
            <w:r w:rsidRPr="002673EB">
              <w:rPr>
                <w:rStyle w:val="Hyperlink"/>
                <w:noProof/>
              </w:rPr>
              <w:t>6.1  Strategic Evaluation: SWOT, Ansoff's Matrix, and BCG Matrix</w:t>
            </w:r>
            <w:r>
              <w:rPr>
                <w:noProof/>
                <w:webHidden/>
              </w:rPr>
              <w:tab/>
            </w:r>
            <w:r>
              <w:rPr>
                <w:noProof/>
                <w:webHidden/>
              </w:rPr>
              <w:fldChar w:fldCharType="begin"/>
            </w:r>
            <w:r>
              <w:rPr>
                <w:noProof/>
                <w:webHidden/>
              </w:rPr>
              <w:instrText xml:space="preserve"> PAGEREF _Toc228432243 \h </w:instrText>
            </w:r>
            <w:r>
              <w:rPr>
                <w:noProof/>
                <w:webHidden/>
              </w:rPr>
            </w:r>
            <w:r>
              <w:rPr>
                <w:noProof/>
                <w:webHidden/>
              </w:rPr>
              <w:fldChar w:fldCharType="separate"/>
            </w:r>
            <w:r w:rsidR="001F06FA">
              <w:rPr>
                <w:noProof/>
                <w:webHidden/>
              </w:rPr>
              <w:t>19</w:t>
            </w:r>
            <w:r>
              <w:rPr>
                <w:noProof/>
                <w:webHidden/>
              </w:rPr>
              <w:fldChar w:fldCharType="end"/>
            </w:r>
          </w:hyperlink>
        </w:p>
        <w:p w14:paraId="1A4641C3" w14:textId="65FA94B9"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4" w:history="1">
            <w:r w:rsidRPr="002673EB">
              <w:rPr>
                <w:rStyle w:val="Hyperlink"/>
                <w:noProof/>
              </w:rPr>
              <w:t>6.2 &amp; 6.3  Strategic Recommendations with Theoretical Justification</w:t>
            </w:r>
            <w:r>
              <w:rPr>
                <w:noProof/>
                <w:webHidden/>
              </w:rPr>
              <w:tab/>
            </w:r>
            <w:r>
              <w:rPr>
                <w:noProof/>
                <w:webHidden/>
              </w:rPr>
              <w:fldChar w:fldCharType="begin"/>
            </w:r>
            <w:r>
              <w:rPr>
                <w:noProof/>
                <w:webHidden/>
              </w:rPr>
              <w:instrText xml:space="preserve"> PAGEREF _Toc228432244 \h </w:instrText>
            </w:r>
            <w:r>
              <w:rPr>
                <w:noProof/>
                <w:webHidden/>
              </w:rPr>
            </w:r>
            <w:r>
              <w:rPr>
                <w:noProof/>
                <w:webHidden/>
              </w:rPr>
              <w:fldChar w:fldCharType="separate"/>
            </w:r>
            <w:r w:rsidR="001F06FA">
              <w:rPr>
                <w:noProof/>
                <w:webHidden/>
              </w:rPr>
              <w:t>21</w:t>
            </w:r>
            <w:r>
              <w:rPr>
                <w:noProof/>
                <w:webHidden/>
              </w:rPr>
              <w:fldChar w:fldCharType="end"/>
            </w:r>
          </w:hyperlink>
        </w:p>
        <w:p w14:paraId="1455A4BE" w14:textId="7F888C06"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5" w:history="1">
            <w:r w:rsidRPr="002673EB">
              <w:rPr>
                <w:rStyle w:val="Hyperlink"/>
                <w:noProof/>
              </w:rPr>
              <w:t>7. CONCLUSION</w:t>
            </w:r>
            <w:r>
              <w:rPr>
                <w:noProof/>
                <w:webHidden/>
              </w:rPr>
              <w:tab/>
            </w:r>
            <w:r>
              <w:rPr>
                <w:noProof/>
                <w:webHidden/>
              </w:rPr>
              <w:fldChar w:fldCharType="begin"/>
            </w:r>
            <w:r>
              <w:rPr>
                <w:noProof/>
                <w:webHidden/>
              </w:rPr>
              <w:instrText xml:space="preserve"> PAGEREF _Toc228432245 \h </w:instrText>
            </w:r>
            <w:r>
              <w:rPr>
                <w:noProof/>
                <w:webHidden/>
              </w:rPr>
            </w:r>
            <w:r>
              <w:rPr>
                <w:noProof/>
                <w:webHidden/>
              </w:rPr>
              <w:fldChar w:fldCharType="separate"/>
            </w:r>
            <w:r w:rsidR="001F06FA">
              <w:rPr>
                <w:noProof/>
                <w:webHidden/>
              </w:rPr>
              <w:t>21</w:t>
            </w:r>
            <w:r>
              <w:rPr>
                <w:noProof/>
                <w:webHidden/>
              </w:rPr>
              <w:fldChar w:fldCharType="end"/>
            </w:r>
          </w:hyperlink>
        </w:p>
        <w:p w14:paraId="349DCAC4" w14:textId="62995578"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6" w:history="1">
            <w:r w:rsidRPr="002673EB">
              <w:rPr>
                <w:rStyle w:val="Hyperlink"/>
                <w:noProof/>
              </w:rPr>
              <w:t>REFERENCES</w:t>
            </w:r>
            <w:r>
              <w:rPr>
                <w:noProof/>
                <w:webHidden/>
              </w:rPr>
              <w:tab/>
            </w:r>
            <w:r>
              <w:rPr>
                <w:noProof/>
                <w:webHidden/>
              </w:rPr>
              <w:fldChar w:fldCharType="begin"/>
            </w:r>
            <w:r>
              <w:rPr>
                <w:noProof/>
                <w:webHidden/>
              </w:rPr>
              <w:instrText xml:space="preserve"> PAGEREF _Toc228432246 \h </w:instrText>
            </w:r>
            <w:r>
              <w:rPr>
                <w:noProof/>
                <w:webHidden/>
              </w:rPr>
            </w:r>
            <w:r>
              <w:rPr>
                <w:noProof/>
                <w:webHidden/>
              </w:rPr>
              <w:fldChar w:fldCharType="separate"/>
            </w:r>
            <w:r w:rsidR="001F06FA">
              <w:rPr>
                <w:noProof/>
                <w:webHidden/>
              </w:rPr>
              <w:t>23</w:t>
            </w:r>
            <w:r>
              <w:rPr>
                <w:noProof/>
                <w:webHidden/>
              </w:rPr>
              <w:fldChar w:fldCharType="end"/>
            </w:r>
          </w:hyperlink>
        </w:p>
        <w:p w14:paraId="24788E75" w14:textId="1712B873"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7" w:history="1">
            <w:r w:rsidRPr="002673EB">
              <w:rPr>
                <w:rStyle w:val="Hyperlink"/>
                <w:noProof/>
              </w:rPr>
              <w:t>Introduction</w:t>
            </w:r>
            <w:r>
              <w:rPr>
                <w:noProof/>
                <w:webHidden/>
              </w:rPr>
              <w:tab/>
            </w:r>
            <w:r>
              <w:rPr>
                <w:noProof/>
                <w:webHidden/>
              </w:rPr>
              <w:fldChar w:fldCharType="begin"/>
            </w:r>
            <w:r>
              <w:rPr>
                <w:noProof/>
                <w:webHidden/>
              </w:rPr>
              <w:instrText xml:space="preserve"> PAGEREF _Toc228432247 \h </w:instrText>
            </w:r>
            <w:r>
              <w:rPr>
                <w:noProof/>
                <w:webHidden/>
              </w:rPr>
            </w:r>
            <w:r>
              <w:rPr>
                <w:noProof/>
                <w:webHidden/>
              </w:rPr>
              <w:fldChar w:fldCharType="separate"/>
            </w:r>
            <w:r w:rsidR="001F06FA">
              <w:rPr>
                <w:noProof/>
                <w:webHidden/>
              </w:rPr>
              <w:t>26</w:t>
            </w:r>
            <w:r>
              <w:rPr>
                <w:noProof/>
                <w:webHidden/>
              </w:rPr>
              <w:fldChar w:fldCharType="end"/>
            </w:r>
          </w:hyperlink>
        </w:p>
        <w:p w14:paraId="3FFDDC65" w14:textId="1F0BEE00"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8" w:history="1">
            <w:r w:rsidRPr="002673EB">
              <w:rPr>
                <w:rStyle w:val="Hyperlink"/>
                <w:noProof/>
              </w:rPr>
              <w:t>Stage 2 — Feelings: What Was I Thinking and Feeling?</w:t>
            </w:r>
            <w:r>
              <w:rPr>
                <w:noProof/>
                <w:webHidden/>
              </w:rPr>
              <w:tab/>
            </w:r>
            <w:r>
              <w:rPr>
                <w:noProof/>
                <w:webHidden/>
              </w:rPr>
              <w:fldChar w:fldCharType="begin"/>
            </w:r>
            <w:r>
              <w:rPr>
                <w:noProof/>
                <w:webHidden/>
              </w:rPr>
              <w:instrText xml:space="preserve"> PAGEREF _Toc228432248 \h </w:instrText>
            </w:r>
            <w:r>
              <w:rPr>
                <w:noProof/>
                <w:webHidden/>
              </w:rPr>
            </w:r>
            <w:r>
              <w:rPr>
                <w:noProof/>
                <w:webHidden/>
              </w:rPr>
              <w:fldChar w:fldCharType="separate"/>
            </w:r>
            <w:r w:rsidR="001F06FA">
              <w:rPr>
                <w:noProof/>
                <w:webHidden/>
              </w:rPr>
              <w:t>27</w:t>
            </w:r>
            <w:r>
              <w:rPr>
                <w:noProof/>
                <w:webHidden/>
              </w:rPr>
              <w:fldChar w:fldCharType="end"/>
            </w:r>
          </w:hyperlink>
        </w:p>
        <w:p w14:paraId="08FCE9E2" w14:textId="16E2AB23"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49" w:history="1">
            <w:r w:rsidRPr="002673EB">
              <w:rPr>
                <w:rStyle w:val="Hyperlink"/>
                <w:noProof/>
              </w:rPr>
              <w:t>Stage 3 — Evaluation: What Was Good and Bad About the Experience?</w:t>
            </w:r>
            <w:r>
              <w:rPr>
                <w:noProof/>
                <w:webHidden/>
              </w:rPr>
              <w:tab/>
            </w:r>
            <w:r>
              <w:rPr>
                <w:noProof/>
                <w:webHidden/>
              </w:rPr>
              <w:fldChar w:fldCharType="begin"/>
            </w:r>
            <w:r>
              <w:rPr>
                <w:noProof/>
                <w:webHidden/>
              </w:rPr>
              <w:instrText xml:space="preserve"> PAGEREF _Toc228432249 \h </w:instrText>
            </w:r>
            <w:r>
              <w:rPr>
                <w:noProof/>
                <w:webHidden/>
              </w:rPr>
            </w:r>
            <w:r>
              <w:rPr>
                <w:noProof/>
                <w:webHidden/>
              </w:rPr>
              <w:fldChar w:fldCharType="separate"/>
            </w:r>
            <w:r w:rsidR="001F06FA">
              <w:rPr>
                <w:noProof/>
                <w:webHidden/>
              </w:rPr>
              <w:t>27</w:t>
            </w:r>
            <w:r>
              <w:rPr>
                <w:noProof/>
                <w:webHidden/>
              </w:rPr>
              <w:fldChar w:fldCharType="end"/>
            </w:r>
          </w:hyperlink>
        </w:p>
        <w:p w14:paraId="69A538BF" w14:textId="7F3AFC4A"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50" w:history="1">
            <w:r w:rsidRPr="002673EB">
              <w:rPr>
                <w:rStyle w:val="Hyperlink"/>
                <w:noProof/>
              </w:rPr>
              <w:t>Stage 4 — Analysis: What Sense Can Be Made of the Experience?</w:t>
            </w:r>
            <w:r>
              <w:rPr>
                <w:noProof/>
                <w:webHidden/>
              </w:rPr>
              <w:tab/>
            </w:r>
            <w:r>
              <w:rPr>
                <w:noProof/>
                <w:webHidden/>
              </w:rPr>
              <w:fldChar w:fldCharType="begin"/>
            </w:r>
            <w:r>
              <w:rPr>
                <w:noProof/>
                <w:webHidden/>
              </w:rPr>
              <w:instrText xml:space="preserve"> PAGEREF _Toc228432250 \h </w:instrText>
            </w:r>
            <w:r>
              <w:rPr>
                <w:noProof/>
                <w:webHidden/>
              </w:rPr>
            </w:r>
            <w:r>
              <w:rPr>
                <w:noProof/>
                <w:webHidden/>
              </w:rPr>
              <w:fldChar w:fldCharType="separate"/>
            </w:r>
            <w:r w:rsidR="001F06FA">
              <w:rPr>
                <w:noProof/>
                <w:webHidden/>
              </w:rPr>
              <w:t>29</w:t>
            </w:r>
            <w:r>
              <w:rPr>
                <w:noProof/>
                <w:webHidden/>
              </w:rPr>
              <w:fldChar w:fldCharType="end"/>
            </w:r>
          </w:hyperlink>
        </w:p>
        <w:p w14:paraId="027EF9B1" w14:textId="7A90C06E"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51" w:history="1">
            <w:r w:rsidRPr="002673EB">
              <w:rPr>
                <w:rStyle w:val="Hyperlink"/>
                <w:noProof/>
              </w:rPr>
              <w:t>Stage 5 — Conclusion: What Else Could Have Been Done?</w:t>
            </w:r>
            <w:r>
              <w:rPr>
                <w:noProof/>
                <w:webHidden/>
              </w:rPr>
              <w:tab/>
            </w:r>
            <w:r>
              <w:rPr>
                <w:noProof/>
                <w:webHidden/>
              </w:rPr>
              <w:fldChar w:fldCharType="begin"/>
            </w:r>
            <w:r>
              <w:rPr>
                <w:noProof/>
                <w:webHidden/>
              </w:rPr>
              <w:instrText xml:space="preserve"> PAGEREF _Toc228432251 \h </w:instrText>
            </w:r>
            <w:r>
              <w:rPr>
                <w:noProof/>
                <w:webHidden/>
              </w:rPr>
            </w:r>
            <w:r>
              <w:rPr>
                <w:noProof/>
                <w:webHidden/>
              </w:rPr>
              <w:fldChar w:fldCharType="separate"/>
            </w:r>
            <w:r w:rsidR="001F06FA">
              <w:rPr>
                <w:noProof/>
                <w:webHidden/>
              </w:rPr>
              <w:t>29</w:t>
            </w:r>
            <w:r>
              <w:rPr>
                <w:noProof/>
                <w:webHidden/>
              </w:rPr>
              <w:fldChar w:fldCharType="end"/>
            </w:r>
          </w:hyperlink>
        </w:p>
        <w:p w14:paraId="5C3DA9E8" w14:textId="2D3C18BB"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52" w:history="1">
            <w:r w:rsidRPr="002673EB">
              <w:rPr>
                <w:rStyle w:val="Hyperlink"/>
                <w:noProof/>
              </w:rPr>
              <w:t>Stage 6 — Action Plan: What Will I Do Differently in Future?</w:t>
            </w:r>
            <w:r>
              <w:rPr>
                <w:noProof/>
                <w:webHidden/>
              </w:rPr>
              <w:tab/>
            </w:r>
            <w:r>
              <w:rPr>
                <w:noProof/>
                <w:webHidden/>
              </w:rPr>
              <w:fldChar w:fldCharType="begin"/>
            </w:r>
            <w:r>
              <w:rPr>
                <w:noProof/>
                <w:webHidden/>
              </w:rPr>
              <w:instrText xml:space="preserve"> PAGEREF _Toc228432252 \h </w:instrText>
            </w:r>
            <w:r>
              <w:rPr>
                <w:noProof/>
                <w:webHidden/>
              </w:rPr>
            </w:r>
            <w:r>
              <w:rPr>
                <w:noProof/>
                <w:webHidden/>
              </w:rPr>
              <w:fldChar w:fldCharType="separate"/>
            </w:r>
            <w:r w:rsidR="001F06FA">
              <w:rPr>
                <w:noProof/>
                <w:webHidden/>
              </w:rPr>
              <w:t>30</w:t>
            </w:r>
            <w:r>
              <w:rPr>
                <w:noProof/>
                <w:webHidden/>
              </w:rPr>
              <w:fldChar w:fldCharType="end"/>
            </w:r>
          </w:hyperlink>
        </w:p>
        <w:p w14:paraId="44AC0260" w14:textId="504723AB" w:rsidR="009B1869" w:rsidRDefault="009B1869" w:rsidP="00C92978">
          <w:pPr>
            <w:pStyle w:val="TOC2"/>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53" w:history="1">
            <w:r w:rsidRPr="002673EB">
              <w:rPr>
                <w:rStyle w:val="Hyperlink"/>
                <w:noProof/>
              </w:rPr>
              <w:t>Reflective Conclusion</w:t>
            </w:r>
            <w:r>
              <w:rPr>
                <w:noProof/>
                <w:webHidden/>
              </w:rPr>
              <w:tab/>
            </w:r>
            <w:r>
              <w:rPr>
                <w:noProof/>
                <w:webHidden/>
              </w:rPr>
              <w:fldChar w:fldCharType="begin"/>
            </w:r>
            <w:r>
              <w:rPr>
                <w:noProof/>
                <w:webHidden/>
              </w:rPr>
              <w:instrText xml:space="preserve"> PAGEREF _Toc228432253 \h </w:instrText>
            </w:r>
            <w:r>
              <w:rPr>
                <w:noProof/>
                <w:webHidden/>
              </w:rPr>
            </w:r>
            <w:r>
              <w:rPr>
                <w:noProof/>
                <w:webHidden/>
              </w:rPr>
              <w:fldChar w:fldCharType="separate"/>
            </w:r>
            <w:r w:rsidR="001F06FA">
              <w:rPr>
                <w:noProof/>
                <w:webHidden/>
              </w:rPr>
              <w:t>31</w:t>
            </w:r>
            <w:r>
              <w:rPr>
                <w:noProof/>
                <w:webHidden/>
              </w:rPr>
              <w:fldChar w:fldCharType="end"/>
            </w:r>
          </w:hyperlink>
        </w:p>
        <w:p w14:paraId="15E3E63C" w14:textId="56746ED1" w:rsidR="009B1869" w:rsidRDefault="009B1869" w:rsidP="00C92978">
          <w:pPr>
            <w:pStyle w:val="TOC1"/>
            <w:tabs>
              <w:tab w:val="right" w:leader="dot" w:pos="9710"/>
            </w:tabs>
            <w:spacing w:line="360" w:lineRule="auto"/>
            <w:jc w:val="both"/>
            <w:rPr>
              <w:rFonts w:asciiTheme="minorHAnsi" w:eastAsiaTheme="minorEastAsia" w:hAnsiTheme="minorHAnsi" w:cstheme="minorBidi"/>
              <w:noProof/>
              <w:kern w:val="2"/>
              <w:sz w:val="24"/>
              <w:szCs w:val="24"/>
              <w14:ligatures w14:val="standardContextual"/>
            </w:rPr>
          </w:pPr>
          <w:hyperlink w:anchor="_Toc228432254" w:history="1">
            <w:r w:rsidRPr="002673EB">
              <w:rPr>
                <w:rStyle w:val="Hyperlink"/>
                <w:noProof/>
              </w:rPr>
              <w:t>References</w:t>
            </w:r>
            <w:r>
              <w:rPr>
                <w:noProof/>
                <w:webHidden/>
              </w:rPr>
              <w:tab/>
            </w:r>
            <w:r>
              <w:rPr>
                <w:noProof/>
                <w:webHidden/>
              </w:rPr>
              <w:fldChar w:fldCharType="begin"/>
            </w:r>
            <w:r>
              <w:rPr>
                <w:noProof/>
                <w:webHidden/>
              </w:rPr>
              <w:instrText xml:space="preserve"> PAGEREF _Toc228432254 \h </w:instrText>
            </w:r>
            <w:r>
              <w:rPr>
                <w:noProof/>
                <w:webHidden/>
              </w:rPr>
            </w:r>
            <w:r>
              <w:rPr>
                <w:noProof/>
                <w:webHidden/>
              </w:rPr>
              <w:fldChar w:fldCharType="separate"/>
            </w:r>
            <w:r w:rsidR="001F06FA">
              <w:rPr>
                <w:noProof/>
                <w:webHidden/>
              </w:rPr>
              <w:t>31</w:t>
            </w:r>
            <w:r>
              <w:rPr>
                <w:noProof/>
                <w:webHidden/>
              </w:rPr>
              <w:fldChar w:fldCharType="end"/>
            </w:r>
          </w:hyperlink>
        </w:p>
        <w:p w14:paraId="21333B05" w14:textId="6304389A" w:rsidR="009B1869" w:rsidRDefault="009B1869" w:rsidP="00C92978">
          <w:pPr>
            <w:spacing w:line="360" w:lineRule="auto"/>
            <w:jc w:val="both"/>
          </w:pPr>
          <w:r>
            <w:rPr>
              <w:b/>
              <w:bCs/>
              <w:noProof/>
            </w:rPr>
            <w:fldChar w:fldCharType="end"/>
          </w:r>
        </w:p>
      </w:sdtContent>
    </w:sdt>
    <w:p w14:paraId="06F6A36C" w14:textId="77777777" w:rsidR="009B1869" w:rsidRDefault="009B1869" w:rsidP="00C92978">
      <w:pPr>
        <w:spacing w:line="360" w:lineRule="auto"/>
        <w:jc w:val="both"/>
      </w:pPr>
    </w:p>
    <w:p w14:paraId="49F26586" w14:textId="77777777" w:rsidR="009B1869" w:rsidRDefault="009B1869" w:rsidP="00C92978">
      <w:pPr>
        <w:pStyle w:val="Heading1"/>
        <w:spacing w:line="360" w:lineRule="auto"/>
        <w:jc w:val="both"/>
      </w:pPr>
    </w:p>
    <w:p w14:paraId="415C11E8" w14:textId="77777777" w:rsidR="00C92978" w:rsidRDefault="00C92978" w:rsidP="00C92978">
      <w:pPr>
        <w:pStyle w:val="Heading1"/>
        <w:spacing w:line="360" w:lineRule="auto"/>
        <w:jc w:val="both"/>
      </w:pPr>
    </w:p>
    <w:p w14:paraId="07CA5D5E" w14:textId="77777777" w:rsidR="00C92978" w:rsidRDefault="00C92978" w:rsidP="00C92978">
      <w:pPr>
        <w:pStyle w:val="Heading1"/>
        <w:spacing w:line="360" w:lineRule="auto"/>
        <w:jc w:val="both"/>
      </w:pPr>
    </w:p>
    <w:p w14:paraId="7CAA32F3" w14:textId="77777777" w:rsidR="00C92978" w:rsidRDefault="00C92978" w:rsidP="00C92978">
      <w:pPr>
        <w:pStyle w:val="Heading1"/>
        <w:spacing w:line="360" w:lineRule="auto"/>
        <w:jc w:val="both"/>
      </w:pPr>
    </w:p>
    <w:p w14:paraId="1BBD080A" w14:textId="77777777" w:rsidR="00C92978" w:rsidRDefault="00C92978" w:rsidP="00C92978">
      <w:pPr>
        <w:pStyle w:val="Heading1"/>
        <w:spacing w:line="360" w:lineRule="auto"/>
        <w:jc w:val="both"/>
      </w:pPr>
    </w:p>
    <w:p w14:paraId="39C2AFA9" w14:textId="77777777" w:rsidR="00C92978" w:rsidRDefault="00C92978" w:rsidP="00C92978">
      <w:pPr>
        <w:pStyle w:val="Heading1"/>
        <w:spacing w:line="360" w:lineRule="auto"/>
        <w:jc w:val="both"/>
      </w:pPr>
    </w:p>
    <w:p w14:paraId="761D3138" w14:textId="77777777" w:rsidR="00C92978" w:rsidRDefault="00C92978" w:rsidP="00C92978">
      <w:pPr>
        <w:pStyle w:val="Heading1"/>
        <w:spacing w:line="360" w:lineRule="auto"/>
        <w:jc w:val="both"/>
      </w:pPr>
    </w:p>
    <w:p w14:paraId="3638AB37" w14:textId="77777777" w:rsidR="00C92978" w:rsidRDefault="00C92978" w:rsidP="00C92978">
      <w:pPr>
        <w:pStyle w:val="Heading1"/>
        <w:spacing w:line="360" w:lineRule="auto"/>
        <w:jc w:val="both"/>
      </w:pPr>
    </w:p>
    <w:p w14:paraId="4597D0CA" w14:textId="77777777" w:rsidR="00C92978" w:rsidRDefault="00C92978" w:rsidP="00C92978">
      <w:pPr>
        <w:pStyle w:val="Heading1"/>
        <w:spacing w:line="360" w:lineRule="auto"/>
        <w:jc w:val="both"/>
      </w:pPr>
    </w:p>
    <w:p w14:paraId="20505DB5" w14:textId="030343C8" w:rsidR="009B1869" w:rsidRDefault="00000000" w:rsidP="00C92978">
      <w:pPr>
        <w:pStyle w:val="Heading1"/>
        <w:spacing w:line="360" w:lineRule="auto"/>
        <w:jc w:val="both"/>
      </w:pPr>
      <w:bookmarkStart w:id="0" w:name="_Toc228432222"/>
      <w:r>
        <w:lastRenderedPageBreak/>
        <w:t>SECTION 1</w:t>
      </w:r>
      <w:r w:rsidR="009B1869">
        <w:t>.</w:t>
      </w:r>
      <w:bookmarkEnd w:id="0"/>
    </w:p>
    <w:p w14:paraId="0ADEA7C3" w14:textId="3B20D438" w:rsidR="00420722" w:rsidRDefault="00000000" w:rsidP="00C92978">
      <w:pPr>
        <w:pStyle w:val="Heading1"/>
        <w:spacing w:line="360" w:lineRule="auto"/>
        <w:jc w:val="both"/>
      </w:pPr>
      <w:r>
        <w:t xml:space="preserve"> </w:t>
      </w:r>
      <w:bookmarkStart w:id="1" w:name="_Toc228432223"/>
      <w:r w:rsidR="009B1869">
        <w:t xml:space="preserve">1. </w:t>
      </w:r>
      <w:r>
        <w:t>ORGANISATIONAL CONTEXT AND OVERVIEW</w:t>
      </w:r>
      <w:bookmarkEnd w:id="1"/>
    </w:p>
    <w:p w14:paraId="1AD6A1CF" w14:textId="413C6A9A" w:rsidR="00420722" w:rsidRDefault="001F06FA" w:rsidP="00C92978">
      <w:pPr>
        <w:pStyle w:val="Heading2"/>
        <w:spacing w:line="360" w:lineRule="auto"/>
        <w:jc w:val="both"/>
      </w:pPr>
      <w:bookmarkStart w:id="2" w:name="_Toc228432224"/>
      <w:r>
        <w:t>1.1 Organisational History, Mission, Vision, and Business Model</w:t>
      </w:r>
      <w:bookmarkEnd w:id="2"/>
    </w:p>
    <w:p w14:paraId="67A9E925" w14:textId="095FD718" w:rsidR="00FF7054" w:rsidRPr="00FF7054" w:rsidRDefault="00FF7054" w:rsidP="00C92978">
      <w:pPr>
        <w:pStyle w:val="Heading2"/>
        <w:spacing w:line="360" w:lineRule="auto"/>
        <w:jc w:val="both"/>
        <w:rPr>
          <w:b w:val="0"/>
          <w:bCs w:val="0"/>
          <w:color w:val="1E1E1E"/>
          <w:sz w:val="22"/>
          <w:szCs w:val="22"/>
        </w:rPr>
      </w:pPr>
      <w:bookmarkStart w:id="3" w:name="_Toc228432146"/>
      <w:bookmarkStart w:id="4" w:name="_Toc228432225"/>
      <w:r w:rsidRPr="00FF7054">
        <w:rPr>
          <w:b w:val="0"/>
          <w:bCs w:val="0"/>
          <w:color w:val="1E1E1E"/>
          <w:sz w:val="22"/>
          <w:szCs w:val="22"/>
        </w:rPr>
        <w:t xml:space="preserve">Diageo Plc was established in 1997 </w:t>
      </w:r>
      <w:r w:rsidR="001F06FA" w:rsidRPr="00FF7054">
        <w:rPr>
          <w:b w:val="0"/>
          <w:bCs w:val="0"/>
          <w:color w:val="1E1E1E"/>
          <w:sz w:val="22"/>
          <w:szCs w:val="22"/>
        </w:rPr>
        <w:t>because of</w:t>
      </w:r>
      <w:r w:rsidRPr="00FF7054">
        <w:rPr>
          <w:b w:val="0"/>
          <w:bCs w:val="0"/>
          <w:color w:val="1E1E1E"/>
          <w:sz w:val="22"/>
          <w:szCs w:val="22"/>
        </w:rPr>
        <w:t xml:space="preserve"> the merger between Guinness Plc and Grand Metropolitan Plc to form a worldwide powerhouse in beverages based in London, UK. Its origin </w:t>
      </w:r>
      <w:r w:rsidR="00B30CD4" w:rsidRPr="00FF7054">
        <w:rPr>
          <w:b w:val="0"/>
          <w:bCs w:val="0"/>
          <w:color w:val="1E1E1E"/>
          <w:sz w:val="22"/>
          <w:szCs w:val="22"/>
        </w:rPr>
        <w:t>dates to</w:t>
      </w:r>
      <w:r w:rsidRPr="00FF7054">
        <w:rPr>
          <w:b w:val="0"/>
          <w:bCs w:val="0"/>
          <w:color w:val="1E1E1E"/>
          <w:sz w:val="22"/>
          <w:szCs w:val="22"/>
        </w:rPr>
        <w:t xml:space="preserve"> centuries-old brewing and distilling: in 1759, Guinness was established in Dublin, and the distilleries of Johnnie Walker have been operating in Scotland since the beginning of the nineteenth century (Diageo Annual Report, 2024; Gaughan, 2015). Since its inception, Diageo had embarked on an aggressive brand acquisition and portfolio </w:t>
      </w:r>
      <w:proofErr w:type="spellStart"/>
      <w:r w:rsidRPr="00FF7054">
        <w:rPr>
          <w:b w:val="0"/>
          <w:bCs w:val="0"/>
          <w:color w:val="1E1E1E"/>
          <w:sz w:val="22"/>
          <w:szCs w:val="22"/>
        </w:rPr>
        <w:t>rationalisation</w:t>
      </w:r>
      <w:proofErr w:type="spellEnd"/>
      <w:r w:rsidRPr="00FF7054">
        <w:rPr>
          <w:b w:val="0"/>
          <w:bCs w:val="0"/>
          <w:color w:val="1E1E1E"/>
          <w:sz w:val="22"/>
          <w:szCs w:val="22"/>
        </w:rPr>
        <w:t xml:space="preserve"> strategy, selling off non-core food assets and redeploying capital </w:t>
      </w:r>
      <w:proofErr w:type="spellStart"/>
      <w:r w:rsidRPr="00FF7054">
        <w:rPr>
          <w:b w:val="0"/>
          <w:bCs w:val="0"/>
          <w:color w:val="1E1E1E"/>
          <w:sz w:val="22"/>
          <w:szCs w:val="22"/>
        </w:rPr>
        <w:t>capital</w:t>
      </w:r>
      <w:proofErr w:type="spellEnd"/>
      <w:r w:rsidRPr="00FF7054">
        <w:rPr>
          <w:b w:val="0"/>
          <w:bCs w:val="0"/>
          <w:color w:val="1E1E1E"/>
          <w:sz w:val="22"/>
          <w:szCs w:val="22"/>
        </w:rPr>
        <w:t xml:space="preserve"> to premium beverage brands, the most notable of which is its </w:t>
      </w:r>
      <w:r w:rsidR="00B30CD4" w:rsidRPr="00FF7054">
        <w:rPr>
          <w:b w:val="0"/>
          <w:bCs w:val="0"/>
          <w:color w:val="1E1E1E"/>
          <w:sz w:val="22"/>
          <w:szCs w:val="22"/>
        </w:rPr>
        <w:t>1-billion-dollar</w:t>
      </w:r>
      <w:r w:rsidRPr="00FF7054">
        <w:rPr>
          <w:b w:val="0"/>
          <w:bCs w:val="0"/>
          <w:color w:val="1E1E1E"/>
          <w:sz w:val="22"/>
          <w:szCs w:val="22"/>
        </w:rPr>
        <w:t xml:space="preserve"> purchase of </w:t>
      </w:r>
      <w:proofErr w:type="spellStart"/>
      <w:r w:rsidRPr="00FF7054">
        <w:rPr>
          <w:b w:val="0"/>
          <w:bCs w:val="0"/>
          <w:color w:val="1E1E1E"/>
          <w:sz w:val="22"/>
          <w:szCs w:val="22"/>
        </w:rPr>
        <w:t>Casamigos</w:t>
      </w:r>
      <w:proofErr w:type="spellEnd"/>
      <w:r w:rsidRPr="00FF7054">
        <w:rPr>
          <w:b w:val="0"/>
          <w:bCs w:val="0"/>
          <w:color w:val="1E1E1E"/>
          <w:sz w:val="22"/>
          <w:szCs w:val="22"/>
        </w:rPr>
        <w:t xml:space="preserve"> tequila in 2017 (Diageo AR, 2024).</w:t>
      </w:r>
      <w:bookmarkEnd w:id="3"/>
      <w:bookmarkEnd w:id="4"/>
    </w:p>
    <w:p w14:paraId="7B9A3AA0" w14:textId="77777777" w:rsidR="00FF7054" w:rsidRDefault="00FF7054" w:rsidP="00C92978">
      <w:pPr>
        <w:pStyle w:val="Heading2"/>
        <w:spacing w:line="360" w:lineRule="auto"/>
        <w:jc w:val="both"/>
        <w:rPr>
          <w:b w:val="0"/>
          <w:bCs w:val="0"/>
          <w:color w:val="1E1E1E"/>
          <w:sz w:val="22"/>
          <w:szCs w:val="22"/>
        </w:rPr>
      </w:pPr>
      <w:bookmarkStart w:id="5" w:name="_Toc228432147"/>
      <w:bookmarkStart w:id="6" w:name="_Toc228432226"/>
      <w:r w:rsidRPr="00FF7054">
        <w:rPr>
          <w:b w:val="0"/>
          <w:bCs w:val="0"/>
          <w:color w:val="1E1E1E"/>
          <w:sz w:val="22"/>
          <w:szCs w:val="22"/>
        </w:rPr>
        <w:t xml:space="preserve">The corporate mission of Diageo focuses on the celebration of life, daily, all over the world, making its brands culturally core to the celebration of life. Its strategic vision (under the framework of Society 2030: Spirit of Progress) incorporates environmental sustainability, responsible drinking, and inclusive economic opportunity into its commercial strategy. Diageo has a premium spirits-based business model that generates revenue by manufacturing, marketing, and distributing to five geographic markets, including </w:t>
      </w:r>
      <w:proofErr w:type="gramStart"/>
      <w:r w:rsidRPr="00FF7054">
        <w:rPr>
          <w:b w:val="0"/>
          <w:bCs w:val="0"/>
          <w:color w:val="1E1E1E"/>
          <w:sz w:val="22"/>
          <w:szCs w:val="22"/>
        </w:rPr>
        <w:t>the North</w:t>
      </w:r>
      <w:proofErr w:type="gramEnd"/>
      <w:r w:rsidRPr="00FF7054">
        <w:rPr>
          <w:b w:val="0"/>
          <w:bCs w:val="0"/>
          <w:color w:val="1E1E1E"/>
          <w:sz w:val="22"/>
          <w:szCs w:val="22"/>
        </w:rPr>
        <w:t xml:space="preserve"> America, Europe, Asia Pacific, Africa, and Latin America (Diageo AR, 2024). The key sources of revenue in FY2024 comprised off-trade retail, on-trade hospitality and direct-to-consumer digital channels which yielded revenue of £16.98bn. The most strategically important asset of the </w:t>
      </w:r>
      <w:proofErr w:type="spellStart"/>
      <w:r w:rsidRPr="00FF7054">
        <w:rPr>
          <w:b w:val="0"/>
          <w:bCs w:val="0"/>
          <w:color w:val="1E1E1E"/>
          <w:sz w:val="22"/>
          <w:szCs w:val="22"/>
        </w:rPr>
        <w:t>organisation</w:t>
      </w:r>
      <w:proofErr w:type="spellEnd"/>
      <w:r w:rsidRPr="00FF7054">
        <w:rPr>
          <w:b w:val="0"/>
          <w:bCs w:val="0"/>
          <w:color w:val="1E1E1E"/>
          <w:sz w:val="22"/>
          <w:szCs w:val="22"/>
        </w:rPr>
        <w:t xml:space="preserve"> is the brand portfolio that is over £16bn (Brand Finance, 2024).</w:t>
      </w:r>
      <w:bookmarkEnd w:id="5"/>
      <w:bookmarkEnd w:id="6"/>
    </w:p>
    <w:p w14:paraId="04BCDFCB" w14:textId="286C7D51" w:rsidR="00420722" w:rsidRDefault="00F65200" w:rsidP="00C92978">
      <w:pPr>
        <w:pStyle w:val="Heading2"/>
        <w:spacing w:line="360" w:lineRule="auto"/>
        <w:jc w:val="both"/>
      </w:pPr>
      <w:bookmarkStart w:id="7" w:name="_Toc228432227"/>
      <w:r>
        <w:t>1.2 Industry, Key Competitors, and Market Position</w:t>
      </w:r>
      <w:bookmarkEnd w:id="7"/>
    </w:p>
    <w:p w14:paraId="5C57C392" w14:textId="77777777" w:rsidR="00FF7054" w:rsidRPr="00FF7054" w:rsidRDefault="00FF7054" w:rsidP="00C92978">
      <w:pPr>
        <w:spacing w:before="150" w:after="40" w:line="360" w:lineRule="auto"/>
        <w:jc w:val="both"/>
        <w:rPr>
          <w:color w:val="1E1E1E"/>
        </w:rPr>
      </w:pPr>
      <w:r w:rsidRPr="00FF7054">
        <w:rPr>
          <w:color w:val="1E1E1E"/>
        </w:rPr>
        <w:t xml:space="preserve">Diageo is a company in the global alcoholic drinks market, which was estimated to be $1.66 trillion in 2024 and is expected to increase at a CAGR of 3.8% by 2030, due to </w:t>
      </w:r>
      <w:proofErr w:type="spellStart"/>
      <w:r w:rsidRPr="00FF7054">
        <w:rPr>
          <w:color w:val="1E1E1E"/>
        </w:rPr>
        <w:t>premiumisation</w:t>
      </w:r>
      <w:proofErr w:type="spellEnd"/>
      <w:r w:rsidRPr="00FF7054">
        <w:rPr>
          <w:color w:val="1E1E1E"/>
        </w:rPr>
        <w:t xml:space="preserve"> in developed markets and volume in emerging markets (Statista, 2024; IWSR, 2024). The level where Diageo has a disproportionately high presence is the premium segment, which is expanding at an average of two times the pace of the category (IWSR, 2024).</w:t>
      </w:r>
    </w:p>
    <w:p w14:paraId="0E4DCD1B" w14:textId="77777777" w:rsidR="00FF7054" w:rsidRDefault="00FF7054" w:rsidP="00C92978">
      <w:pPr>
        <w:spacing w:before="150" w:after="40" w:line="360" w:lineRule="auto"/>
        <w:jc w:val="both"/>
        <w:rPr>
          <w:color w:val="1E1E1E"/>
        </w:rPr>
      </w:pPr>
      <w:r w:rsidRPr="00FF7054">
        <w:rPr>
          <w:color w:val="1E1E1E"/>
        </w:rPr>
        <w:lastRenderedPageBreak/>
        <w:t xml:space="preserve">The main rivals of Diageo are Pernod Ricard (Absolut, Jameson), Bacardi Limited (Grey Goose), LVMH Wines and Spirits (Hennessy), Beam Suntory (Jim Beam) and Brown-Forman (Jack Daniels). Figure 2 (competitive positioning map) shows that Diageo has set the pace in terms of both </w:t>
      </w:r>
      <w:proofErr w:type="spellStart"/>
      <w:r w:rsidRPr="00FF7054">
        <w:rPr>
          <w:color w:val="1E1E1E"/>
        </w:rPr>
        <w:t>premiumisation</w:t>
      </w:r>
      <w:proofErr w:type="spellEnd"/>
      <w:r w:rsidRPr="00FF7054">
        <w:rPr>
          <w:color w:val="1E1E1E"/>
        </w:rPr>
        <w:t xml:space="preserve"> and portfolio breadth - a strategy that none of its rivals can currently match to the same extent. Diageo controls leading market share in Scotch whisky (Johnnie Walker), and Irish stout (Guinness), as well as is fast ascending market share in premium tequila which is the fastest-growing major spirits category worldwide (IWSR, 2024; Diageo AR, 2024).</w:t>
      </w:r>
    </w:p>
    <w:p w14:paraId="6A376BB7" w14:textId="68C2A556" w:rsidR="00420722" w:rsidRDefault="00000000" w:rsidP="00C92978">
      <w:pPr>
        <w:spacing w:before="150" w:after="40" w:line="360" w:lineRule="auto"/>
        <w:jc w:val="center"/>
      </w:pPr>
      <w:r>
        <w:rPr>
          <w:noProof/>
        </w:rPr>
        <w:drawing>
          <wp:inline distT="0" distB="0" distL="0" distR="0" wp14:anchorId="6F25EE83" wp14:editId="523BCC99">
            <wp:extent cx="4427220" cy="275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427220" cy="2750820"/>
                    </a:xfrm>
                    <a:prstGeom prst="rect">
                      <a:avLst/>
                    </a:prstGeom>
                  </pic:spPr>
                </pic:pic>
              </a:graphicData>
            </a:graphic>
          </wp:inline>
        </w:drawing>
      </w:r>
    </w:p>
    <w:p w14:paraId="6B2C32BB" w14:textId="77777777" w:rsidR="00420722" w:rsidRDefault="00000000" w:rsidP="00C92978">
      <w:pPr>
        <w:spacing w:after="190" w:line="360" w:lineRule="auto"/>
        <w:jc w:val="center"/>
      </w:pPr>
      <w:r>
        <w:rPr>
          <w:i/>
          <w:iCs/>
          <w:color w:val="666666"/>
          <w:sz w:val="19"/>
          <w:szCs w:val="19"/>
        </w:rPr>
        <w:t>Figure 1: Diageo Revenue Mix by Category (FY2024) — Source: Diageo Annual Report, 2024</w:t>
      </w:r>
    </w:p>
    <w:p w14:paraId="19A31550" w14:textId="77777777" w:rsidR="00420722" w:rsidRDefault="00000000" w:rsidP="00C92978">
      <w:pPr>
        <w:spacing w:before="150" w:after="40" w:line="360" w:lineRule="auto"/>
        <w:jc w:val="center"/>
      </w:pPr>
      <w:r>
        <w:rPr>
          <w:noProof/>
        </w:rPr>
        <w:drawing>
          <wp:inline distT="0" distB="0" distL="0" distR="0" wp14:anchorId="22479C81" wp14:editId="4AD02B93">
            <wp:extent cx="5143500" cy="3002280"/>
            <wp:effectExtent l="0" t="0" r="0" b="7620"/>
            <wp:docPr id="1381161110" name="Picture 138116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143500" cy="3002280"/>
                    </a:xfrm>
                    <a:prstGeom prst="rect">
                      <a:avLst/>
                    </a:prstGeom>
                  </pic:spPr>
                </pic:pic>
              </a:graphicData>
            </a:graphic>
          </wp:inline>
        </w:drawing>
      </w:r>
    </w:p>
    <w:p w14:paraId="5426FA5E" w14:textId="270AD42E" w:rsidR="00420722" w:rsidRDefault="00000000" w:rsidP="001F06FA">
      <w:pPr>
        <w:spacing w:after="190" w:line="360" w:lineRule="auto"/>
        <w:jc w:val="center"/>
      </w:pPr>
      <w:r>
        <w:rPr>
          <w:i/>
          <w:iCs/>
          <w:color w:val="666666"/>
          <w:sz w:val="19"/>
          <w:szCs w:val="19"/>
        </w:rPr>
        <w:t xml:space="preserve">Figure 2: Competitive Positioning Map – Global Spirits </w:t>
      </w:r>
      <w:r w:rsidR="001F06FA">
        <w:rPr>
          <w:i/>
          <w:iCs/>
          <w:color w:val="666666"/>
          <w:sz w:val="19"/>
          <w:szCs w:val="19"/>
        </w:rPr>
        <w:t>Industry.</w:t>
      </w:r>
    </w:p>
    <w:p w14:paraId="765FC595" w14:textId="02537225" w:rsidR="00420722" w:rsidRDefault="00000000" w:rsidP="00C92978">
      <w:pPr>
        <w:pStyle w:val="Heading1"/>
        <w:spacing w:line="360" w:lineRule="auto"/>
        <w:jc w:val="both"/>
      </w:pPr>
      <w:bookmarkStart w:id="8" w:name="_Toc228432228"/>
      <w:r>
        <w:lastRenderedPageBreak/>
        <w:t>2</w:t>
      </w:r>
      <w:r w:rsidR="001E0475">
        <w:t>.</w:t>
      </w:r>
      <w:r>
        <w:t xml:space="preserve"> EXTERNAL AND INTERNAL ENVIRONMENT ANALYSIS</w:t>
      </w:r>
      <w:bookmarkEnd w:id="8"/>
    </w:p>
    <w:p w14:paraId="532BD260" w14:textId="433B740B" w:rsidR="00420722" w:rsidRDefault="006E7775" w:rsidP="00C92978">
      <w:pPr>
        <w:pStyle w:val="Heading2"/>
        <w:spacing w:line="360" w:lineRule="auto"/>
        <w:jc w:val="both"/>
      </w:pPr>
      <w:bookmarkStart w:id="9" w:name="_Toc228432229"/>
      <w:r>
        <w:t>2.1 PESTEL</w:t>
      </w:r>
      <w:r w:rsidR="00000000">
        <w:t xml:space="preserve"> Analysis</w:t>
      </w:r>
      <w:bookmarkEnd w:id="9"/>
    </w:p>
    <w:p w14:paraId="5332806B" w14:textId="77777777" w:rsidR="00420722" w:rsidRDefault="00000000" w:rsidP="00C92978">
      <w:pPr>
        <w:spacing w:before="150" w:after="40" w:line="360" w:lineRule="auto"/>
        <w:jc w:val="center"/>
      </w:pPr>
      <w:r>
        <w:rPr>
          <w:noProof/>
        </w:rPr>
        <w:drawing>
          <wp:inline distT="0" distB="0" distL="0" distR="0" wp14:anchorId="6315E1FE" wp14:editId="598BB07A">
            <wp:extent cx="5524500" cy="2809875"/>
            <wp:effectExtent l="0" t="0" r="0" b="0"/>
            <wp:docPr id="90284187" name="Picture 9028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524500" cy="2809875"/>
                    </a:xfrm>
                    <a:prstGeom prst="rect">
                      <a:avLst/>
                    </a:prstGeom>
                  </pic:spPr>
                </pic:pic>
              </a:graphicData>
            </a:graphic>
          </wp:inline>
        </w:drawing>
      </w:r>
    </w:p>
    <w:p w14:paraId="53757704" w14:textId="77777777" w:rsidR="00420722" w:rsidRDefault="00000000" w:rsidP="00C92978">
      <w:pPr>
        <w:spacing w:after="190" w:line="360" w:lineRule="auto"/>
        <w:jc w:val="center"/>
      </w:pPr>
      <w:r>
        <w:rPr>
          <w:i/>
          <w:iCs/>
          <w:color w:val="666666"/>
          <w:sz w:val="19"/>
          <w:szCs w:val="19"/>
        </w:rPr>
        <w:t>Figure 3: Diageo Financial Performance FY2020–FY2024 — Source: Diageo Annual Reports, 2020–2024</w:t>
      </w:r>
    </w:p>
    <w:p w14:paraId="5C63AEBE" w14:textId="77777777" w:rsidR="00420722" w:rsidRDefault="00000000" w:rsidP="00C92978">
      <w:pPr>
        <w:spacing w:before="150" w:after="40" w:line="360" w:lineRule="auto"/>
        <w:jc w:val="center"/>
      </w:pPr>
      <w:r>
        <w:rPr>
          <w:noProof/>
        </w:rPr>
        <w:lastRenderedPageBreak/>
        <w:drawing>
          <wp:inline distT="0" distB="0" distL="0" distR="0" wp14:anchorId="5EFE250A" wp14:editId="56DFDFFA">
            <wp:extent cx="4857750" cy="4857750"/>
            <wp:effectExtent l="0" t="0" r="0" b="0"/>
            <wp:docPr id="1110651012" name="Picture 111065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857750" cy="4857750"/>
                    </a:xfrm>
                    <a:prstGeom prst="rect">
                      <a:avLst/>
                    </a:prstGeom>
                  </pic:spPr>
                </pic:pic>
              </a:graphicData>
            </a:graphic>
          </wp:inline>
        </w:drawing>
      </w:r>
    </w:p>
    <w:p w14:paraId="77338424" w14:textId="3D9588A3" w:rsidR="00420722" w:rsidRDefault="00000000" w:rsidP="00C92978">
      <w:pPr>
        <w:spacing w:after="190" w:line="360" w:lineRule="auto"/>
        <w:jc w:val="center"/>
        <w:rPr>
          <w:i/>
          <w:iCs/>
          <w:color w:val="666666"/>
          <w:sz w:val="19"/>
          <w:szCs w:val="19"/>
        </w:rPr>
      </w:pPr>
      <w:r>
        <w:rPr>
          <w:i/>
          <w:iCs/>
          <w:color w:val="666666"/>
          <w:sz w:val="19"/>
          <w:szCs w:val="19"/>
        </w:rPr>
        <w:t xml:space="preserve">Figure 4: PESTEL Analysis Mind Map – Diageo </w:t>
      </w:r>
      <w:r w:rsidR="00ED66D8">
        <w:rPr>
          <w:i/>
          <w:iCs/>
          <w:color w:val="666666"/>
          <w:sz w:val="19"/>
          <w:szCs w:val="19"/>
        </w:rPr>
        <w:t>Plc.</w:t>
      </w:r>
    </w:p>
    <w:p w14:paraId="70DF7C65" w14:textId="38DC5348" w:rsidR="002939C9" w:rsidRPr="002939C9" w:rsidRDefault="002939C9" w:rsidP="002939C9">
      <w:pPr>
        <w:spacing w:after="190" w:line="360" w:lineRule="auto"/>
        <w:rPr>
          <w:i/>
          <w:iCs/>
          <w:color w:val="666666"/>
          <w:sz w:val="19"/>
          <w:szCs w:val="19"/>
        </w:rPr>
      </w:pPr>
      <w:r w:rsidRPr="002939C9">
        <w:rPr>
          <w:i/>
          <w:iCs/>
          <w:color w:val="666666"/>
          <w:sz w:val="19"/>
          <w:szCs w:val="19"/>
        </w:rPr>
        <w:t xml:space="preserve">Table 1: PESTEL Analysis – Diageo </w:t>
      </w:r>
      <w:r w:rsidR="00ED66D8" w:rsidRPr="002939C9">
        <w:rPr>
          <w:i/>
          <w:iCs/>
          <w:color w:val="666666"/>
          <w:sz w:val="19"/>
          <w:szCs w:val="19"/>
        </w:rPr>
        <w:t>Plc.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0"/>
        <w:gridCol w:w="2504"/>
        <w:gridCol w:w="5556"/>
      </w:tblGrid>
      <w:tr w:rsidR="00107293" w14:paraId="6B7CA138" w14:textId="77777777" w:rsidTr="00FF7054">
        <w:trPr>
          <w:tblHeader/>
        </w:trPr>
        <w:tc>
          <w:tcPr>
            <w:tcW w:w="0" w:type="auto"/>
            <w:shd w:val="clear" w:color="auto" w:fill="1A1A2E"/>
            <w:tcMar>
              <w:top w:w="80" w:type="dxa"/>
              <w:left w:w="130" w:type="dxa"/>
              <w:bottom w:w="80" w:type="dxa"/>
              <w:right w:w="130" w:type="dxa"/>
            </w:tcMar>
            <w:vAlign w:val="center"/>
          </w:tcPr>
          <w:p w14:paraId="0E61401C" w14:textId="77777777" w:rsidR="00420722" w:rsidRDefault="00000000" w:rsidP="00C92978">
            <w:pPr>
              <w:spacing w:line="360" w:lineRule="auto"/>
              <w:jc w:val="both"/>
            </w:pPr>
            <w:r>
              <w:rPr>
                <w:b/>
                <w:bCs/>
                <w:color w:val="FFFFFF"/>
                <w:sz w:val="20"/>
                <w:szCs w:val="20"/>
              </w:rPr>
              <w:t>Dimension</w:t>
            </w:r>
          </w:p>
        </w:tc>
        <w:tc>
          <w:tcPr>
            <w:tcW w:w="0" w:type="auto"/>
            <w:shd w:val="clear" w:color="auto" w:fill="1A1A2E"/>
            <w:tcMar>
              <w:top w:w="80" w:type="dxa"/>
              <w:left w:w="130" w:type="dxa"/>
              <w:bottom w:w="80" w:type="dxa"/>
              <w:right w:w="130" w:type="dxa"/>
            </w:tcMar>
            <w:vAlign w:val="center"/>
          </w:tcPr>
          <w:p w14:paraId="43E51C5B" w14:textId="77777777" w:rsidR="00420722" w:rsidRDefault="00000000" w:rsidP="00C92978">
            <w:pPr>
              <w:spacing w:line="360" w:lineRule="auto"/>
              <w:jc w:val="both"/>
            </w:pPr>
            <w:r>
              <w:rPr>
                <w:b/>
                <w:bCs/>
                <w:color w:val="FFFFFF"/>
                <w:sz w:val="20"/>
                <w:szCs w:val="20"/>
              </w:rPr>
              <w:t>Key Factor</w:t>
            </w:r>
          </w:p>
        </w:tc>
        <w:tc>
          <w:tcPr>
            <w:tcW w:w="0" w:type="auto"/>
            <w:shd w:val="clear" w:color="auto" w:fill="1A1A2E"/>
            <w:tcMar>
              <w:top w:w="80" w:type="dxa"/>
              <w:left w:w="130" w:type="dxa"/>
              <w:bottom w:w="80" w:type="dxa"/>
              <w:right w:w="130" w:type="dxa"/>
            </w:tcMar>
            <w:vAlign w:val="center"/>
          </w:tcPr>
          <w:p w14:paraId="477DB303" w14:textId="77777777" w:rsidR="00420722" w:rsidRDefault="00000000" w:rsidP="00C92978">
            <w:pPr>
              <w:spacing w:line="360" w:lineRule="auto"/>
              <w:jc w:val="both"/>
            </w:pPr>
            <w:r>
              <w:rPr>
                <w:b/>
                <w:bCs/>
                <w:color w:val="FFFFFF"/>
                <w:sz w:val="20"/>
                <w:szCs w:val="20"/>
              </w:rPr>
              <w:t>Strategic Implication for Diageo</w:t>
            </w:r>
          </w:p>
        </w:tc>
      </w:tr>
      <w:tr w:rsidR="00107293" w14:paraId="2476B531" w14:textId="77777777" w:rsidTr="00FF7054">
        <w:tc>
          <w:tcPr>
            <w:tcW w:w="0" w:type="auto"/>
            <w:shd w:val="clear" w:color="auto" w:fill="F5F3EF"/>
            <w:tcMar>
              <w:top w:w="62" w:type="dxa"/>
              <w:left w:w="130" w:type="dxa"/>
              <w:bottom w:w="62" w:type="dxa"/>
              <w:right w:w="130" w:type="dxa"/>
            </w:tcMar>
          </w:tcPr>
          <w:p w14:paraId="65EBCEB3" w14:textId="77777777" w:rsidR="00420722" w:rsidRDefault="00000000" w:rsidP="00C92978">
            <w:pPr>
              <w:spacing w:line="360" w:lineRule="auto"/>
              <w:jc w:val="both"/>
            </w:pPr>
            <w:r>
              <w:rPr>
                <w:b/>
                <w:bCs/>
                <w:color w:val="0F6B75"/>
                <w:sz w:val="20"/>
                <w:szCs w:val="20"/>
              </w:rPr>
              <w:t>Political</w:t>
            </w:r>
          </w:p>
        </w:tc>
        <w:tc>
          <w:tcPr>
            <w:tcW w:w="0" w:type="auto"/>
            <w:shd w:val="clear" w:color="auto" w:fill="F5F3EF"/>
            <w:tcMar>
              <w:top w:w="62" w:type="dxa"/>
              <w:left w:w="130" w:type="dxa"/>
              <w:bottom w:w="62" w:type="dxa"/>
              <w:right w:w="130" w:type="dxa"/>
            </w:tcMar>
          </w:tcPr>
          <w:p w14:paraId="22658378" w14:textId="77777777" w:rsidR="00420722" w:rsidRDefault="00000000" w:rsidP="00C92978">
            <w:pPr>
              <w:spacing w:line="360" w:lineRule="auto"/>
              <w:jc w:val="both"/>
            </w:pPr>
            <w:r>
              <w:rPr>
                <w:color w:val="1E1E1E"/>
                <w:sz w:val="20"/>
                <w:szCs w:val="20"/>
              </w:rPr>
              <w:t>Alcohol advertising &amp; marketing regulation</w:t>
            </w:r>
          </w:p>
        </w:tc>
        <w:tc>
          <w:tcPr>
            <w:tcW w:w="0" w:type="auto"/>
            <w:shd w:val="clear" w:color="auto" w:fill="F5F3EF"/>
            <w:tcMar>
              <w:top w:w="62" w:type="dxa"/>
              <w:left w:w="130" w:type="dxa"/>
              <w:bottom w:w="62" w:type="dxa"/>
              <w:right w:w="130" w:type="dxa"/>
            </w:tcMar>
          </w:tcPr>
          <w:p w14:paraId="2B714F4A" w14:textId="77777777" w:rsidR="00420722" w:rsidRDefault="00000000" w:rsidP="00C92978">
            <w:pPr>
              <w:spacing w:line="360" w:lineRule="auto"/>
              <w:jc w:val="both"/>
            </w:pPr>
            <w:r>
              <w:rPr>
                <w:color w:val="1E1E1E"/>
                <w:sz w:val="20"/>
                <w:szCs w:val="20"/>
              </w:rPr>
              <w:t>Tightening restrictions on alcohol advertising (particularly digital and sports-linked) constrain Diageo's brand-building channels and require investment in alternative experiential marketing strategies (Carroll, 1991; Grant, 2016).</w:t>
            </w:r>
          </w:p>
        </w:tc>
      </w:tr>
      <w:tr w:rsidR="00107293" w14:paraId="4014F512" w14:textId="77777777" w:rsidTr="00FF7054">
        <w:tc>
          <w:tcPr>
            <w:tcW w:w="0" w:type="auto"/>
            <w:shd w:val="clear" w:color="auto" w:fill="FFFFFF"/>
            <w:tcMar>
              <w:top w:w="62" w:type="dxa"/>
              <w:left w:w="130" w:type="dxa"/>
              <w:bottom w:w="62" w:type="dxa"/>
              <w:right w:w="130" w:type="dxa"/>
            </w:tcMar>
          </w:tcPr>
          <w:p w14:paraId="2FC2BB8F"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5CA232E4" w14:textId="77777777" w:rsidR="00420722" w:rsidRDefault="00000000" w:rsidP="00C92978">
            <w:pPr>
              <w:spacing w:line="360" w:lineRule="auto"/>
              <w:jc w:val="both"/>
            </w:pPr>
            <w:r>
              <w:rPr>
                <w:color w:val="1E1E1E"/>
                <w:sz w:val="20"/>
                <w:szCs w:val="20"/>
              </w:rPr>
              <w:t>Excise duty increases (UK, Ireland, India)</w:t>
            </w:r>
          </w:p>
        </w:tc>
        <w:tc>
          <w:tcPr>
            <w:tcW w:w="0" w:type="auto"/>
            <w:shd w:val="clear" w:color="auto" w:fill="FFFFFF"/>
            <w:tcMar>
              <w:top w:w="62" w:type="dxa"/>
              <w:left w:w="130" w:type="dxa"/>
              <w:bottom w:w="62" w:type="dxa"/>
              <w:right w:w="130" w:type="dxa"/>
            </w:tcMar>
          </w:tcPr>
          <w:p w14:paraId="55873BC7" w14:textId="77777777" w:rsidR="00420722" w:rsidRDefault="00000000" w:rsidP="00C92978">
            <w:pPr>
              <w:spacing w:line="360" w:lineRule="auto"/>
              <w:jc w:val="both"/>
            </w:pPr>
            <w:r>
              <w:rPr>
                <w:color w:val="1E1E1E"/>
                <w:sz w:val="20"/>
                <w:szCs w:val="20"/>
              </w:rPr>
              <w:t>Governments consistently use alcohol taxation as a fiscal lever; the UK's 2023 duty reforms increased spirits duty by 10.1% — directly compressing on-trade volume and consumer purchasing power (Diageo AR, 2024).</w:t>
            </w:r>
          </w:p>
        </w:tc>
      </w:tr>
      <w:tr w:rsidR="00107293" w14:paraId="51DBDF8C" w14:textId="77777777" w:rsidTr="00FF7054">
        <w:tc>
          <w:tcPr>
            <w:tcW w:w="0" w:type="auto"/>
            <w:shd w:val="clear" w:color="auto" w:fill="F5F3EF"/>
            <w:tcMar>
              <w:top w:w="62" w:type="dxa"/>
              <w:left w:w="130" w:type="dxa"/>
              <w:bottom w:w="62" w:type="dxa"/>
              <w:right w:w="130" w:type="dxa"/>
            </w:tcMar>
          </w:tcPr>
          <w:p w14:paraId="5523D300" w14:textId="77777777" w:rsidR="00420722" w:rsidRDefault="00000000" w:rsidP="00C92978">
            <w:pPr>
              <w:spacing w:line="360" w:lineRule="auto"/>
              <w:jc w:val="both"/>
            </w:pPr>
            <w:r>
              <w:rPr>
                <w:b/>
                <w:bCs/>
                <w:color w:val="0F6B75"/>
                <w:sz w:val="20"/>
                <w:szCs w:val="20"/>
              </w:rPr>
              <w:lastRenderedPageBreak/>
              <w:t>Economic</w:t>
            </w:r>
          </w:p>
        </w:tc>
        <w:tc>
          <w:tcPr>
            <w:tcW w:w="0" w:type="auto"/>
            <w:shd w:val="clear" w:color="auto" w:fill="F5F3EF"/>
            <w:tcMar>
              <w:top w:w="62" w:type="dxa"/>
              <w:left w:w="130" w:type="dxa"/>
              <w:bottom w:w="62" w:type="dxa"/>
              <w:right w:w="130" w:type="dxa"/>
            </w:tcMar>
          </w:tcPr>
          <w:p w14:paraId="5A62906C" w14:textId="77777777" w:rsidR="00420722" w:rsidRDefault="00000000" w:rsidP="00C92978">
            <w:pPr>
              <w:spacing w:line="360" w:lineRule="auto"/>
              <w:jc w:val="both"/>
            </w:pPr>
            <w:r>
              <w:rPr>
                <w:color w:val="1E1E1E"/>
                <w:sz w:val="20"/>
                <w:szCs w:val="20"/>
              </w:rPr>
              <w:t>Foreign exchange: USD/GBP/ZAR/INR</w:t>
            </w:r>
          </w:p>
        </w:tc>
        <w:tc>
          <w:tcPr>
            <w:tcW w:w="0" w:type="auto"/>
            <w:shd w:val="clear" w:color="auto" w:fill="F5F3EF"/>
            <w:tcMar>
              <w:top w:w="62" w:type="dxa"/>
              <w:left w:w="130" w:type="dxa"/>
              <w:bottom w:w="62" w:type="dxa"/>
              <w:right w:w="130" w:type="dxa"/>
            </w:tcMar>
          </w:tcPr>
          <w:p w14:paraId="124B6EE1" w14:textId="77777777" w:rsidR="00420722" w:rsidRDefault="00000000" w:rsidP="00C92978">
            <w:pPr>
              <w:spacing w:line="360" w:lineRule="auto"/>
              <w:jc w:val="both"/>
            </w:pPr>
            <w:r>
              <w:rPr>
                <w:color w:val="1E1E1E"/>
                <w:sz w:val="20"/>
                <w:szCs w:val="20"/>
              </w:rPr>
              <w:t>Diageo's global revenue base makes it highly sensitive to currency movements; the ZAR and Argentine peso depreciation in FY2024 materially suppressed emerging market reported revenues (Hill et al., 2014).</w:t>
            </w:r>
          </w:p>
        </w:tc>
      </w:tr>
      <w:tr w:rsidR="00107293" w14:paraId="79F4943E" w14:textId="77777777" w:rsidTr="00FF7054">
        <w:tc>
          <w:tcPr>
            <w:tcW w:w="0" w:type="auto"/>
            <w:shd w:val="clear" w:color="auto" w:fill="FFFFFF"/>
            <w:tcMar>
              <w:top w:w="62" w:type="dxa"/>
              <w:left w:w="130" w:type="dxa"/>
              <w:bottom w:w="62" w:type="dxa"/>
              <w:right w:w="130" w:type="dxa"/>
            </w:tcMar>
          </w:tcPr>
          <w:p w14:paraId="01F7E1FB"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1DA4FBFB" w14:textId="77777777" w:rsidR="00420722" w:rsidRDefault="00000000" w:rsidP="00C92978">
            <w:pPr>
              <w:spacing w:line="360" w:lineRule="auto"/>
              <w:jc w:val="both"/>
            </w:pPr>
            <w:r>
              <w:rPr>
                <w:color w:val="1E1E1E"/>
                <w:sz w:val="20"/>
                <w:szCs w:val="20"/>
              </w:rPr>
              <w:t>Consumer spending contraction</w:t>
            </w:r>
          </w:p>
        </w:tc>
        <w:tc>
          <w:tcPr>
            <w:tcW w:w="0" w:type="auto"/>
            <w:shd w:val="clear" w:color="auto" w:fill="FFFFFF"/>
            <w:tcMar>
              <w:top w:w="62" w:type="dxa"/>
              <w:left w:w="130" w:type="dxa"/>
              <w:bottom w:w="62" w:type="dxa"/>
              <w:right w:w="130" w:type="dxa"/>
            </w:tcMar>
          </w:tcPr>
          <w:p w14:paraId="5D637C97" w14:textId="77777777" w:rsidR="00420722" w:rsidRDefault="00000000" w:rsidP="00C92978">
            <w:pPr>
              <w:spacing w:line="360" w:lineRule="auto"/>
              <w:jc w:val="both"/>
            </w:pPr>
            <w:r>
              <w:rPr>
                <w:color w:val="1E1E1E"/>
                <w:sz w:val="20"/>
                <w:szCs w:val="20"/>
              </w:rPr>
              <w:t>The cost-of-living crisis in key European and North American markets has compressed discretionary spend on premium spirits, with consumers trading down to mid-priced alternatives (Kotler and Keller, 2016).</w:t>
            </w:r>
          </w:p>
        </w:tc>
      </w:tr>
      <w:tr w:rsidR="00107293" w14:paraId="7EF44E0A" w14:textId="77777777" w:rsidTr="00FF7054">
        <w:tc>
          <w:tcPr>
            <w:tcW w:w="0" w:type="auto"/>
            <w:shd w:val="clear" w:color="auto" w:fill="F5F3EF"/>
            <w:tcMar>
              <w:top w:w="62" w:type="dxa"/>
              <w:left w:w="130" w:type="dxa"/>
              <w:bottom w:w="62" w:type="dxa"/>
              <w:right w:w="130" w:type="dxa"/>
            </w:tcMar>
          </w:tcPr>
          <w:p w14:paraId="04761059" w14:textId="77777777" w:rsidR="00420722" w:rsidRDefault="00000000" w:rsidP="00C92978">
            <w:pPr>
              <w:spacing w:line="360" w:lineRule="auto"/>
              <w:jc w:val="both"/>
            </w:pPr>
            <w:r>
              <w:rPr>
                <w:b/>
                <w:bCs/>
                <w:color w:val="0F6B75"/>
                <w:sz w:val="20"/>
                <w:szCs w:val="20"/>
              </w:rPr>
              <w:t>Social</w:t>
            </w:r>
          </w:p>
        </w:tc>
        <w:tc>
          <w:tcPr>
            <w:tcW w:w="0" w:type="auto"/>
            <w:shd w:val="clear" w:color="auto" w:fill="F5F3EF"/>
            <w:tcMar>
              <w:top w:w="62" w:type="dxa"/>
              <w:left w:w="130" w:type="dxa"/>
              <w:bottom w:w="62" w:type="dxa"/>
              <w:right w:w="130" w:type="dxa"/>
            </w:tcMar>
          </w:tcPr>
          <w:p w14:paraId="405DE605" w14:textId="77777777" w:rsidR="00420722" w:rsidRDefault="00000000" w:rsidP="00C92978">
            <w:pPr>
              <w:spacing w:line="360" w:lineRule="auto"/>
              <w:jc w:val="both"/>
            </w:pPr>
            <w:r>
              <w:rPr>
                <w:color w:val="1E1E1E"/>
                <w:sz w:val="20"/>
                <w:szCs w:val="20"/>
              </w:rPr>
              <w:t>Moderation and no/low-alcohol trend</w:t>
            </w:r>
          </w:p>
        </w:tc>
        <w:tc>
          <w:tcPr>
            <w:tcW w:w="0" w:type="auto"/>
            <w:shd w:val="clear" w:color="auto" w:fill="F5F3EF"/>
            <w:tcMar>
              <w:top w:w="62" w:type="dxa"/>
              <w:left w:w="130" w:type="dxa"/>
              <w:bottom w:w="62" w:type="dxa"/>
              <w:right w:w="130" w:type="dxa"/>
            </w:tcMar>
          </w:tcPr>
          <w:p w14:paraId="6D4E36CA" w14:textId="77777777" w:rsidR="00420722" w:rsidRDefault="00000000" w:rsidP="00C92978">
            <w:pPr>
              <w:spacing w:line="360" w:lineRule="auto"/>
              <w:jc w:val="both"/>
            </w:pPr>
            <w:r>
              <w:rPr>
                <w:color w:val="1E1E1E"/>
                <w:sz w:val="20"/>
                <w:szCs w:val="20"/>
              </w:rPr>
              <w:t>Growing health consciousness among Gen-Z and Millennial consumers is structurally reshaping category volumes; Diageo estimates 30%+ of its target demographic are actively reducing alcohol consumption (IWSR, 2024; Eccles et al., 2014).</w:t>
            </w:r>
          </w:p>
        </w:tc>
      </w:tr>
      <w:tr w:rsidR="00107293" w14:paraId="524AF4BB" w14:textId="77777777" w:rsidTr="00FF7054">
        <w:tc>
          <w:tcPr>
            <w:tcW w:w="0" w:type="auto"/>
            <w:shd w:val="clear" w:color="auto" w:fill="FFFFFF"/>
            <w:tcMar>
              <w:top w:w="62" w:type="dxa"/>
              <w:left w:w="130" w:type="dxa"/>
              <w:bottom w:w="62" w:type="dxa"/>
              <w:right w:w="130" w:type="dxa"/>
            </w:tcMar>
          </w:tcPr>
          <w:p w14:paraId="3D6045B2"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315E8AEB" w14:textId="77777777" w:rsidR="00420722" w:rsidRDefault="00000000" w:rsidP="00C92978">
            <w:pPr>
              <w:spacing w:line="360" w:lineRule="auto"/>
              <w:jc w:val="both"/>
            </w:pPr>
            <w:r>
              <w:rPr>
                <w:color w:val="1E1E1E"/>
                <w:sz w:val="20"/>
                <w:szCs w:val="20"/>
              </w:rPr>
              <w:t>Premiumisation among aspirational consumers</w:t>
            </w:r>
          </w:p>
        </w:tc>
        <w:tc>
          <w:tcPr>
            <w:tcW w:w="0" w:type="auto"/>
            <w:shd w:val="clear" w:color="auto" w:fill="FFFFFF"/>
            <w:tcMar>
              <w:top w:w="62" w:type="dxa"/>
              <w:left w:w="130" w:type="dxa"/>
              <w:bottom w:w="62" w:type="dxa"/>
              <w:right w:w="130" w:type="dxa"/>
            </w:tcMar>
          </w:tcPr>
          <w:p w14:paraId="13041744" w14:textId="77777777" w:rsidR="00420722" w:rsidRDefault="00000000" w:rsidP="00C92978">
            <w:pPr>
              <w:spacing w:line="360" w:lineRule="auto"/>
              <w:jc w:val="both"/>
            </w:pPr>
            <w:r>
              <w:rPr>
                <w:color w:val="1E1E1E"/>
                <w:sz w:val="20"/>
                <w:szCs w:val="20"/>
              </w:rPr>
              <w:t>Simultaneously, affluent consumers globally are "drinking less but drinking better", creating structural tailwinds for Diageo's super-premium and ultra-premium expressions (Prahalad and Hamel, 1990).</w:t>
            </w:r>
          </w:p>
        </w:tc>
      </w:tr>
      <w:tr w:rsidR="00107293" w14:paraId="07D92317" w14:textId="77777777" w:rsidTr="00FF7054">
        <w:tc>
          <w:tcPr>
            <w:tcW w:w="0" w:type="auto"/>
            <w:shd w:val="clear" w:color="auto" w:fill="F5F3EF"/>
            <w:tcMar>
              <w:top w:w="62" w:type="dxa"/>
              <w:left w:w="130" w:type="dxa"/>
              <w:bottom w:w="62" w:type="dxa"/>
              <w:right w:w="130" w:type="dxa"/>
            </w:tcMar>
          </w:tcPr>
          <w:p w14:paraId="74A1570D" w14:textId="77777777" w:rsidR="00420722" w:rsidRDefault="00000000" w:rsidP="00C92978">
            <w:pPr>
              <w:spacing w:line="360" w:lineRule="auto"/>
              <w:jc w:val="both"/>
            </w:pPr>
            <w:r>
              <w:rPr>
                <w:b/>
                <w:bCs/>
                <w:color w:val="0F6B75"/>
                <w:sz w:val="20"/>
                <w:szCs w:val="20"/>
              </w:rPr>
              <w:t>Technological</w:t>
            </w:r>
          </w:p>
        </w:tc>
        <w:tc>
          <w:tcPr>
            <w:tcW w:w="0" w:type="auto"/>
            <w:shd w:val="clear" w:color="auto" w:fill="F5F3EF"/>
            <w:tcMar>
              <w:top w:w="62" w:type="dxa"/>
              <w:left w:w="130" w:type="dxa"/>
              <w:bottom w:w="62" w:type="dxa"/>
              <w:right w:w="130" w:type="dxa"/>
            </w:tcMar>
          </w:tcPr>
          <w:p w14:paraId="6C959005" w14:textId="77777777" w:rsidR="00420722" w:rsidRDefault="00000000" w:rsidP="00C92978">
            <w:pPr>
              <w:spacing w:line="360" w:lineRule="auto"/>
              <w:jc w:val="both"/>
            </w:pPr>
            <w:r>
              <w:rPr>
                <w:color w:val="1E1E1E"/>
                <w:sz w:val="20"/>
                <w:szCs w:val="20"/>
              </w:rPr>
              <w:t>E-commerce &amp; direct-to-consumer (DTC)</w:t>
            </w:r>
          </w:p>
        </w:tc>
        <w:tc>
          <w:tcPr>
            <w:tcW w:w="0" w:type="auto"/>
            <w:shd w:val="clear" w:color="auto" w:fill="F5F3EF"/>
            <w:tcMar>
              <w:top w:w="62" w:type="dxa"/>
              <w:left w:w="130" w:type="dxa"/>
              <w:bottom w:w="62" w:type="dxa"/>
              <w:right w:w="130" w:type="dxa"/>
            </w:tcMar>
          </w:tcPr>
          <w:p w14:paraId="40C30B39" w14:textId="77777777" w:rsidR="00420722" w:rsidRDefault="00000000" w:rsidP="00C92978">
            <w:pPr>
              <w:spacing w:line="360" w:lineRule="auto"/>
              <w:jc w:val="both"/>
            </w:pPr>
            <w:r>
              <w:rPr>
                <w:color w:val="1E1E1E"/>
                <w:sz w:val="20"/>
                <w:szCs w:val="20"/>
              </w:rPr>
              <w:t>Digital retail channels and DTC platforms (Diageo.com, Reserve Bar) create new revenue streams and customer relationship opportunities outside traditional three-tier distribution (Westerman et al., 2014).</w:t>
            </w:r>
          </w:p>
        </w:tc>
      </w:tr>
      <w:tr w:rsidR="00107293" w14:paraId="6AF867C1" w14:textId="77777777" w:rsidTr="00FF7054">
        <w:tc>
          <w:tcPr>
            <w:tcW w:w="0" w:type="auto"/>
            <w:shd w:val="clear" w:color="auto" w:fill="FFFFFF"/>
            <w:tcMar>
              <w:top w:w="62" w:type="dxa"/>
              <w:left w:w="130" w:type="dxa"/>
              <w:bottom w:w="62" w:type="dxa"/>
              <w:right w:w="130" w:type="dxa"/>
            </w:tcMar>
          </w:tcPr>
          <w:p w14:paraId="2CF338AB"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09D1D09D" w14:textId="77777777" w:rsidR="00420722" w:rsidRDefault="00000000" w:rsidP="00C92978">
            <w:pPr>
              <w:spacing w:line="360" w:lineRule="auto"/>
              <w:jc w:val="both"/>
            </w:pPr>
            <w:r>
              <w:rPr>
                <w:color w:val="1E1E1E"/>
                <w:sz w:val="20"/>
                <w:szCs w:val="20"/>
              </w:rPr>
              <w:t>Smart packaging &amp; blockchain traceability</w:t>
            </w:r>
          </w:p>
        </w:tc>
        <w:tc>
          <w:tcPr>
            <w:tcW w:w="0" w:type="auto"/>
            <w:shd w:val="clear" w:color="auto" w:fill="FFFFFF"/>
            <w:tcMar>
              <w:top w:w="62" w:type="dxa"/>
              <w:left w:w="130" w:type="dxa"/>
              <w:bottom w:w="62" w:type="dxa"/>
              <w:right w:w="130" w:type="dxa"/>
            </w:tcMar>
          </w:tcPr>
          <w:p w14:paraId="513CDE5E" w14:textId="77777777" w:rsidR="00420722" w:rsidRDefault="00000000" w:rsidP="00C92978">
            <w:pPr>
              <w:spacing w:line="360" w:lineRule="auto"/>
              <w:jc w:val="both"/>
            </w:pPr>
            <w:r>
              <w:rPr>
                <w:color w:val="1E1E1E"/>
                <w:sz w:val="20"/>
                <w:szCs w:val="20"/>
              </w:rPr>
              <w:t>Anti-counterfeiting technology and blockchain-enabled provenance verification are increasingly important in the premium spirits segment, where counterfeit products represent a significant brand and safety risk (Teece et al., 1997).</w:t>
            </w:r>
          </w:p>
        </w:tc>
      </w:tr>
      <w:tr w:rsidR="00107293" w14:paraId="6BF115DC" w14:textId="77777777" w:rsidTr="00FF7054">
        <w:tc>
          <w:tcPr>
            <w:tcW w:w="0" w:type="auto"/>
            <w:shd w:val="clear" w:color="auto" w:fill="F5F3EF"/>
            <w:tcMar>
              <w:top w:w="62" w:type="dxa"/>
              <w:left w:w="130" w:type="dxa"/>
              <w:bottom w:w="62" w:type="dxa"/>
              <w:right w:w="130" w:type="dxa"/>
            </w:tcMar>
          </w:tcPr>
          <w:p w14:paraId="4DB2E1C1" w14:textId="77777777" w:rsidR="00420722" w:rsidRDefault="00000000" w:rsidP="00C92978">
            <w:pPr>
              <w:spacing w:line="360" w:lineRule="auto"/>
              <w:jc w:val="both"/>
            </w:pPr>
            <w:r>
              <w:rPr>
                <w:b/>
                <w:bCs/>
                <w:color w:val="0F6B75"/>
                <w:sz w:val="20"/>
                <w:szCs w:val="20"/>
              </w:rPr>
              <w:t>Environmental</w:t>
            </w:r>
          </w:p>
        </w:tc>
        <w:tc>
          <w:tcPr>
            <w:tcW w:w="0" w:type="auto"/>
            <w:shd w:val="clear" w:color="auto" w:fill="F5F3EF"/>
            <w:tcMar>
              <w:top w:w="62" w:type="dxa"/>
              <w:left w:w="130" w:type="dxa"/>
              <w:bottom w:w="62" w:type="dxa"/>
              <w:right w:w="130" w:type="dxa"/>
            </w:tcMar>
          </w:tcPr>
          <w:p w14:paraId="628B8DE4" w14:textId="77777777" w:rsidR="00420722" w:rsidRDefault="00000000" w:rsidP="00C92978">
            <w:pPr>
              <w:spacing w:line="360" w:lineRule="auto"/>
              <w:jc w:val="both"/>
            </w:pPr>
            <w:r>
              <w:rPr>
                <w:color w:val="1E1E1E"/>
                <w:sz w:val="20"/>
                <w:szCs w:val="20"/>
              </w:rPr>
              <w:t>Net-zero 2030 commitment</w:t>
            </w:r>
          </w:p>
        </w:tc>
        <w:tc>
          <w:tcPr>
            <w:tcW w:w="0" w:type="auto"/>
            <w:shd w:val="clear" w:color="auto" w:fill="F5F3EF"/>
            <w:tcMar>
              <w:top w:w="62" w:type="dxa"/>
              <w:left w:w="130" w:type="dxa"/>
              <w:bottom w:w="62" w:type="dxa"/>
              <w:right w:w="130" w:type="dxa"/>
            </w:tcMar>
          </w:tcPr>
          <w:p w14:paraId="1ECF496F" w14:textId="77777777" w:rsidR="00420722" w:rsidRDefault="00000000" w:rsidP="00C92978">
            <w:pPr>
              <w:spacing w:line="360" w:lineRule="auto"/>
              <w:jc w:val="both"/>
            </w:pPr>
            <w:r>
              <w:rPr>
                <w:color w:val="1E1E1E"/>
                <w:sz w:val="20"/>
                <w:szCs w:val="20"/>
              </w:rPr>
              <w:t>Distilling is an energy and water-intensive production process; Diageo's net-zero 2030 target requires fundamental transformation of its manufacturing infrastructure (Eccles et al., 2014; Elkington, 1997).</w:t>
            </w:r>
          </w:p>
        </w:tc>
      </w:tr>
      <w:tr w:rsidR="00107293" w14:paraId="34C6D94D" w14:textId="77777777" w:rsidTr="00FF7054">
        <w:tc>
          <w:tcPr>
            <w:tcW w:w="0" w:type="auto"/>
            <w:shd w:val="clear" w:color="auto" w:fill="FFFFFF"/>
            <w:tcMar>
              <w:top w:w="62" w:type="dxa"/>
              <w:left w:w="130" w:type="dxa"/>
              <w:bottom w:w="62" w:type="dxa"/>
              <w:right w:w="130" w:type="dxa"/>
            </w:tcMar>
          </w:tcPr>
          <w:p w14:paraId="01D727F9"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362537C6" w14:textId="77777777" w:rsidR="00420722" w:rsidRDefault="00000000" w:rsidP="00C92978">
            <w:pPr>
              <w:spacing w:line="360" w:lineRule="auto"/>
              <w:jc w:val="both"/>
            </w:pPr>
            <w:r>
              <w:rPr>
                <w:color w:val="1E1E1E"/>
                <w:sz w:val="20"/>
                <w:szCs w:val="20"/>
              </w:rPr>
              <w:t>Agave water stress (Tequila)</w:t>
            </w:r>
          </w:p>
        </w:tc>
        <w:tc>
          <w:tcPr>
            <w:tcW w:w="0" w:type="auto"/>
            <w:shd w:val="clear" w:color="auto" w:fill="FFFFFF"/>
            <w:tcMar>
              <w:top w:w="62" w:type="dxa"/>
              <w:left w:w="130" w:type="dxa"/>
              <w:bottom w:w="62" w:type="dxa"/>
              <w:right w:w="130" w:type="dxa"/>
            </w:tcMar>
          </w:tcPr>
          <w:p w14:paraId="4CD9893D" w14:textId="77777777" w:rsidR="00420722" w:rsidRDefault="00000000" w:rsidP="00C92978">
            <w:pPr>
              <w:spacing w:line="360" w:lineRule="auto"/>
              <w:jc w:val="both"/>
            </w:pPr>
            <w:r>
              <w:rPr>
                <w:color w:val="1E1E1E"/>
                <w:sz w:val="20"/>
                <w:szCs w:val="20"/>
              </w:rPr>
              <w:t xml:space="preserve">Blue agave cultivation in Jalisco, Mexico, is increasingly threatened by water scarcity and climate-driven yield </w:t>
            </w:r>
            <w:r>
              <w:rPr>
                <w:color w:val="1E1E1E"/>
                <w:sz w:val="20"/>
                <w:szCs w:val="20"/>
              </w:rPr>
              <w:lastRenderedPageBreak/>
              <w:t>variability — a material supply chain risk for Diageo's Don Julio and Casamigos brands (Diageo AR, 2024).</w:t>
            </w:r>
          </w:p>
        </w:tc>
      </w:tr>
      <w:tr w:rsidR="00107293" w14:paraId="37517243" w14:textId="77777777" w:rsidTr="00FF7054">
        <w:tc>
          <w:tcPr>
            <w:tcW w:w="0" w:type="auto"/>
            <w:shd w:val="clear" w:color="auto" w:fill="F5F3EF"/>
            <w:tcMar>
              <w:top w:w="62" w:type="dxa"/>
              <w:left w:w="130" w:type="dxa"/>
              <w:bottom w:w="62" w:type="dxa"/>
              <w:right w:w="130" w:type="dxa"/>
            </w:tcMar>
          </w:tcPr>
          <w:p w14:paraId="5D2E4E7D" w14:textId="77777777" w:rsidR="00420722" w:rsidRDefault="00000000" w:rsidP="00C92978">
            <w:pPr>
              <w:spacing w:line="360" w:lineRule="auto"/>
              <w:jc w:val="both"/>
            </w:pPr>
            <w:r>
              <w:rPr>
                <w:b/>
                <w:bCs/>
                <w:color w:val="0F6B75"/>
                <w:sz w:val="20"/>
                <w:szCs w:val="20"/>
              </w:rPr>
              <w:lastRenderedPageBreak/>
              <w:t>Legal</w:t>
            </w:r>
          </w:p>
        </w:tc>
        <w:tc>
          <w:tcPr>
            <w:tcW w:w="0" w:type="auto"/>
            <w:shd w:val="clear" w:color="auto" w:fill="F5F3EF"/>
            <w:tcMar>
              <w:top w:w="62" w:type="dxa"/>
              <w:left w:w="130" w:type="dxa"/>
              <w:bottom w:w="62" w:type="dxa"/>
              <w:right w:w="130" w:type="dxa"/>
            </w:tcMar>
          </w:tcPr>
          <w:p w14:paraId="54860ACB" w14:textId="77777777" w:rsidR="00420722" w:rsidRDefault="00000000" w:rsidP="00C92978">
            <w:pPr>
              <w:spacing w:line="360" w:lineRule="auto"/>
              <w:jc w:val="both"/>
            </w:pPr>
            <w:r>
              <w:rPr>
                <w:color w:val="1E1E1E"/>
                <w:sz w:val="20"/>
                <w:szCs w:val="20"/>
              </w:rPr>
              <w:t>Minimum unit pricing (Scotland, Ireland)</w:t>
            </w:r>
          </w:p>
        </w:tc>
        <w:tc>
          <w:tcPr>
            <w:tcW w:w="0" w:type="auto"/>
            <w:shd w:val="clear" w:color="auto" w:fill="F5F3EF"/>
            <w:tcMar>
              <w:top w:w="62" w:type="dxa"/>
              <w:left w:w="130" w:type="dxa"/>
              <w:bottom w:w="62" w:type="dxa"/>
              <w:right w:w="130" w:type="dxa"/>
            </w:tcMar>
          </w:tcPr>
          <w:p w14:paraId="3558F17A" w14:textId="77777777" w:rsidR="00420722" w:rsidRDefault="00000000" w:rsidP="00C92978">
            <w:pPr>
              <w:spacing w:line="360" w:lineRule="auto"/>
              <w:jc w:val="both"/>
            </w:pPr>
            <w:r>
              <w:rPr>
                <w:color w:val="1E1E1E"/>
                <w:sz w:val="20"/>
                <w:szCs w:val="20"/>
              </w:rPr>
              <w:t>Minimum unit pricing legislation directly affects the competitive dynamics of lower-priced spirits categories, reshaping product mix and channel dynamics across UK and Irish markets (Johnson et al., 2017).</w:t>
            </w:r>
          </w:p>
        </w:tc>
      </w:tr>
      <w:tr w:rsidR="00107293" w14:paraId="73930C53" w14:textId="77777777" w:rsidTr="00FF7054">
        <w:tc>
          <w:tcPr>
            <w:tcW w:w="0" w:type="auto"/>
            <w:shd w:val="clear" w:color="auto" w:fill="FFFFFF"/>
            <w:tcMar>
              <w:top w:w="62" w:type="dxa"/>
              <w:left w:w="130" w:type="dxa"/>
              <w:bottom w:w="62" w:type="dxa"/>
              <w:right w:w="130" w:type="dxa"/>
            </w:tcMar>
          </w:tcPr>
          <w:p w14:paraId="6ED4B936"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71D24C4B" w14:textId="77777777" w:rsidR="00420722" w:rsidRDefault="00000000" w:rsidP="00C92978">
            <w:pPr>
              <w:spacing w:line="360" w:lineRule="auto"/>
              <w:jc w:val="both"/>
            </w:pPr>
            <w:r>
              <w:rPr>
                <w:color w:val="1E1E1E"/>
                <w:sz w:val="20"/>
                <w:szCs w:val="20"/>
              </w:rPr>
              <w:t>India regulations on spirits labelling &amp; ownership</w:t>
            </w:r>
          </w:p>
        </w:tc>
        <w:tc>
          <w:tcPr>
            <w:tcW w:w="0" w:type="auto"/>
            <w:shd w:val="clear" w:color="auto" w:fill="FFFFFF"/>
            <w:tcMar>
              <w:top w:w="62" w:type="dxa"/>
              <w:left w:w="130" w:type="dxa"/>
              <w:bottom w:w="62" w:type="dxa"/>
              <w:right w:w="130" w:type="dxa"/>
            </w:tcMar>
          </w:tcPr>
          <w:p w14:paraId="2BC5C6DE" w14:textId="77777777" w:rsidR="00420722" w:rsidRDefault="00000000" w:rsidP="00C92978">
            <w:pPr>
              <w:spacing w:line="360" w:lineRule="auto"/>
              <w:jc w:val="both"/>
            </w:pPr>
            <w:r>
              <w:rPr>
                <w:color w:val="1E1E1E"/>
                <w:sz w:val="20"/>
                <w:szCs w:val="20"/>
              </w:rPr>
              <w:t>India's complex state-by-state regulatory framework — including labelling requirements, advertising restrictions, and ownership rules — creates significant operational complexity for Diageo's United Spirits subsidiary (Ghemawat, 2001).</w:t>
            </w:r>
          </w:p>
        </w:tc>
      </w:tr>
    </w:tbl>
    <w:p w14:paraId="1D0E0A74" w14:textId="526D5591" w:rsidR="00420722" w:rsidRDefault="006E7775" w:rsidP="00C92978">
      <w:pPr>
        <w:pStyle w:val="Heading2"/>
        <w:spacing w:line="360" w:lineRule="auto"/>
        <w:jc w:val="both"/>
      </w:pPr>
      <w:bookmarkStart w:id="10" w:name="_Toc228432230"/>
      <w:r>
        <w:t>2.2 Critical</w:t>
      </w:r>
      <w:r w:rsidR="00000000">
        <w:t xml:space="preserve"> Success Factors and Strategic Challenges</w:t>
      </w:r>
      <w:bookmarkEnd w:id="10"/>
    </w:p>
    <w:p w14:paraId="40D4D02C" w14:textId="77777777" w:rsidR="00D43DC8" w:rsidRPr="00D43DC8" w:rsidRDefault="00D43DC8" w:rsidP="00C92978">
      <w:pPr>
        <w:spacing w:before="150" w:after="40" w:line="360" w:lineRule="auto"/>
        <w:jc w:val="both"/>
        <w:rPr>
          <w:color w:val="1E1E1E"/>
        </w:rPr>
      </w:pPr>
      <w:r w:rsidRPr="00D43DC8">
        <w:rPr>
          <w:color w:val="1E1E1E"/>
        </w:rPr>
        <w:t xml:space="preserve">According to </w:t>
      </w:r>
      <w:proofErr w:type="spellStart"/>
      <w:r w:rsidRPr="00D43DC8">
        <w:rPr>
          <w:color w:val="1E1E1E"/>
        </w:rPr>
        <w:t>Rockart</w:t>
      </w:r>
      <w:proofErr w:type="spellEnd"/>
      <w:r w:rsidRPr="00D43DC8">
        <w:rPr>
          <w:color w:val="1E1E1E"/>
        </w:rPr>
        <w:t xml:space="preserve"> (1979, p.85), critical success factors refer to few areas that guarantee successful performance in competition. In the case of Diageo, there are five CSFs that are determined by the synthesis of PESTEL analysis, industry intelligence, and competitive benchmarking (Johnson et al., 2017).</w:t>
      </w:r>
    </w:p>
    <w:p w14:paraId="3F42F22A" w14:textId="14E32C2B" w:rsidR="00D43DC8" w:rsidRPr="00D43DC8" w:rsidRDefault="00D43DC8" w:rsidP="00C92978">
      <w:pPr>
        <w:spacing w:before="150" w:after="40" w:line="360" w:lineRule="auto"/>
        <w:jc w:val="both"/>
        <w:rPr>
          <w:color w:val="1E1E1E"/>
        </w:rPr>
      </w:pPr>
      <w:r w:rsidRPr="00D43DC8">
        <w:rPr>
          <w:b/>
          <w:bCs/>
          <w:color w:val="1E1E1E"/>
        </w:rPr>
        <w:t>Brand Equity Stewardship:</w:t>
      </w:r>
      <w:r w:rsidRPr="00D43DC8">
        <w:rPr>
          <w:color w:val="1E1E1E"/>
        </w:rPr>
        <w:t xml:space="preserve"> Diageo has the most inimitable strategic asset in the form of the brand equity of Johnnie Walker (estimated at about £3.2bn by Brand Finance, 2024) and Guinness (£1.8bn). This equity based on </w:t>
      </w:r>
      <w:r w:rsidR="00ED66D8" w:rsidRPr="00D43DC8">
        <w:rPr>
          <w:color w:val="1E1E1E"/>
        </w:rPr>
        <w:t>consistent</w:t>
      </w:r>
      <w:r w:rsidRPr="00D43DC8">
        <w:rPr>
          <w:color w:val="1E1E1E"/>
        </w:rPr>
        <w:t xml:space="preserve"> quality and aspirational positioning is the core CSF (Barney, 1991; Dierickx and Cool, 1989).</w:t>
      </w:r>
    </w:p>
    <w:p w14:paraId="0651085B" w14:textId="77777777" w:rsidR="00D43DC8" w:rsidRPr="00D43DC8" w:rsidRDefault="00D43DC8" w:rsidP="00C92978">
      <w:pPr>
        <w:spacing w:before="150" w:after="40" w:line="360" w:lineRule="auto"/>
        <w:jc w:val="both"/>
        <w:rPr>
          <w:color w:val="1E1E1E"/>
        </w:rPr>
      </w:pPr>
      <w:proofErr w:type="spellStart"/>
      <w:r w:rsidRPr="00D43DC8">
        <w:rPr>
          <w:b/>
          <w:bCs/>
          <w:color w:val="1E1E1E"/>
        </w:rPr>
        <w:t>Premiumisation</w:t>
      </w:r>
      <w:proofErr w:type="spellEnd"/>
      <w:r w:rsidRPr="00D43DC8">
        <w:rPr>
          <w:b/>
          <w:bCs/>
          <w:color w:val="1E1E1E"/>
        </w:rPr>
        <w:t xml:space="preserve"> Implementation:</w:t>
      </w:r>
      <w:r w:rsidRPr="00D43DC8">
        <w:rPr>
          <w:color w:val="1E1E1E"/>
        </w:rPr>
        <w:t xml:space="preserve"> Diageo has based its revenue growth strategy on the improvement of revenue per case by mixing the product towards super-premium expressions, which necessitates the use of disciplined brand management and channel control that is incapable of being duplicated by smaller competitors (Porter, 1985; Prahalad and Hamel, 1990).</w:t>
      </w:r>
    </w:p>
    <w:p w14:paraId="6DBA4F64" w14:textId="77777777" w:rsidR="00D43DC8" w:rsidRPr="00D43DC8" w:rsidRDefault="00D43DC8" w:rsidP="00C92978">
      <w:pPr>
        <w:spacing w:before="150" w:after="40" w:line="360" w:lineRule="auto"/>
        <w:jc w:val="both"/>
        <w:rPr>
          <w:color w:val="1E1E1E"/>
        </w:rPr>
      </w:pPr>
      <w:r w:rsidRPr="00D43DC8">
        <w:rPr>
          <w:b/>
          <w:bCs/>
          <w:color w:val="1E1E1E"/>
        </w:rPr>
        <w:t>No/Low Alcohol Portfolio Development:</w:t>
      </w:r>
      <w:r w:rsidRPr="00D43DC8">
        <w:rPr>
          <w:color w:val="1E1E1E"/>
        </w:rPr>
        <w:t xml:space="preserve"> Moderation shift is the greatest threat and opportunity. The </w:t>
      </w:r>
      <w:proofErr w:type="spellStart"/>
      <w:r w:rsidRPr="00D43DC8">
        <w:rPr>
          <w:color w:val="1E1E1E"/>
        </w:rPr>
        <w:t>Seedlip</w:t>
      </w:r>
      <w:proofErr w:type="spellEnd"/>
      <w:r w:rsidRPr="00D43DC8">
        <w:rPr>
          <w:color w:val="1E1E1E"/>
        </w:rPr>
        <w:t xml:space="preserve"> and Guinness 0.0 will make Diageo a structural leader in the new no/low-alcohol market (Christensen, 1997; IWSR, 2024).</w:t>
      </w:r>
    </w:p>
    <w:p w14:paraId="1F84A258" w14:textId="76162771" w:rsidR="00D43DC8" w:rsidRPr="00D43DC8" w:rsidRDefault="00D43DC8" w:rsidP="00C92978">
      <w:pPr>
        <w:spacing w:before="150" w:after="40" w:line="360" w:lineRule="auto"/>
        <w:jc w:val="both"/>
        <w:rPr>
          <w:color w:val="1E1E1E"/>
        </w:rPr>
      </w:pPr>
      <w:r w:rsidRPr="00D43DC8">
        <w:rPr>
          <w:b/>
          <w:bCs/>
          <w:color w:val="1E1E1E"/>
        </w:rPr>
        <w:t>Emerging Market Penetration:</w:t>
      </w:r>
      <w:r w:rsidRPr="00D43DC8">
        <w:rPr>
          <w:color w:val="1E1E1E"/>
        </w:rPr>
        <w:t xml:space="preserve"> Africa and India are the greatest long-term growth potential of Diageo. The 1.4 billion population of Africa and the rapidly growing middle class presents extremely underdeveloped consumption of premium spirits per capita (Prahalad, 2006; IWSR, 2024).</w:t>
      </w:r>
    </w:p>
    <w:p w14:paraId="0EC8C228" w14:textId="77777777" w:rsidR="00D43DC8" w:rsidRDefault="00D43DC8" w:rsidP="00C92978">
      <w:pPr>
        <w:spacing w:before="150" w:after="40" w:line="360" w:lineRule="auto"/>
        <w:jc w:val="both"/>
        <w:rPr>
          <w:color w:val="1E1E1E"/>
        </w:rPr>
      </w:pPr>
      <w:r w:rsidRPr="00D43DC8">
        <w:rPr>
          <w:b/>
          <w:bCs/>
          <w:color w:val="1E1E1E"/>
        </w:rPr>
        <w:lastRenderedPageBreak/>
        <w:t>Supply Chain Sustainability and Resilience:</w:t>
      </w:r>
      <w:r w:rsidRPr="00D43DC8">
        <w:rPr>
          <w:color w:val="1E1E1E"/>
        </w:rPr>
        <w:t xml:space="preserve"> As agave water in Mexico to barley in Scotland, the global supply chain of Diageo is becoming more vulnerable to the environmental forces. Development of resilience and moving towards net-zero is a significant CSF (Christopher, 2011; Eccles et al., 2014).</w:t>
      </w:r>
    </w:p>
    <w:p w14:paraId="14AED6FC" w14:textId="4AF4074C" w:rsidR="00420722" w:rsidRDefault="00000000" w:rsidP="00ED66D8">
      <w:pPr>
        <w:spacing w:before="150" w:after="40" w:line="360" w:lineRule="auto"/>
        <w:jc w:val="center"/>
      </w:pPr>
      <w:r>
        <w:rPr>
          <w:noProof/>
        </w:rPr>
        <w:drawing>
          <wp:inline distT="0" distB="0" distL="0" distR="0" wp14:anchorId="65A05083" wp14:editId="74FDCF2F">
            <wp:extent cx="4286250" cy="3710940"/>
            <wp:effectExtent l="0" t="0" r="0" b="3810"/>
            <wp:docPr id="654814534" name="Picture 65481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86250" cy="3710940"/>
                    </a:xfrm>
                    <a:prstGeom prst="rect">
                      <a:avLst/>
                    </a:prstGeom>
                  </pic:spPr>
                </pic:pic>
              </a:graphicData>
            </a:graphic>
          </wp:inline>
        </w:drawing>
      </w:r>
    </w:p>
    <w:p w14:paraId="127A431D" w14:textId="77777777" w:rsidR="00420722" w:rsidRDefault="00000000" w:rsidP="00ED66D8">
      <w:pPr>
        <w:spacing w:after="190" w:line="360" w:lineRule="auto"/>
        <w:jc w:val="center"/>
      </w:pPr>
      <w:r>
        <w:rPr>
          <w:i/>
          <w:iCs/>
          <w:color w:val="666666"/>
          <w:sz w:val="19"/>
          <w:szCs w:val="19"/>
        </w:rPr>
        <w:t>Figure 5: Porter's Five Forces Analysis – Diageo Plc (Adapted from Porter, 1980)</w:t>
      </w:r>
    </w:p>
    <w:p w14:paraId="776D6089" w14:textId="229AA2EA" w:rsidR="00420722" w:rsidRDefault="00ED66D8" w:rsidP="00C92978">
      <w:pPr>
        <w:pStyle w:val="Heading2"/>
        <w:spacing w:line="360" w:lineRule="auto"/>
        <w:jc w:val="both"/>
      </w:pPr>
      <w:bookmarkStart w:id="11" w:name="_Toc228432231"/>
      <w:r>
        <w:t>2.3 Internal Environment — Resources, Capabilities, and Core Competencies</w:t>
      </w:r>
      <w:bookmarkEnd w:id="11"/>
    </w:p>
    <w:p w14:paraId="47684825" w14:textId="4580ADA0" w:rsidR="00D43DC8" w:rsidRPr="00D43DC8" w:rsidRDefault="00D43DC8" w:rsidP="00C92978">
      <w:pPr>
        <w:pStyle w:val="Heading2"/>
        <w:spacing w:line="360" w:lineRule="auto"/>
        <w:jc w:val="both"/>
        <w:rPr>
          <w:b w:val="0"/>
          <w:bCs w:val="0"/>
          <w:color w:val="1E1E1E"/>
          <w:sz w:val="22"/>
          <w:szCs w:val="22"/>
        </w:rPr>
      </w:pPr>
      <w:bookmarkStart w:id="12" w:name="_Toc228432232"/>
      <w:r w:rsidRPr="00D43DC8">
        <w:rPr>
          <w:b w:val="0"/>
          <w:bCs w:val="0"/>
          <w:color w:val="1E1E1E"/>
          <w:sz w:val="22"/>
          <w:szCs w:val="22"/>
        </w:rPr>
        <w:t xml:space="preserve">Resource-Based View (Wernerfelt, 1984; Barney, 1991) is an idea that argues that a sustained competitive advantage is </w:t>
      </w:r>
      <w:r w:rsidR="00ED66D8" w:rsidRPr="00D43DC8">
        <w:rPr>
          <w:b w:val="0"/>
          <w:bCs w:val="0"/>
          <w:color w:val="1E1E1E"/>
          <w:sz w:val="22"/>
          <w:szCs w:val="22"/>
        </w:rPr>
        <w:t>because of</w:t>
      </w:r>
      <w:r w:rsidRPr="00D43DC8">
        <w:rPr>
          <w:b w:val="0"/>
          <w:bCs w:val="0"/>
          <w:color w:val="1E1E1E"/>
          <w:sz w:val="22"/>
          <w:szCs w:val="22"/>
        </w:rPr>
        <w:t xml:space="preserve"> resources that are valuable, rare, imperfectly imitable and </w:t>
      </w:r>
      <w:proofErr w:type="spellStart"/>
      <w:r w:rsidRPr="00D43DC8">
        <w:rPr>
          <w:b w:val="0"/>
          <w:bCs w:val="0"/>
          <w:color w:val="1E1E1E"/>
          <w:sz w:val="22"/>
          <w:szCs w:val="22"/>
        </w:rPr>
        <w:t>organisationally</w:t>
      </w:r>
      <w:proofErr w:type="spellEnd"/>
      <w:r w:rsidRPr="00D43DC8">
        <w:rPr>
          <w:b w:val="0"/>
          <w:bCs w:val="0"/>
          <w:color w:val="1E1E1E"/>
          <w:sz w:val="22"/>
          <w:szCs w:val="22"/>
        </w:rPr>
        <w:t xml:space="preserve"> supported. According to Prahalad and Hamel (1990, p.82), core competencies refer to the overall learning in the coordination of various production skills. In the case of Diageo, the subsequent resources are centrally placed.</w:t>
      </w:r>
    </w:p>
    <w:p w14:paraId="06A48677" w14:textId="71B46C78" w:rsidR="00D43DC8" w:rsidRPr="00D43DC8" w:rsidRDefault="00D43DC8" w:rsidP="00C92978">
      <w:pPr>
        <w:pStyle w:val="Heading2"/>
        <w:spacing w:line="360" w:lineRule="auto"/>
        <w:jc w:val="both"/>
        <w:rPr>
          <w:b w:val="0"/>
          <w:bCs w:val="0"/>
          <w:color w:val="1E1E1E"/>
          <w:sz w:val="22"/>
          <w:szCs w:val="22"/>
        </w:rPr>
      </w:pPr>
      <w:r w:rsidRPr="00D43DC8">
        <w:rPr>
          <w:color w:val="1E1E1E"/>
          <w:sz w:val="22"/>
          <w:szCs w:val="22"/>
        </w:rPr>
        <w:t>Brand Portfolio:</w:t>
      </w:r>
      <w:r w:rsidRPr="00D43DC8">
        <w:rPr>
          <w:b w:val="0"/>
          <w:bCs w:val="0"/>
          <w:color w:val="1E1E1E"/>
          <w:sz w:val="22"/>
          <w:szCs w:val="22"/>
        </w:rPr>
        <w:t xml:space="preserve"> The most strategically irreplaceable asset of Diageo is its portfolio of more than 200 brands, which include Johnnie Walker, Guinness, Don Julio, </w:t>
      </w:r>
      <w:proofErr w:type="spellStart"/>
      <w:r w:rsidRPr="00D43DC8">
        <w:rPr>
          <w:b w:val="0"/>
          <w:bCs w:val="0"/>
          <w:color w:val="1E1E1E"/>
          <w:sz w:val="22"/>
          <w:szCs w:val="22"/>
        </w:rPr>
        <w:t>Casamigos</w:t>
      </w:r>
      <w:proofErr w:type="spellEnd"/>
      <w:r w:rsidRPr="00D43DC8">
        <w:rPr>
          <w:b w:val="0"/>
          <w:bCs w:val="0"/>
          <w:color w:val="1E1E1E"/>
          <w:sz w:val="22"/>
          <w:szCs w:val="22"/>
        </w:rPr>
        <w:t xml:space="preserve"> and Tanqueray. </w:t>
      </w:r>
      <w:r w:rsidR="006E7775" w:rsidRPr="00D43DC8">
        <w:rPr>
          <w:b w:val="0"/>
          <w:bCs w:val="0"/>
          <w:color w:val="1E1E1E"/>
          <w:sz w:val="22"/>
          <w:szCs w:val="22"/>
        </w:rPr>
        <w:t>Cumulative</w:t>
      </w:r>
      <w:r w:rsidRPr="00D43DC8">
        <w:rPr>
          <w:b w:val="0"/>
          <w:bCs w:val="0"/>
          <w:color w:val="1E1E1E"/>
          <w:sz w:val="22"/>
          <w:szCs w:val="22"/>
        </w:rPr>
        <w:t xml:space="preserve"> brand equity, which </w:t>
      </w:r>
      <w:proofErr w:type="gramStart"/>
      <w:r w:rsidRPr="00D43DC8">
        <w:rPr>
          <w:b w:val="0"/>
          <w:bCs w:val="0"/>
          <w:color w:val="1E1E1E"/>
          <w:sz w:val="22"/>
          <w:szCs w:val="22"/>
        </w:rPr>
        <w:t>is</w:t>
      </w:r>
      <w:proofErr w:type="gramEnd"/>
      <w:r w:rsidRPr="00D43DC8">
        <w:rPr>
          <w:b w:val="0"/>
          <w:bCs w:val="0"/>
          <w:color w:val="1E1E1E"/>
          <w:sz w:val="22"/>
          <w:szCs w:val="22"/>
        </w:rPr>
        <w:t xml:space="preserve"> developed over decades and centuries, is a socially complex, path-dependent resource that no rival can imitate (Dierickx and Cool, 1989; Barney, 1991).</w:t>
      </w:r>
    </w:p>
    <w:p w14:paraId="70C74098" w14:textId="77777777" w:rsidR="00D43DC8" w:rsidRPr="00D43DC8" w:rsidRDefault="00D43DC8" w:rsidP="00C92978">
      <w:pPr>
        <w:pStyle w:val="Heading2"/>
        <w:spacing w:line="360" w:lineRule="auto"/>
        <w:jc w:val="both"/>
        <w:rPr>
          <w:b w:val="0"/>
          <w:bCs w:val="0"/>
          <w:color w:val="1E1E1E"/>
          <w:sz w:val="22"/>
          <w:szCs w:val="22"/>
        </w:rPr>
      </w:pPr>
      <w:r w:rsidRPr="00D43DC8">
        <w:rPr>
          <w:color w:val="1E1E1E"/>
          <w:sz w:val="22"/>
          <w:szCs w:val="22"/>
        </w:rPr>
        <w:lastRenderedPageBreak/>
        <w:t>Global Distribution Network:</w:t>
      </w:r>
      <w:r w:rsidRPr="00D43DC8">
        <w:rPr>
          <w:b w:val="0"/>
          <w:bCs w:val="0"/>
          <w:color w:val="1E1E1E"/>
          <w:sz w:val="22"/>
          <w:szCs w:val="22"/>
        </w:rPr>
        <w:t xml:space="preserve"> The route-to-market strengths that Diageo has in 180+ countries include owned distribution enterprises as well as third-party engagements and have been decades in the making. With the three-level US market, the association with Southern Glazer and Republic National are structural advantages that establish almost insurmountable conditions against new entrants (Christopher, 2011; Porter, 1980).</w:t>
      </w:r>
    </w:p>
    <w:p w14:paraId="2705FE5B" w14:textId="77777777" w:rsidR="00D43DC8" w:rsidRPr="00D43DC8" w:rsidRDefault="00D43DC8" w:rsidP="00C92978">
      <w:pPr>
        <w:pStyle w:val="Heading2"/>
        <w:spacing w:line="360" w:lineRule="auto"/>
        <w:jc w:val="both"/>
        <w:rPr>
          <w:b w:val="0"/>
          <w:bCs w:val="0"/>
          <w:color w:val="1E1E1E"/>
          <w:sz w:val="22"/>
          <w:szCs w:val="22"/>
        </w:rPr>
      </w:pPr>
      <w:r w:rsidRPr="00D43DC8">
        <w:rPr>
          <w:color w:val="1E1E1E"/>
          <w:sz w:val="22"/>
          <w:szCs w:val="22"/>
        </w:rPr>
        <w:t>Scotch Whisky Liquid Assets:</w:t>
      </w:r>
      <w:r w:rsidRPr="00D43DC8">
        <w:rPr>
          <w:b w:val="0"/>
          <w:bCs w:val="0"/>
          <w:color w:val="1E1E1E"/>
          <w:sz w:val="22"/>
          <w:szCs w:val="22"/>
        </w:rPr>
        <w:t xml:space="preserve"> Diageo has the largest maturing Scotch whisky in the world millions of </w:t>
      </w:r>
      <w:proofErr w:type="spellStart"/>
      <w:r w:rsidRPr="00D43DC8">
        <w:rPr>
          <w:b w:val="0"/>
          <w:bCs w:val="0"/>
          <w:color w:val="1E1E1E"/>
          <w:sz w:val="22"/>
          <w:szCs w:val="22"/>
        </w:rPr>
        <w:t>litres</w:t>
      </w:r>
      <w:proofErr w:type="spellEnd"/>
      <w:r w:rsidRPr="00D43DC8">
        <w:rPr>
          <w:b w:val="0"/>
          <w:bCs w:val="0"/>
          <w:color w:val="1E1E1E"/>
          <w:sz w:val="22"/>
          <w:szCs w:val="22"/>
        </w:rPr>
        <w:t xml:space="preserve"> of Scotch in oak casks throughout Scotland, which is a physical asset with distinctive time properties: the value of the asset increases with age and cannot be hastened by competitors (Dierickx and Cool, 1989). This supports the power of the Johnnie Walker portfolio.</w:t>
      </w:r>
    </w:p>
    <w:p w14:paraId="45587D76" w14:textId="1BFF6B46" w:rsidR="00D43DC8" w:rsidRDefault="00D43DC8" w:rsidP="00C92978">
      <w:pPr>
        <w:pStyle w:val="Heading2"/>
        <w:spacing w:line="360" w:lineRule="auto"/>
        <w:jc w:val="both"/>
        <w:rPr>
          <w:b w:val="0"/>
          <w:bCs w:val="0"/>
          <w:color w:val="1E1E1E"/>
          <w:sz w:val="22"/>
          <w:szCs w:val="22"/>
        </w:rPr>
      </w:pPr>
      <w:r w:rsidRPr="00D43DC8">
        <w:rPr>
          <w:color w:val="1E1E1E"/>
          <w:sz w:val="22"/>
          <w:szCs w:val="22"/>
        </w:rPr>
        <w:t>Innovation and Consumer Insight Capabilities:</w:t>
      </w:r>
      <w:r w:rsidRPr="00D43DC8">
        <w:rPr>
          <w:b w:val="0"/>
          <w:bCs w:val="0"/>
          <w:color w:val="1E1E1E"/>
          <w:sz w:val="22"/>
          <w:szCs w:val="22"/>
        </w:rPr>
        <w:t xml:space="preserve"> The Global Innovation team at Diageo has generated category-defining innovations such as Guinness 0.0 and the </w:t>
      </w:r>
      <w:proofErr w:type="spellStart"/>
      <w:r w:rsidRPr="00D43DC8">
        <w:rPr>
          <w:b w:val="0"/>
          <w:bCs w:val="0"/>
          <w:color w:val="1E1E1E"/>
          <w:sz w:val="22"/>
          <w:szCs w:val="22"/>
        </w:rPr>
        <w:t>Seedlip</w:t>
      </w:r>
      <w:proofErr w:type="spellEnd"/>
      <w:r w:rsidRPr="00D43DC8">
        <w:rPr>
          <w:b w:val="0"/>
          <w:bCs w:val="0"/>
          <w:color w:val="1E1E1E"/>
          <w:sz w:val="22"/>
          <w:szCs w:val="22"/>
        </w:rPr>
        <w:t xml:space="preserve"> </w:t>
      </w:r>
      <w:r w:rsidR="006E7775" w:rsidRPr="00D43DC8">
        <w:rPr>
          <w:b w:val="0"/>
          <w:bCs w:val="0"/>
          <w:color w:val="1E1E1E"/>
          <w:sz w:val="22"/>
          <w:szCs w:val="22"/>
        </w:rPr>
        <w:t>partnership and</w:t>
      </w:r>
      <w:r w:rsidRPr="00D43DC8">
        <w:rPr>
          <w:b w:val="0"/>
          <w:bCs w:val="0"/>
          <w:color w:val="1E1E1E"/>
          <w:sz w:val="22"/>
          <w:szCs w:val="22"/>
        </w:rPr>
        <w:t xml:space="preserve"> has proven </w:t>
      </w:r>
      <w:proofErr w:type="spellStart"/>
      <w:r w:rsidRPr="00D43DC8">
        <w:rPr>
          <w:b w:val="0"/>
          <w:bCs w:val="0"/>
          <w:color w:val="1E1E1E"/>
          <w:sz w:val="22"/>
          <w:szCs w:val="22"/>
        </w:rPr>
        <w:t>organisational</w:t>
      </w:r>
      <w:proofErr w:type="spellEnd"/>
      <w:r w:rsidRPr="00D43DC8">
        <w:rPr>
          <w:b w:val="0"/>
          <w:bCs w:val="0"/>
          <w:color w:val="1E1E1E"/>
          <w:sz w:val="22"/>
          <w:szCs w:val="22"/>
        </w:rPr>
        <w:t xml:space="preserve"> capability to turn consumer trends into commercially successful products (Teece et al., 1997; Westerman et al., 2014).</w:t>
      </w:r>
    </w:p>
    <w:p w14:paraId="337A15AF" w14:textId="490C0902" w:rsidR="00420722" w:rsidRDefault="006E7775" w:rsidP="00C92978">
      <w:pPr>
        <w:pStyle w:val="Heading2"/>
        <w:spacing w:line="360" w:lineRule="auto"/>
        <w:jc w:val="both"/>
      </w:pPr>
      <w:r>
        <w:t>2.4 VRIO</w:t>
      </w:r>
      <w:r w:rsidR="00000000">
        <w:t xml:space="preserve"> Framework Analysis</w:t>
      </w:r>
      <w:bookmarkEnd w:id="12"/>
    </w:p>
    <w:p w14:paraId="3405E089" w14:textId="3B687E9C" w:rsidR="00ED66D8" w:rsidRDefault="00ED66D8" w:rsidP="00ED66D8">
      <w:pPr>
        <w:spacing w:before="40" w:after="190" w:line="360" w:lineRule="auto"/>
        <w:jc w:val="both"/>
      </w:pPr>
      <w:r>
        <w:rPr>
          <w:i/>
          <w:iCs/>
          <w:color w:val="666666"/>
          <w:sz w:val="19"/>
          <w:szCs w:val="19"/>
        </w:rPr>
        <w:t>Table 2: VRIO Framework Analysis – Diageo Plc (Adapted from Barney, 1991)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35"/>
        <w:gridCol w:w="1205"/>
        <w:gridCol w:w="905"/>
        <w:gridCol w:w="1316"/>
        <w:gridCol w:w="1372"/>
        <w:gridCol w:w="2277"/>
      </w:tblGrid>
      <w:tr w:rsidR="00107293" w14:paraId="79885090" w14:textId="77777777" w:rsidTr="00D43DC8">
        <w:trPr>
          <w:tblHeader/>
        </w:trPr>
        <w:tc>
          <w:tcPr>
            <w:tcW w:w="0" w:type="auto"/>
            <w:shd w:val="clear" w:color="auto" w:fill="1A1A2E"/>
            <w:tcMar>
              <w:top w:w="80" w:type="dxa"/>
              <w:left w:w="130" w:type="dxa"/>
              <w:bottom w:w="80" w:type="dxa"/>
              <w:right w:w="130" w:type="dxa"/>
            </w:tcMar>
            <w:vAlign w:val="center"/>
          </w:tcPr>
          <w:p w14:paraId="6D9E9C22" w14:textId="77777777" w:rsidR="00420722" w:rsidRDefault="00000000" w:rsidP="00C92978">
            <w:pPr>
              <w:spacing w:line="360" w:lineRule="auto"/>
              <w:jc w:val="both"/>
            </w:pPr>
            <w:r>
              <w:rPr>
                <w:b/>
                <w:bCs/>
                <w:color w:val="FFFFFF"/>
                <w:sz w:val="20"/>
                <w:szCs w:val="20"/>
              </w:rPr>
              <w:t>Resource / Capability</w:t>
            </w:r>
          </w:p>
        </w:tc>
        <w:tc>
          <w:tcPr>
            <w:tcW w:w="0" w:type="auto"/>
            <w:shd w:val="clear" w:color="auto" w:fill="1A1A2E"/>
            <w:tcMar>
              <w:top w:w="80" w:type="dxa"/>
              <w:left w:w="130" w:type="dxa"/>
              <w:bottom w:w="80" w:type="dxa"/>
              <w:right w:w="130" w:type="dxa"/>
            </w:tcMar>
            <w:vAlign w:val="center"/>
          </w:tcPr>
          <w:p w14:paraId="78D8C214" w14:textId="77777777" w:rsidR="00420722" w:rsidRDefault="00000000" w:rsidP="00C92978">
            <w:pPr>
              <w:spacing w:line="360" w:lineRule="auto"/>
              <w:jc w:val="both"/>
            </w:pPr>
            <w:r>
              <w:rPr>
                <w:b/>
                <w:bCs/>
                <w:color w:val="FFFFFF"/>
                <w:sz w:val="20"/>
                <w:szCs w:val="20"/>
              </w:rPr>
              <w:t>Valuable?</w:t>
            </w:r>
          </w:p>
        </w:tc>
        <w:tc>
          <w:tcPr>
            <w:tcW w:w="0" w:type="auto"/>
            <w:shd w:val="clear" w:color="auto" w:fill="1A1A2E"/>
            <w:tcMar>
              <w:top w:w="80" w:type="dxa"/>
              <w:left w:w="130" w:type="dxa"/>
              <w:bottom w:w="80" w:type="dxa"/>
              <w:right w:w="130" w:type="dxa"/>
            </w:tcMar>
            <w:vAlign w:val="center"/>
          </w:tcPr>
          <w:p w14:paraId="2E9A71AD" w14:textId="77777777" w:rsidR="00420722" w:rsidRDefault="00000000" w:rsidP="00C92978">
            <w:pPr>
              <w:spacing w:line="360" w:lineRule="auto"/>
              <w:jc w:val="both"/>
            </w:pPr>
            <w:r>
              <w:rPr>
                <w:b/>
                <w:bCs/>
                <w:color w:val="FFFFFF"/>
                <w:sz w:val="20"/>
                <w:szCs w:val="20"/>
              </w:rPr>
              <w:t>Rare?</w:t>
            </w:r>
          </w:p>
        </w:tc>
        <w:tc>
          <w:tcPr>
            <w:tcW w:w="0" w:type="auto"/>
            <w:shd w:val="clear" w:color="auto" w:fill="1A1A2E"/>
            <w:tcMar>
              <w:top w:w="80" w:type="dxa"/>
              <w:left w:w="130" w:type="dxa"/>
              <w:bottom w:w="80" w:type="dxa"/>
              <w:right w:w="130" w:type="dxa"/>
            </w:tcMar>
            <w:vAlign w:val="center"/>
          </w:tcPr>
          <w:p w14:paraId="7607CFCA" w14:textId="77777777" w:rsidR="00420722" w:rsidRDefault="00000000" w:rsidP="00C92978">
            <w:pPr>
              <w:spacing w:line="360" w:lineRule="auto"/>
              <w:jc w:val="both"/>
            </w:pPr>
            <w:r>
              <w:rPr>
                <w:b/>
                <w:bCs/>
                <w:color w:val="FFFFFF"/>
                <w:sz w:val="20"/>
                <w:szCs w:val="20"/>
              </w:rPr>
              <w:t>Inimitable?</w:t>
            </w:r>
          </w:p>
        </w:tc>
        <w:tc>
          <w:tcPr>
            <w:tcW w:w="0" w:type="auto"/>
            <w:shd w:val="clear" w:color="auto" w:fill="1A1A2E"/>
            <w:tcMar>
              <w:top w:w="80" w:type="dxa"/>
              <w:left w:w="130" w:type="dxa"/>
              <w:bottom w:w="80" w:type="dxa"/>
              <w:right w:w="130" w:type="dxa"/>
            </w:tcMar>
            <w:vAlign w:val="center"/>
          </w:tcPr>
          <w:p w14:paraId="24BB5F56" w14:textId="77777777" w:rsidR="00420722" w:rsidRDefault="00000000" w:rsidP="00C92978">
            <w:pPr>
              <w:spacing w:line="360" w:lineRule="auto"/>
              <w:jc w:val="both"/>
            </w:pPr>
            <w:r>
              <w:rPr>
                <w:b/>
                <w:bCs/>
                <w:color w:val="FFFFFF"/>
                <w:sz w:val="20"/>
                <w:szCs w:val="20"/>
              </w:rPr>
              <w:t>Organised?</w:t>
            </w:r>
          </w:p>
        </w:tc>
        <w:tc>
          <w:tcPr>
            <w:tcW w:w="0" w:type="auto"/>
            <w:shd w:val="clear" w:color="auto" w:fill="1A1A2E"/>
            <w:tcMar>
              <w:top w:w="80" w:type="dxa"/>
              <w:left w:w="130" w:type="dxa"/>
              <w:bottom w:w="80" w:type="dxa"/>
              <w:right w:w="130" w:type="dxa"/>
            </w:tcMar>
            <w:vAlign w:val="center"/>
          </w:tcPr>
          <w:p w14:paraId="43452FE6" w14:textId="77777777" w:rsidR="00420722" w:rsidRDefault="00000000" w:rsidP="00C92978">
            <w:pPr>
              <w:spacing w:line="360" w:lineRule="auto"/>
              <w:jc w:val="both"/>
            </w:pPr>
            <w:r>
              <w:rPr>
                <w:b/>
                <w:bCs/>
                <w:color w:val="FFFFFF"/>
                <w:sz w:val="20"/>
                <w:szCs w:val="20"/>
              </w:rPr>
              <w:t>Competitive Implication</w:t>
            </w:r>
          </w:p>
        </w:tc>
      </w:tr>
      <w:tr w:rsidR="00107293" w14:paraId="55DC436D" w14:textId="77777777" w:rsidTr="00D43DC8">
        <w:tc>
          <w:tcPr>
            <w:tcW w:w="0" w:type="auto"/>
            <w:shd w:val="clear" w:color="auto" w:fill="F5F3EF"/>
            <w:tcMar>
              <w:top w:w="62" w:type="dxa"/>
              <w:left w:w="130" w:type="dxa"/>
              <w:bottom w:w="62" w:type="dxa"/>
              <w:right w:w="130" w:type="dxa"/>
            </w:tcMar>
          </w:tcPr>
          <w:p w14:paraId="74C505FA" w14:textId="77777777" w:rsidR="00420722" w:rsidRDefault="00000000" w:rsidP="00C92978">
            <w:pPr>
              <w:spacing w:line="360" w:lineRule="auto"/>
              <w:jc w:val="both"/>
            </w:pPr>
            <w:r>
              <w:rPr>
                <w:color w:val="1E1E1E"/>
                <w:sz w:val="20"/>
                <w:szCs w:val="20"/>
              </w:rPr>
              <w:t>Brand Portfolio (JW, Guinness, Don Julio)</w:t>
            </w:r>
          </w:p>
        </w:tc>
        <w:tc>
          <w:tcPr>
            <w:tcW w:w="0" w:type="auto"/>
            <w:shd w:val="clear" w:color="auto" w:fill="F5F3EF"/>
            <w:tcMar>
              <w:top w:w="62" w:type="dxa"/>
              <w:left w:w="130" w:type="dxa"/>
              <w:bottom w:w="62" w:type="dxa"/>
              <w:right w:w="130" w:type="dxa"/>
            </w:tcMar>
          </w:tcPr>
          <w:p w14:paraId="45833836"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56105B23"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4C8540A8"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2F0E38EF"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4FAB02BD" w14:textId="77777777" w:rsidR="00420722" w:rsidRDefault="00000000" w:rsidP="00C92978">
            <w:pPr>
              <w:spacing w:line="360" w:lineRule="auto"/>
              <w:jc w:val="both"/>
            </w:pPr>
            <w:r>
              <w:rPr>
                <w:color w:val="1E1E1E"/>
                <w:sz w:val="20"/>
                <w:szCs w:val="20"/>
              </w:rPr>
              <w:t>Sustained Competitive Advantage</w:t>
            </w:r>
          </w:p>
        </w:tc>
      </w:tr>
      <w:tr w:rsidR="00107293" w14:paraId="4F5B39E0" w14:textId="77777777" w:rsidTr="00D43DC8">
        <w:tc>
          <w:tcPr>
            <w:tcW w:w="0" w:type="auto"/>
            <w:shd w:val="clear" w:color="auto" w:fill="FFFFFF"/>
            <w:tcMar>
              <w:top w:w="62" w:type="dxa"/>
              <w:left w:w="130" w:type="dxa"/>
              <w:bottom w:w="62" w:type="dxa"/>
              <w:right w:w="130" w:type="dxa"/>
            </w:tcMar>
          </w:tcPr>
          <w:p w14:paraId="612D903D" w14:textId="77777777" w:rsidR="00420722" w:rsidRDefault="00000000" w:rsidP="00C92978">
            <w:pPr>
              <w:spacing w:line="360" w:lineRule="auto"/>
              <w:jc w:val="both"/>
            </w:pPr>
            <w:r>
              <w:rPr>
                <w:color w:val="1E1E1E"/>
                <w:sz w:val="20"/>
                <w:szCs w:val="20"/>
              </w:rPr>
              <w:t>Scotch Whisky Maturing Inventory</w:t>
            </w:r>
          </w:p>
        </w:tc>
        <w:tc>
          <w:tcPr>
            <w:tcW w:w="0" w:type="auto"/>
            <w:shd w:val="clear" w:color="auto" w:fill="FFFFFF"/>
            <w:tcMar>
              <w:top w:w="62" w:type="dxa"/>
              <w:left w:w="130" w:type="dxa"/>
              <w:bottom w:w="62" w:type="dxa"/>
              <w:right w:w="130" w:type="dxa"/>
            </w:tcMar>
          </w:tcPr>
          <w:p w14:paraId="2C036946"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19EA789A"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53215B13"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41AFCB68"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101B3704" w14:textId="77777777" w:rsidR="00420722" w:rsidRDefault="00000000" w:rsidP="00C92978">
            <w:pPr>
              <w:spacing w:line="360" w:lineRule="auto"/>
              <w:jc w:val="both"/>
            </w:pPr>
            <w:r>
              <w:rPr>
                <w:color w:val="1E1E1E"/>
                <w:sz w:val="20"/>
                <w:szCs w:val="20"/>
              </w:rPr>
              <w:t>Sustained Competitive Advantage</w:t>
            </w:r>
          </w:p>
        </w:tc>
      </w:tr>
      <w:tr w:rsidR="00107293" w14:paraId="0D4F323E" w14:textId="77777777" w:rsidTr="00D43DC8">
        <w:tc>
          <w:tcPr>
            <w:tcW w:w="0" w:type="auto"/>
            <w:shd w:val="clear" w:color="auto" w:fill="F5F3EF"/>
            <w:tcMar>
              <w:top w:w="62" w:type="dxa"/>
              <w:left w:w="130" w:type="dxa"/>
              <w:bottom w:w="62" w:type="dxa"/>
              <w:right w:w="130" w:type="dxa"/>
            </w:tcMar>
          </w:tcPr>
          <w:p w14:paraId="2F06DE78" w14:textId="77777777" w:rsidR="00420722" w:rsidRDefault="00000000" w:rsidP="00C92978">
            <w:pPr>
              <w:spacing w:line="360" w:lineRule="auto"/>
              <w:jc w:val="both"/>
            </w:pPr>
            <w:r>
              <w:rPr>
                <w:color w:val="1E1E1E"/>
                <w:sz w:val="20"/>
                <w:szCs w:val="20"/>
              </w:rPr>
              <w:t>Global Distribution Network</w:t>
            </w:r>
          </w:p>
        </w:tc>
        <w:tc>
          <w:tcPr>
            <w:tcW w:w="0" w:type="auto"/>
            <w:shd w:val="clear" w:color="auto" w:fill="F5F3EF"/>
            <w:tcMar>
              <w:top w:w="62" w:type="dxa"/>
              <w:left w:w="130" w:type="dxa"/>
              <w:bottom w:w="62" w:type="dxa"/>
              <w:right w:w="130" w:type="dxa"/>
            </w:tcMar>
          </w:tcPr>
          <w:p w14:paraId="3591737E"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280870B5"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66D8919D" w14:textId="77777777" w:rsidR="00420722" w:rsidRDefault="00000000" w:rsidP="00C92978">
            <w:pPr>
              <w:spacing w:line="360" w:lineRule="auto"/>
              <w:jc w:val="both"/>
            </w:pPr>
            <w:r>
              <w:rPr>
                <w:color w:val="1E1E1E"/>
                <w:sz w:val="20"/>
                <w:szCs w:val="20"/>
              </w:rPr>
              <w:t>~ Partial</w:t>
            </w:r>
          </w:p>
        </w:tc>
        <w:tc>
          <w:tcPr>
            <w:tcW w:w="0" w:type="auto"/>
            <w:shd w:val="clear" w:color="auto" w:fill="F5F3EF"/>
            <w:tcMar>
              <w:top w:w="62" w:type="dxa"/>
              <w:left w:w="130" w:type="dxa"/>
              <w:bottom w:w="62" w:type="dxa"/>
              <w:right w:w="130" w:type="dxa"/>
            </w:tcMar>
          </w:tcPr>
          <w:p w14:paraId="1D572747"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338A9035" w14:textId="77777777" w:rsidR="00420722" w:rsidRDefault="00000000" w:rsidP="00C92978">
            <w:pPr>
              <w:spacing w:line="360" w:lineRule="auto"/>
              <w:jc w:val="both"/>
            </w:pPr>
            <w:r>
              <w:rPr>
                <w:color w:val="1E1E1E"/>
                <w:sz w:val="20"/>
                <w:szCs w:val="20"/>
              </w:rPr>
              <w:t>Temporary Competitive Advantage</w:t>
            </w:r>
          </w:p>
        </w:tc>
      </w:tr>
      <w:tr w:rsidR="00107293" w14:paraId="6FA5505C" w14:textId="77777777" w:rsidTr="00D43DC8">
        <w:tc>
          <w:tcPr>
            <w:tcW w:w="0" w:type="auto"/>
            <w:shd w:val="clear" w:color="auto" w:fill="FFFFFF"/>
            <w:tcMar>
              <w:top w:w="62" w:type="dxa"/>
              <w:left w:w="130" w:type="dxa"/>
              <w:bottom w:w="62" w:type="dxa"/>
              <w:right w:w="130" w:type="dxa"/>
            </w:tcMar>
          </w:tcPr>
          <w:p w14:paraId="3965B5B7" w14:textId="77777777" w:rsidR="00420722" w:rsidRDefault="00000000" w:rsidP="00C92978">
            <w:pPr>
              <w:spacing w:line="360" w:lineRule="auto"/>
              <w:jc w:val="both"/>
            </w:pPr>
            <w:r>
              <w:rPr>
                <w:color w:val="1E1E1E"/>
                <w:sz w:val="20"/>
                <w:szCs w:val="20"/>
              </w:rPr>
              <w:t>No/Low Alcohol Innovation (</w:t>
            </w:r>
            <w:proofErr w:type="spellStart"/>
            <w:r>
              <w:rPr>
                <w:color w:val="1E1E1E"/>
                <w:sz w:val="20"/>
                <w:szCs w:val="20"/>
              </w:rPr>
              <w:t>Seedlip</w:t>
            </w:r>
            <w:proofErr w:type="spellEnd"/>
            <w:r>
              <w:rPr>
                <w:color w:val="1E1E1E"/>
                <w:sz w:val="20"/>
                <w:szCs w:val="20"/>
              </w:rPr>
              <w:t>, G0.0)</w:t>
            </w:r>
          </w:p>
        </w:tc>
        <w:tc>
          <w:tcPr>
            <w:tcW w:w="0" w:type="auto"/>
            <w:shd w:val="clear" w:color="auto" w:fill="FFFFFF"/>
            <w:tcMar>
              <w:top w:w="62" w:type="dxa"/>
              <w:left w:w="130" w:type="dxa"/>
              <w:bottom w:w="62" w:type="dxa"/>
              <w:right w:w="130" w:type="dxa"/>
            </w:tcMar>
          </w:tcPr>
          <w:p w14:paraId="0DF8F4AA"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22CEE6AA"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7673D77B" w14:textId="77777777" w:rsidR="00420722" w:rsidRDefault="00000000" w:rsidP="00C92978">
            <w:pPr>
              <w:spacing w:line="360" w:lineRule="auto"/>
              <w:jc w:val="both"/>
            </w:pPr>
            <w:r>
              <w:rPr>
                <w:color w:val="1E1E1E"/>
                <w:sz w:val="20"/>
                <w:szCs w:val="20"/>
              </w:rPr>
              <w:t>~ Partial</w:t>
            </w:r>
          </w:p>
        </w:tc>
        <w:tc>
          <w:tcPr>
            <w:tcW w:w="0" w:type="auto"/>
            <w:shd w:val="clear" w:color="auto" w:fill="FFFFFF"/>
            <w:tcMar>
              <w:top w:w="62" w:type="dxa"/>
              <w:left w:w="130" w:type="dxa"/>
              <w:bottom w:w="62" w:type="dxa"/>
              <w:right w:w="130" w:type="dxa"/>
            </w:tcMar>
          </w:tcPr>
          <w:p w14:paraId="551E6DB6"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0B63CBD7" w14:textId="77777777" w:rsidR="00420722" w:rsidRDefault="00000000" w:rsidP="00C92978">
            <w:pPr>
              <w:spacing w:line="360" w:lineRule="auto"/>
              <w:jc w:val="both"/>
            </w:pPr>
            <w:r>
              <w:rPr>
                <w:color w:val="1E1E1E"/>
                <w:sz w:val="20"/>
                <w:szCs w:val="20"/>
              </w:rPr>
              <w:t>Temporary Competitive Advantage</w:t>
            </w:r>
          </w:p>
        </w:tc>
      </w:tr>
      <w:tr w:rsidR="00107293" w14:paraId="4E479246" w14:textId="77777777" w:rsidTr="00D43DC8">
        <w:tc>
          <w:tcPr>
            <w:tcW w:w="0" w:type="auto"/>
            <w:shd w:val="clear" w:color="auto" w:fill="F5F3EF"/>
            <w:tcMar>
              <w:top w:w="62" w:type="dxa"/>
              <w:left w:w="130" w:type="dxa"/>
              <w:bottom w:w="62" w:type="dxa"/>
              <w:right w:w="130" w:type="dxa"/>
            </w:tcMar>
          </w:tcPr>
          <w:p w14:paraId="3BC8E2AF" w14:textId="77777777" w:rsidR="00420722" w:rsidRDefault="00000000" w:rsidP="00C92978">
            <w:pPr>
              <w:spacing w:line="360" w:lineRule="auto"/>
              <w:jc w:val="both"/>
            </w:pPr>
            <w:r>
              <w:rPr>
                <w:color w:val="1E1E1E"/>
                <w:sz w:val="20"/>
                <w:szCs w:val="20"/>
              </w:rPr>
              <w:t>Consumer Insight &amp; Innovation Capability</w:t>
            </w:r>
          </w:p>
        </w:tc>
        <w:tc>
          <w:tcPr>
            <w:tcW w:w="0" w:type="auto"/>
            <w:shd w:val="clear" w:color="auto" w:fill="F5F3EF"/>
            <w:tcMar>
              <w:top w:w="62" w:type="dxa"/>
              <w:left w:w="130" w:type="dxa"/>
              <w:bottom w:w="62" w:type="dxa"/>
              <w:right w:w="130" w:type="dxa"/>
            </w:tcMar>
          </w:tcPr>
          <w:p w14:paraId="24AD337C"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239CE2B5" w14:textId="77777777" w:rsidR="00420722" w:rsidRDefault="00000000" w:rsidP="00C92978">
            <w:pPr>
              <w:spacing w:line="360" w:lineRule="auto"/>
              <w:jc w:val="both"/>
            </w:pPr>
            <w:r>
              <w:rPr>
                <w:color w:val="1E1E1E"/>
                <w:sz w:val="20"/>
                <w:szCs w:val="20"/>
              </w:rPr>
              <w:t>~ Partial</w:t>
            </w:r>
          </w:p>
        </w:tc>
        <w:tc>
          <w:tcPr>
            <w:tcW w:w="0" w:type="auto"/>
            <w:shd w:val="clear" w:color="auto" w:fill="F5F3EF"/>
            <w:tcMar>
              <w:top w:w="62" w:type="dxa"/>
              <w:left w:w="130" w:type="dxa"/>
              <w:bottom w:w="62" w:type="dxa"/>
              <w:right w:w="130" w:type="dxa"/>
            </w:tcMar>
          </w:tcPr>
          <w:p w14:paraId="54B1F83E" w14:textId="77777777" w:rsidR="00420722" w:rsidRDefault="00000000" w:rsidP="00C92978">
            <w:pPr>
              <w:spacing w:line="360" w:lineRule="auto"/>
              <w:jc w:val="both"/>
            </w:pPr>
            <w:r>
              <w:rPr>
                <w:color w:val="1E1E1E"/>
                <w:sz w:val="20"/>
                <w:szCs w:val="20"/>
              </w:rPr>
              <w:t>~ Partial</w:t>
            </w:r>
          </w:p>
        </w:tc>
        <w:tc>
          <w:tcPr>
            <w:tcW w:w="0" w:type="auto"/>
            <w:shd w:val="clear" w:color="auto" w:fill="F5F3EF"/>
            <w:tcMar>
              <w:top w:w="62" w:type="dxa"/>
              <w:left w:w="130" w:type="dxa"/>
              <w:bottom w:w="62" w:type="dxa"/>
              <w:right w:w="130" w:type="dxa"/>
            </w:tcMar>
          </w:tcPr>
          <w:p w14:paraId="4A8D4F18"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2A202D21" w14:textId="77777777" w:rsidR="00420722" w:rsidRDefault="00000000" w:rsidP="00C92978">
            <w:pPr>
              <w:spacing w:line="360" w:lineRule="auto"/>
              <w:jc w:val="both"/>
            </w:pPr>
            <w:r>
              <w:rPr>
                <w:color w:val="1E1E1E"/>
                <w:sz w:val="20"/>
                <w:szCs w:val="20"/>
              </w:rPr>
              <w:t>Competitive Parity (improving)</w:t>
            </w:r>
          </w:p>
        </w:tc>
      </w:tr>
      <w:tr w:rsidR="00107293" w14:paraId="25A53829" w14:textId="77777777" w:rsidTr="00D43DC8">
        <w:tc>
          <w:tcPr>
            <w:tcW w:w="0" w:type="auto"/>
            <w:shd w:val="clear" w:color="auto" w:fill="FFFFFF"/>
            <w:tcMar>
              <w:top w:w="62" w:type="dxa"/>
              <w:left w:w="130" w:type="dxa"/>
              <w:bottom w:w="62" w:type="dxa"/>
              <w:right w:w="130" w:type="dxa"/>
            </w:tcMar>
          </w:tcPr>
          <w:p w14:paraId="7745641B" w14:textId="77777777" w:rsidR="00420722" w:rsidRDefault="00000000" w:rsidP="00C92978">
            <w:pPr>
              <w:spacing w:line="360" w:lineRule="auto"/>
              <w:jc w:val="both"/>
            </w:pPr>
            <w:r>
              <w:rPr>
                <w:color w:val="1E1E1E"/>
                <w:sz w:val="20"/>
                <w:szCs w:val="20"/>
              </w:rPr>
              <w:lastRenderedPageBreak/>
              <w:t>Premium On-Trade Relationships</w:t>
            </w:r>
          </w:p>
        </w:tc>
        <w:tc>
          <w:tcPr>
            <w:tcW w:w="0" w:type="auto"/>
            <w:shd w:val="clear" w:color="auto" w:fill="FFFFFF"/>
            <w:tcMar>
              <w:top w:w="62" w:type="dxa"/>
              <w:left w:w="130" w:type="dxa"/>
              <w:bottom w:w="62" w:type="dxa"/>
              <w:right w:w="130" w:type="dxa"/>
            </w:tcMar>
          </w:tcPr>
          <w:p w14:paraId="3C1E53E0"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728479C9" w14:textId="77777777" w:rsidR="00420722" w:rsidRDefault="00000000" w:rsidP="00C92978">
            <w:pPr>
              <w:spacing w:line="360" w:lineRule="auto"/>
              <w:jc w:val="both"/>
            </w:pPr>
            <w:r>
              <w:rPr>
                <w:color w:val="1E1E1E"/>
                <w:sz w:val="20"/>
                <w:szCs w:val="20"/>
              </w:rPr>
              <w:t>~ Partial</w:t>
            </w:r>
          </w:p>
        </w:tc>
        <w:tc>
          <w:tcPr>
            <w:tcW w:w="0" w:type="auto"/>
            <w:shd w:val="clear" w:color="auto" w:fill="FFFFFF"/>
            <w:tcMar>
              <w:top w:w="62" w:type="dxa"/>
              <w:left w:w="130" w:type="dxa"/>
              <w:bottom w:w="62" w:type="dxa"/>
              <w:right w:w="130" w:type="dxa"/>
            </w:tcMar>
          </w:tcPr>
          <w:p w14:paraId="5F4103D0" w14:textId="77777777" w:rsidR="00420722" w:rsidRDefault="00000000" w:rsidP="00C92978">
            <w:pPr>
              <w:spacing w:line="360" w:lineRule="auto"/>
              <w:jc w:val="both"/>
            </w:pPr>
            <w:r>
              <w:rPr>
                <w:color w:val="1E1E1E"/>
                <w:sz w:val="20"/>
                <w:szCs w:val="20"/>
              </w:rPr>
              <w:t>~ Partial</w:t>
            </w:r>
          </w:p>
        </w:tc>
        <w:tc>
          <w:tcPr>
            <w:tcW w:w="0" w:type="auto"/>
            <w:shd w:val="clear" w:color="auto" w:fill="FFFFFF"/>
            <w:tcMar>
              <w:top w:w="62" w:type="dxa"/>
              <w:left w:w="130" w:type="dxa"/>
              <w:bottom w:w="62" w:type="dxa"/>
              <w:right w:w="130" w:type="dxa"/>
            </w:tcMar>
          </w:tcPr>
          <w:p w14:paraId="5C3C1CB3"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0925EC94" w14:textId="77777777" w:rsidR="00420722" w:rsidRDefault="00000000" w:rsidP="00C92978">
            <w:pPr>
              <w:spacing w:line="360" w:lineRule="auto"/>
              <w:jc w:val="both"/>
            </w:pPr>
            <w:r>
              <w:rPr>
                <w:color w:val="1E1E1E"/>
                <w:sz w:val="20"/>
                <w:szCs w:val="20"/>
              </w:rPr>
              <w:t>Competitive Parity</w:t>
            </w:r>
          </w:p>
        </w:tc>
      </w:tr>
      <w:tr w:rsidR="00107293" w14:paraId="1227EF3E" w14:textId="77777777" w:rsidTr="00D43DC8">
        <w:tc>
          <w:tcPr>
            <w:tcW w:w="0" w:type="auto"/>
            <w:shd w:val="clear" w:color="auto" w:fill="F5F3EF"/>
            <w:tcMar>
              <w:top w:w="62" w:type="dxa"/>
              <w:left w:w="130" w:type="dxa"/>
              <w:bottom w:w="62" w:type="dxa"/>
              <w:right w:w="130" w:type="dxa"/>
            </w:tcMar>
          </w:tcPr>
          <w:p w14:paraId="63A0826C" w14:textId="77777777" w:rsidR="00420722" w:rsidRDefault="00000000" w:rsidP="00C92978">
            <w:pPr>
              <w:spacing w:line="360" w:lineRule="auto"/>
              <w:jc w:val="both"/>
            </w:pPr>
            <w:r>
              <w:rPr>
                <w:color w:val="1E1E1E"/>
                <w:sz w:val="20"/>
                <w:szCs w:val="20"/>
              </w:rPr>
              <w:t>Geographical Diversification</w:t>
            </w:r>
          </w:p>
        </w:tc>
        <w:tc>
          <w:tcPr>
            <w:tcW w:w="0" w:type="auto"/>
            <w:shd w:val="clear" w:color="auto" w:fill="F5F3EF"/>
            <w:tcMar>
              <w:top w:w="62" w:type="dxa"/>
              <w:left w:w="130" w:type="dxa"/>
              <w:bottom w:w="62" w:type="dxa"/>
              <w:right w:w="130" w:type="dxa"/>
            </w:tcMar>
          </w:tcPr>
          <w:p w14:paraId="1FB84D44"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7C78EFFC" w14:textId="77777777" w:rsidR="00420722" w:rsidRDefault="00000000" w:rsidP="00C92978">
            <w:pPr>
              <w:spacing w:line="360" w:lineRule="auto"/>
              <w:jc w:val="both"/>
            </w:pPr>
            <w:r>
              <w:rPr>
                <w:color w:val="1E1E1E"/>
                <w:sz w:val="20"/>
                <w:szCs w:val="20"/>
              </w:rPr>
              <w:t>~ Partial</w:t>
            </w:r>
          </w:p>
        </w:tc>
        <w:tc>
          <w:tcPr>
            <w:tcW w:w="0" w:type="auto"/>
            <w:shd w:val="clear" w:color="auto" w:fill="F5F3EF"/>
            <w:tcMar>
              <w:top w:w="62" w:type="dxa"/>
              <w:left w:w="130" w:type="dxa"/>
              <w:bottom w:w="62" w:type="dxa"/>
              <w:right w:w="130" w:type="dxa"/>
            </w:tcMar>
          </w:tcPr>
          <w:p w14:paraId="469B7EEC" w14:textId="77777777" w:rsidR="00420722" w:rsidRDefault="00000000" w:rsidP="00C92978">
            <w:pPr>
              <w:spacing w:line="360" w:lineRule="auto"/>
              <w:jc w:val="both"/>
            </w:pPr>
            <w:r>
              <w:rPr>
                <w:color w:val="1E1E1E"/>
                <w:sz w:val="20"/>
                <w:szCs w:val="20"/>
              </w:rPr>
              <w:t>✗ No</w:t>
            </w:r>
          </w:p>
        </w:tc>
        <w:tc>
          <w:tcPr>
            <w:tcW w:w="0" w:type="auto"/>
            <w:shd w:val="clear" w:color="auto" w:fill="F5F3EF"/>
            <w:tcMar>
              <w:top w:w="62" w:type="dxa"/>
              <w:left w:w="130" w:type="dxa"/>
              <w:bottom w:w="62" w:type="dxa"/>
              <w:right w:w="130" w:type="dxa"/>
            </w:tcMar>
          </w:tcPr>
          <w:p w14:paraId="5660FE9F" w14:textId="77777777" w:rsidR="00420722" w:rsidRDefault="00000000" w:rsidP="00C92978">
            <w:pPr>
              <w:spacing w:line="360" w:lineRule="auto"/>
              <w:jc w:val="both"/>
            </w:pPr>
            <w:r>
              <w:rPr>
                <w:color w:val="1E1E1E"/>
                <w:sz w:val="20"/>
                <w:szCs w:val="20"/>
              </w:rPr>
              <w:t>✓ Yes</w:t>
            </w:r>
          </w:p>
        </w:tc>
        <w:tc>
          <w:tcPr>
            <w:tcW w:w="0" w:type="auto"/>
            <w:shd w:val="clear" w:color="auto" w:fill="F5F3EF"/>
            <w:tcMar>
              <w:top w:w="62" w:type="dxa"/>
              <w:left w:w="130" w:type="dxa"/>
              <w:bottom w:w="62" w:type="dxa"/>
              <w:right w:w="130" w:type="dxa"/>
            </w:tcMar>
          </w:tcPr>
          <w:p w14:paraId="62150043" w14:textId="77777777" w:rsidR="00420722" w:rsidRDefault="00000000" w:rsidP="00C92978">
            <w:pPr>
              <w:spacing w:line="360" w:lineRule="auto"/>
              <w:jc w:val="both"/>
            </w:pPr>
            <w:r>
              <w:rPr>
                <w:color w:val="1E1E1E"/>
                <w:sz w:val="20"/>
                <w:szCs w:val="20"/>
              </w:rPr>
              <w:t>Competitive Parity</w:t>
            </w:r>
          </w:p>
        </w:tc>
      </w:tr>
      <w:tr w:rsidR="00107293" w14:paraId="43831F0F" w14:textId="77777777" w:rsidTr="00D43DC8">
        <w:tc>
          <w:tcPr>
            <w:tcW w:w="0" w:type="auto"/>
            <w:shd w:val="clear" w:color="auto" w:fill="FFFFFF"/>
            <w:tcMar>
              <w:top w:w="62" w:type="dxa"/>
              <w:left w:w="130" w:type="dxa"/>
              <w:bottom w:w="62" w:type="dxa"/>
              <w:right w:w="130" w:type="dxa"/>
            </w:tcMar>
          </w:tcPr>
          <w:p w14:paraId="5E826A4F" w14:textId="77777777" w:rsidR="00420722" w:rsidRDefault="00000000" w:rsidP="00C92978">
            <w:pPr>
              <w:spacing w:line="360" w:lineRule="auto"/>
              <w:jc w:val="both"/>
            </w:pPr>
            <w:r>
              <w:rPr>
                <w:color w:val="1E1E1E"/>
                <w:sz w:val="20"/>
                <w:szCs w:val="20"/>
              </w:rPr>
              <w:t>Distilling &amp; Production Expertise</w:t>
            </w:r>
          </w:p>
        </w:tc>
        <w:tc>
          <w:tcPr>
            <w:tcW w:w="0" w:type="auto"/>
            <w:shd w:val="clear" w:color="auto" w:fill="FFFFFF"/>
            <w:tcMar>
              <w:top w:w="62" w:type="dxa"/>
              <w:left w:w="130" w:type="dxa"/>
              <w:bottom w:w="62" w:type="dxa"/>
              <w:right w:w="130" w:type="dxa"/>
            </w:tcMar>
          </w:tcPr>
          <w:p w14:paraId="4C353FE0"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31E052C9" w14:textId="77777777" w:rsidR="00420722" w:rsidRDefault="00000000" w:rsidP="00C92978">
            <w:pPr>
              <w:spacing w:line="360" w:lineRule="auto"/>
              <w:jc w:val="both"/>
            </w:pPr>
            <w:r>
              <w:rPr>
                <w:color w:val="1E1E1E"/>
                <w:sz w:val="20"/>
                <w:szCs w:val="20"/>
              </w:rPr>
              <w:t>~ Partial</w:t>
            </w:r>
          </w:p>
        </w:tc>
        <w:tc>
          <w:tcPr>
            <w:tcW w:w="0" w:type="auto"/>
            <w:shd w:val="clear" w:color="auto" w:fill="FFFFFF"/>
            <w:tcMar>
              <w:top w:w="62" w:type="dxa"/>
              <w:left w:w="130" w:type="dxa"/>
              <w:bottom w:w="62" w:type="dxa"/>
              <w:right w:w="130" w:type="dxa"/>
            </w:tcMar>
          </w:tcPr>
          <w:p w14:paraId="05D4BDC4" w14:textId="77777777" w:rsidR="00420722" w:rsidRDefault="00000000" w:rsidP="00C92978">
            <w:pPr>
              <w:spacing w:line="360" w:lineRule="auto"/>
              <w:jc w:val="both"/>
            </w:pPr>
            <w:r>
              <w:rPr>
                <w:color w:val="1E1E1E"/>
                <w:sz w:val="20"/>
                <w:szCs w:val="20"/>
              </w:rPr>
              <w:t>~ Partial</w:t>
            </w:r>
          </w:p>
        </w:tc>
        <w:tc>
          <w:tcPr>
            <w:tcW w:w="0" w:type="auto"/>
            <w:shd w:val="clear" w:color="auto" w:fill="FFFFFF"/>
            <w:tcMar>
              <w:top w:w="62" w:type="dxa"/>
              <w:left w:w="130" w:type="dxa"/>
              <w:bottom w:w="62" w:type="dxa"/>
              <w:right w:w="130" w:type="dxa"/>
            </w:tcMar>
          </w:tcPr>
          <w:p w14:paraId="4D80CC63" w14:textId="77777777" w:rsidR="00420722" w:rsidRDefault="00000000" w:rsidP="00C92978">
            <w:pPr>
              <w:spacing w:line="360" w:lineRule="auto"/>
              <w:jc w:val="both"/>
            </w:pPr>
            <w:r>
              <w:rPr>
                <w:color w:val="1E1E1E"/>
                <w:sz w:val="20"/>
                <w:szCs w:val="20"/>
              </w:rPr>
              <w:t>✓ Yes</w:t>
            </w:r>
          </w:p>
        </w:tc>
        <w:tc>
          <w:tcPr>
            <w:tcW w:w="0" w:type="auto"/>
            <w:shd w:val="clear" w:color="auto" w:fill="FFFFFF"/>
            <w:tcMar>
              <w:top w:w="62" w:type="dxa"/>
              <w:left w:w="130" w:type="dxa"/>
              <w:bottom w:w="62" w:type="dxa"/>
              <w:right w:w="130" w:type="dxa"/>
            </w:tcMar>
          </w:tcPr>
          <w:p w14:paraId="612DD70B" w14:textId="77777777" w:rsidR="00420722" w:rsidRDefault="00000000" w:rsidP="00C92978">
            <w:pPr>
              <w:spacing w:line="360" w:lineRule="auto"/>
              <w:jc w:val="both"/>
            </w:pPr>
            <w:r>
              <w:rPr>
                <w:color w:val="1E1E1E"/>
                <w:sz w:val="20"/>
                <w:szCs w:val="20"/>
              </w:rPr>
              <w:t>Competitive Parity</w:t>
            </w:r>
          </w:p>
        </w:tc>
      </w:tr>
    </w:tbl>
    <w:p w14:paraId="14CC250B" w14:textId="59432D37" w:rsidR="00420722" w:rsidRDefault="006E7775" w:rsidP="00C92978">
      <w:pPr>
        <w:pStyle w:val="Heading2"/>
        <w:spacing w:line="360" w:lineRule="auto"/>
        <w:jc w:val="both"/>
      </w:pPr>
      <w:bookmarkStart w:id="13" w:name="_Toc228432233"/>
      <w:r>
        <w:t>2.5 How</w:t>
      </w:r>
      <w:r w:rsidR="00000000">
        <w:t xml:space="preserve"> Internal Strengths Contribute to Competitive Advantage</w:t>
      </w:r>
      <w:bookmarkEnd w:id="13"/>
    </w:p>
    <w:p w14:paraId="18EC091D" w14:textId="77777777" w:rsidR="00D43DC8" w:rsidRPr="00D43DC8" w:rsidRDefault="00D43DC8" w:rsidP="00C92978">
      <w:pPr>
        <w:spacing w:line="360" w:lineRule="auto"/>
        <w:jc w:val="both"/>
        <w:rPr>
          <w:color w:val="1E1E1E"/>
        </w:rPr>
      </w:pPr>
      <w:r w:rsidRPr="00D43DC8">
        <w:rPr>
          <w:color w:val="1E1E1E"/>
        </w:rPr>
        <w:t xml:space="preserve">The VRIO analysis shows that the most sustainable competitive advantages of Diageo are its heritage brand portfolio and maturing Scotch whisky stocks. Both meet all four VRIO requirements, creating sustained competitive advantage in the </w:t>
      </w:r>
      <w:proofErr w:type="spellStart"/>
      <w:r w:rsidRPr="00D43DC8">
        <w:rPr>
          <w:color w:val="1E1E1E"/>
        </w:rPr>
        <w:t>Barneyan</w:t>
      </w:r>
      <w:proofErr w:type="spellEnd"/>
      <w:r w:rsidRPr="00D43DC8">
        <w:rPr>
          <w:color w:val="1E1E1E"/>
        </w:rPr>
        <w:t xml:space="preserve"> sense - advantages that cannot be structurally replicated in any business-relevant time-period (Barney, 1991; </w:t>
      </w:r>
      <w:proofErr w:type="spellStart"/>
      <w:r w:rsidRPr="00D43DC8">
        <w:rPr>
          <w:color w:val="1E1E1E"/>
        </w:rPr>
        <w:t>Peteraf</w:t>
      </w:r>
      <w:proofErr w:type="spellEnd"/>
      <w:r w:rsidRPr="00D43DC8">
        <w:rPr>
          <w:color w:val="1E1E1E"/>
        </w:rPr>
        <w:t>, 1993). Any other competitor that would develop comparable brand equity that Johnnie Walker has had since 1909 would take not just money, but time and socially complex organisational learning that is inherently non-tradeable as described by Dierickx and Cool (1989). On the same note, it would take at least twelve years of ageing the whisky stock to match that of Diageo, a time constraint that can never be surmounted by any financial strength.</w:t>
      </w:r>
    </w:p>
    <w:p w14:paraId="0711E689" w14:textId="3226616C" w:rsidR="00420722" w:rsidRDefault="00D43DC8" w:rsidP="00C92978">
      <w:pPr>
        <w:spacing w:line="360" w:lineRule="auto"/>
        <w:jc w:val="both"/>
      </w:pPr>
      <w:r w:rsidRPr="00D43DC8">
        <w:rPr>
          <w:color w:val="1E1E1E"/>
        </w:rPr>
        <w:t xml:space="preserve">The Dynamic Capabilities framework proposed by Teece et al. (1997) offers an alternative view: competitive advantage is not only based on excellent resources but rather the ability of the </w:t>
      </w:r>
      <w:proofErr w:type="spellStart"/>
      <w:r w:rsidRPr="00D43DC8">
        <w:rPr>
          <w:color w:val="1E1E1E"/>
        </w:rPr>
        <w:t>organisation</w:t>
      </w:r>
      <w:proofErr w:type="spellEnd"/>
      <w:r w:rsidRPr="00D43DC8">
        <w:rPr>
          <w:color w:val="1E1E1E"/>
        </w:rPr>
        <w:t xml:space="preserve"> to feel, capture and reorganise them in reaction to the environment. The example of Diageo acquiring </w:t>
      </w:r>
      <w:proofErr w:type="spellStart"/>
      <w:r w:rsidRPr="00D43DC8">
        <w:rPr>
          <w:color w:val="1E1E1E"/>
        </w:rPr>
        <w:t>Seedlip</w:t>
      </w:r>
      <w:proofErr w:type="spellEnd"/>
      <w:r w:rsidRPr="00D43DC8">
        <w:rPr>
          <w:color w:val="1E1E1E"/>
        </w:rPr>
        <w:t>, creating Guinness 0.0 and investing in Distill Ventures can be seen as dynamic reconfiguration, a process that predicts and influences the future development of the category, as opposed to reacting to it (Mintzberg, 1987).</w:t>
      </w:r>
      <w:r>
        <w:br w:type="page"/>
      </w:r>
    </w:p>
    <w:p w14:paraId="54C5C9C5" w14:textId="66D514D3" w:rsidR="00420722" w:rsidRDefault="00000000" w:rsidP="00C92978">
      <w:pPr>
        <w:pStyle w:val="Heading1"/>
        <w:spacing w:line="360" w:lineRule="auto"/>
        <w:jc w:val="both"/>
      </w:pPr>
      <w:bookmarkStart w:id="14" w:name="_Toc228432234"/>
      <w:r>
        <w:lastRenderedPageBreak/>
        <w:t>3</w:t>
      </w:r>
      <w:r w:rsidR="001E0475">
        <w:t>.</w:t>
      </w:r>
      <w:r>
        <w:t xml:space="preserve"> CSR AND SUSTAINABILITY OBJECTIVES</w:t>
      </w:r>
      <w:bookmarkEnd w:id="14"/>
    </w:p>
    <w:p w14:paraId="42DA66A7" w14:textId="53FD7C8C" w:rsidR="00420722" w:rsidRDefault="006E7775" w:rsidP="00C92978">
      <w:pPr>
        <w:pStyle w:val="Heading2"/>
        <w:spacing w:line="360" w:lineRule="auto"/>
        <w:jc w:val="both"/>
      </w:pPr>
      <w:bookmarkStart w:id="15" w:name="_Toc228432235"/>
      <w:r>
        <w:t>3.1 CSR</w:t>
      </w:r>
      <w:r w:rsidR="00000000">
        <w:t xml:space="preserve"> Strategy and Alignment with Business Objectives</w:t>
      </w:r>
      <w:bookmarkEnd w:id="15"/>
    </w:p>
    <w:p w14:paraId="4FA0F793" w14:textId="587B65F1" w:rsidR="00420722" w:rsidRDefault="00ED66D8" w:rsidP="00C92978">
      <w:pPr>
        <w:spacing w:before="80" w:after="130" w:line="360" w:lineRule="auto"/>
        <w:jc w:val="both"/>
        <w:rPr>
          <w:color w:val="1E1E1E"/>
        </w:rPr>
      </w:pPr>
      <w:r w:rsidRPr="00D43DC8">
        <w:rPr>
          <w:color w:val="1E1E1E"/>
        </w:rPr>
        <w:t>Diageo</w:t>
      </w:r>
      <w:r w:rsidR="00D43DC8" w:rsidRPr="00D43DC8">
        <w:rPr>
          <w:color w:val="1E1E1E"/>
        </w:rPr>
        <w:t xml:space="preserve"> expresses its CSR strategy in terms of the Society 2030: Spirit of Progress framework that includes three pillars: Promote Positive Drinking, Champion Inclusion and Diversity, and Pioneer Grain-to-Glass Sustainability. The Pyramid of CSR by Carroll (1991) offers an analytical framework of analyzing </w:t>
      </w:r>
      <w:r w:rsidRPr="00D43DC8">
        <w:rPr>
          <w:color w:val="1E1E1E"/>
        </w:rPr>
        <w:t>commitments</w:t>
      </w:r>
      <w:r w:rsidR="00D43DC8" w:rsidRPr="00D43DC8">
        <w:rPr>
          <w:color w:val="1E1E1E"/>
        </w:rPr>
        <w:t>. The important question is whether Diageo CSR reaches the ethical and philanthropic summit of the pyramid of Carroll and brings about the shared value that Porter and Kramer (2006) claim provides both commercial payoff and social value.</w:t>
      </w:r>
    </w:p>
    <w:p w14:paraId="0874356F" w14:textId="5CE26C7D" w:rsidR="00ED66D8" w:rsidRDefault="00ED66D8" w:rsidP="00ED66D8">
      <w:pPr>
        <w:spacing w:before="40" w:after="190" w:line="360" w:lineRule="auto"/>
        <w:jc w:val="both"/>
      </w:pPr>
      <w:r>
        <w:rPr>
          <w:i/>
          <w:iCs/>
          <w:color w:val="666666"/>
          <w:sz w:val="19"/>
          <w:szCs w:val="19"/>
        </w:rPr>
        <w:t>Table 3: Diageo CSR Framework – Society 2030: Spirit of Progress.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40"/>
        <w:gridCol w:w="2545"/>
        <w:gridCol w:w="2850"/>
        <w:gridCol w:w="2475"/>
      </w:tblGrid>
      <w:tr w:rsidR="00107293" w14:paraId="1FE95FFE" w14:textId="77777777" w:rsidTr="00D43DC8">
        <w:trPr>
          <w:tblHeader/>
        </w:trPr>
        <w:tc>
          <w:tcPr>
            <w:tcW w:w="0" w:type="auto"/>
            <w:shd w:val="clear" w:color="auto" w:fill="1A1A2E"/>
            <w:tcMar>
              <w:top w:w="80" w:type="dxa"/>
              <w:left w:w="130" w:type="dxa"/>
              <w:bottom w:w="80" w:type="dxa"/>
              <w:right w:w="130" w:type="dxa"/>
            </w:tcMar>
            <w:vAlign w:val="center"/>
          </w:tcPr>
          <w:p w14:paraId="6D46933F" w14:textId="77777777" w:rsidR="00420722" w:rsidRDefault="00000000" w:rsidP="00C92978">
            <w:pPr>
              <w:spacing w:line="360" w:lineRule="auto"/>
              <w:jc w:val="both"/>
            </w:pPr>
            <w:r>
              <w:rPr>
                <w:b/>
                <w:bCs/>
                <w:color w:val="FFFFFF"/>
                <w:sz w:val="20"/>
                <w:szCs w:val="20"/>
              </w:rPr>
              <w:t>CSR Pillar</w:t>
            </w:r>
          </w:p>
        </w:tc>
        <w:tc>
          <w:tcPr>
            <w:tcW w:w="0" w:type="auto"/>
            <w:shd w:val="clear" w:color="auto" w:fill="1A1A2E"/>
            <w:tcMar>
              <w:top w:w="80" w:type="dxa"/>
              <w:left w:w="130" w:type="dxa"/>
              <w:bottom w:w="80" w:type="dxa"/>
              <w:right w:w="130" w:type="dxa"/>
            </w:tcMar>
            <w:vAlign w:val="center"/>
          </w:tcPr>
          <w:p w14:paraId="478BD7B7" w14:textId="77777777" w:rsidR="00420722" w:rsidRDefault="00000000" w:rsidP="00C92978">
            <w:pPr>
              <w:spacing w:line="360" w:lineRule="auto"/>
              <w:jc w:val="both"/>
            </w:pPr>
            <w:r>
              <w:rPr>
                <w:b/>
                <w:bCs/>
                <w:color w:val="FFFFFF"/>
                <w:sz w:val="20"/>
                <w:szCs w:val="20"/>
              </w:rPr>
              <w:t>Diageo Commitment</w:t>
            </w:r>
          </w:p>
        </w:tc>
        <w:tc>
          <w:tcPr>
            <w:tcW w:w="0" w:type="auto"/>
            <w:shd w:val="clear" w:color="auto" w:fill="1A1A2E"/>
            <w:tcMar>
              <w:top w:w="80" w:type="dxa"/>
              <w:left w:w="130" w:type="dxa"/>
              <w:bottom w:w="80" w:type="dxa"/>
              <w:right w:w="130" w:type="dxa"/>
            </w:tcMar>
            <w:vAlign w:val="center"/>
          </w:tcPr>
          <w:p w14:paraId="5ADF5CD3" w14:textId="77777777" w:rsidR="00420722" w:rsidRDefault="00000000" w:rsidP="00C92978">
            <w:pPr>
              <w:spacing w:line="360" w:lineRule="auto"/>
              <w:jc w:val="both"/>
            </w:pPr>
            <w:r>
              <w:rPr>
                <w:b/>
                <w:bCs/>
                <w:color w:val="FFFFFF"/>
                <w:sz w:val="20"/>
                <w:szCs w:val="20"/>
              </w:rPr>
              <w:t>Measurable Target</w:t>
            </w:r>
          </w:p>
        </w:tc>
        <w:tc>
          <w:tcPr>
            <w:tcW w:w="0" w:type="auto"/>
            <w:shd w:val="clear" w:color="auto" w:fill="1A1A2E"/>
            <w:tcMar>
              <w:top w:w="80" w:type="dxa"/>
              <w:left w:w="130" w:type="dxa"/>
              <w:bottom w:w="80" w:type="dxa"/>
              <w:right w:w="130" w:type="dxa"/>
            </w:tcMar>
            <w:vAlign w:val="center"/>
          </w:tcPr>
          <w:p w14:paraId="45F8E038" w14:textId="77777777" w:rsidR="00420722" w:rsidRDefault="00000000" w:rsidP="00C92978">
            <w:pPr>
              <w:spacing w:line="360" w:lineRule="auto"/>
              <w:jc w:val="both"/>
            </w:pPr>
            <w:r>
              <w:rPr>
                <w:b/>
                <w:bCs/>
                <w:color w:val="FFFFFF"/>
                <w:sz w:val="20"/>
                <w:szCs w:val="20"/>
              </w:rPr>
              <w:t>Theoretical Alignment</w:t>
            </w:r>
          </w:p>
        </w:tc>
      </w:tr>
      <w:tr w:rsidR="00107293" w14:paraId="4523A949" w14:textId="77777777" w:rsidTr="00D43DC8">
        <w:tc>
          <w:tcPr>
            <w:tcW w:w="0" w:type="auto"/>
            <w:shd w:val="clear" w:color="auto" w:fill="F5F3EF"/>
            <w:tcMar>
              <w:top w:w="62" w:type="dxa"/>
              <w:left w:w="130" w:type="dxa"/>
              <w:bottom w:w="62" w:type="dxa"/>
              <w:right w:w="130" w:type="dxa"/>
            </w:tcMar>
          </w:tcPr>
          <w:p w14:paraId="69456609" w14:textId="77777777" w:rsidR="00420722" w:rsidRDefault="00000000" w:rsidP="00C92978">
            <w:pPr>
              <w:spacing w:line="360" w:lineRule="auto"/>
              <w:jc w:val="both"/>
            </w:pPr>
            <w:r>
              <w:rPr>
                <w:color w:val="1E1E1E"/>
                <w:sz w:val="20"/>
                <w:szCs w:val="20"/>
              </w:rPr>
              <w:t>Promote Positive Drinking</w:t>
            </w:r>
          </w:p>
        </w:tc>
        <w:tc>
          <w:tcPr>
            <w:tcW w:w="0" w:type="auto"/>
            <w:shd w:val="clear" w:color="auto" w:fill="F5F3EF"/>
            <w:tcMar>
              <w:top w:w="62" w:type="dxa"/>
              <w:left w:w="130" w:type="dxa"/>
              <w:bottom w:w="62" w:type="dxa"/>
              <w:right w:w="130" w:type="dxa"/>
            </w:tcMar>
          </w:tcPr>
          <w:p w14:paraId="26684681" w14:textId="77777777" w:rsidR="00420722" w:rsidRDefault="00000000" w:rsidP="00C92978">
            <w:pPr>
              <w:spacing w:line="360" w:lineRule="auto"/>
              <w:jc w:val="both"/>
            </w:pPr>
            <w:r>
              <w:rPr>
                <w:color w:val="1E1E1E"/>
                <w:sz w:val="20"/>
                <w:szCs w:val="20"/>
              </w:rPr>
              <w:t>DRINKiQ educational platform; moderation messaging</w:t>
            </w:r>
          </w:p>
        </w:tc>
        <w:tc>
          <w:tcPr>
            <w:tcW w:w="0" w:type="auto"/>
            <w:shd w:val="clear" w:color="auto" w:fill="F5F3EF"/>
            <w:tcMar>
              <w:top w:w="62" w:type="dxa"/>
              <w:left w:w="130" w:type="dxa"/>
              <w:bottom w:w="62" w:type="dxa"/>
              <w:right w:w="130" w:type="dxa"/>
            </w:tcMar>
          </w:tcPr>
          <w:p w14:paraId="09659789" w14:textId="77777777" w:rsidR="00420722" w:rsidRDefault="00000000" w:rsidP="00C92978">
            <w:pPr>
              <w:spacing w:line="360" w:lineRule="auto"/>
              <w:jc w:val="both"/>
            </w:pPr>
            <w:r>
              <w:rPr>
                <w:color w:val="1E1E1E"/>
                <w:sz w:val="20"/>
                <w:szCs w:val="20"/>
              </w:rPr>
              <w:t>1bn+ people reached with responsible drinking message by 2030</w:t>
            </w:r>
          </w:p>
        </w:tc>
        <w:tc>
          <w:tcPr>
            <w:tcW w:w="0" w:type="auto"/>
            <w:shd w:val="clear" w:color="auto" w:fill="F5F3EF"/>
            <w:tcMar>
              <w:top w:w="62" w:type="dxa"/>
              <w:left w:w="130" w:type="dxa"/>
              <w:bottom w:w="62" w:type="dxa"/>
              <w:right w:w="130" w:type="dxa"/>
            </w:tcMar>
          </w:tcPr>
          <w:p w14:paraId="19731FFD" w14:textId="77777777" w:rsidR="00420722" w:rsidRDefault="00000000" w:rsidP="00C92978">
            <w:pPr>
              <w:spacing w:line="360" w:lineRule="auto"/>
              <w:jc w:val="both"/>
            </w:pPr>
            <w:r>
              <w:rPr>
                <w:color w:val="1E1E1E"/>
                <w:sz w:val="20"/>
                <w:szCs w:val="20"/>
              </w:rPr>
              <w:t>Carroll (1991); Bhattacharya &amp; Sen (2004)</w:t>
            </w:r>
          </w:p>
        </w:tc>
      </w:tr>
      <w:tr w:rsidR="00107293" w14:paraId="2EB64BA3" w14:textId="77777777" w:rsidTr="00D43DC8">
        <w:tc>
          <w:tcPr>
            <w:tcW w:w="0" w:type="auto"/>
            <w:shd w:val="clear" w:color="auto" w:fill="FFFFFF"/>
            <w:tcMar>
              <w:top w:w="62" w:type="dxa"/>
              <w:left w:w="130" w:type="dxa"/>
              <w:bottom w:w="62" w:type="dxa"/>
              <w:right w:w="130" w:type="dxa"/>
            </w:tcMar>
          </w:tcPr>
          <w:p w14:paraId="1C604D21" w14:textId="77777777" w:rsidR="00420722" w:rsidRDefault="00000000" w:rsidP="00C92978">
            <w:pPr>
              <w:spacing w:line="360" w:lineRule="auto"/>
              <w:jc w:val="both"/>
            </w:pPr>
            <w:r>
              <w:rPr>
                <w:color w:val="1E1E1E"/>
                <w:sz w:val="20"/>
                <w:szCs w:val="20"/>
              </w:rPr>
              <w:t>No/Low Alcohol Innovation</w:t>
            </w:r>
          </w:p>
        </w:tc>
        <w:tc>
          <w:tcPr>
            <w:tcW w:w="0" w:type="auto"/>
            <w:shd w:val="clear" w:color="auto" w:fill="FFFFFF"/>
            <w:tcMar>
              <w:top w:w="62" w:type="dxa"/>
              <w:left w:w="130" w:type="dxa"/>
              <w:bottom w:w="62" w:type="dxa"/>
              <w:right w:w="130" w:type="dxa"/>
            </w:tcMar>
          </w:tcPr>
          <w:p w14:paraId="357B9D44" w14:textId="77777777" w:rsidR="00420722" w:rsidRDefault="00000000" w:rsidP="00C92978">
            <w:pPr>
              <w:spacing w:line="360" w:lineRule="auto"/>
              <w:jc w:val="both"/>
            </w:pPr>
            <w:r>
              <w:rPr>
                <w:color w:val="1E1E1E"/>
                <w:sz w:val="20"/>
                <w:szCs w:val="20"/>
              </w:rPr>
              <w:t>Guinness 0.0, Gordon's 0.0, Seedlip investment</w:t>
            </w:r>
          </w:p>
        </w:tc>
        <w:tc>
          <w:tcPr>
            <w:tcW w:w="0" w:type="auto"/>
            <w:shd w:val="clear" w:color="auto" w:fill="FFFFFF"/>
            <w:tcMar>
              <w:top w:w="62" w:type="dxa"/>
              <w:left w:w="130" w:type="dxa"/>
              <w:bottom w:w="62" w:type="dxa"/>
              <w:right w:w="130" w:type="dxa"/>
            </w:tcMar>
          </w:tcPr>
          <w:p w14:paraId="624D0EF8" w14:textId="77777777" w:rsidR="00420722" w:rsidRDefault="00000000" w:rsidP="00C92978">
            <w:pPr>
              <w:spacing w:line="360" w:lineRule="auto"/>
              <w:jc w:val="both"/>
            </w:pPr>
            <w:r>
              <w:rPr>
                <w:color w:val="1E1E1E"/>
                <w:sz w:val="20"/>
                <w:szCs w:val="20"/>
              </w:rPr>
              <w:t>30% of portfolio to be no/low-alcohol by 2030</w:t>
            </w:r>
          </w:p>
        </w:tc>
        <w:tc>
          <w:tcPr>
            <w:tcW w:w="0" w:type="auto"/>
            <w:shd w:val="clear" w:color="auto" w:fill="FFFFFF"/>
            <w:tcMar>
              <w:top w:w="62" w:type="dxa"/>
              <w:left w:w="130" w:type="dxa"/>
              <w:bottom w:w="62" w:type="dxa"/>
              <w:right w:w="130" w:type="dxa"/>
            </w:tcMar>
          </w:tcPr>
          <w:p w14:paraId="4144350F" w14:textId="77777777" w:rsidR="00420722" w:rsidRDefault="00000000" w:rsidP="00C92978">
            <w:pPr>
              <w:spacing w:line="360" w:lineRule="auto"/>
              <w:jc w:val="both"/>
            </w:pPr>
            <w:r>
              <w:rPr>
                <w:color w:val="1E1E1E"/>
                <w:sz w:val="20"/>
                <w:szCs w:val="20"/>
              </w:rPr>
              <w:t>Porter &amp; Kramer (2006); Eccles et al. (2014)</w:t>
            </w:r>
          </w:p>
        </w:tc>
      </w:tr>
      <w:tr w:rsidR="00107293" w14:paraId="3755FC40" w14:textId="77777777" w:rsidTr="00D43DC8">
        <w:tc>
          <w:tcPr>
            <w:tcW w:w="0" w:type="auto"/>
            <w:shd w:val="clear" w:color="auto" w:fill="F5F3EF"/>
            <w:tcMar>
              <w:top w:w="62" w:type="dxa"/>
              <w:left w:w="130" w:type="dxa"/>
              <w:bottom w:w="62" w:type="dxa"/>
              <w:right w:w="130" w:type="dxa"/>
            </w:tcMar>
          </w:tcPr>
          <w:p w14:paraId="4F5518F2" w14:textId="77777777" w:rsidR="00420722" w:rsidRDefault="00000000" w:rsidP="00C92978">
            <w:pPr>
              <w:spacing w:line="360" w:lineRule="auto"/>
              <w:jc w:val="both"/>
            </w:pPr>
            <w:r>
              <w:rPr>
                <w:color w:val="1E1E1E"/>
                <w:sz w:val="20"/>
                <w:szCs w:val="20"/>
              </w:rPr>
              <w:t>Grain-to-Glass Sustainability</w:t>
            </w:r>
          </w:p>
        </w:tc>
        <w:tc>
          <w:tcPr>
            <w:tcW w:w="0" w:type="auto"/>
            <w:shd w:val="clear" w:color="auto" w:fill="F5F3EF"/>
            <w:tcMar>
              <w:top w:w="62" w:type="dxa"/>
              <w:left w:w="130" w:type="dxa"/>
              <w:bottom w:w="62" w:type="dxa"/>
              <w:right w:w="130" w:type="dxa"/>
            </w:tcMar>
          </w:tcPr>
          <w:p w14:paraId="0EAADEBF" w14:textId="77777777" w:rsidR="00420722" w:rsidRDefault="00000000" w:rsidP="00C92978">
            <w:pPr>
              <w:spacing w:line="360" w:lineRule="auto"/>
              <w:jc w:val="both"/>
            </w:pPr>
            <w:r>
              <w:rPr>
                <w:color w:val="1E1E1E"/>
                <w:sz w:val="20"/>
                <w:szCs w:val="20"/>
              </w:rPr>
              <w:t>Net-zero supply chain; 100% renewable electricity</w:t>
            </w:r>
          </w:p>
        </w:tc>
        <w:tc>
          <w:tcPr>
            <w:tcW w:w="0" w:type="auto"/>
            <w:shd w:val="clear" w:color="auto" w:fill="F5F3EF"/>
            <w:tcMar>
              <w:top w:w="62" w:type="dxa"/>
              <w:left w:w="130" w:type="dxa"/>
              <w:bottom w:w="62" w:type="dxa"/>
              <w:right w:w="130" w:type="dxa"/>
            </w:tcMar>
          </w:tcPr>
          <w:p w14:paraId="4C300F44" w14:textId="77777777" w:rsidR="00420722" w:rsidRDefault="00000000" w:rsidP="00C92978">
            <w:pPr>
              <w:spacing w:line="360" w:lineRule="auto"/>
              <w:jc w:val="both"/>
            </w:pPr>
            <w:r>
              <w:rPr>
                <w:color w:val="1E1E1E"/>
                <w:sz w:val="20"/>
                <w:szCs w:val="20"/>
              </w:rPr>
              <w:t>Net-zero across own operations by 2030</w:t>
            </w:r>
          </w:p>
        </w:tc>
        <w:tc>
          <w:tcPr>
            <w:tcW w:w="0" w:type="auto"/>
            <w:shd w:val="clear" w:color="auto" w:fill="F5F3EF"/>
            <w:tcMar>
              <w:top w:w="62" w:type="dxa"/>
              <w:left w:w="130" w:type="dxa"/>
              <w:bottom w:w="62" w:type="dxa"/>
              <w:right w:w="130" w:type="dxa"/>
            </w:tcMar>
          </w:tcPr>
          <w:p w14:paraId="6AC68149" w14:textId="77777777" w:rsidR="00420722" w:rsidRDefault="00000000" w:rsidP="00C92978">
            <w:pPr>
              <w:spacing w:line="360" w:lineRule="auto"/>
              <w:jc w:val="both"/>
            </w:pPr>
            <w:r>
              <w:rPr>
                <w:color w:val="1E1E1E"/>
                <w:sz w:val="20"/>
                <w:szCs w:val="20"/>
              </w:rPr>
              <w:t>Elkington (1997); Ellen MacArthur Foundation (2013)</w:t>
            </w:r>
          </w:p>
        </w:tc>
      </w:tr>
      <w:tr w:rsidR="00107293" w14:paraId="37E85466" w14:textId="77777777" w:rsidTr="00D43DC8">
        <w:tc>
          <w:tcPr>
            <w:tcW w:w="0" w:type="auto"/>
            <w:shd w:val="clear" w:color="auto" w:fill="FFFFFF"/>
            <w:tcMar>
              <w:top w:w="62" w:type="dxa"/>
              <w:left w:w="130" w:type="dxa"/>
              <w:bottom w:w="62" w:type="dxa"/>
              <w:right w:w="130" w:type="dxa"/>
            </w:tcMar>
          </w:tcPr>
          <w:p w14:paraId="21D26C8C" w14:textId="77777777" w:rsidR="00420722" w:rsidRDefault="00000000" w:rsidP="00C92978">
            <w:pPr>
              <w:spacing w:line="360" w:lineRule="auto"/>
              <w:jc w:val="both"/>
            </w:pPr>
            <w:r>
              <w:rPr>
                <w:color w:val="1E1E1E"/>
                <w:sz w:val="20"/>
                <w:szCs w:val="20"/>
              </w:rPr>
              <w:t>Water Stewardship</w:t>
            </w:r>
          </w:p>
        </w:tc>
        <w:tc>
          <w:tcPr>
            <w:tcW w:w="0" w:type="auto"/>
            <w:shd w:val="clear" w:color="auto" w:fill="FFFFFF"/>
            <w:tcMar>
              <w:top w:w="62" w:type="dxa"/>
              <w:left w:w="130" w:type="dxa"/>
              <w:bottom w:w="62" w:type="dxa"/>
              <w:right w:w="130" w:type="dxa"/>
            </w:tcMar>
          </w:tcPr>
          <w:p w14:paraId="209AF175" w14:textId="77777777" w:rsidR="00420722" w:rsidRDefault="00000000" w:rsidP="00C92978">
            <w:pPr>
              <w:spacing w:line="360" w:lineRule="auto"/>
              <w:jc w:val="both"/>
            </w:pPr>
            <w:r>
              <w:rPr>
                <w:color w:val="1E1E1E"/>
                <w:sz w:val="20"/>
                <w:szCs w:val="20"/>
              </w:rPr>
              <w:t>Replenish all water used in water-stressed areas</w:t>
            </w:r>
          </w:p>
        </w:tc>
        <w:tc>
          <w:tcPr>
            <w:tcW w:w="0" w:type="auto"/>
            <w:shd w:val="clear" w:color="auto" w:fill="FFFFFF"/>
            <w:tcMar>
              <w:top w:w="62" w:type="dxa"/>
              <w:left w:w="130" w:type="dxa"/>
              <w:bottom w:w="62" w:type="dxa"/>
              <w:right w:w="130" w:type="dxa"/>
            </w:tcMar>
          </w:tcPr>
          <w:p w14:paraId="732DCAA0" w14:textId="77777777" w:rsidR="00420722" w:rsidRDefault="00000000" w:rsidP="00C92978">
            <w:pPr>
              <w:spacing w:line="360" w:lineRule="auto"/>
              <w:jc w:val="both"/>
            </w:pPr>
            <w:r>
              <w:rPr>
                <w:color w:val="1E1E1E"/>
                <w:sz w:val="20"/>
                <w:szCs w:val="20"/>
              </w:rPr>
              <w:t>100% water replenishment in stressed catchments by 2026</w:t>
            </w:r>
          </w:p>
        </w:tc>
        <w:tc>
          <w:tcPr>
            <w:tcW w:w="0" w:type="auto"/>
            <w:shd w:val="clear" w:color="auto" w:fill="FFFFFF"/>
            <w:tcMar>
              <w:top w:w="62" w:type="dxa"/>
              <w:left w:w="130" w:type="dxa"/>
              <w:bottom w:w="62" w:type="dxa"/>
              <w:right w:w="130" w:type="dxa"/>
            </w:tcMar>
          </w:tcPr>
          <w:p w14:paraId="3EC35403" w14:textId="77777777" w:rsidR="00420722" w:rsidRDefault="00000000" w:rsidP="00C92978">
            <w:pPr>
              <w:spacing w:line="360" w:lineRule="auto"/>
              <w:jc w:val="both"/>
            </w:pPr>
            <w:r>
              <w:rPr>
                <w:color w:val="1E1E1E"/>
                <w:sz w:val="20"/>
                <w:szCs w:val="20"/>
              </w:rPr>
              <w:t>Eccles et al. (2014); Diageo AR (2024)</w:t>
            </w:r>
          </w:p>
        </w:tc>
      </w:tr>
      <w:tr w:rsidR="00107293" w14:paraId="3988295D" w14:textId="77777777" w:rsidTr="00D43DC8">
        <w:tc>
          <w:tcPr>
            <w:tcW w:w="0" w:type="auto"/>
            <w:shd w:val="clear" w:color="auto" w:fill="F5F3EF"/>
            <w:tcMar>
              <w:top w:w="62" w:type="dxa"/>
              <w:left w:w="130" w:type="dxa"/>
              <w:bottom w:w="62" w:type="dxa"/>
              <w:right w:w="130" w:type="dxa"/>
            </w:tcMar>
          </w:tcPr>
          <w:p w14:paraId="0E8624F7" w14:textId="77777777" w:rsidR="00420722" w:rsidRDefault="00000000" w:rsidP="00C92978">
            <w:pPr>
              <w:spacing w:line="360" w:lineRule="auto"/>
              <w:jc w:val="both"/>
            </w:pPr>
            <w:r>
              <w:rPr>
                <w:color w:val="1E1E1E"/>
                <w:sz w:val="20"/>
                <w:szCs w:val="20"/>
              </w:rPr>
              <w:t>Inclusion &amp; Diversity</w:t>
            </w:r>
          </w:p>
        </w:tc>
        <w:tc>
          <w:tcPr>
            <w:tcW w:w="0" w:type="auto"/>
            <w:shd w:val="clear" w:color="auto" w:fill="F5F3EF"/>
            <w:tcMar>
              <w:top w:w="62" w:type="dxa"/>
              <w:left w:w="130" w:type="dxa"/>
              <w:bottom w:w="62" w:type="dxa"/>
              <w:right w:w="130" w:type="dxa"/>
            </w:tcMar>
          </w:tcPr>
          <w:p w14:paraId="4B44E2BC" w14:textId="77777777" w:rsidR="00420722" w:rsidRDefault="00000000" w:rsidP="00C92978">
            <w:pPr>
              <w:spacing w:line="360" w:lineRule="auto"/>
              <w:jc w:val="both"/>
            </w:pPr>
            <w:r>
              <w:rPr>
                <w:color w:val="1E1E1E"/>
                <w:sz w:val="20"/>
                <w:szCs w:val="20"/>
              </w:rPr>
              <w:t>50% women in leadership; ethnic diversity targets</w:t>
            </w:r>
          </w:p>
        </w:tc>
        <w:tc>
          <w:tcPr>
            <w:tcW w:w="0" w:type="auto"/>
            <w:shd w:val="clear" w:color="auto" w:fill="F5F3EF"/>
            <w:tcMar>
              <w:top w:w="62" w:type="dxa"/>
              <w:left w:w="130" w:type="dxa"/>
              <w:bottom w:w="62" w:type="dxa"/>
              <w:right w:w="130" w:type="dxa"/>
            </w:tcMar>
          </w:tcPr>
          <w:p w14:paraId="2CBB1952" w14:textId="77777777" w:rsidR="00420722" w:rsidRDefault="00000000" w:rsidP="00C92978">
            <w:pPr>
              <w:spacing w:line="360" w:lineRule="auto"/>
              <w:jc w:val="both"/>
            </w:pPr>
            <w:r>
              <w:rPr>
                <w:color w:val="1E1E1E"/>
                <w:sz w:val="20"/>
                <w:szCs w:val="20"/>
              </w:rPr>
              <w:t>Transparent D&amp;I reporting; supply chain inclusion</w:t>
            </w:r>
          </w:p>
        </w:tc>
        <w:tc>
          <w:tcPr>
            <w:tcW w:w="0" w:type="auto"/>
            <w:shd w:val="clear" w:color="auto" w:fill="F5F3EF"/>
            <w:tcMar>
              <w:top w:w="62" w:type="dxa"/>
              <w:left w:w="130" w:type="dxa"/>
              <w:bottom w:w="62" w:type="dxa"/>
              <w:right w:w="130" w:type="dxa"/>
            </w:tcMar>
          </w:tcPr>
          <w:p w14:paraId="20C71C28" w14:textId="77777777" w:rsidR="00420722" w:rsidRDefault="00000000" w:rsidP="00C92978">
            <w:pPr>
              <w:spacing w:line="360" w:lineRule="auto"/>
              <w:jc w:val="both"/>
            </w:pPr>
            <w:r>
              <w:rPr>
                <w:color w:val="1E1E1E"/>
                <w:sz w:val="20"/>
                <w:szCs w:val="20"/>
              </w:rPr>
              <w:t>Morsing &amp; Schultz (2006); Freeman (1984)</w:t>
            </w:r>
          </w:p>
        </w:tc>
      </w:tr>
      <w:tr w:rsidR="00107293" w14:paraId="357E91D6" w14:textId="77777777" w:rsidTr="00D43DC8">
        <w:tc>
          <w:tcPr>
            <w:tcW w:w="0" w:type="auto"/>
            <w:shd w:val="clear" w:color="auto" w:fill="FFFFFF"/>
            <w:tcMar>
              <w:top w:w="62" w:type="dxa"/>
              <w:left w:w="130" w:type="dxa"/>
              <w:bottom w:w="62" w:type="dxa"/>
              <w:right w:w="130" w:type="dxa"/>
            </w:tcMar>
          </w:tcPr>
          <w:p w14:paraId="5BA8B1D5" w14:textId="77777777" w:rsidR="00420722" w:rsidRDefault="00000000" w:rsidP="00C92978">
            <w:pPr>
              <w:spacing w:line="360" w:lineRule="auto"/>
              <w:jc w:val="both"/>
            </w:pPr>
            <w:r>
              <w:rPr>
                <w:color w:val="1E1E1E"/>
                <w:sz w:val="20"/>
                <w:szCs w:val="20"/>
              </w:rPr>
              <w:t>Sustainable Agriculture</w:t>
            </w:r>
          </w:p>
        </w:tc>
        <w:tc>
          <w:tcPr>
            <w:tcW w:w="0" w:type="auto"/>
            <w:shd w:val="clear" w:color="auto" w:fill="FFFFFF"/>
            <w:tcMar>
              <w:top w:w="62" w:type="dxa"/>
              <w:left w:w="130" w:type="dxa"/>
              <w:bottom w:w="62" w:type="dxa"/>
              <w:right w:w="130" w:type="dxa"/>
            </w:tcMar>
          </w:tcPr>
          <w:p w14:paraId="71BB11B1" w14:textId="77777777" w:rsidR="00420722" w:rsidRDefault="00000000" w:rsidP="00C92978">
            <w:pPr>
              <w:spacing w:line="360" w:lineRule="auto"/>
              <w:jc w:val="both"/>
            </w:pPr>
            <w:r>
              <w:rPr>
                <w:color w:val="1E1E1E"/>
                <w:sz w:val="20"/>
                <w:szCs w:val="20"/>
              </w:rPr>
              <w:t>Regenerative grain farming; agave stewardship</w:t>
            </w:r>
          </w:p>
        </w:tc>
        <w:tc>
          <w:tcPr>
            <w:tcW w:w="0" w:type="auto"/>
            <w:shd w:val="clear" w:color="auto" w:fill="FFFFFF"/>
            <w:tcMar>
              <w:top w:w="62" w:type="dxa"/>
              <w:left w:w="130" w:type="dxa"/>
              <w:bottom w:w="62" w:type="dxa"/>
              <w:right w:w="130" w:type="dxa"/>
            </w:tcMar>
          </w:tcPr>
          <w:p w14:paraId="30A2A0EC" w14:textId="77777777" w:rsidR="00420722" w:rsidRDefault="00000000" w:rsidP="00C92978">
            <w:pPr>
              <w:spacing w:line="360" w:lineRule="auto"/>
              <w:jc w:val="both"/>
            </w:pPr>
            <w:r>
              <w:rPr>
                <w:color w:val="1E1E1E"/>
                <w:sz w:val="20"/>
                <w:szCs w:val="20"/>
              </w:rPr>
              <w:t>100% sustainably sourced grain by 2030</w:t>
            </w:r>
          </w:p>
        </w:tc>
        <w:tc>
          <w:tcPr>
            <w:tcW w:w="0" w:type="auto"/>
            <w:shd w:val="clear" w:color="auto" w:fill="FFFFFF"/>
            <w:tcMar>
              <w:top w:w="62" w:type="dxa"/>
              <w:left w:w="130" w:type="dxa"/>
              <w:bottom w:w="62" w:type="dxa"/>
              <w:right w:w="130" w:type="dxa"/>
            </w:tcMar>
          </w:tcPr>
          <w:p w14:paraId="6A044DAE" w14:textId="77777777" w:rsidR="00420722" w:rsidRDefault="00000000" w:rsidP="00C92978">
            <w:pPr>
              <w:spacing w:line="360" w:lineRule="auto"/>
              <w:jc w:val="both"/>
            </w:pPr>
            <w:r>
              <w:rPr>
                <w:color w:val="1E1E1E"/>
                <w:sz w:val="20"/>
                <w:szCs w:val="20"/>
              </w:rPr>
              <w:t>Elkington (1997); Porter &amp; Kramer (2006)</w:t>
            </w:r>
          </w:p>
        </w:tc>
      </w:tr>
    </w:tbl>
    <w:p w14:paraId="6EF187CF" w14:textId="77777777" w:rsidR="00D43DC8" w:rsidRDefault="00D43DC8" w:rsidP="00C92978">
      <w:pPr>
        <w:pStyle w:val="Heading1"/>
        <w:spacing w:line="360" w:lineRule="auto"/>
        <w:jc w:val="both"/>
        <w:rPr>
          <w:b w:val="0"/>
          <w:bCs w:val="0"/>
          <w:color w:val="1E1E1E"/>
          <w:sz w:val="22"/>
          <w:szCs w:val="22"/>
        </w:rPr>
      </w:pPr>
      <w:bookmarkStart w:id="16" w:name="_Toc228432236"/>
      <w:r w:rsidRPr="00D43DC8">
        <w:rPr>
          <w:b w:val="0"/>
          <w:bCs w:val="0"/>
          <w:color w:val="1E1E1E"/>
          <w:sz w:val="22"/>
          <w:szCs w:val="22"/>
        </w:rPr>
        <w:t xml:space="preserve">The shared value framework by Porter and Kramer (2006) sheds some light especially when it is considered in relation to the no/low-alcohol investment in Diageo. Guinness 0.0 will also create incremental business value, increase the total opportunity Diageo can tap into by expanding the </w:t>
      </w:r>
      <w:r w:rsidRPr="00D43DC8">
        <w:rPr>
          <w:b w:val="0"/>
          <w:bCs w:val="0"/>
          <w:color w:val="1E1E1E"/>
          <w:sz w:val="22"/>
          <w:szCs w:val="22"/>
        </w:rPr>
        <w:lastRenderedPageBreak/>
        <w:t>number of consumers who do not drink, and respond to alcohol harm reduction. It is shared value creation in its most enticing form: commercial and social goals are organizationally aligned (Freeman, 1984; Elkington, 1997). The empirical results of the study by Eccles et al. (2014) validates the idea that organisations that have integrated sustainability strategies perform better than their peers in the long-run.</w:t>
      </w:r>
    </w:p>
    <w:p w14:paraId="37E07C72" w14:textId="3571EF2E" w:rsidR="00420722" w:rsidRDefault="001E0475" w:rsidP="00C92978">
      <w:pPr>
        <w:pStyle w:val="Heading1"/>
        <w:spacing w:line="360" w:lineRule="auto"/>
        <w:jc w:val="both"/>
      </w:pPr>
      <w:r>
        <w:t>4. COMPREHENSIVE VIEW — BALANCED SCORECARD</w:t>
      </w:r>
      <w:bookmarkEnd w:id="16"/>
    </w:p>
    <w:p w14:paraId="3A12F137" w14:textId="1745471D" w:rsidR="00420722" w:rsidRDefault="006E7775" w:rsidP="00C92978">
      <w:pPr>
        <w:pStyle w:val="Heading2"/>
        <w:spacing w:line="360" w:lineRule="auto"/>
        <w:jc w:val="both"/>
      </w:pPr>
      <w:bookmarkStart w:id="17" w:name="_Toc228432237"/>
      <w:r>
        <w:t>4.1 The</w:t>
      </w:r>
      <w:r w:rsidR="00000000">
        <w:t xml:space="preserve"> Balanced Scorecard Framework</w:t>
      </w:r>
      <w:bookmarkEnd w:id="17"/>
    </w:p>
    <w:p w14:paraId="73DE628F" w14:textId="47C033DC" w:rsidR="00420722" w:rsidRDefault="00D43DC8" w:rsidP="00ED66D8">
      <w:pPr>
        <w:spacing w:before="150" w:after="40" w:line="360" w:lineRule="auto"/>
        <w:jc w:val="center"/>
      </w:pPr>
      <w:r w:rsidRPr="00D43DC8">
        <w:rPr>
          <w:color w:val="1E1E1E"/>
        </w:rPr>
        <w:t>The Balanced Scorecard was introduced by Kaplan and Norton (1992) as a multi-dimensional system of performance management that converts the organisational vision into four perspectives: Financial, Customer, Internal Business Processes, and Learning and Growth. The main contribution of the BSC is the identification of the fact that purely financial measurements, which are always retrospective and lagging, should be supplemented with leading indicators of future ability (Kaplan and Norton, 1996; Niven, 2006). Atkinson et al. (1997) indicate that the BSC enables cross-functional strategic alignment. When used in the context of Diageo growth agenda, it offers a stringent framework of performance architecture coherence evaluation.</w:t>
      </w:r>
      <w:r>
        <w:rPr>
          <w:noProof/>
        </w:rPr>
        <w:drawing>
          <wp:inline distT="0" distB="0" distL="0" distR="0" wp14:anchorId="1F03A229" wp14:editId="4DE267F0">
            <wp:extent cx="4286250" cy="3375660"/>
            <wp:effectExtent l="0" t="0" r="0" b="0"/>
            <wp:docPr id="157551537" name="Picture 15755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286250" cy="3375660"/>
                    </a:xfrm>
                    <a:prstGeom prst="rect">
                      <a:avLst/>
                    </a:prstGeom>
                  </pic:spPr>
                </pic:pic>
              </a:graphicData>
            </a:graphic>
          </wp:inline>
        </w:drawing>
      </w:r>
    </w:p>
    <w:p w14:paraId="3577F0B3" w14:textId="01BA379C" w:rsidR="00420722" w:rsidRDefault="00000000" w:rsidP="00C92978">
      <w:pPr>
        <w:spacing w:after="190" w:line="360" w:lineRule="auto"/>
        <w:jc w:val="both"/>
        <w:rPr>
          <w:i/>
          <w:iCs/>
          <w:color w:val="666666"/>
          <w:sz w:val="19"/>
          <w:szCs w:val="19"/>
        </w:rPr>
      </w:pPr>
      <w:r>
        <w:rPr>
          <w:i/>
          <w:iCs/>
          <w:color w:val="666666"/>
          <w:sz w:val="19"/>
          <w:szCs w:val="19"/>
        </w:rPr>
        <w:t xml:space="preserve">Figure 6: Balanced Scorecard – Diageo Performance vs Strategic Target </w:t>
      </w:r>
    </w:p>
    <w:p w14:paraId="315D71D3" w14:textId="77777777" w:rsidR="00ED66D8" w:rsidRDefault="00ED66D8" w:rsidP="00C92978">
      <w:pPr>
        <w:spacing w:after="190" w:line="360" w:lineRule="auto"/>
        <w:jc w:val="both"/>
      </w:pPr>
    </w:p>
    <w:p w14:paraId="5559DA78" w14:textId="5D54AE8F" w:rsidR="00420722" w:rsidRDefault="006E7775" w:rsidP="00C92978">
      <w:pPr>
        <w:pStyle w:val="Heading2"/>
        <w:spacing w:line="360" w:lineRule="auto"/>
        <w:jc w:val="both"/>
      </w:pPr>
      <w:bookmarkStart w:id="18" w:name="_Toc228432238"/>
      <w:r>
        <w:t>4.2 Four</w:t>
      </w:r>
      <w:r w:rsidR="00000000">
        <w:t xml:space="preserve"> Perspectives Applied to Diageo</w:t>
      </w:r>
      <w:bookmarkEnd w:id="18"/>
    </w:p>
    <w:p w14:paraId="6E25FDED" w14:textId="43B4C046" w:rsidR="00ED66D8" w:rsidRDefault="00ED66D8" w:rsidP="00ED66D8">
      <w:pPr>
        <w:spacing w:before="40" w:after="210" w:line="360" w:lineRule="auto"/>
        <w:jc w:val="both"/>
      </w:pPr>
      <w:r>
        <w:rPr>
          <w:i/>
          <w:iCs/>
          <w:color w:val="666666"/>
          <w:sz w:val="19"/>
          <w:szCs w:val="19"/>
        </w:rPr>
        <w:t>Table 4: Balanced Scorecard – Diageo Plc (Adapted from Kaplan and Norton, 1992)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47"/>
        <w:gridCol w:w="1835"/>
        <w:gridCol w:w="1858"/>
        <w:gridCol w:w="1520"/>
        <w:gridCol w:w="2450"/>
      </w:tblGrid>
      <w:tr w:rsidR="00107293" w14:paraId="41C9CB95" w14:textId="77777777" w:rsidTr="001E0475">
        <w:trPr>
          <w:tblHeader/>
        </w:trPr>
        <w:tc>
          <w:tcPr>
            <w:tcW w:w="0" w:type="auto"/>
            <w:shd w:val="clear" w:color="auto" w:fill="1A1A2E"/>
            <w:tcMar>
              <w:top w:w="80" w:type="dxa"/>
              <w:left w:w="130" w:type="dxa"/>
              <w:bottom w:w="80" w:type="dxa"/>
              <w:right w:w="130" w:type="dxa"/>
            </w:tcMar>
            <w:vAlign w:val="center"/>
          </w:tcPr>
          <w:p w14:paraId="731F0675" w14:textId="77777777" w:rsidR="00420722" w:rsidRDefault="00000000" w:rsidP="00C92978">
            <w:pPr>
              <w:spacing w:line="360" w:lineRule="auto"/>
              <w:jc w:val="both"/>
            </w:pPr>
            <w:r>
              <w:rPr>
                <w:b/>
                <w:bCs/>
                <w:color w:val="FFFFFF"/>
                <w:sz w:val="20"/>
                <w:szCs w:val="20"/>
              </w:rPr>
              <w:t>Perspective</w:t>
            </w:r>
          </w:p>
        </w:tc>
        <w:tc>
          <w:tcPr>
            <w:tcW w:w="0" w:type="auto"/>
            <w:shd w:val="clear" w:color="auto" w:fill="1A1A2E"/>
            <w:tcMar>
              <w:top w:w="80" w:type="dxa"/>
              <w:left w:w="130" w:type="dxa"/>
              <w:bottom w:w="80" w:type="dxa"/>
              <w:right w:w="130" w:type="dxa"/>
            </w:tcMar>
            <w:vAlign w:val="center"/>
          </w:tcPr>
          <w:p w14:paraId="0847A0AE" w14:textId="77777777" w:rsidR="00420722" w:rsidRDefault="00000000" w:rsidP="00C92978">
            <w:pPr>
              <w:spacing w:line="360" w:lineRule="auto"/>
              <w:jc w:val="both"/>
            </w:pPr>
            <w:r>
              <w:rPr>
                <w:b/>
                <w:bCs/>
                <w:color w:val="FFFFFF"/>
                <w:sz w:val="20"/>
                <w:szCs w:val="20"/>
              </w:rPr>
              <w:t>Strategic Objective</w:t>
            </w:r>
          </w:p>
        </w:tc>
        <w:tc>
          <w:tcPr>
            <w:tcW w:w="0" w:type="auto"/>
            <w:shd w:val="clear" w:color="auto" w:fill="1A1A2E"/>
            <w:tcMar>
              <w:top w:w="80" w:type="dxa"/>
              <w:left w:w="130" w:type="dxa"/>
              <w:bottom w:w="80" w:type="dxa"/>
              <w:right w:w="130" w:type="dxa"/>
            </w:tcMar>
            <w:vAlign w:val="center"/>
          </w:tcPr>
          <w:p w14:paraId="3EEBF586" w14:textId="77777777" w:rsidR="00420722" w:rsidRDefault="00000000" w:rsidP="00C92978">
            <w:pPr>
              <w:spacing w:line="360" w:lineRule="auto"/>
              <w:jc w:val="both"/>
            </w:pPr>
            <w:r>
              <w:rPr>
                <w:b/>
                <w:bCs/>
                <w:color w:val="FFFFFF"/>
                <w:sz w:val="20"/>
                <w:szCs w:val="20"/>
              </w:rPr>
              <w:t>KPI</w:t>
            </w:r>
          </w:p>
        </w:tc>
        <w:tc>
          <w:tcPr>
            <w:tcW w:w="0" w:type="auto"/>
            <w:shd w:val="clear" w:color="auto" w:fill="1A1A2E"/>
            <w:tcMar>
              <w:top w:w="80" w:type="dxa"/>
              <w:left w:w="130" w:type="dxa"/>
              <w:bottom w:w="80" w:type="dxa"/>
              <w:right w:w="130" w:type="dxa"/>
            </w:tcMar>
            <w:vAlign w:val="center"/>
          </w:tcPr>
          <w:p w14:paraId="7D36E600" w14:textId="77777777" w:rsidR="00420722" w:rsidRDefault="00000000" w:rsidP="00C92978">
            <w:pPr>
              <w:spacing w:line="360" w:lineRule="auto"/>
              <w:jc w:val="both"/>
            </w:pPr>
            <w:r>
              <w:rPr>
                <w:b/>
                <w:bCs/>
                <w:color w:val="FFFFFF"/>
                <w:sz w:val="20"/>
                <w:szCs w:val="20"/>
              </w:rPr>
              <w:t>Target (FY2026)</w:t>
            </w:r>
          </w:p>
        </w:tc>
        <w:tc>
          <w:tcPr>
            <w:tcW w:w="0" w:type="auto"/>
            <w:shd w:val="clear" w:color="auto" w:fill="1A1A2E"/>
            <w:tcMar>
              <w:top w:w="80" w:type="dxa"/>
              <w:left w:w="130" w:type="dxa"/>
              <w:bottom w:w="80" w:type="dxa"/>
              <w:right w:w="130" w:type="dxa"/>
            </w:tcMar>
            <w:vAlign w:val="center"/>
          </w:tcPr>
          <w:p w14:paraId="3E22836A" w14:textId="77777777" w:rsidR="00420722" w:rsidRDefault="00000000" w:rsidP="00C92978">
            <w:pPr>
              <w:spacing w:line="360" w:lineRule="auto"/>
              <w:jc w:val="both"/>
            </w:pPr>
            <w:r>
              <w:rPr>
                <w:b/>
                <w:bCs/>
                <w:color w:val="FFFFFF"/>
                <w:sz w:val="20"/>
                <w:szCs w:val="20"/>
              </w:rPr>
              <w:t>Initiative</w:t>
            </w:r>
          </w:p>
        </w:tc>
      </w:tr>
      <w:tr w:rsidR="00107293" w14:paraId="470DB6BB" w14:textId="77777777" w:rsidTr="001E0475">
        <w:tc>
          <w:tcPr>
            <w:tcW w:w="0" w:type="auto"/>
            <w:shd w:val="clear" w:color="auto" w:fill="F5F3EF"/>
            <w:tcMar>
              <w:top w:w="62" w:type="dxa"/>
              <w:left w:w="130" w:type="dxa"/>
              <w:bottom w:w="62" w:type="dxa"/>
              <w:right w:w="130" w:type="dxa"/>
            </w:tcMar>
          </w:tcPr>
          <w:p w14:paraId="3725E751" w14:textId="77777777" w:rsidR="00420722" w:rsidRDefault="00000000" w:rsidP="00C92978">
            <w:pPr>
              <w:spacing w:line="360" w:lineRule="auto"/>
              <w:jc w:val="both"/>
            </w:pPr>
            <w:r>
              <w:rPr>
                <w:color w:val="1E1E1E"/>
                <w:sz w:val="20"/>
                <w:szCs w:val="20"/>
              </w:rPr>
              <w:t>FINANCIAL (Kaplan &amp; Norton, 1992)</w:t>
            </w:r>
          </w:p>
        </w:tc>
        <w:tc>
          <w:tcPr>
            <w:tcW w:w="0" w:type="auto"/>
            <w:shd w:val="clear" w:color="auto" w:fill="F5F3EF"/>
            <w:tcMar>
              <w:top w:w="62" w:type="dxa"/>
              <w:left w:w="130" w:type="dxa"/>
              <w:bottom w:w="62" w:type="dxa"/>
              <w:right w:w="130" w:type="dxa"/>
            </w:tcMar>
          </w:tcPr>
          <w:p w14:paraId="4427EF4F" w14:textId="77777777" w:rsidR="00420722" w:rsidRDefault="00000000" w:rsidP="00C92978">
            <w:pPr>
              <w:spacing w:line="360" w:lineRule="auto"/>
              <w:jc w:val="both"/>
            </w:pPr>
            <w:r>
              <w:rPr>
                <w:color w:val="1E1E1E"/>
                <w:sz w:val="20"/>
                <w:szCs w:val="20"/>
              </w:rPr>
              <w:t>Restore organic net sales growth</w:t>
            </w:r>
          </w:p>
        </w:tc>
        <w:tc>
          <w:tcPr>
            <w:tcW w:w="0" w:type="auto"/>
            <w:shd w:val="clear" w:color="auto" w:fill="F5F3EF"/>
            <w:tcMar>
              <w:top w:w="62" w:type="dxa"/>
              <w:left w:w="130" w:type="dxa"/>
              <w:bottom w:w="62" w:type="dxa"/>
              <w:right w:w="130" w:type="dxa"/>
            </w:tcMar>
          </w:tcPr>
          <w:p w14:paraId="4B147E38" w14:textId="77777777" w:rsidR="00420722" w:rsidRDefault="00000000" w:rsidP="00C92978">
            <w:pPr>
              <w:spacing w:line="360" w:lineRule="auto"/>
              <w:jc w:val="both"/>
            </w:pPr>
            <w:r>
              <w:rPr>
                <w:color w:val="1E1E1E"/>
                <w:sz w:val="20"/>
                <w:szCs w:val="20"/>
              </w:rPr>
              <w:t>Organic NSV growth (%)</w:t>
            </w:r>
          </w:p>
        </w:tc>
        <w:tc>
          <w:tcPr>
            <w:tcW w:w="0" w:type="auto"/>
            <w:shd w:val="clear" w:color="auto" w:fill="F5F3EF"/>
            <w:tcMar>
              <w:top w:w="62" w:type="dxa"/>
              <w:left w:w="130" w:type="dxa"/>
              <w:bottom w:w="62" w:type="dxa"/>
              <w:right w:w="130" w:type="dxa"/>
            </w:tcMar>
          </w:tcPr>
          <w:p w14:paraId="6C3AFFFC" w14:textId="77777777" w:rsidR="00420722" w:rsidRDefault="00000000" w:rsidP="00C92978">
            <w:pPr>
              <w:spacing w:line="360" w:lineRule="auto"/>
              <w:jc w:val="both"/>
            </w:pPr>
            <w:r>
              <w:rPr>
                <w:color w:val="1E1E1E"/>
                <w:sz w:val="20"/>
                <w:szCs w:val="20"/>
              </w:rPr>
              <w:t>+4–6% p.a.</w:t>
            </w:r>
          </w:p>
        </w:tc>
        <w:tc>
          <w:tcPr>
            <w:tcW w:w="0" w:type="auto"/>
            <w:shd w:val="clear" w:color="auto" w:fill="F5F3EF"/>
            <w:tcMar>
              <w:top w:w="62" w:type="dxa"/>
              <w:left w:w="130" w:type="dxa"/>
              <w:bottom w:w="62" w:type="dxa"/>
              <w:right w:w="130" w:type="dxa"/>
            </w:tcMar>
          </w:tcPr>
          <w:p w14:paraId="2E7B57FD" w14:textId="77777777" w:rsidR="00420722" w:rsidRDefault="00000000" w:rsidP="00C92978">
            <w:pPr>
              <w:spacing w:line="360" w:lineRule="auto"/>
              <w:jc w:val="both"/>
            </w:pPr>
            <w:r>
              <w:rPr>
                <w:color w:val="1E1E1E"/>
                <w:sz w:val="20"/>
                <w:szCs w:val="20"/>
              </w:rPr>
              <w:t>Premiumisation mix shift; North America recovery; emerging market volume</w:t>
            </w:r>
          </w:p>
        </w:tc>
      </w:tr>
      <w:tr w:rsidR="00107293" w14:paraId="3E02DDCF" w14:textId="77777777" w:rsidTr="001E0475">
        <w:tc>
          <w:tcPr>
            <w:tcW w:w="0" w:type="auto"/>
            <w:shd w:val="clear" w:color="auto" w:fill="FFFFFF"/>
            <w:tcMar>
              <w:top w:w="62" w:type="dxa"/>
              <w:left w:w="130" w:type="dxa"/>
              <w:bottom w:w="62" w:type="dxa"/>
              <w:right w:w="130" w:type="dxa"/>
            </w:tcMar>
          </w:tcPr>
          <w:p w14:paraId="7CAA3CE7"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29EF5930" w14:textId="77777777" w:rsidR="00420722" w:rsidRDefault="00000000" w:rsidP="00C92978">
            <w:pPr>
              <w:spacing w:line="360" w:lineRule="auto"/>
              <w:jc w:val="both"/>
            </w:pPr>
            <w:r>
              <w:rPr>
                <w:color w:val="1E1E1E"/>
                <w:sz w:val="20"/>
                <w:szCs w:val="20"/>
              </w:rPr>
              <w:t>Protect operating margin</w:t>
            </w:r>
          </w:p>
        </w:tc>
        <w:tc>
          <w:tcPr>
            <w:tcW w:w="0" w:type="auto"/>
            <w:shd w:val="clear" w:color="auto" w:fill="FFFFFF"/>
            <w:tcMar>
              <w:top w:w="62" w:type="dxa"/>
              <w:left w:w="130" w:type="dxa"/>
              <w:bottom w:w="62" w:type="dxa"/>
              <w:right w:w="130" w:type="dxa"/>
            </w:tcMar>
          </w:tcPr>
          <w:p w14:paraId="5E3D563C" w14:textId="77777777" w:rsidR="00420722" w:rsidRDefault="00000000" w:rsidP="00C92978">
            <w:pPr>
              <w:spacing w:line="360" w:lineRule="auto"/>
              <w:jc w:val="both"/>
            </w:pPr>
            <w:r>
              <w:rPr>
                <w:color w:val="1E1E1E"/>
                <w:sz w:val="20"/>
                <w:szCs w:val="20"/>
              </w:rPr>
              <w:t>Operating profit margin (%)</w:t>
            </w:r>
          </w:p>
        </w:tc>
        <w:tc>
          <w:tcPr>
            <w:tcW w:w="0" w:type="auto"/>
            <w:shd w:val="clear" w:color="auto" w:fill="FFFFFF"/>
            <w:tcMar>
              <w:top w:w="62" w:type="dxa"/>
              <w:left w:w="130" w:type="dxa"/>
              <w:bottom w:w="62" w:type="dxa"/>
              <w:right w:w="130" w:type="dxa"/>
            </w:tcMar>
          </w:tcPr>
          <w:p w14:paraId="722226CB" w14:textId="77777777" w:rsidR="00420722" w:rsidRDefault="00000000" w:rsidP="00C92978">
            <w:pPr>
              <w:spacing w:line="360" w:lineRule="auto"/>
              <w:jc w:val="both"/>
            </w:pPr>
            <w:r>
              <w:rPr>
                <w:color w:val="1E1E1E"/>
                <w:sz w:val="20"/>
                <w:szCs w:val="20"/>
              </w:rPr>
              <w:t>&gt;28% sustained</w:t>
            </w:r>
          </w:p>
        </w:tc>
        <w:tc>
          <w:tcPr>
            <w:tcW w:w="0" w:type="auto"/>
            <w:shd w:val="clear" w:color="auto" w:fill="FFFFFF"/>
            <w:tcMar>
              <w:top w:w="62" w:type="dxa"/>
              <w:left w:w="130" w:type="dxa"/>
              <w:bottom w:w="62" w:type="dxa"/>
              <w:right w:w="130" w:type="dxa"/>
            </w:tcMar>
          </w:tcPr>
          <w:p w14:paraId="23372246" w14:textId="77777777" w:rsidR="00420722" w:rsidRDefault="00000000" w:rsidP="00C92978">
            <w:pPr>
              <w:spacing w:line="360" w:lineRule="auto"/>
              <w:jc w:val="both"/>
            </w:pPr>
            <w:r>
              <w:rPr>
                <w:color w:val="1E1E1E"/>
                <w:sz w:val="20"/>
                <w:szCs w:val="20"/>
              </w:rPr>
              <w:t>Productivity programme; pricing discipline; mix improvement</w:t>
            </w:r>
          </w:p>
        </w:tc>
      </w:tr>
      <w:tr w:rsidR="00107293" w14:paraId="2BB4EE00" w14:textId="77777777" w:rsidTr="001E0475">
        <w:tc>
          <w:tcPr>
            <w:tcW w:w="0" w:type="auto"/>
            <w:shd w:val="clear" w:color="auto" w:fill="F5F3EF"/>
            <w:tcMar>
              <w:top w:w="62" w:type="dxa"/>
              <w:left w:w="130" w:type="dxa"/>
              <w:bottom w:w="62" w:type="dxa"/>
              <w:right w:w="130" w:type="dxa"/>
            </w:tcMar>
          </w:tcPr>
          <w:p w14:paraId="1E5E9E17"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2EE39F2A" w14:textId="77777777" w:rsidR="00420722" w:rsidRDefault="00000000" w:rsidP="00C92978">
            <w:pPr>
              <w:spacing w:line="360" w:lineRule="auto"/>
              <w:jc w:val="both"/>
            </w:pPr>
            <w:r>
              <w:rPr>
                <w:color w:val="1E1E1E"/>
                <w:sz w:val="20"/>
                <w:szCs w:val="20"/>
              </w:rPr>
              <w:t>Deliver superior TSR</w:t>
            </w:r>
          </w:p>
        </w:tc>
        <w:tc>
          <w:tcPr>
            <w:tcW w:w="0" w:type="auto"/>
            <w:shd w:val="clear" w:color="auto" w:fill="F5F3EF"/>
            <w:tcMar>
              <w:top w:w="62" w:type="dxa"/>
              <w:left w:w="130" w:type="dxa"/>
              <w:bottom w:w="62" w:type="dxa"/>
              <w:right w:w="130" w:type="dxa"/>
            </w:tcMar>
          </w:tcPr>
          <w:p w14:paraId="6D5DDAAF" w14:textId="77777777" w:rsidR="00420722" w:rsidRDefault="00000000" w:rsidP="00C92978">
            <w:pPr>
              <w:spacing w:line="360" w:lineRule="auto"/>
              <w:jc w:val="both"/>
            </w:pPr>
            <w:r>
              <w:rPr>
                <w:color w:val="1E1E1E"/>
                <w:sz w:val="20"/>
                <w:szCs w:val="20"/>
              </w:rPr>
              <w:t>Total Shareholder Return vs FTSE 100</w:t>
            </w:r>
          </w:p>
        </w:tc>
        <w:tc>
          <w:tcPr>
            <w:tcW w:w="0" w:type="auto"/>
            <w:shd w:val="clear" w:color="auto" w:fill="F5F3EF"/>
            <w:tcMar>
              <w:top w:w="62" w:type="dxa"/>
              <w:left w:w="130" w:type="dxa"/>
              <w:bottom w:w="62" w:type="dxa"/>
              <w:right w:w="130" w:type="dxa"/>
            </w:tcMar>
          </w:tcPr>
          <w:p w14:paraId="449B4FE7" w14:textId="77777777" w:rsidR="00420722" w:rsidRDefault="00000000" w:rsidP="00C92978">
            <w:pPr>
              <w:spacing w:line="360" w:lineRule="auto"/>
              <w:jc w:val="both"/>
            </w:pPr>
            <w:r>
              <w:rPr>
                <w:color w:val="1E1E1E"/>
                <w:sz w:val="20"/>
                <w:szCs w:val="20"/>
              </w:rPr>
              <w:t>Top quartile</w:t>
            </w:r>
          </w:p>
        </w:tc>
        <w:tc>
          <w:tcPr>
            <w:tcW w:w="0" w:type="auto"/>
            <w:shd w:val="clear" w:color="auto" w:fill="F5F3EF"/>
            <w:tcMar>
              <w:top w:w="62" w:type="dxa"/>
              <w:left w:w="130" w:type="dxa"/>
              <w:bottom w:w="62" w:type="dxa"/>
              <w:right w:w="130" w:type="dxa"/>
            </w:tcMar>
          </w:tcPr>
          <w:p w14:paraId="15553327" w14:textId="77777777" w:rsidR="00420722" w:rsidRDefault="00000000" w:rsidP="00C92978">
            <w:pPr>
              <w:spacing w:line="360" w:lineRule="auto"/>
              <w:jc w:val="both"/>
            </w:pPr>
            <w:r>
              <w:rPr>
                <w:color w:val="1E1E1E"/>
                <w:sz w:val="20"/>
                <w:szCs w:val="20"/>
              </w:rPr>
              <w:t>Dividend growth; disciplined M&amp;A; share buyback programme</w:t>
            </w:r>
          </w:p>
        </w:tc>
      </w:tr>
      <w:tr w:rsidR="00107293" w14:paraId="4915B35A" w14:textId="77777777" w:rsidTr="001E0475">
        <w:tc>
          <w:tcPr>
            <w:tcW w:w="0" w:type="auto"/>
            <w:shd w:val="clear" w:color="auto" w:fill="FFFFFF"/>
            <w:tcMar>
              <w:top w:w="62" w:type="dxa"/>
              <w:left w:w="130" w:type="dxa"/>
              <w:bottom w:w="62" w:type="dxa"/>
              <w:right w:w="130" w:type="dxa"/>
            </w:tcMar>
          </w:tcPr>
          <w:p w14:paraId="65D0ACF2"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1187B81A" w14:textId="77777777" w:rsidR="00420722" w:rsidRDefault="00000000" w:rsidP="00C92978">
            <w:pPr>
              <w:spacing w:line="360" w:lineRule="auto"/>
              <w:jc w:val="both"/>
            </w:pPr>
            <w:r>
              <w:rPr>
                <w:color w:val="1E1E1E"/>
                <w:sz w:val="20"/>
                <w:szCs w:val="20"/>
              </w:rPr>
              <w:t>Optimise working capital</w:t>
            </w:r>
          </w:p>
        </w:tc>
        <w:tc>
          <w:tcPr>
            <w:tcW w:w="0" w:type="auto"/>
            <w:shd w:val="clear" w:color="auto" w:fill="FFFFFF"/>
            <w:tcMar>
              <w:top w:w="62" w:type="dxa"/>
              <w:left w:w="130" w:type="dxa"/>
              <w:bottom w:w="62" w:type="dxa"/>
              <w:right w:w="130" w:type="dxa"/>
            </w:tcMar>
          </w:tcPr>
          <w:p w14:paraId="1EAE89E0" w14:textId="77777777" w:rsidR="00420722" w:rsidRDefault="00000000" w:rsidP="00C92978">
            <w:pPr>
              <w:spacing w:line="360" w:lineRule="auto"/>
              <w:jc w:val="both"/>
            </w:pPr>
            <w:r>
              <w:rPr>
                <w:color w:val="1E1E1E"/>
                <w:sz w:val="20"/>
                <w:szCs w:val="20"/>
              </w:rPr>
              <w:t>Net debt / EBITDA ratio</w:t>
            </w:r>
          </w:p>
        </w:tc>
        <w:tc>
          <w:tcPr>
            <w:tcW w:w="0" w:type="auto"/>
            <w:shd w:val="clear" w:color="auto" w:fill="FFFFFF"/>
            <w:tcMar>
              <w:top w:w="62" w:type="dxa"/>
              <w:left w:w="130" w:type="dxa"/>
              <w:bottom w:w="62" w:type="dxa"/>
              <w:right w:w="130" w:type="dxa"/>
            </w:tcMar>
          </w:tcPr>
          <w:p w14:paraId="28EC1458" w14:textId="77777777" w:rsidR="00420722" w:rsidRDefault="00000000" w:rsidP="00C92978">
            <w:pPr>
              <w:spacing w:line="360" w:lineRule="auto"/>
              <w:jc w:val="both"/>
            </w:pPr>
            <w:r>
              <w:rPr>
                <w:color w:val="1E1E1E"/>
                <w:sz w:val="20"/>
                <w:szCs w:val="20"/>
              </w:rPr>
              <w:t>&lt;2.5x</w:t>
            </w:r>
          </w:p>
        </w:tc>
        <w:tc>
          <w:tcPr>
            <w:tcW w:w="0" w:type="auto"/>
            <w:shd w:val="clear" w:color="auto" w:fill="FFFFFF"/>
            <w:tcMar>
              <w:top w:w="62" w:type="dxa"/>
              <w:left w:w="130" w:type="dxa"/>
              <w:bottom w:w="62" w:type="dxa"/>
              <w:right w:w="130" w:type="dxa"/>
            </w:tcMar>
          </w:tcPr>
          <w:p w14:paraId="03D52FC4" w14:textId="77777777" w:rsidR="00420722" w:rsidRDefault="00000000" w:rsidP="00C92978">
            <w:pPr>
              <w:spacing w:line="360" w:lineRule="auto"/>
              <w:jc w:val="both"/>
            </w:pPr>
            <w:r>
              <w:rPr>
                <w:color w:val="1E1E1E"/>
                <w:sz w:val="20"/>
                <w:szCs w:val="20"/>
              </w:rPr>
              <w:t>Supply chain inventory optimisation; receivables management</w:t>
            </w:r>
          </w:p>
        </w:tc>
      </w:tr>
      <w:tr w:rsidR="00107293" w14:paraId="527E8D3B" w14:textId="77777777" w:rsidTr="001E0475">
        <w:tc>
          <w:tcPr>
            <w:tcW w:w="0" w:type="auto"/>
            <w:shd w:val="clear" w:color="auto" w:fill="F5F3EF"/>
            <w:tcMar>
              <w:top w:w="62" w:type="dxa"/>
              <w:left w:w="130" w:type="dxa"/>
              <w:bottom w:w="62" w:type="dxa"/>
              <w:right w:w="130" w:type="dxa"/>
            </w:tcMar>
          </w:tcPr>
          <w:p w14:paraId="2EE5993F" w14:textId="77777777" w:rsidR="00420722" w:rsidRDefault="00000000" w:rsidP="00C92978">
            <w:pPr>
              <w:spacing w:line="360" w:lineRule="auto"/>
              <w:jc w:val="both"/>
            </w:pPr>
            <w:r>
              <w:rPr>
                <w:color w:val="1E1E1E"/>
                <w:sz w:val="20"/>
                <w:szCs w:val="20"/>
              </w:rPr>
              <w:t>CUSTOMER (Porter, 1985)</w:t>
            </w:r>
          </w:p>
        </w:tc>
        <w:tc>
          <w:tcPr>
            <w:tcW w:w="0" w:type="auto"/>
            <w:shd w:val="clear" w:color="auto" w:fill="F5F3EF"/>
            <w:tcMar>
              <w:top w:w="62" w:type="dxa"/>
              <w:left w:w="130" w:type="dxa"/>
              <w:bottom w:w="62" w:type="dxa"/>
              <w:right w:w="130" w:type="dxa"/>
            </w:tcMar>
          </w:tcPr>
          <w:p w14:paraId="3934D756" w14:textId="77777777" w:rsidR="00420722" w:rsidRDefault="00000000" w:rsidP="00C92978">
            <w:pPr>
              <w:spacing w:line="360" w:lineRule="auto"/>
              <w:jc w:val="both"/>
            </w:pPr>
            <w:r>
              <w:rPr>
                <w:color w:val="1E1E1E"/>
                <w:sz w:val="20"/>
                <w:szCs w:val="20"/>
              </w:rPr>
              <w:t>Grow brand power scores</w:t>
            </w:r>
          </w:p>
        </w:tc>
        <w:tc>
          <w:tcPr>
            <w:tcW w:w="0" w:type="auto"/>
            <w:shd w:val="clear" w:color="auto" w:fill="F5F3EF"/>
            <w:tcMar>
              <w:top w:w="62" w:type="dxa"/>
              <w:left w:w="130" w:type="dxa"/>
              <w:bottom w:w="62" w:type="dxa"/>
              <w:right w:w="130" w:type="dxa"/>
            </w:tcMar>
          </w:tcPr>
          <w:p w14:paraId="3B35C2BA" w14:textId="77777777" w:rsidR="00420722" w:rsidRDefault="00000000" w:rsidP="00C92978">
            <w:pPr>
              <w:spacing w:line="360" w:lineRule="auto"/>
              <w:jc w:val="both"/>
            </w:pPr>
            <w:r>
              <w:rPr>
                <w:color w:val="1E1E1E"/>
                <w:sz w:val="20"/>
                <w:szCs w:val="20"/>
              </w:rPr>
              <w:t>Brand Power Index (BPI)</w:t>
            </w:r>
          </w:p>
        </w:tc>
        <w:tc>
          <w:tcPr>
            <w:tcW w:w="0" w:type="auto"/>
            <w:shd w:val="clear" w:color="auto" w:fill="F5F3EF"/>
            <w:tcMar>
              <w:top w:w="62" w:type="dxa"/>
              <w:left w:w="130" w:type="dxa"/>
              <w:bottom w:w="62" w:type="dxa"/>
              <w:right w:w="130" w:type="dxa"/>
            </w:tcMar>
          </w:tcPr>
          <w:p w14:paraId="187C3429" w14:textId="77777777" w:rsidR="00420722" w:rsidRDefault="00000000" w:rsidP="00C92978">
            <w:pPr>
              <w:spacing w:line="360" w:lineRule="auto"/>
              <w:jc w:val="both"/>
            </w:pPr>
            <w:r>
              <w:rPr>
                <w:color w:val="1E1E1E"/>
                <w:sz w:val="20"/>
                <w:szCs w:val="20"/>
              </w:rPr>
              <w:t>+8 points p.a. per priority brand</w:t>
            </w:r>
          </w:p>
        </w:tc>
        <w:tc>
          <w:tcPr>
            <w:tcW w:w="0" w:type="auto"/>
            <w:shd w:val="clear" w:color="auto" w:fill="F5F3EF"/>
            <w:tcMar>
              <w:top w:w="62" w:type="dxa"/>
              <w:left w:w="130" w:type="dxa"/>
              <w:bottom w:w="62" w:type="dxa"/>
              <w:right w:w="130" w:type="dxa"/>
            </w:tcMar>
          </w:tcPr>
          <w:p w14:paraId="6FE9D385" w14:textId="77777777" w:rsidR="00420722" w:rsidRDefault="00000000" w:rsidP="00C92978">
            <w:pPr>
              <w:spacing w:line="360" w:lineRule="auto"/>
              <w:jc w:val="both"/>
            </w:pPr>
            <w:r>
              <w:rPr>
                <w:color w:val="1E1E1E"/>
                <w:sz w:val="20"/>
                <w:szCs w:val="20"/>
              </w:rPr>
              <w:t>Marketing effectiveness investment; digital brand activation</w:t>
            </w:r>
          </w:p>
        </w:tc>
      </w:tr>
      <w:tr w:rsidR="00107293" w14:paraId="12D67888" w14:textId="77777777" w:rsidTr="001E0475">
        <w:tc>
          <w:tcPr>
            <w:tcW w:w="0" w:type="auto"/>
            <w:shd w:val="clear" w:color="auto" w:fill="FFFFFF"/>
            <w:tcMar>
              <w:top w:w="62" w:type="dxa"/>
              <w:left w:w="130" w:type="dxa"/>
              <w:bottom w:w="62" w:type="dxa"/>
              <w:right w:w="130" w:type="dxa"/>
            </w:tcMar>
          </w:tcPr>
          <w:p w14:paraId="454A66C1"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5254D00E" w14:textId="7DCAF138" w:rsidR="00420722" w:rsidRDefault="006E7775" w:rsidP="00C92978">
            <w:pPr>
              <w:spacing w:line="360" w:lineRule="auto"/>
              <w:jc w:val="both"/>
            </w:pPr>
            <w:r>
              <w:rPr>
                <w:color w:val="1E1E1E"/>
                <w:sz w:val="20"/>
                <w:szCs w:val="20"/>
              </w:rPr>
              <w:t>Increasing</w:t>
            </w:r>
            <w:r w:rsidR="00000000">
              <w:rPr>
                <w:color w:val="1E1E1E"/>
                <w:sz w:val="20"/>
                <w:szCs w:val="20"/>
              </w:rPr>
              <w:t xml:space="preserve"> Super-Premium+ share</w:t>
            </w:r>
          </w:p>
        </w:tc>
        <w:tc>
          <w:tcPr>
            <w:tcW w:w="0" w:type="auto"/>
            <w:shd w:val="clear" w:color="auto" w:fill="FFFFFF"/>
            <w:tcMar>
              <w:top w:w="62" w:type="dxa"/>
              <w:left w:w="130" w:type="dxa"/>
              <w:bottom w:w="62" w:type="dxa"/>
              <w:right w:w="130" w:type="dxa"/>
            </w:tcMar>
          </w:tcPr>
          <w:p w14:paraId="1ABE900A" w14:textId="77777777" w:rsidR="00420722" w:rsidRDefault="00000000" w:rsidP="00C92978">
            <w:pPr>
              <w:spacing w:line="360" w:lineRule="auto"/>
              <w:jc w:val="both"/>
            </w:pPr>
            <w:r>
              <w:rPr>
                <w:color w:val="1E1E1E"/>
                <w:sz w:val="20"/>
                <w:szCs w:val="20"/>
              </w:rPr>
              <w:t>% revenue from Super-Premium+</w:t>
            </w:r>
          </w:p>
        </w:tc>
        <w:tc>
          <w:tcPr>
            <w:tcW w:w="0" w:type="auto"/>
            <w:shd w:val="clear" w:color="auto" w:fill="FFFFFF"/>
            <w:tcMar>
              <w:top w:w="62" w:type="dxa"/>
              <w:left w:w="130" w:type="dxa"/>
              <w:bottom w:w="62" w:type="dxa"/>
              <w:right w:w="130" w:type="dxa"/>
            </w:tcMar>
          </w:tcPr>
          <w:p w14:paraId="1BA89924" w14:textId="77777777" w:rsidR="00420722" w:rsidRDefault="00000000" w:rsidP="00C92978">
            <w:pPr>
              <w:spacing w:line="360" w:lineRule="auto"/>
              <w:jc w:val="both"/>
            </w:pPr>
            <w:r>
              <w:rPr>
                <w:color w:val="1E1E1E"/>
                <w:sz w:val="20"/>
                <w:szCs w:val="20"/>
              </w:rPr>
              <w:t>&gt;50% by FY2027</w:t>
            </w:r>
          </w:p>
        </w:tc>
        <w:tc>
          <w:tcPr>
            <w:tcW w:w="0" w:type="auto"/>
            <w:shd w:val="clear" w:color="auto" w:fill="FFFFFF"/>
            <w:tcMar>
              <w:top w:w="62" w:type="dxa"/>
              <w:left w:w="130" w:type="dxa"/>
              <w:bottom w:w="62" w:type="dxa"/>
              <w:right w:w="130" w:type="dxa"/>
            </w:tcMar>
          </w:tcPr>
          <w:p w14:paraId="2E07B4D3" w14:textId="77777777" w:rsidR="00420722" w:rsidRDefault="00000000" w:rsidP="00C92978">
            <w:pPr>
              <w:spacing w:line="360" w:lineRule="auto"/>
              <w:jc w:val="both"/>
            </w:pPr>
            <w:r>
              <w:rPr>
                <w:color w:val="1E1E1E"/>
                <w:sz w:val="20"/>
                <w:szCs w:val="20"/>
              </w:rPr>
              <w:t>Luxury reserve programme; connoisseur experiences</w:t>
            </w:r>
          </w:p>
        </w:tc>
      </w:tr>
      <w:tr w:rsidR="00107293" w14:paraId="0B7A057F" w14:textId="77777777" w:rsidTr="001E0475">
        <w:tc>
          <w:tcPr>
            <w:tcW w:w="0" w:type="auto"/>
            <w:shd w:val="clear" w:color="auto" w:fill="F5F3EF"/>
            <w:tcMar>
              <w:top w:w="62" w:type="dxa"/>
              <w:left w:w="130" w:type="dxa"/>
              <w:bottom w:w="62" w:type="dxa"/>
              <w:right w:w="130" w:type="dxa"/>
            </w:tcMar>
          </w:tcPr>
          <w:p w14:paraId="309DC6C3"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2FDEF331" w14:textId="77777777" w:rsidR="00420722" w:rsidRDefault="00000000" w:rsidP="00C92978">
            <w:pPr>
              <w:spacing w:line="360" w:lineRule="auto"/>
              <w:jc w:val="both"/>
            </w:pPr>
            <w:r>
              <w:rPr>
                <w:color w:val="1E1E1E"/>
                <w:sz w:val="20"/>
                <w:szCs w:val="20"/>
              </w:rPr>
              <w:t>Expand no/low-alcohol share</w:t>
            </w:r>
          </w:p>
        </w:tc>
        <w:tc>
          <w:tcPr>
            <w:tcW w:w="0" w:type="auto"/>
            <w:shd w:val="clear" w:color="auto" w:fill="F5F3EF"/>
            <w:tcMar>
              <w:top w:w="62" w:type="dxa"/>
              <w:left w:w="130" w:type="dxa"/>
              <w:bottom w:w="62" w:type="dxa"/>
              <w:right w:w="130" w:type="dxa"/>
            </w:tcMar>
          </w:tcPr>
          <w:p w14:paraId="17247C2A" w14:textId="77777777" w:rsidR="00420722" w:rsidRDefault="00000000" w:rsidP="00C92978">
            <w:pPr>
              <w:spacing w:line="360" w:lineRule="auto"/>
              <w:jc w:val="both"/>
            </w:pPr>
            <w:r>
              <w:rPr>
                <w:color w:val="1E1E1E"/>
                <w:sz w:val="20"/>
                <w:szCs w:val="20"/>
              </w:rPr>
              <w:t>No/low NSV as % of portfolio</w:t>
            </w:r>
          </w:p>
        </w:tc>
        <w:tc>
          <w:tcPr>
            <w:tcW w:w="0" w:type="auto"/>
            <w:shd w:val="clear" w:color="auto" w:fill="F5F3EF"/>
            <w:tcMar>
              <w:top w:w="62" w:type="dxa"/>
              <w:left w:w="130" w:type="dxa"/>
              <w:bottom w:w="62" w:type="dxa"/>
              <w:right w:w="130" w:type="dxa"/>
            </w:tcMar>
          </w:tcPr>
          <w:p w14:paraId="6DBC172B" w14:textId="77777777" w:rsidR="00420722" w:rsidRDefault="00000000" w:rsidP="00C92978">
            <w:pPr>
              <w:spacing w:line="360" w:lineRule="auto"/>
              <w:jc w:val="both"/>
            </w:pPr>
            <w:r>
              <w:rPr>
                <w:color w:val="1E1E1E"/>
                <w:sz w:val="20"/>
                <w:szCs w:val="20"/>
              </w:rPr>
              <w:t>30% by 2030</w:t>
            </w:r>
          </w:p>
        </w:tc>
        <w:tc>
          <w:tcPr>
            <w:tcW w:w="0" w:type="auto"/>
            <w:shd w:val="clear" w:color="auto" w:fill="F5F3EF"/>
            <w:tcMar>
              <w:top w:w="62" w:type="dxa"/>
              <w:left w:w="130" w:type="dxa"/>
              <w:bottom w:w="62" w:type="dxa"/>
              <w:right w:w="130" w:type="dxa"/>
            </w:tcMar>
          </w:tcPr>
          <w:p w14:paraId="63D1CA80" w14:textId="77777777" w:rsidR="00420722" w:rsidRDefault="00000000" w:rsidP="00C92978">
            <w:pPr>
              <w:spacing w:line="360" w:lineRule="auto"/>
              <w:jc w:val="both"/>
            </w:pPr>
            <w:r>
              <w:rPr>
                <w:color w:val="1E1E1E"/>
                <w:sz w:val="20"/>
                <w:szCs w:val="20"/>
              </w:rPr>
              <w:t>Guinness 0.0 roll-out; Gordon's 0.0; Seedlip expansion</w:t>
            </w:r>
          </w:p>
        </w:tc>
      </w:tr>
      <w:tr w:rsidR="00107293" w14:paraId="0005E80A" w14:textId="77777777" w:rsidTr="001E0475">
        <w:tc>
          <w:tcPr>
            <w:tcW w:w="0" w:type="auto"/>
            <w:shd w:val="clear" w:color="auto" w:fill="FFFFFF"/>
            <w:tcMar>
              <w:top w:w="62" w:type="dxa"/>
              <w:left w:w="130" w:type="dxa"/>
              <w:bottom w:w="62" w:type="dxa"/>
              <w:right w:w="130" w:type="dxa"/>
            </w:tcMar>
          </w:tcPr>
          <w:p w14:paraId="2FAC52EF"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00F65D71" w14:textId="77777777" w:rsidR="00420722" w:rsidRDefault="00000000" w:rsidP="00C92978">
            <w:pPr>
              <w:spacing w:line="360" w:lineRule="auto"/>
              <w:jc w:val="both"/>
            </w:pPr>
            <w:r>
              <w:rPr>
                <w:color w:val="1E1E1E"/>
                <w:sz w:val="20"/>
                <w:szCs w:val="20"/>
              </w:rPr>
              <w:t>Improve distributor NPS</w:t>
            </w:r>
          </w:p>
        </w:tc>
        <w:tc>
          <w:tcPr>
            <w:tcW w:w="0" w:type="auto"/>
            <w:shd w:val="clear" w:color="auto" w:fill="FFFFFF"/>
            <w:tcMar>
              <w:top w:w="62" w:type="dxa"/>
              <w:left w:w="130" w:type="dxa"/>
              <w:bottom w:w="62" w:type="dxa"/>
              <w:right w:w="130" w:type="dxa"/>
            </w:tcMar>
          </w:tcPr>
          <w:p w14:paraId="066B6E87" w14:textId="77777777" w:rsidR="00420722" w:rsidRDefault="00000000" w:rsidP="00C92978">
            <w:pPr>
              <w:spacing w:line="360" w:lineRule="auto"/>
              <w:jc w:val="both"/>
            </w:pPr>
            <w:r>
              <w:rPr>
                <w:color w:val="1E1E1E"/>
                <w:sz w:val="20"/>
                <w:szCs w:val="20"/>
              </w:rPr>
              <w:t>Distributor Net Promoter Score</w:t>
            </w:r>
          </w:p>
        </w:tc>
        <w:tc>
          <w:tcPr>
            <w:tcW w:w="0" w:type="auto"/>
            <w:shd w:val="clear" w:color="auto" w:fill="FFFFFF"/>
            <w:tcMar>
              <w:top w:w="62" w:type="dxa"/>
              <w:left w:w="130" w:type="dxa"/>
              <w:bottom w:w="62" w:type="dxa"/>
              <w:right w:w="130" w:type="dxa"/>
            </w:tcMar>
          </w:tcPr>
          <w:p w14:paraId="627BE68B" w14:textId="77777777" w:rsidR="00420722" w:rsidRDefault="00000000" w:rsidP="00C92978">
            <w:pPr>
              <w:spacing w:line="360" w:lineRule="auto"/>
              <w:jc w:val="both"/>
            </w:pPr>
            <w:r>
              <w:rPr>
                <w:color w:val="1E1E1E"/>
                <w:sz w:val="20"/>
                <w:szCs w:val="20"/>
              </w:rPr>
              <w:t>&gt;65</w:t>
            </w:r>
          </w:p>
        </w:tc>
        <w:tc>
          <w:tcPr>
            <w:tcW w:w="0" w:type="auto"/>
            <w:shd w:val="clear" w:color="auto" w:fill="FFFFFF"/>
            <w:tcMar>
              <w:top w:w="62" w:type="dxa"/>
              <w:left w:w="130" w:type="dxa"/>
              <w:bottom w:w="62" w:type="dxa"/>
              <w:right w:w="130" w:type="dxa"/>
            </w:tcMar>
          </w:tcPr>
          <w:p w14:paraId="46483BFE" w14:textId="77777777" w:rsidR="00420722" w:rsidRDefault="00000000" w:rsidP="00C92978">
            <w:pPr>
              <w:spacing w:line="360" w:lineRule="auto"/>
              <w:jc w:val="both"/>
            </w:pPr>
            <w:r>
              <w:rPr>
                <w:color w:val="1E1E1E"/>
                <w:sz w:val="20"/>
                <w:szCs w:val="20"/>
              </w:rPr>
              <w:t>Route-to-market capability building; digital order management</w:t>
            </w:r>
          </w:p>
        </w:tc>
      </w:tr>
      <w:tr w:rsidR="00107293" w14:paraId="009D568B" w14:textId="77777777" w:rsidTr="001E0475">
        <w:tc>
          <w:tcPr>
            <w:tcW w:w="0" w:type="auto"/>
            <w:shd w:val="clear" w:color="auto" w:fill="F5F3EF"/>
            <w:tcMar>
              <w:top w:w="62" w:type="dxa"/>
              <w:left w:w="130" w:type="dxa"/>
              <w:bottom w:w="62" w:type="dxa"/>
              <w:right w:w="130" w:type="dxa"/>
            </w:tcMar>
          </w:tcPr>
          <w:p w14:paraId="14210D3C" w14:textId="77777777" w:rsidR="00420722" w:rsidRDefault="00000000" w:rsidP="00C92978">
            <w:pPr>
              <w:spacing w:line="360" w:lineRule="auto"/>
              <w:jc w:val="both"/>
            </w:pPr>
            <w:r>
              <w:rPr>
                <w:color w:val="1E1E1E"/>
                <w:sz w:val="20"/>
                <w:szCs w:val="20"/>
              </w:rPr>
              <w:lastRenderedPageBreak/>
              <w:t>INTERNAL PROCESSES (Hammer &amp; Champy, 1993)</w:t>
            </w:r>
          </w:p>
        </w:tc>
        <w:tc>
          <w:tcPr>
            <w:tcW w:w="0" w:type="auto"/>
            <w:shd w:val="clear" w:color="auto" w:fill="F5F3EF"/>
            <w:tcMar>
              <w:top w:w="62" w:type="dxa"/>
              <w:left w:w="130" w:type="dxa"/>
              <w:bottom w:w="62" w:type="dxa"/>
              <w:right w:w="130" w:type="dxa"/>
            </w:tcMar>
          </w:tcPr>
          <w:p w14:paraId="53056C72" w14:textId="77777777" w:rsidR="00420722" w:rsidRDefault="00000000" w:rsidP="00C92978">
            <w:pPr>
              <w:spacing w:line="360" w:lineRule="auto"/>
              <w:jc w:val="both"/>
            </w:pPr>
            <w:r>
              <w:rPr>
                <w:color w:val="1E1E1E"/>
                <w:sz w:val="20"/>
                <w:szCs w:val="20"/>
              </w:rPr>
              <w:t>Achieve net-zero manufacturing</w:t>
            </w:r>
          </w:p>
        </w:tc>
        <w:tc>
          <w:tcPr>
            <w:tcW w:w="0" w:type="auto"/>
            <w:shd w:val="clear" w:color="auto" w:fill="F5F3EF"/>
            <w:tcMar>
              <w:top w:w="62" w:type="dxa"/>
              <w:left w:w="130" w:type="dxa"/>
              <w:bottom w:w="62" w:type="dxa"/>
              <w:right w:w="130" w:type="dxa"/>
            </w:tcMar>
          </w:tcPr>
          <w:p w14:paraId="121E2D5B" w14:textId="77777777" w:rsidR="00420722" w:rsidRDefault="00000000" w:rsidP="00C92978">
            <w:pPr>
              <w:spacing w:line="360" w:lineRule="auto"/>
              <w:jc w:val="both"/>
            </w:pPr>
            <w:r>
              <w:rPr>
                <w:color w:val="1E1E1E"/>
                <w:sz w:val="20"/>
                <w:szCs w:val="20"/>
              </w:rPr>
              <w:t>Scope 1 &amp; 2 carbon emissions (CO₂e)</w:t>
            </w:r>
          </w:p>
        </w:tc>
        <w:tc>
          <w:tcPr>
            <w:tcW w:w="0" w:type="auto"/>
            <w:shd w:val="clear" w:color="auto" w:fill="F5F3EF"/>
            <w:tcMar>
              <w:top w:w="62" w:type="dxa"/>
              <w:left w:w="130" w:type="dxa"/>
              <w:bottom w:w="62" w:type="dxa"/>
              <w:right w:w="130" w:type="dxa"/>
            </w:tcMar>
          </w:tcPr>
          <w:p w14:paraId="2ABEAAAA" w14:textId="77777777" w:rsidR="00420722" w:rsidRDefault="00000000" w:rsidP="00C92978">
            <w:pPr>
              <w:spacing w:line="360" w:lineRule="auto"/>
              <w:jc w:val="both"/>
            </w:pPr>
            <w:r>
              <w:rPr>
                <w:color w:val="1E1E1E"/>
                <w:sz w:val="20"/>
                <w:szCs w:val="20"/>
              </w:rPr>
              <w:t>Net-zero own operations by 2030</w:t>
            </w:r>
          </w:p>
        </w:tc>
        <w:tc>
          <w:tcPr>
            <w:tcW w:w="0" w:type="auto"/>
            <w:shd w:val="clear" w:color="auto" w:fill="F5F3EF"/>
            <w:tcMar>
              <w:top w:w="62" w:type="dxa"/>
              <w:left w:w="130" w:type="dxa"/>
              <w:bottom w:w="62" w:type="dxa"/>
              <w:right w:w="130" w:type="dxa"/>
            </w:tcMar>
          </w:tcPr>
          <w:p w14:paraId="6FA614D8" w14:textId="77777777" w:rsidR="00420722" w:rsidRDefault="00000000" w:rsidP="00C92978">
            <w:pPr>
              <w:spacing w:line="360" w:lineRule="auto"/>
              <w:jc w:val="both"/>
            </w:pPr>
            <w:r>
              <w:rPr>
                <w:color w:val="1E1E1E"/>
                <w:sz w:val="20"/>
                <w:szCs w:val="20"/>
              </w:rPr>
              <w:t>Renewable energy procurement; biomass boiler installation</w:t>
            </w:r>
          </w:p>
        </w:tc>
      </w:tr>
      <w:tr w:rsidR="00107293" w14:paraId="3E70B321" w14:textId="77777777" w:rsidTr="001E0475">
        <w:tc>
          <w:tcPr>
            <w:tcW w:w="0" w:type="auto"/>
            <w:shd w:val="clear" w:color="auto" w:fill="FFFFFF"/>
            <w:tcMar>
              <w:top w:w="62" w:type="dxa"/>
              <w:left w:w="130" w:type="dxa"/>
              <w:bottom w:w="62" w:type="dxa"/>
              <w:right w:w="130" w:type="dxa"/>
            </w:tcMar>
          </w:tcPr>
          <w:p w14:paraId="68945418"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1D6B0D90" w14:textId="77777777" w:rsidR="00420722" w:rsidRDefault="00000000" w:rsidP="00C92978">
            <w:pPr>
              <w:spacing w:line="360" w:lineRule="auto"/>
              <w:jc w:val="both"/>
            </w:pPr>
            <w:r>
              <w:rPr>
                <w:color w:val="1E1E1E"/>
                <w:sz w:val="20"/>
                <w:szCs w:val="20"/>
              </w:rPr>
              <w:t>Shorten innovation cycle time</w:t>
            </w:r>
          </w:p>
        </w:tc>
        <w:tc>
          <w:tcPr>
            <w:tcW w:w="0" w:type="auto"/>
            <w:shd w:val="clear" w:color="auto" w:fill="FFFFFF"/>
            <w:tcMar>
              <w:top w:w="62" w:type="dxa"/>
              <w:left w:w="130" w:type="dxa"/>
              <w:bottom w:w="62" w:type="dxa"/>
              <w:right w:w="130" w:type="dxa"/>
            </w:tcMar>
          </w:tcPr>
          <w:p w14:paraId="2EF415EB" w14:textId="77777777" w:rsidR="00420722" w:rsidRDefault="00000000" w:rsidP="00C92978">
            <w:pPr>
              <w:spacing w:line="360" w:lineRule="auto"/>
              <w:jc w:val="both"/>
            </w:pPr>
            <w:r>
              <w:rPr>
                <w:color w:val="1E1E1E"/>
                <w:sz w:val="20"/>
                <w:szCs w:val="20"/>
              </w:rPr>
              <w:t>Months concept-to-market (innovation)</w:t>
            </w:r>
          </w:p>
        </w:tc>
        <w:tc>
          <w:tcPr>
            <w:tcW w:w="0" w:type="auto"/>
            <w:shd w:val="clear" w:color="auto" w:fill="FFFFFF"/>
            <w:tcMar>
              <w:top w:w="62" w:type="dxa"/>
              <w:left w:w="130" w:type="dxa"/>
              <w:bottom w:w="62" w:type="dxa"/>
              <w:right w:w="130" w:type="dxa"/>
            </w:tcMar>
          </w:tcPr>
          <w:p w14:paraId="64F9B295" w14:textId="77777777" w:rsidR="00420722" w:rsidRDefault="00000000" w:rsidP="00C92978">
            <w:pPr>
              <w:spacing w:line="360" w:lineRule="auto"/>
              <w:jc w:val="both"/>
            </w:pPr>
            <w:r>
              <w:rPr>
                <w:color w:val="1E1E1E"/>
                <w:sz w:val="20"/>
                <w:szCs w:val="20"/>
              </w:rPr>
              <w:t>&lt;18 months</w:t>
            </w:r>
          </w:p>
        </w:tc>
        <w:tc>
          <w:tcPr>
            <w:tcW w:w="0" w:type="auto"/>
            <w:shd w:val="clear" w:color="auto" w:fill="FFFFFF"/>
            <w:tcMar>
              <w:top w:w="62" w:type="dxa"/>
              <w:left w:w="130" w:type="dxa"/>
              <w:bottom w:w="62" w:type="dxa"/>
              <w:right w:w="130" w:type="dxa"/>
            </w:tcMar>
          </w:tcPr>
          <w:p w14:paraId="5A44F2A4" w14:textId="77777777" w:rsidR="00420722" w:rsidRDefault="00000000" w:rsidP="00C92978">
            <w:pPr>
              <w:spacing w:line="360" w:lineRule="auto"/>
              <w:jc w:val="both"/>
            </w:pPr>
            <w:r>
              <w:rPr>
                <w:color w:val="1E1E1E"/>
                <w:sz w:val="20"/>
                <w:szCs w:val="20"/>
              </w:rPr>
              <w:t>Distill Ventures accelerator; agile stage-gate process</w:t>
            </w:r>
          </w:p>
        </w:tc>
      </w:tr>
      <w:tr w:rsidR="00107293" w14:paraId="5E10DDA6" w14:textId="77777777" w:rsidTr="001E0475">
        <w:tc>
          <w:tcPr>
            <w:tcW w:w="0" w:type="auto"/>
            <w:shd w:val="clear" w:color="auto" w:fill="F5F3EF"/>
            <w:tcMar>
              <w:top w:w="62" w:type="dxa"/>
              <w:left w:w="130" w:type="dxa"/>
              <w:bottom w:w="62" w:type="dxa"/>
              <w:right w:w="130" w:type="dxa"/>
            </w:tcMar>
          </w:tcPr>
          <w:p w14:paraId="5D4777AB"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19C6BBA2" w14:textId="77777777" w:rsidR="00420722" w:rsidRDefault="00000000" w:rsidP="00C92978">
            <w:pPr>
              <w:spacing w:line="360" w:lineRule="auto"/>
              <w:jc w:val="both"/>
            </w:pPr>
            <w:r>
              <w:rPr>
                <w:color w:val="1E1E1E"/>
                <w:sz w:val="20"/>
                <w:szCs w:val="20"/>
              </w:rPr>
              <w:t>Supply chain resilience</w:t>
            </w:r>
          </w:p>
        </w:tc>
        <w:tc>
          <w:tcPr>
            <w:tcW w:w="0" w:type="auto"/>
            <w:shd w:val="clear" w:color="auto" w:fill="F5F3EF"/>
            <w:tcMar>
              <w:top w:w="62" w:type="dxa"/>
              <w:left w:w="130" w:type="dxa"/>
              <w:bottom w:w="62" w:type="dxa"/>
              <w:right w:w="130" w:type="dxa"/>
            </w:tcMar>
          </w:tcPr>
          <w:p w14:paraId="7818E787" w14:textId="77777777" w:rsidR="00420722" w:rsidRDefault="00000000" w:rsidP="00C92978">
            <w:pPr>
              <w:spacing w:line="360" w:lineRule="auto"/>
              <w:jc w:val="both"/>
            </w:pPr>
            <w:r>
              <w:rPr>
                <w:color w:val="1E1E1E"/>
                <w:sz w:val="20"/>
                <w:szCs w:val="20"/>
              </w:rPr>
              <w:t>Supplier risk concentration score</w:t>
            </w:r>
          </w:p>
        </w:tc>
        <w:tc>
          <w:tcPr>
            <w:tcW w:w="0" w:type="auto"/>
            <w:shd w:val="clear" w:color="auto" w:fill="F5F3EF"/>
            <w:tcMar>
              <w:top w:w="62" w:type="dxa"/>
              <w:left w:w="130" w:type="dxa"/>
              <w:bottom w:w="62" w:type="dxa"/>
              <w:right w:w="130" w:type="dxa"/>
            </w:tcMar>
          </w:tcPr>
          <w:p w14:paraId="6E77104A" w14:textId="77777777" w:rsidR="00420722" w:rsidRDefault="00000000" w:rsidP="00C92978">
            <w:pPr>
              <w:spacing w:line="360" w:lineRule="auto"/>
              <w:jc w:val="both"/>
            </w:pPr>
            <w:r>
              <w:rPr>
                <w:color w:val="1E1E1E"/>
                <w:sz w:val="20"/>
                <w:szCs w:val="20"/>
              </w:rPr>
              <w:t>Reduce by 25%</w:t>
            </w:r>
          </w:p>
        </w:tc>
        <w:tc>
          <w:tcPr>
            <w:tcW w:w="0" w:type="auto"/>
            <w:shd w:val="clear" w:color="auto" w:fill="F5F3EF"/>
            <w:tcMar>
              <w:top w:w="62" w:type="dxa"/>
              <w:left w:w="130" w:type="dxa"/>
              <w:bottom w:w="62" w:type="dxa"/>
              <w:right w:w="130" w:type="dxa"/>
            </w:tcMar>
          </w:tcPr>
          <w:p w14:paraId="68B8D699" w14:textId="77777777" w:rsidR="00420722" w:rsidRDefault="00000000" w:rsidP="00C92978">
            <w:pPr>
              <w:spacing w:line="360" w:lineRule="auto"/>
              <w:jc w:val="both"/>
            </w:pPr>
            <w:r>
              <w:rPr>
                <w:color w:val="1E1E1E"/>
                <w:sz w:val="20"/>
                <w:szCs w:val="20"/>
              </w:rPr>
              <w:t>Dual-source key ingredients; agave diversification strategy</w:t>
            </w:r>
          </w:p>
        </w:tc>
      </w:tr>
      <w:tr w:rsidR="00107293" w14:paraId="44226498" w14:textId="77777777" w:rsidTr="001E0475">
        <w:tc>
          <w:tcPr>
            <w:tcW w:w="0" w:type="auto"/>
            <w:shd w:val="clear" w:color="auto" w:fill="FFFFFF"/>
            <w:tcMar>
              <w:top w:w="62" w:type="dxa"/>
              <w:left w:w="130" w:type="dxa"/>
              <w:bottom w:w="62" w:type="dxa"/>
              <w:right w:w="130" w:type="dxa"/>
            </w:tcMar>
          </w:tcPr>
          <w:p w14:paraId="24871B13"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6E266C4F" w14:textId="77777777" w:rsidR="00420722" w:rsidRDefault="00000000" w:rsidP="00C92978">
            <w:pPr>
              <w:spacing w:line="360" w:lineRule="auto"/>
              <w:jc w:val="both"/>
            </w:pPr>
            <w:r>
              <w:rPr>
                <w:color w:val="1E1E1E"/>
                <w:sz w:val="20"/>
                <w:szCs w:val="20"/>
              </w:rPr>
              <w:t>Digital-direct capability</w:t>
            </w:r>
          </w:p>
        </w:tc>
        <w:tc>
          <w:tcPr>
            <w:tcW w:w="0" w:type="auto"/>
            <w:shd w:val="clear" w:color="auto" w:fill="FFFFFF"/>
            <w:tcMar>
              <w:top w:w="62" w:type="dxa"/>
              <w:left w:w="130" w:type="dxa"/>
              <w:bottom w:w="62" w:type="dxa"/>
              <w:right w:w="130" w:type="dxa"/>
            </w:tcMar>
          </w:tcPr>
          <w:p w14:paraId="53160CAE" w14:textId="77777777" w:rsidR="00420722" w:rsidRDefault="00000000" w:rsidP="00C92978">
            <w:pPr>
              <w:spacing w:line="360" w:lineRule="auto"/>
              <w:jc w:val="both"/>
            </w:pPr>
            <w:r>
              <w:rPr>
                <w:color w:val="1E1E1E"/>
                <w:sz w:val="20"/>
                <w:szCs w:val="20"/>
              </w:rPr>
              <w:t>DTC revenue as % of total</w:t>
            </w:r>
          </w:p>
        </w:tc>
        <w:tc>
          <w:tcPr>
            <w:tcW w:w="0" w:type="auto"/>
            <w:shd w:val="clear" w:color="auto" w:fill="FFFFFF"/>
            <w:tcMar>
              <w:top w:w="62" w:type="dxa"/>
              <w:left w:w="130" w:type="dxa"/>
              <w:bottom w:w="62" w:type="dxa"/>
              <w:right w:w="130" w:type="dxa"/>
            </w:tcMar>
          </w:tcPr>
          <w:p w14:paraId="0FF16454" w14:textId="77777777" w:rsidR="00420722" w:rsidRDefault="00000000" w:rsidP="00C92978">
            <w:pPr>
              <w:spacing w:line="360" w:lineRule="auto"/>
              <w:jc w:val="both"/>
            </w:pPr>
            <w:r>
              <w:rPr>
                <w:color w:val="1E1E1E"/>
                <w:sz w:val="20"/>
                <w:szCs w:val="20"/>
              </w:rPr>
              <w:t>&gt;5% by FY2027</w:t>
            </w:r>
          </w:p>
        </w:tc>
        <w:tc>
          <w:tcPr>
            <w:tcW w:w="0" w:type="auto"/>
            <w:shd w:val="clear" w:color="auto" w:fill="FFFFFF"/>
            <w:tcMar>
              <w:top w:w="62" w:type="dxa"/>
              <w:left w:w="130" w:type="dxa"/>
              <w:bottom w:w="62" w:type="dxa"/>
              <w:right w:w="130" w:type="dxa"/>
            </w:tcMar>
          </w:tcPr>
          <w:p w14:paraId="3AA29A52" w14:textId="77777777" w:rsidR="00420722" w:rsidRDefault="00000000" w:rsidP="00C92978">
            <w:pPr>
              <w:spacing w:line="360" w:lineRule="auto"/>
              <w:jc w:val="both"/>
            </w:pPr>
            <w:r>
              <w:rPr>
                <w:color w:val="1E1E1E"/>
                <w:sz w:val="20"/>
                <w:szCs w:val="20"/>
              </w:rPr>
              <w:t>Reserve Bar partnership; DTC e-commerce investment</w:t>
            </w:r>
          </w:p>
        </w:tc>
      </w:tr>
      <w:tr w:rsidR="00107293" w14:paraId="404ACBA8" w14:textId="77777777" w:rsidTr="001E0475">
        <w:tc>
          <w:tcPr>
            <w:tcW w:w="0" w:type="auto"/>
            <w:shd w:val="clear" w:color="auto" w:fill="F5F3EF"/>
            <w:tcMar>
              <w:top w:w="62" w:type="dxa"/>
              <w:left w:w="130" w:type="dxa"/>
              <w:bottom w:w="62" w:type="dxa"/>
              <w:right w:w="130" w:type="dxa"/>
            </w:tcMar>
          </w:tcPr>
          <w:p w14:paraId="292EDAAA" w14:textId="77777777" w:rsidR="00420722" w:rsidRDefault="00000000" w:rsidP="00C92978">
            <w:pPr>
              <w:spacing w:line="360" w:lineRule="auto"/>
              <w:jc w:val="both"/>
            </w:pPr>
            <w:r>
              <w:rPr>
                <w:color w:val="1E1E1E"/>
                <w:sz w:val="20"/>
                <w:szCs w:val="20"/>
              </w:rPr>
              <w:t>LEARNING &amp; GROWTH (Senge, 1990)</w:t>
            </w:r>
          </w:p>
        </w:tc>
        <w:tc>
          <w:tcPr>
            <w:tcW w:w="0" w:type="auto"/>
            <w:shd w:val="clear" w:color="auto" w:fill="F5F3EF"/>
            <w:tcMar>
              <w:top w:w="62" w:type="dxa"/>
              <w:left w:w="130" w:type="dxa"/>
              <w:bottom w:w="62" w:type="dxa"/>
              <w:right w:w="130" w:type="dxa"/>
            </w:tcMar>
          </w:tcPr>
          <w:p w14:paraId="058767A1" w14:textId="77777777" w:rsidR="00420722" w:rsidRDefault="00000000" w:rsidP="00C92978">
            <w:pPr>
              <w:spacing w:line="360" w:lineRule="auto"/>
              <w:jc w:val="both"/>
            </w:pPr>
            <w:r>
              <w:rPr>
                <w:color w:val="1E1E1E"/>
                <w:sz w:val="20"/>
                <w:szCs w:val="20"/>
              </w:rPr>
              <w:t>Build digital and data capability</w:t>
            </w:r>
          </w:p>
        </w:tc>
        <w:tc>
          <w:tcPr>
            <w:tcW w:w="0" w:type="auto"/>
            <w:shd w:val="clear" w:color="auto" w:fill="F5F3EF"/>
            <w:tcMar>
              <w:top w:w="62" w:type="dxa"/>
              <w:left w:w="130" w:type="dxa"/>
              <w:bottom w:w="62" w:type="dxa"/>
              <w:right w:w="130" w:type="dxa"/>
            </w:tcMar>
          </w:tcPr>
          <w:p w14:paraId="369F43FC" w14:textId="77777777" w:rsidR="00420722" w:rsidRDefault="00000000" w:rsidP="00C92978">
            <w:pPr>
              <w:spacing w:line="360" w:lineRule="auto"/>
              <w:jc w:val="both"/>
            </w:pPr>
            <w:r>
              <w:rPr>
                <w:color w:val="1E1E1E"/>
                <w:sz w:val="20"/>
                <w:szCs w:val="20"/>
              </w:rPr>
              <w:t>Data literacy index across organisation</w:t>
            </w:r>
          </w:p>
        </w:tc>
        <w:tc>
          <w:tcPr>
            <w:tcW w:w="0" w:type="auto"/>
            <w:shd w:val="clear" w:color="auto" w:fill="F5F3EF"/>
            <w:tcMar>
              <w:top w:w="62" w:type="dxa"/>
              <w:left w:w="130" w:type="dxa"/>
              <w:bottom w:w="62" w:type="dxa"/>
              <w:right w:w="130" w:type="dxa"/>
            </w:tcMar>
          </w:tcPr>
          <w:p w14:paraId="16FFF2BE" w14:textId="77777777" w:rsidR="00420722" w:rsidRDefault="00000000" w:rsidP="00C92978">
            <w:pPr>
              <w:spacing w:line="360" w:lineRule="auto"/>
              <w:jc w:val="both"/>
            </w:pPr>
            <w:r>
              <w:rPr>
                <w:color w:val="1E1E1E"/>
                <w:sz w:val="20"/>
                <w:szCs w:val="20"/>
              </w:rPr>
              <w:t>Score 4.0/5.0</w:t>
            </w:r>
          </w:p>
        </w:tc>
        <w:tc>
          <w:tcPr>
            <w:tcW w:w="0" w:type="auto"/>
            <w:shd w:val="clear" w:color="auto" w:fill="F5F3EF"/>
            <w:tcMar>
              <w:top w:w="62" w:type="dxa"/>
              <w:left w:w="130" w:type="dxa"/>
              <w:bottom w:w="62" w:type="dxa"/>
              <w:right w:w="130" w:type="dxa"/>
            </w:tcMar>
          </w:tcPr>
          <w:p w14:paraId="74100E7B" w14:textId="77777777" w:rsidR="00420722" w:rsidRDefault="00000000" w:rsidP="00C92978">
            <w:pPr>
              <w:spacing w:line="360" w:lineRule="auto"/>
              <w:jc w:val="both"/>
            </w:pPr>
            <w:r>
              <w:rPr>
                <w:color w:val="1E1E1E"/>
                <w:sz w:val="20"/>
                <w:szCs w:val="20"/>
              </w:rPr>
              <w:t>Diageo Learning Academy; data science recruitment</w:t>
            </w:r>
          </w:p>
        </w:tc>
      </w:tr>
      <w:tr w:rsidR="00107293" w14:paraId="42476708" w14:textId="77777777" w:rsidTr="001E0475">
        <w:tc>
          <w:tcPr>
            <w:tcW w:w="0" w:type="auto"/>
            <w:shd w:val="clear" w:color="auto" w:fill="FFFFFF"/>
            <w:tcMar>
              <w:top w:w="62" w:type="dxa"/>
              <w:left w:w="130" w:type="dxa"/>
              <w:bottom w:w="62" w:type="dxa"/>
              <w:right w:w="130" w:type="dxa"/>
            </w:tcMar>
          </w:tcPr>
          <w:p w14:paraId="09247527"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56AF0646" w14:textId="77777777" w:rsidR="00420722" w:rsidRDefault="00000000" w:rsidP="00C92978">
            <w:pPr>
              <w:spacing w:line="360" w:lineRule="auto"/>
              <w:jc w:val="both"/>
            </w:pPr>
            <w:r>
              <w:rPr>
                <w:color w:val="1E1E1E"/>
                <w:sz w:val="20"/>
                <w:szCs w:val="20"/>
              </w:rPr>
              <w:t>Develop inclusive leadership pipeline</w:t>
            </w:r>
          </w:p>
        </w:tc>
        <w:tc>
          <w:tcPr>
            <w:tcW w:w="0" w:type="auto"/>
            <w:shd w:val="clear" w:color="auto" w:fill="FFFFFF"/>
            <w:tcMar>
              <w:top w:w="62" w:type="dxa"/>
              <w:left w:w="130" w:type="dxa"/>
              <w:bottom w:w="62" w:type="dxa"/>
              <w:right w:w="130" w:type="dxa"/>
            </w:tcMar>
          </w:tcPr>
          <w:p w14:paraId="1390929C" w14:textId="77777777" w:rsidR="00420722" w:rsidRDefault="00000000" w:rsidP="00C92978">
            <w:pPr>
              <w:spacing w:line="360" w:lineRule="auto"/>
              <w:jc w:val="both"/>
            </w:pPr>
            <w:r>
              <w:rPr>
                <w:color w:val="1E1E1E"/>
                <w:sz w:val="20"/>
                <w:szCs w:val="20"/>
              </w:rPr>
              <w:t>% women and ethnically diverse leaders</w:t>
            </w:r>
          </w:p>
        </w:tc>
        <w:tc>
          <w:tcPr>
            <w:tcW w:w="0" w:type="auto"/>
            <w:shd w:val="clear" w:color="auto" w:fill="FFFFFF"/>
            <w:tcMar>
              <w:top w:w="62" w:type="dxa"/>
              <w:left w:w="130" w:type="dxa"/>
              <w:bottom w:w="62" w:type="dxa"/>
              <w:right w:w="130" w:type="dxa"/>
            </w:tcMar>
          </w:tcPr>
          <w:p w14:paraId="2C5522B8" w14:textId="77777777" w:rsidR="00420722" w:rsidRDefault="00000000" w:rsidP="00C92978">
            <w:pPr>
              <w:spacing w:line="360" w:lineRule="auto"/>
              <w:jc w:val="both"/>
            </w:pPr>
            <w:r>
              <w:rPr>
                <w:color w:val="1E1E1E"/>
                <w:sz w:val="20"/>
                <w:szCs w:val="20"/>
              </w:rPr>
              <w:t>50% women; D&amp;I targets achieved</w:t>
            </w:r>
          </w:p>
        </w:tc>
        <w:tc>
          <w:tcPr>
            <w:tcW w:w="0" w:type="auto"/>
            <w:shd w:val="clear" w:color="auto" w:fill="FFFFFF"/>
            <w:tcMar>
              <w:top w:w="62" w:type="dxa"/>
              <w:left w:w="130" w:type="dxa"/>
              <w:bottom w:w="62" w:type="dxa"/>
              <w:right w:w="130" w:type="dxa"/>
            </w:tcMar>
          </w:tcPr>
          <w:p w14:paraId="5921C196" w14:textId="77777777" w:rsidR="00420722" w:rsidRDefault="00000000" w:rsidP="00C92978">
            <w:pPr>
              <w:spacing w:line="360" w:lineRule="auto"/>
              <w:jc w:val="both"/>
            </w:pPr>
            <w:r>
              <w:rPr>
                <w:color w:val="1E1E1E"/>
                <w:sz w:val="20"/>
                <w:szCs w:val="20"/>
              </w:rPr>
              <w:t>Mentoring programmes; succession planning review</w:t>
            </w:r>
          </w:p>
        </w:tc>
      </w:tr>
      <w:tr w:rsidR="00107293" w14:paraId="1F65E937" w14:textId="77777777" w:rsidTr="001E0475">
        <w:tc>
          <w:tcPr>
            <w:tcW w:w="0" w:type="auto"/>
            <w:shd w:val="clear" w:color="auto" w:fill="F5F3EF"/>
            <w:tcMar>
              <w:top w:w="62" w:type="dxa"/>
              <w:left w:w="130" w:type="dxa"/>
              <w:bottom w:w="62" w:type="dxa"/>
              <w:right w:w="130" w:type="dxa"/>
            </w:tcMar>
          </w:tcPr>
          <w:p w14:paraId="1DE59EB7"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0D06874F" w14:textId="77777777" w:rsidR="00420722" w:rsidRDefault="00000000" w:rsidP="00C92978">
            <w:pPr>
              <w:spacing w:line="360" w:lineRule="auto"/>
              <w:jc w:val="both"/>
            </w:pPr>
            <w:r>
              <w:rPr>
                <w:color w:val="1E1E1E"/>
                <w:sz w:val="20"/>
                <w:szCs w:val="20"/>
              </w:rPr>
              <w:t>Foster sustainability culture</w:t>
            </w:r>
          </w:p>
        </w:tc>
        <w:tc>
          <w:tcPr>
            <w:tcW w:w="0" w:type="auto"/>
            <w:shd w:val="clear" w:color="auto" w:fill="F5F3EF"/>
            <w:tcMar>
              <w:top w:w="62" w:type="dxa"/>
              <w:left w:w="130" w:type="dxa"/>
              <w:bottom w:w="62" w:type="dxa"/>
              <w:right w:w="130" w:type="dxa"/>
            </w:tcMar>
          </w:tcPr>
          <w:p w14:paraId="4E819759" w14:textId="77777777" w:rsidR="00420722" w:rsidRDefault="00000000" w:rsidP="00C92978">
            <w:pPr>
              <w:spacing w:line="360" w:lineRule="auto"/>
              <w:jc w:val="both"/>
            </w:pPr>
            <w:r>
              <w:rPr>
                <w:color w:val="1E1E1E"/>
                <w:sz w:val="20"/>
                <w:szCs w:val="20"/>
              </w:rPr>
              <w:t>Employee sustainability engagement score</w:t>
            </w:r>
          </w:p>
        </w:tc>
        <w:tc>
          <w:tcPr>
            <w:tcW w:w="0" w:type="auto"/>
            <w:shd w:val="clear" w:color="auto" w:fill="F5F3EF"/>
            <w:tcMar>
              <w:top w:w="62" w:type="dxa"/>
              <w:left w:w="130" w:type="dxa"/>
              <w:bottom w:w="62" w:type="dxa"/>
              <w:right w:w="130" w:type="dxa"/>
            </w:tcMar>
          </w:tcPr>
          <w:p w14:paraId="5C980D45" w14:textId="77777777" w:rsidR="00420722" w:rsidRDefault="00000000" w:rsidP="00C92978">
            <w:pPr>
              <w:spacing w:line="360" w:lineRule="auto"/>
              <w:jc w:val="both"/>
            </w:pPr>
            <w:r>
              <w:rPr>
                <w:color w:val="1E1E1E"/>
                <w:sz w:val="20"/>
                <w:szCs w:val="20"/>
              </w:rPr>
              <w:t>Score 4.2/5.0</w:t>
            </w:r>
          </w:p>
        </w:tc>
        <w:tc>
          <w:tcPr>
            <w:tcW w:w="0" w:type="auto"/>
            <w:shd w:val="clear" w:color="auto" w:fill="F5F3EF"/>
            <w:tcMar>
              <w:top w:w="62" w:type="dxa"/>
              <w:left w:w="130" w:type="dxa"/>
              <w:bottom w:w="62" w:type="dxa"/>
              <w:right w:w="130" w:type="dxa"/>
            </w:tcMar>
          </w:tcPr>
          <w:p w14:paraId="5041E509" w14:textId="77777777" w:rsidR="00420722" w:rsidRDefault="00000000" w:rsidP="00C92978">
            <w:pPr>
              <w:spacing w:line="360" w:lineRule="auto"/>
              <w:jc w:val="both"/>
            </w:pPr>
            <w:r>
              <w:rPr>
                <w:color w:val="1E1E1E"/>
                <w:sz w:val="20"/>
                <w:szCs w:val="20"/>
              </w:rPr>
              <w:t>Spirit of Progress training; SBTi targets embedded in performance</w:t>
            </w:r>
          </w:p>
        </w:tc>
      </w:tr>
    </w:tbl>
    <w:p w14:paraId="3A0BAFF4" w14:textId="77777777" w:rsidR="00420722" w:rsidRDefault="00000000" w:rsidP="00C92978">
      <w:pPr>
        <w:spacing w:line="360" w:lineRule="auto"/>
        <w:jc w:val="both"/>
      </w:pPr>
      <w:r>
        <w:br w:type="page"/>
      </w:r>
    </w:p>
    <w:p w14:paraId="6D69EE1E" w14:textId="47E51786" w:rsidR="00420722" w:rsidRDefault="00000000" w:rsidP="00C92978">
      <w:pPr>
        <w:pStyle w:val="Heading1"/>
        <w:spacing w:line="360" w:lineRule="auto"/>
        <w:jc w:val="both"/>
      </w:pPr>
      <w:bookmarkStart w:id="19" w:name="_Toc228432239"/>
      <w:r>
        <w:lastRenderedPageBreak/>
        <w:t>5</w:t>
      </w:r>
      <w:r w:rsidR="001E0475">
        <w:t>.</w:t>
      </w:r>
      <w:r>
        <w:t xml:space="preserve"> STRATEGIC CHOICES AND IMPLEMENTATION</w:t>
      </w:r>
      <w:bookmarkEnd w:id="19"/>
    </w:p>
    <w:p w14:paraId="13E0E3DF" w14:textId="072E4C29" w:rsidR="00420722" w:rsidRDefault="006E7775" w:rsidP="00C92978">
      <w:pPr>
        <w:pStyle w:val="Heading2"/>
        <w:spacing w:line="360" w:lineRule="auto"/>
        <w:jc w:val="both"/>
      </w:pPr>
      <w:bookmarkStart w:id="20" w:name="_Toc228432240"/>
      <w:r>
        <w:t>5.1 Business</w:t>
      </w:r>
      <w:r w:rsidR="00000000">
        <w:t>-Level and Corporate-Level Strategic Options</w:t>
      </w:r>
      <w:bookmarkEnd w:id="20"/>
    </w:p>
    <w:p w14:paraId="628A5ABF" w14:textId="794F9B19" w:rsidR="00D43DC8" w:rsidRPr="00D43DC8" w:rsidRDefault="00D43DC8" w:rsidP="00C92978">
      <w:pPr>
        <w:spacing w:before="80" w:after="130" w:line="360" w:lineRule="auto"/>
        <w:jc w:val="both"/>
        <w:rPr>
          <w:color w:val="1E1E1E"/>
        </w:rPr>
      </w:pPr>
      <w:r w:rsidRPr="00D43DC8">
        <w:rPr>
          <w:color w:val="1E1E1E"/>
        </w:rPr>
        <w:t xml:space="preserve">According to Porter (1980), there are three generic strategies namely cost leadership, differentiation and focus. The strategic position of Diageo has always been wide differentiation competing on several categories, geographies, and price points based on brand quality and heritage authenticity instead of price (Porter, 1985; Johnson et al., 2017). The </w:t>
      </w:r>
      <w:proofErr w:type="spellStart"/>
      <w:r w:rsidRPr="00D43DC8">
        <w:rPr>
          <w:color w:val="1E1E1E"/>
        </w:rPr>
        <w:t>premiumisation</w:t>
      </w:r>
      <w:proofErr w:type="spellEnd"/>
      <w:r w:rsidRPr="00D43DC8">
        <w:rPr>
          <w:color w:val="1E1E1E"/>
        </w:rPr>
        <w:t xml:space="preserve"> approach can be seen as differentiation at scale, increasing income but per case and decreasing the volume to </w:t>
      </w:r>
      <w:proofErr w:type="spellStart"/>
      <w:r w:rsidRPr="00D43DC8">
        <w:rPr>
          <w:color w:val="1E1E1E"/>
        </w:rPr>
        <w:t>commoditised</w:t>
      </w:r>
      <w:proofErr w:type="spellEnd"/>
      <w:r w:rsidRPr="00D43DC8">
        <w:rPr>
          <w:color w:val="1E1E1E"/>
        </w:rPr>
        <w:t xml:space="preserve"> market segments.</w:t>
      </w:r>
    </w:p>
    <w:p w14:paraId="538EED4E" w14:textId="70C83257" w:rsidR="00420722" w:rsidRDefault="00D43DC8" w:rsidP="00C92978">
      <w:pPr>
        <w:spacing w:before="80" w:after="130" w:line="360" w:lineRule="auto"/>
        <w:jc w:val="both"/>
        <w:rPr>
          <w:color w:val="1E1E1E"/>
        </w:rPr>
      </w:pPr>
      <w:r w:rsidRPr="00D43DC8">
        <w:rPr>
          <w:color w:val="1E1E1E"/>
        </w:rPr>
        <w:t xml:space="preserve">Gen-Z consumers in their moderation trend complicates the classical model of differentiation. When the volume is structurally shrinking in developed markets, </w:t>
      </w:r>
      <w:proofErr w:type="spellStart"/>
      <w:r w:rsidRPr="00D43DC8">
        <w:rPr>
          <w:color w:val="1E1E1E"/>
        </w:rPr>
        <w:t>premiumisation</w:t>
      </w:r>
      <w:proofErr w:type="spellEnd"/>
      <w:r w:rsidRPr="00D43DC8">
        <w:rPr>
          <w:color w:val="1E1E1E"/>
        </w:rPr>
        <w:t xml:space="preserve"> can only hold the revenue but this cannot forever hold up the investment base that would support global brand marketing and innovation (</w:t>
      </w:r>
      <w:proofErr w:type="spellStart"/>
      <w:r w:rsidRPr="00D43DC8">
        <w:rPr>
          <w:color w:val="1E1E1E"/>
        </w:rPr>
        <w:t>Rumelt</w:t>
      </w:r>
      <w:proofErr w:type="spellEnd"/>
      <w:r w:rsidRPr="00D43DC8">
        <w:rPr>
          <w:color w:val="1E1E1E"/>
        </w:rPr>
        <w:t>, 2011). Diageo should thus embark on the two-speed differentiation approach: the further premium differentiation of the alcoholic portfolio and the creation of a differentiated no/low-alcohol offer that broadens its total addressable market (Teece et al., 1997; Christensen, 1997).</w:t>
      </w:r>
    </w:p>
    <w:p w14:paraId="575819D7" w14:textId="3C774DB8" w:rsidR="00ED66D8" w:rsidRDefault="00ED66D8" w:rsidP="00ED66D8">
      <w:pPr>
        <w:spacing w:before="40" w:after="190" w:line="360" w:lineRule="auto"/>
        <w:jc w:val="both"/>
      </w:pPr>
      <w:r>
        <w:rPr>
          <w:i/>
          <w:iCs/>
          <w:color w:val="666666"/>
          <w:sz w:val="19"/>
          <w:szCs w:val="19"/>
        </w:rPr>
        <w:t>Table 5: Strategic Options Evaluation – Diageo Plc (Adapted from Porter, 1980; Ansoff, 1957)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89"/>
        <w:gridCol w:w="2959"/>
        <w:gridCol w:w="3349"/>
        <w:gridCol w:w="2113"/>
      </w:tblGrid>
      <w:tr w:rsidR="00107293" w14:paraId="4C20AECB" w14:textId="77777777" w:rsidTr="005F70D3">
        <w:trPr>
          <w:tblHeader/>
        </w:trPr>
        <w:tc>
          <w:tcPr>
            <w:tcW w:w="0" w:type="auto"/>
            <w:shd w:val="clear" w:color="auto" w:fill="1A1A2E"/>
            <w:tcMar>
              <w:top w:w="80" w:type="dxa"/>
              <w:left w:w="130" w:type="dxa"/>
              <w:bottom w:w="80" w:type="dxa"/>
              <w:right w:w="130" w:type="dxa"/>
            </w:tcMar>
            <w:vAlign w:val="center"/>
          </w:tcPr>
          <w:p w14:paraId="2D32B05D" w14:textId="77777777" w:rsidR="00420722" w:rsidRDefault="00000000" w:rsidP="00C92978">
            <w:pPr>
              <w:spacing w:line="360" w:lineRule="auto"/>
              <w:jc w:val="both"/>
            </w:pPr>
            <w:r>
              <w:rPr>
                <w:b/>
                <w:bCs/>
                <w:color w:val="FFFFFF"/>
                <w:sz w:val="20"/>
                <w:szCs w:val="20"/>
              </w:rPr>
              <w:t>Level</w:t>
            </w:r>
          </w:p>
        </w:tc>
        <w:tc>
          <w:tcPr>
            <w:tcW w:w="0" w:type="auto"/>
            <w:shd w:val="clear" w:color="auto" w:fill="1A1A2E"/>
            <w:tcMar>
              <w:top w:w="80" w:type="dxa"/>
              <w:left w:w="130" w:type="dxa"/>
              <w:bottom w:w="80" w:type="dxa"/>
              <w:right w:w="130" w:type="dxa"/>
            </w:tcMar>
            <w:vAlign w:val="center"/>
          </w:tcPr>
          <w:p w14:paraId="0CA4B043" w14:textId="77777777" w:rsidR="00420722" w:rsidRDefault="00000000" w:rsidP="00C92978">
            <w:pPr>
              <w:spacing w:line="360" w:lineRule="auto"/>
              <w:jc w:val="both"/>
            </w:pPr>
            <w:r>
              <w:rPr>
                <w:b/>
                <w:bCs/>
                <w:color w:val="FFFFFF"/>
                <w:sz w:val="20"/>
                <w:szCs w:val="20"/>
              </w:rPr>
              <w:t>Strategic Option</w:t>
            </w:r>
          </w:p>
        </w:tc>
        <w:tc>
          <w:tcPr>
            <w:tcW w:w="0" w:type="auto"/>
            <w:shd w:val="clear" w:color="auto" w:fill="1A1A2E"/>
            <w:tcMar>
              <w:top w:w="80" w:type="dxa"/>
              <w:left w:w="130" w:type="dxa"/>
              <w:bottom w:w="80" w:type="dxa"/>
              <w:right w:w="130" w:type="dxa"/>
            </w:tcMar>
            <w:vAlign w:val="center"/>
          </w:tcPr>
          <w:p w14:paraId="250AB0F7" w14:textId="77777777" w:rsidR="00420722" w:rsidRDefault="00000000" w:rsidP="00C92978">
            <w:pPr>
              <w:spacing w:line="360" w:lineRule="auto"/>
              <w:jc w:val="both"/>
            </w:pPr>
            <w:r>
              <w:rPr>
                <w:b/>
                <w:bCs/>
                <w:color w:val="FFFFFF"/>
                <w:sz w:val="20"/>
                <w:szCs w:val="20"/>
              </w:rPr>
              <w:t>Assessment</w:t>
            </w:r>
          </w:p>
        </w:tc>
        <w:tc>
          <w:tcPr>
            <w:tcW w:w="0" w:type="auto"/>
            <w:shd w:val="clear" w:color="auto" w:fill="1A1A2E"/>
            <w:tcMar>
              <w:top w:w="80" w:type="dxa"/>
              <w:left w:w="130" w:type="dxa"/>
              <w:bottom w:w="80" w:type="dxa"/>
              <w:right w:w="130" w:type="dxa"/>
            </w:tcMar>
            <w:vAlign w:val="center"/>
          </w:tcPr>
          <w:p w14:paraId="2633B72B" w14:textId="77777777" w:rsidR="00420722" w:rsidRDefault="00000000" w:rsidP="00C92978">
            <w:pPr>
              <w:spacing w:line="360" w:lineRule="auto"/>
              <w:jc w:val="both"/>
            </w:pPr>
            <w:r>
              <w:rPr>
                <w:b/>
                <w:bCs/>
                <w:color w:val="FFFFFF"/>
                <w:sz w:val="20"/>
                <w:szCs w:val="20"/>
              </w:rPr>
              <w:t>Recommendation</w:t>
            </w:r>
          </w:p>
        </w:tc>
      </w:tr>
      <w:tr w:rsidR="00107293" w14:paraId="1BFED4C6" w14:textId="77777777" w:rsidTr="005F70D3">
        <w:tc>
          <w:tcPr>
            <w:tcW w:w="0" w:type="auto"/>
            <w:shd w:val="clear" w:color="auto" w:fill="F5F3EF"/>
            <w:tcMar>
              <w:top w:w="62" w:type="dxa"/>
              <w:left w:w="130" w:type="dxa"/>
              <w:bottom w:w="62" w:type="dxa"/>
              <w:right w:w="130" w:type="dxa"/>
            </w:tcMar>
          </w:tcPr>
          <w:p w14:paraId="00F61134" w14:textId="77777777" w:rsidR="00420722" w:rsidRDefault="00000000" w:rsidP="00C92978">
            <w:pPr>
              <w:spacing w:line="360" w:lineRule="auto"/>
              <w:jc w:val="both"/>
            </w:pPr>
            <w:r>
              <w:rPr>
                <w:color w:val="1E1E1E"/>
                <w:sz w:val="20"/>
                <w:szCs w:val="20"/>
              </w:rPr>
              <w:t>Business Level</w:t>
            </w:r>
          </w:p>
        </w:tc>
        <w:tc>
          <w:tcPr>
            <w:tcW w:w="0" w:type="auto"/>
            <w:shd w:val="clear" w:color="auto" w:fill="F5F3EF"/>
            <w:tcMar>
              <w:top w:w="62" w:type="dxa"/>
              <w:left w:w="130" w:type="dxa"/>
              <w:bottom w:w="62" w:type="dxa"/>
              <w:right w:w="130" w:type="dxa"/>
            </w:tcMar>
          </w:tcPr>
          <w:p w14:paraId="7AFEA2D2" w14:textId="77777777" w:rsidR="00420722" w:rsidRDefault="00000000" w:rsidP="00C92978">
            <w:pPr>
              <w:spacing w:line="360" w:lineRule="auto"/>
              <w:jc w:val="both"/>
            </w:pPr>
            <w:r>
              <w:rPr>
                <w:color w:val="1E1E1E"/>
                <w:sz w:val="20"/>
                <w:szCs w:val="20"/>
              </w:rPr>
              <w:t>Cost Leadership — compete on price in standard spirits</w:t>
            </w:r>
          </w:p>
        </w:tc>
        <w:tc>
          <w:tcPr>
            <w:tcW w:w="0" w:type="auto"/>
            <w:shd w:val="clear" w:color="auto" w:fill="F5F3EF"/>
            <w:tcMar>
              <w:top w:w="62" w:type="dxa"/>
              <w:left w:w="130" w:type="dxa"/>
              <w:bottom w:w="62" w:type="dxa"/>
              <w:right w:w="130" w:type="dxa"/>
            </w:tcMar>
          </w:tcPr>
          <w:p w14:paraId="15B95591" w14:textId="77777777" w:rsidR="00420722" w:rsidRDefault="00000000" w:rsidP="00C92978">
            <w:pPr>
              <w:spacing w:line="360" w:lineRule="auto"/>
              <w:jc w:val="both"/>
            </w:pPr>
            <w:r>
              <w:rPr>
                <w:color w:val="1E1E1E"/>
                <w:sz w:val="20"/>
                <w:szCs w:val="20"/>
              </w:rPr>
              <w:t>Low viability; destroys brand equity; margins collapse; VRIO assets not leveraged</w:t>
            </w:r>
          </w:p>
        </w:tc>
        <w:tc>
          <w:tcPr>
            <w:tcW w:w="0" w:type="auto"/>
            <w:shd w:val="clear" w:color="auto" w:fill="F5F3EF"/>
            <w:tcMar>
              <w:top w:w="62" w:type="dxa"/>
              <w:left w:w="130" w:type="dxa"/>
              <w:bottom w:w="62" w:type="dxa"/>
              <w:right w:w="130" w:type="dxa"/>
            </w:tcMar>
          </w:tcPr>
          <w:p w14:paraId="021463B0" w14:textId="77777777" w:rsidR="00420722" w:rsidRDefault="00000000" w:rsidP="00C92978">
            <w:pPr>
              <w:spacing w:line="360" w:lineRule="auto"/>
              <w:jc w:val="both"/>
            </w:pPr>
            <w:r>
              <w:rPr>
                <w:color w:val="1E1E1E"/>
                <w:sz w:val="20"/>
                <w:szCs w:val="20"/>
              </w:rPr>
              <w:t>✗ Not Recommended</w:t>
            </w:r>
          </w:p>
        </w:tc>
      </w:tr>
      <w:tr w:rsidR="00107293" w14:paraId="0EAECD63" w14:textId="77777777" w:rsidTr="005F70D3">
        <w:tc>
          <w:tcPr>
            <w:tcW w:w="0" w:type="auto"/>
            <w:shd w:val="clear" w:color="auto" w:fill="FFFFFF"/>
            <w:tcMar>
              <w:top w:w="62" w:type="dxa"/>
              <w:left w:w="130" w:type="dxa"/>
              <w:bottom w:w="62" w:type="dxa"/>
              <w:right w:w="130" w:type="dxa"/>
            </w:tcMar>
          </w:tcPr>
          <w:p w14:paraId="4EACD38A"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573C2DEC" w14:textId="77777777" w:rsidR="00420722" w:rsidRDefault="00000000" w:rsidP="00C92978">
            <w:pPr>
              <w:spacing w:line="360" w:lineRule="auto"/>
              <w:jc w:val="both"/>
            </w:pPr>
            <w:r>
              <w:rPr>
                <w:color w:val="1E1E1E"/>
                <w:sz w:val="20"/>
                <w:szCs w:val="20"/>
              </w:rPr>
              <w:t>Broad Differentiation — premiumisation + no/low portfolio expansion</w:t>
            </w:r>
          </w:p>
        </w:tc>
        <w:tc>
          <w:tcPr>
            <w:tcW w:w="0" w:type="auto"/>
            <w:shd w:val="clear" w:color="auto" w:fill="FFFFFF"/>
            <w:tcMar>
              <w:top w:w="62" w:type="dxa"/>
              <w:left w:w="130" w:type="dxa"/>
              <w:bottom w:w="62" w:type="dxa"/>
              <w:right w:w="130" w:type="dxa"/>
            </w:tcMar>
          </w:tcPr>
          <w:p w14:paraId="3ABA99F1" w14:textId="77777777" w:rsidR="00420722" w:rsidRDefault="00000000" w:rsidP="00C92978">
            <w:pPr>
              <w:spacing w:line="360" w:lineRule="auto"/>
              <w:jc w:val="both"/>
            </w:pPr>
            <w:r>
              <w:rPr>
                <w:color w:val="1E1E1E"/>
                <w:sz w:val="20"/>
                <w:szCs w:val="20"/>
              </w:rPr>
              <w:t>High viability; leverages VRIO brand assets; expands TAM; aligns with CSR</w:t>
            </w:r>
          </w:p>
        </w:tc>
        <w:tc>
          <w:tcPr>
            <w:tcW w:w="0" w:type="auto"/>
            <w:shd w:val="clear" w:color="auto" w:fill="FFFFFF"/>
            <w:tcMar>
              <w:top w:w="62" w:type="dxa"/>
              <w:left w:w="130" w:type="dxa"/>
              <w:bottom w:w="62" w:type="dxa"/>
              <w:right w:w="130" w:type="dxa"/>
            </w:tcMar>
          </w:tcPr>
          <w:p w14:paraId="23B078E9" w14:textId="77777777" w:rsidR="00420722" w:rsidRDefault="00000000" w:rsidP="00C92978">
            <w:pPr>
              <w:spacing w:line="360" w:lineRule="auto"/>
              <w:jc w:val="both"/>
            </w:pPr>
            <w:r>
              <w:rPr>
                <w:color w:val="1E1E1E"/>
                <w:sz w:val="20"/>
                <w:szCs w:val="20"/>
              </w:rPr>
              <w:t>✓ Strongly Recommended</w:t>
            </w:r>
          </w:p>
        </w:tc>
      </w:tr>
      <w:tr w:rsidR="00107293" w14:paraId="10F2C766" w14:textId="77777777" w:rsidTr="005F70D3">
        <w:tc>
          <w:tcPr>
            <w:tcW w:w="0" w:type="auto"/>
            <w:shd w:val="clear" w:color="auto" w:fill="F5F3EF"/>
            <w:tcMar>
              <w:top w:w="62" w:type="dxa"/>
              <w:left w:w="130" w:type="dxa"/>
              <w:bottom w:w="62" w:type="dxa"/>
              <w:right w:w="130" w:type="dxa"/>
            </w:tcMar>
          </w:tcPr>
          <w:p w14:paraId="66310FD1"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0338A4D7" w14:textId="77777777" w:rsidR="00420722" w:rsidRDefault="00000000" w:rsidP="00C92978">
            <w:pPr>
              <w:spacing w:line="360" w:lineRule="auto"/>
              <w:jc w:val="both"/>
            </w:pPr>
            <w:r>
              <w:rPr>
                <w:color w:val="1E1E1E"/>
                <w:sz w:val="20"/>
                <w:szCs w:val="20"/>
              </w:rPr>
              <w:t>Focused Niche — ultra-luxury collectibles only (exit mass market)</w:t>
            </w:r>
          </w:p>
        </w:tc>
        <w:tc>
          <w:tcPr>
            <w:tcW w:w="0" w:type="auto"/>
            <w:shd w:val="clear" w:color="auto" w:fill="F5F3EF"/>
            <w:tcMar>
              <w:top w:w="62" w:type="dxa"/>
              <w:left w:w="130" w:type="dxa"/>
              <w:bottom w:w="62" w:type="dxa"/>
              <w:right w:w="130" w:type="dxa"/>
            </w:tcMar>
          </w:tcPr>
          <w:p w14:paraId="2F186C67" w14:textId="77777777" w:rsidR="00420722" w:rsidRDefault="00000000" w:rsidP="00C92978">
            <w:pPr>
              <w:spacing w:line="360" w:lineRule="auto"/>
              <w:jc w:val="both"/>
            </w:pPr>
            <w:r>
              <w:rPr>
                <w:color w:val="1E1E1E"/>
                <w:sz w:val="20"/>
                <w:szCs w:val="20"/>
              </w:rPr>
              <w:t>Medium viability; sacrifices Guinness/Smirnoff cash flows; scale economies lost</w:t>
            </w:r>
          </w:p>
        </w:tc>
        <w:tc>
          <w:tcPr>
            <w:tcW w:w="0" w:type="auto"/>
            <w:shd w:val="clear" w:color="auto" w:fill="F5F3EF"/>
            <w:tcMar>
              <w:top w:w="62" w:type="dxa"/>
              <w:left w:w="130" w:type="dxa"/>
              <w:bottom w:w="62" w:type="dxa"/>
              <w:right w:w="130" w:type="dxa"/>
            </w:tcMar>
          </w:tcPr>
          <w:p w14:paraId="570369E9" w14:textId="77777777" w:rsidR="00420722" w:rsidRDefault="00000000" w:rsidP="00C92978">
            <w:pPr>
              <w:spacing w:line="360" w:lineRule="auto"/>
              <w:jc w:val="both"/>
            </w:pPr>
            <w:r>
              <w:rPr>
                <w:color w:val="1E1E1E"/>
                <w:sz w:val="20"/>
                <w:szCs w:val="20"/>
              </w:rPr>
              <w:t>✗ Not Recommended</w:t>
            </w:r>
          </w:p>
        </w:tc>
      </w:tr>
      <w:tr w:rsidR="00107293" w14:paraId="2333DBF0" w14:textId="77777777" w:rsidTr="005F70D3">
        <w:tc>
          <w:tcPr>
            <w:tcW w:w="0" w:type="auto"/>
            <w:shd w:val="clear" w:color="auto" w:fill="FFFFFF"/>
            <w:tcMar>
              <w:top w:w="62" w:type="dxa"/>
              <w:left w:w="130" w:type="dxa"/>
              <w:bottom w:w="62" w:type="dxa"/>
              <w:right w:w="130" w:type="dxa"/>
            </w:tcMar>
          </w:tcPr>
          <w:p w14:paraId="404565E6" w14:textId="77777777" w:rsidR="00420722" w:rsidRDefault="00000000" w:rsidP="00C92978">
            <w:pPr>
              <w:spacing w:line="360" w:lineRule="auto"/>
              <w:jc w:val="both"/>
            </w:pPr>
            <w:r>
              <w:rPr>
                <w:color w:val="1E1E1E"/>
                <w:sz w:val="20"/>
                <w:szCs w:val="20"/>
              </w:rPr>
              <w:t>Corporate Level</w:t>
            </w:r>
          </w:p>
        </w:tc>
        <w:tc>
          <w:tcPr>
            <w:tcW w:w="0" w:type="auto"/>
            <w:shd w:val="clear" w:color="auto" w:fill="FFFFFF"/>
            <w:tcMar>
              <w:top w:w="62" w:type="dxa"/>
              <w:left w:w="130" w:type="dxa"/>
              <w:bottom w:w="62" w:type="dxa"/>
              <w:right w:w="130" w:type="dxa"/>
            </w:tcMar>
          </w:tcPr>
          <w:p w14:paraId="41630850" w14:textId="77777777" w:rsidR="00420722" w:rsidRDefault="00000000" w:rsidP="00C92978">
            <w:pPr>
              <w:spacing w:line="360" w:lineRule="auto"/>
              <w:jc w:val="both"/>
            </w:pPr>
            <w:r>
              <w:rPr>
                <w:color w:val="1E1E1E"/>
                <w:sz w:val="20"/>
                <w:szCs w:val="20"/>
              </w:rPr>
              <w:t>Related Diversification — deepen tequila &amp; agave (Don Julio, Casamigos)</w:t>
            </w:r>
          </w:p>
        </w:tc>
        <w:tc>
          <w:tcPr>
            <w:tcW w:w="0" w:type="auto"/>
            <w:shd w:val="clear" w:color="auto" w:fill="FFFFFF"/>
            <w:tcMar>
              <w:top w:w="62" w:type="dxa"/>
              <w:left w:w="130" w:type="dxa"/>
              <w:bottom w:w="62" w:type="dxa"/>
              <w:right w:w="130" w:type="dxa"/>
            </w:tcMar>
          </w:tcPr>
          <w:p w14:paraId="0F42C426" w14:textId="77777777" w:rsidR="00420722" w:rsidRDefault="00000000" w:rsidP="00C92978">
            <w:pPr>
              <w:spacing w:line="360" w:lineRule="auto"/>
              <w:jc w:val="both"/>
            </w:pPr>
            <w:r>
              <w:rPr>
                <w:color w:val="1E1E1E"/>
                <w:sz w:val="20"/>
                <w:szCs w:val="20"/>
              </w:rPr>
              <w:t>High viability; fastest-growing global category; VRIO brand leverage</w:t>
            </w:r>
          </w:p>
        </w:tc>
        <w:tc>
          <w:tcPr>
            <w:tcW w:w="0" w:type="auto"/>
            <w:shd w:val="clear" w:color="auto" w:fill="FFFFFF"/>
            <w:tcMar>
              <w:top w:w="62" w:type="dxa"/>
              <w:left w:w="130" w:type="dxa"/>
              <w:bottom w:w="62" w:type="dxa"/>
              <w:right w:w="130" w:type="dxa"/>
            </w:tcMar>
          </w:tcPr>
          <w:p w14:paraId="0F6BAC8A" w14:textId="77777777" w:rsidR="00420722" w:rsidRDefault="00000000" w:rsidP="00C92978">
            <w:pPr>
              <w:spacing w:line="360" w:lineRule="auto"/>
              <w:jc w:val="both"/>
            </w:pPr>
            <w:r>
              <w:rPr>
                <w:color w:val="1E1E1E"/>
                <w:sz w:val="20"/>
                <w:szCs w:val="20"/>
              </w:rPr>
              <w:t>✓ Strongly Recommended</w:t>
            </w:r>
          </w:p>
        </w:tc>
      </w:tr>
      <w:tr w:rsidR="00107293" w14:paraId="0A1396CA" w14:textId="77777777" w:rsidTr="005F70D3">
        <w:tc>
          <w:tcPr>
            <w:tcW w:w="0" w:type="auto"/>
            <w:shd w:val="clear" w:color="auto" w:fill="F5F3EF"/>
            <w:tcMar>
              <w:top w:w="62" w:type="dxa"/>
              <w:left w:w="130" w:type="dxa"/>
              <w:bottom w:w="62" w:type="dxa"/>
              <w:right w:w="130" w:type="dxa"/>
            </w:tcMar>
          </w:tcPr>
          <w:p w14:paraId="5AE25C4E"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38FBFE1E" w14:textId="77777777" w:rsidR="00420722" w:rsidRDefault="00000000" w:rsidP="00C92978">
            <w:pPr>
              <w:spacing w:line="360" w:lineRule="auto"/>
              <w:jc w:val="both"/>
            </w:pPr>
            <w:r>
              <w:rPr>
                <w:color w:val="1E1E1E"/>
                <w:sz w:val="20"/>
                <w:szCs w:val="20"/>
              </w:rPr>
              <w:t>Market Development — Africa spirits category development</w:t>
            </w:r>
          </w:p>
        </w:tc>
        <w:tc>
          <w:tcPr>
            <w:tcW w:w="0" w:type="auto"/>
            <w:shd w:val="clear" w:color="auto" w:fill="F5F3EF"/>
            <w:tcMar>
              <w:top w:w="62" w:type="dxa"/>
              <w:left w:w="130" w:type="dxa"/>
              <w:bottom w:w="62" w:type="dxa"/>
              <w:right w:w="130" w:type="dxa"/>
            </w:tcMar>
          </w:tcPr>
          <w:p w14:paraId="3650A050" w14:textId="77777777" w:rsidR="00420722" w:rsidRDefault="00000000" w:rsidP="00C92978">
            <w:pPr>
              <w:spacing w:line="360" w:lineRule="auto"/>
              <w:jc w:val="both"/>
            </w:pPr>
            <w:r>
              <w:rPr>
                <w:color w:val="1E1E1E"/>
                <w:sz w:val="20"/>
                <w:szCs w:val="20"/>
              </w:rPr>
              <w:t>High viability; 1.4bn population; underdeveloped premiumisation; EABL platform</w:t>
            </w:r>
          </w:p>
        </w:tc>
        <w:tc>
          <w:tcPr>
            <w:tcW w:w="0" w:type="auto"/>
            <w:shd w:val="clear" w:color="auto" w:fill="F5F3EF"/>
            <w:tcMar>
              <w:top w:w="62" w:type="dxa"/>
              <w:left w:w="130" w:type="dxa"/>
              <w:bottom w:w="62" w:type="dxa"/>
              <w:right w:w="130" w:type="dxa"/>
            </w:tcMar>
          </w:tcPr>
          <w:p w14:paraId="4E22E79E" w14:textId="77777777" w:rsidR="00420722" w:rsidRDefault="00000000" w:rsidP="00C92978">
            <w:pPr>
              <w:spacing w:line="360" w:lineRule="auto"/>
              <w:jc w:val="both"/>
            </w:pPr>
            <w:r>
              <w:rPr>
                <w:color w:val="1E1E1E"/>
                <w:sz w:val="20"/>
                <w:szCs w:val="20"/>
              </w:rPr>
              <w:t>✓ Strongly Recommended</w:t>
            </w:r>
          </w:p>
        </w:tc>
      </w:tr>
      <w:tr w:rsidR="00107293" w14:paraId="26030D37" w14:textId="77777777" w:rsidTr="005F70D3">
        <w:tc>
          <w:tcPr>
            <w:tcW w:w="0" w:type="auto"/>
            <w:shd w:val="clear" w:color="auto" w:fill="FFFFFF"/>
            <w:tcMar>
              <w:top w:w="62" w:type="dxa"/>
              <w:left w:w="130" w:type="dxa"/>
              <w:bottom w:w="62" w:type="dxa"/>
              <w:right w:w="130" w:type="dxa"/>
            </w:tcMar>
          </w:tcPr>
          <w:p w14:paraId="58CD918C"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61559CBF" w14:textId="77777777" w:rsidR="00420722" w:rsidRDefault="00000000" w:rsidP="00C92978">
            <w:pPr>
              <w:spacing w:line="360" w:lineRule="auto"/>
              <w:jc w:val="both"/>
            </w:pPr>
            <w:r>
              <w:rPr>
                <w:color w:val="1E1E1E"/>
                <w:sz w:val="20"/>
                <w:szCs w:val="20"/>
              </w:rPr>
              <w:t>No/Low Alcohol — build category leadership (Seedlip, Guinness 0.0)</w:t>
            </w:r>
          </w:p>
        </w:tc>
        <w:tc>
          <w:tcPr>
            <w:tcW w:w="0" w:type="auto"/>
            <w:shd w:val="clear" w:color="auto" w:fill="FFFFFF"/>
            <w:tcMar>
              <w:top w:w="62" w:type="dxa"/>
              <w:left w:w="130" w:type="dxa"/>
              <w:bottom w:w="62" w:type="dxa"/>
              <w:right w:w="130" w:type="dxa"/>
            </w:tcMar>
          </w:tcPr>
          <w:p w14:paraId="2C6B3304" w14:textId="77777777" w:rsidR="00420722" w:rsidRDefault="00000000" w:rsidP="00C92978">
            <w:pPr>
              <w:spacing w:line="360" w:lineRule="auto"/>
              <w:jc w:val="both"/>
            </w:pPr>
            <w:r>
              <w:rPr>
                <w:color w:val="1E1E1E"/>
                <w:sz w:val="20"/>
                <w:szCs w:val="20"/>
              </w:rPr>
              <w:t>High viability; fastest-growing adjacency; first-mover advantage available</w:t>
            </w:r>
          </w:p>
        </w:tc>
        <w:tc>
          <w:tcPr>
            <w:tcW w:w="0" w:type="auto"/>
            <w:shd w:val="clear" w:color="auto" w:fill="FFFFFF"/>
            <w:tcMar>
              <w:top w:w="62" w:type="dxa"/>
              <w:left w:w="130" w:type="dxa"/>
              <w:bottom w:w="62" w:type="dxa"/>
              <w:right w:w="130" w:type="dxa"/>
            </w:tcMar>
          </w:tcPr>
          <w:p w14:paraId="2790DBF3" w14:textId="77777777" w:rsidR="00420722" w:rsidRDefault="00000000" w:rsidP="00C92978">
            <w:pPr>
              <w:spacing w:line="360" w:lineRule="auto"/>
              <w:jc w:val="both"/>
            </w:pPr>
            <w:r>
              <w:rPr>
                <w:color w:val="1E1E1E"/>
                <w:sz w:val="20"/>
                <w:szCs w:val="20"/>
              </w:rPr>
              <w:t>✓ Strongly Recommended</w:t>
            </w:r>
          </w:p>
        </w:tc>
      </w:tr>
      <w:tr w:rsidR="00107293" w14:paraId="59EB5743" w14:textId="77777777" w:rsidTr="005F70D3">
        <w:tc>
          <w:tcPr>
            <w:tcW w:w="0" w:type="auto"/>
            <w:shd w:val="clear" w:color="auto" w:fill="F5F3EF"/>
            <w:tcMar>
              <w:top w:w="62" w:type="dxa"/>
              <w:left w:w="130" w:type="dxa"/>
              <w:bottom w:w="62" w:type="dxa"/>
              <w:right w:w="130" w:type="dxa"/>
            </w:tcMar>
          </w:tcPr>
          <w:p w14:paraId="2F01EB0B" w14:textId="77777777" w:rsidR="00420722" w:rsidRDefault="00420722" w:rsidP="00C92978">
            <w:pPr>
              <w:spacing w:line="360" w:lineRule="auto"/>
              <w:jc w:val="both"/>
            </w:pPr>
          </w:p>
        </w:tc>
        <w:tc>
          <w:tcPr>
            <w:tcW w:w="0" w:type="auto"/>
            <w:shd w:val="clear" w:color="auto" w:fill="F5F3EF"/>
            <w:tcMar>
              <w:top w:w="62" w:type="dxa"/>
              <w:left w:w="130" w:type="dxa"/>
              <w:bottom w:w="62" w:type="dxa"/>
              <w:right w:w="130" w:type="dxa"/>
            </w:tcMar>
          </w:tcPr>
          <w:p w14:paraId="77A2D4F1" w14:textId="77777777" w:rsidR="00420722" w:rsidRDefault="00000000" w:rsidP="00C92978">
            <w:pPr>
              <w:spacing w:line="360" w:lineRule="auto"/>
              <w:jc w:val="both"/>
            </w:pPr>
            <w:r>
              <w:rPr>
                <w:color w:val="1E1E1E"/>
                <w:sz w:val="20"/>
                <w:szCs w:val="20"/>
              </w:rPr>
              <w:t>Unrelated Diversification — enter food / nutrition</w:t>
            </w:r>
          </w:p>
        </w:tc>
        <w:tc>
          <w:tcPr>
            <w:tcW w:w="0" w:type="auto"/>
            <w:shd w:val="clear" w:color="auto" w:fill="F5F3EF"/>
            <w:tcMar>
              <w:top w:w="62" w:type="dxa"/>
              <w:left w:w="130" w:type="dxa"/>
              <w:bottom w:w="62" w:type="dxa"/>
              <w:right w:w="130" w:type="dxa"/>
            </w:tcMar>
          </w:tcPr>
          <w:p w14:paraId="3CD01A7C" w14:textId="77777777" w:rsidR="00420722" w:rsidRDefault="00000000" w:rsidP="00C92978">
            <w:pPr>
              <w:spacing w:line="360" w:lineRule="auto"/>
              <w:jc w:val="both"/>
            </w:pPr>
            <w:r>
              <w:rPr>
                <w:color w:val="1E1E1E"/>
                <w:sz w:val="20"/>
                <w:szCs w:val="20"/>
              </w:rPr>
              <w:t>Low viability; misaligns with core competencies; destroys strategic focus</w:t>
            </w:r>
          </w:p>
        </w:tc>
        <w:tc>
          <w:tcPr>
            <w:tcW w:w="0" w:type="auto"/>
            <w:shd w:val="clear" w:color="auto" w:fill="F5F3EF"/>
            <w:tcMar>
              <w:top w:w="62" w:type="dxa"/>
              <w:left w:w="130" w:type="dxa"/>
              <w:bottom w:w="62" w:type="dxa"/>
              <w:right w:w="130" w:type="dxa"/>
            </w:tcMar>
          </w:tcPr>
          <w:p w14:paraId="1694E77C" w14:textId="77777777" w:rsidR="00420722" w:rsidRDefault="00000000" w:rsidP="00C92978">
            <w:pPr>
              <w:spacing w:line="360" w:lineRule="auto"/>
              <w:jc w:val="both"/>
            </w:pPr>
            <w:r>
              <w:rPr>
                <w:color w:val="1E1E1E"/>
                <w:sz w:val="20"/>
                <w:szCs w:val="20"/>
              </w:rPr>
              <w:t>✗ Not Recommended</w:t>
            </w:r>
          </w:p>
        </w:tc>
      </w:tr>
      <w:tr w:rsidR="00107293" w14:paraId="19B4DF98" w14:textId="77777777" w:rsidTr="005F70D3">
        <w:tc>
          <w:tcPr>
            <w:tcW w:w="0" w:type="auto"/>
            <w:shd w:val="clear" w:color="auto" w:fill="FFFFFF"/>
            <w:tcMar>
              <w:top w:w="62" w:type="dxa"/>
              <w:left w:w="130" w:type="dxa"/>
              <w:bottom w:w="62" w:type="dxa"/>
              <w:right w:w="130" w:type="dxa"/>
            </w:tcMar>
          </w:tcPr>
          <w:p w14:paraId="1B521C7C" w14:textId="77777777" w:rsidR="00420722" w:rsidRDefault="00420722" w:rsidP="00C92978">
            <w:pPr>
              <w:spacing w:line="360" w:lineRule="auto"/>
              <w:jc w:val="both"/>
            </w:pPr>
          </w:p>
        </w:tc>
        <w:tc>
          <w:tcPr>
            <w:tcW w:w="0" w:type="auto"/>
            <w:shd w:val="clear" w:color="auto" w:fill="FFFFFF"/>
            <w:tcMar>
              <w:top w:w="62" w:type="dxa"/>
              <w:left w:w="130" w:type="dxa"/>
              <w:bottom w:w="62" w:type="dxa"/>
              <w:right w:w="130" w:type="dxa"/>
            </w:tcMar>
          </w:tcPr>
          <w:p w14:paraId="381B89E1" w14:textId="77777777" w:rsidR="00420722" w:rsidRDefault="00000000" w:rsidP="00C92978">
            <w:pPr>
              <w:spacing w:line="360" w:lineRule="auto"/>
              <w:jc w:val="both"/>
            </w:pPr>
            <w:r>
              <w:rPr>
                <w:color w:val="1E1E1E"/>
                <w:sz w:val="20"/>
                <w:szCs w:val="20"/>
              </w:rPr>
              <w:t>Horizontal Acquisition — acquire Pernod Ricard brand</w:t>
            </w:r>
          </w:p>
        </w:tc>
        <w:tc>
          <w:tcPr>
            <w:tcW w:w="0" w:type="auto"/>
            <w:shd w:val="clear" w:color="auto" w:fill="FFFFFF"/>
            <w:tcMar>
              <w:top w:w="62" w:type="dxa"/>
              <w:left w:w="130" w:type="dxa"/>
              <w:bottom w:w="62" w:type="dxa"/>
              <w:right w:w="130" w:type="dxa"/>
            </w:tcMar>
          </w:tcPr>
          <w:p w14:paraId="1385457F" w14:textId="77777777" w:rsidR="00420722" w:rsidRDefault="00000000" w:rsidP="00C92978">
            <w:pPr>
              <w:spacing w:line="360" w:lineRule="auto"/>
              <w:jc w:val="both"/>
            </w:pPr>
            <w:r>
              <w:rPr>
                <w:color w:val="1E1E1E"/>
                <w:sz w:val="20"/>
                <w:szCs w:val="20"/>
              </w:rPr>
              <w:t>Very low viability; antitrust barriers insurmountable; prohibitive cost</w:t>
            </w:r>
          </w:p>
        </w:tc>
        <w:tc>
          <w:tcPr>
            <w:tcW w:w="0" w:type="auto"/>
            <w:shd w:val="clear" w:color="auto" w:fill="FFFFFF"/>
            <w:tcMar>
              <w:top w:w="62" w:type="dxa"/>
              <w:left w:w="130" w:type="dxa"/>
              <w:bottom w:w="62" w:type="dxa"/>
              <w:right w:w="130" w:type="dxa"/>
            </w:tcMar>
          </w:tcPr>
          <w:p w14:paraId="7AC7DAEC" w14:textId="77777777" w:rsidR="00420722" w:rsidRDefault="00000000" w:rsidP="00C92978">
            <w:pPr>
              <w:spacing w:line="360" w:lineRule="auto"/>
              <w:jc w:val="both"/>
            </w:pPr>
            <w:r>
              <w:rPr>
                <w:color w:val="1E1E1E"/>
                <w:sz w:val="20"/>
                <w:szCs w:val="20"/>
              </w:rPr>
              <w:t>✗ Not Recommended</w:t>
            </w:r>
          </w:p>
        </w:tc>
      </w:tr>
    </w:tbl>
    <w:p w14:paraId="4B489944" w14:textId="77777777" w:rsidR="00420722" w:rsidRDefault="00000000" w:rsidP="00C92978">
      <w:pPr>
        <w:pStyle w:val="Heading2"/>
        <w:spacing w:line="360" w:lineRule="auto"/>
        <w:jc w:val="both"/>
      </w:pPr>
      <w:bookmarkStart w:id="21" w:name="_Toc228432241"/>
      <w:proofErr w:type="gramStart"/>
      <w:r>
        <w:t>5.2  Change</w:t>
      </w:r>
      <w:proofErr w:type="gramEnd"/>
      <w:r>
        <w:t xml:space="preserve"> Management and Strategic Implementation</w:t>
      </w:r>
      <w:bookmarkEnd w:id="21"/>
    </w:p>
    <w:p w14:paraId="391AA7D4" w14:textId="77777777" w:rsidR="00D43DC8" w:rsidRPr="00D43DC8" w:rsidRDefault="00D43DC8" w:rsidP="00C92978">
      <w:pPr>
        <w:spacing w:line="360" w:lineRule="auto"/>
        <w:jc w:val="both"/>
        <w:rPr>
          <w:color w:val="1E1E1E"/>
        </w:rPr>
      </w:pPr>
      <w:r w:rsidRPr="00D43DC8">
        <w:rPr>
          <w:color w:val="1E1E1E"/>
        </w:rPr>
        <w:t xml:space="preserve">The strategic change of Diageo has necessitated significant organisational shift, such as acquiring </w:t>
      </w:r>
      <w:proofErr w:type="spellStart"/>
      <w:r w:rsidRPr="00D43DC8">
        <w:rPr>
          <w:color w:val="1E1E1E"/>
        </w:rPr>
        <w:t>Casamigos</w:t>
      </w:r>
      <w:proofErr w:type="spellEnd"/>
      <w:r w:rsidRPr="00D43DC8">
        <w:rPr>
          <w:color w:val="1E1E1E"/>
        </w:rPr>
        <w:t xml:space="preserve"> and Aviation Gin, speeding up </w:t>
      </w:r>
      <w:proofErr w:type="spellStart"/>
      <w:r w:rsidRPr="00D43DC8">
        <w:rPr>
          <w:color w:val="1E1E1E"/>
        </w:rPr>
        <w:t>digitalisation</w:t>
      </w:r>
      <w:proofErr w:type="spellEnd"/>
      <w:r w:rsidRPr="00D43DC8">
        <w:rPr>
          <w:color w:val="1E1E1E"/>
        </w:rPr>
        <w:t xml:space="preserve">, transforming Society 2030, and resetting channels in the wake of the pandemic. A helpful model is the eight steps to change presented by Kotter (1996). Diageo has displayed the ability to create urgency: the moderation trend, sustainability imperative, and </w:t>
      </w:r>
      <w:proofErr w:type="spellStart"/>
      <w:r w:rsidRPr="00D43DC8">
        <w:rPr>
          <w:color w:val="1E1E1E"/>
        </w:rPr>
        <w:t>premiumisation</w:t>
      </w:r>
      <w:proofErr w:type="spellEnd"/>
      <w:r w:rsidRPr="00D43DC8">
        <w:rPr>
          <w:color w:val="1E1E1E"/>
        </w:rPr>
        <w:t xml:space="preserve"> opportunity are powerful arguments that are made effectively through the voice of its various stakeholders.</w:t>
      </w:r>
    </w:p>
    <w:p w14:paraId="4442C873" w14:textId="4EA54CDA" w:rsidR="00420722" w:rsidRDefault="00D43DC8" w:rsidP="00C92978">
      <w:pPr>
        <w:spacing w:line="360" w:lineRule="auto"/>
        <w:jc w:val="both"/>
      </w:pPr>
      <w:r w:rsidRPr="00D43DC8">
        <w:rPr>
          <w:color w:val="1E1E1E"/>
        </w:rPr>
        <w:t xml:space="preserve">Johnson et al. (2017) state that strategic change within heritage-rich organisations is associated with cultural risks: values that maintain competitive advantage pride in craftsmanship, heritage attachment values can be an obstacle to innovation. According to the unfreeze-change-refreeze model created by Lewin (1951), the main challenge facing Diageo is the </w:t>
      </w:r>
      <w:proofErr w:type="spellStart"/>
      <w:r w:rsidRPr="00D43DC8">
        <w:rPr>
          <w:color w:val="1E1E1E"/>
        </w:rPr>
        <w:t>operationalisation</w:t>
      </w:r>
      <w:proofErr w:type="spellEnd"/>
      <w:r w:rsidRPr="00D43DC8">
        <w:rPr>
          <w:color w:val="1E1E1E"/>
        </w:rPr>
        <w:t xml:space="preserve"> of the no/low-alcohol strategy and digital investment at a pace that is required by the markets. According to the principles of a learning </w:t>
      </w:r>
      <w:proofErr w:type="spellStart"/>
      <w:r w:rsidRPr="00D43DC8">
        <w:rPr>
          <w:color w:val="1E1E1E"/>
        </w:rPr>
        <w:t>organisation</w:t>
      </w:r>
      <w:proofErr w:type="spellEnd"/>
      <w:r w:rsidRPr="00D43DC8">
        <w:rPr>
          <w:color w:val="1E1E1E"/>
        </w:rPr>
        <w:t xml:space="preserve"> proposed by Senge (1990), new capabilities can only be instilled by long-term investment in people development and not necessarily structural </w:t>
      </w:r>
      <w:proofErr w:type="spellStart"/>
      <w:r w:rsidRPr="00D43DC8">
        <w:rPr>
          <w:color w:val="1E1E1E"/>
        </w:rPr>
        <w:t>reorganisation</w:t>
      </w:r>
      <w:proofErr w:type="spellEnd"/>
      <w:r w:rsidRPr="00D43DC8">
        <w:rPr>
          <w:color w:val="1E1E1E"/>
        </w:rPr>
        <w:t>.</w:t>
      </w:r>
      <w:r>
        <w:br w:type="page"/>
      </w:r>
    </w:p>
    <w:p w14:paraId="5110B081" w14:textId="283804CC" w:rsidR="00420722" w:rsidRDefault="00000000" w:rsidP="00C92978">
      <w:pPr>
        <w:pStyle w:val="Heading1"/>
        <w:spacing w:line="360" w:lineRule="auto"/>
        <w:jc w:val="both"/>
      </w:pPr>
      <w:bookmarkStart w:id="22" w:name="_Toc228432242"/>
      <w:r>
        <w:lastRenderedPageBreak/>
        <w:t>6</w:t>
      </w:r>
      <w:r w:rsidR="005F70D3">
        <w:t>.</w:t>
      </w:r>
      <w:r>
        <w:t xml:space="preserve"> STRATEGIC EVALUATION AND RECOMMENDATIONS</w:t>
      </w:r>
      <w:bookmarkEnd w:id="22"/>
    </w:p>
    <w:p w14:paraId="08501EB5" w14:textId="4279322F" w:rsidR="00420722" w:rsidRDefault="006E7775" w:rsidP="00C92978">
      <w:pPr>
        <w:pStyle w:val="Heading2"/>
        <w:spacing w:line="360" w:lineRule="auto"/>
        <w:jc w:val="both"/>
      </w:pPr>
      <w:bookmarkStart w:id="23" w:name="_Toc228432243"/>
      <w:r>
        <w:t>6.1 Strategic</w:t>
      </w:r>
      <w:r w:rsidR="00000000">
        <w:t xml:space="preserve"> Evaluation: SWOT, Ansoff's Matrix, and BCG Matrix</w:t>
      </w:r>
      <w:bookmarkEnd w:id="23"/>
    </w:p>
    <w:p w14:paraId="7E70996C" w14:textId="1D3CE998" w:rsidR="00ED66D8" w:rsidRDefault="00ED66D8" w:rsidP="00ED66D8">
      <w:pPr>
        <w:spacing w:before="40" w:after="190" w:line="360" w:lineRule="auto"/>
        <w:jc w:val="both"/>
      </w:pPr>
      <w:r>
        <w:rPr>
          <w:i/>
          <w:iCs/>
          <w:color w:val="666666"/>
          <w:sz w:val="19"/>
          <w:szCs w:val="19"/>
        </w:rPr>
        <w:t xml:space="preserve">Table 6: SWOT Analysis – Diageo Plc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37"/>
        <w:gridCol w:w="4673"/>
      </w:tblGrid>
      <w:tr w:rsidR="00107293" w14:paraId="54A19DC4" w14:textId="77777777" w:rsidTr="005F70D3">
        <w:tc>
          <w:tcPr>
            <w:tcW w:w="0" w:type="auto"/>
            <w:shd w:val="clear" w:color="auto" w:fill="1A5276"/>
            <w:tcMar>
              <w:top w:w="90" w:type="dxa"/>
              <w:left w:w="150" w:type="dxa"/>
              <w:bottom w:w="90" w:type="dxa"/>
              <w:right w:w="150" w:type="dxa"/>
            </w:tcMar>
          </w:tcPr>
          <w:p w14:paraId="04B6B111" w14:textId="77777777" w:rsidR="00420722" w:rsidRDefault="00000000" w:rsidP="00C92978">
            <w:pPr>
              <w:spacing w:line="360" w:lineRule="auto"/>
              <w:jc w:val="both"/>
            </w:pPr>
            <w:r>
              <w:rPr>
                <w:b/>
                <w:bCs/>
                <w:color w:val="FFFFFF"/>
              </w:rPr>
              <w:t>STRENGTHS</w:t>
            </w:r>
          </w:p>
          <w:p w14:paraId="6FB38C33"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World's</w:t>
            </w:r>
            <w:proofErr w:type="gramEnd"/>
            <w:r>
              <w:rPr>
                <w:color w:val="FFFFFF"/>
                <w:sz w:val="20"/>
                <w:szCs w:val="20"/>
              </w:rPr>
              <w:t xml:space="preserve"> largest premium spirits company (£17bn revenue, FY2024)</w:t>
            </w:r>
          </w:p>
          <w:p w14:paraId="5616751D"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Johnnie</w:t>
            </w:r>
            <w:proofErr w:type="gramEnd"/>
            <w:r>
              <w:rPr>
                <w:color w:val="FFFFFF"/>
                <w:sz w:val="20"/>
                <w:szCs w:val="20"/>
              </w:rPr>
              <w:t xml:space="preserve"> Walker — world's most valuable Scotch whisky brand (£3.2bn)</w:t>
            </w:r>
          </w:p>
          <w:p w14:paraId="3697CBA7"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Guinness</w:t>
            </w:r>
            <w:proofErr w:type="gramEnd"/>
            <w:r>
              <w:rPr>
                <w:color w:val="FFFFFF"/>
                <w:sz w:val="20"/>
                <w:szCs w:val="20"/>
              </w:rPr>
              <w:t xml:space="preserve"> — culturally irreplaceable global stout with 0.0 variant</w:t>
            </w:r>
          </w:p>
          <w:p w14:paraId="786C91A4"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Don</w:t>
            </w:r>
            <w:proofErr w:type="gramEnd"/>
            <w:r>
              <w:rPr>
                <w:color w:val="FFFFFF"/>
                <w:sz w:val="20"/>
                <w:szCs w:val="20"/>
              </w:rPr>
              <w:t xml:space="preserve"> Julio &amp; Casamigos — dominant in the fastest-growing category (tequila)</w:t>
            </w:r>
          </w:p>
          <w:p w14:paraId="781C47D2"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Maturing</w:t>
            </w:r>
            <w:proofErr w:type="gramEnd"/>
            <w:r>
              <w:rPr>
                <w:color w:val="FFFFFF"/>
                <w:sz w:val="20"/>
                <w:szCs w:val="20"/>
              </w:rPr>
              <w:t xml:space="preserve"> whisky inventory — temporally inimitable physical asset</w:t>
            </w:r>
          </w:p>
          <w:p w14:paraId="6FFC3E3E"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180</w:t>
            </w:r>
            <w:proofErr w:type="gramEnd"/>
            <w:r>
              <w:rPr>
                <w:color w:val="FFFFFF"/>
                <w:sz w:val="20"/>
                <w:szCs w:val="20"/>
              </w:rPr>
              <w:t>-country distribution — widest route-to-market in global spirits</w:t>
            </w:r>
          </w:p>
        </w:tc>
        <w:tc>
          <w:tcPr>
            <w:tcW w:w="0" w:type="auto"/>
            <w:shd w:val="clear" w:color="auto" w:fill="922B21"/>
            <w:tcMar>
              <w:top w:w="90" w:type="dxa"/>
              <w:left w:w="150" w:type="dxa"/>
              <w:bottom w:w="90" w:type="dxa"/>
              <w:right w:w="150" w:type="dxa"/>
            </w:tcMar>
          </w:tcPr>
          <w:p w14:paraId="3AECD393" w14:textId="77777777" w:rsidR="00420722" w:rsidRDefault="00000000" w:rsidP="00C92978">
            <w:pPr>
              <w:spacing w:line="360" w:lineRule="auto"/>
              <w:jc w:val="both"/>
            </w:pPr>
            <w:r>
              <w:rPr>
                <w:b/>
                <w:bCs/>
                <w:color w:val="FFFFFF"/>
              </w:rPr>
              <w:t>WEAKNESSES</w:t>
            </w:r>
          </w:p>
          <w:p w14:paraId="2A7D7C68"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FY</w:t>
            </w:r>
            <w:proofErr w:type="gramEnd"/>
            <w:r>
              <w:rPr>
                <w:color w:val="FFFFFF"/>
                <w:sz w:val="20"/>
                <w:szCs w:val="20"/>
              </w:rPr>
              <w:t>2024 organic NSV decline — first in a decade (macro headwinds)</w:t>
            </w:r>
          </w:p>
          <w:p w14:paraId="2B1A58A1"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High</w:t>
            </w:r>
            <w:proofErr w:type="gramEnd"/>
            <w:r>
              <w:rPr>
                <w:color w:val="FFFFFF"/>
                <w:sz w:val="20"/>
                <w:szCs w:val="20"/>
              </w:rPr>
              <w:t xml:space="preserve"> dependence on North America for margin generation</w:t>
            </w:r>
          </w:p>
          <w:p w14:paraId="2CC6F0D5"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Agave</w:t>
            </w:r>
            <w:proofErr w:type="gramEnd"/>
            <w:r>
              <w:rPr>
                <w:color w:val="FFFFFF"/>
                <w:sz w:val="20"/>
                <w:szCs w:val="20"/>
              </w:rPr>
              <w:t xml:space="preserve"> supply chain concentration risk (Don Julio / Casamigos)</w:t>
            </w:r>
          </w:p>
          <w:p w14:paraId="6711D4C6"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Standard</w:t>
            </w:r>
            <w:proofErr w:type="gramEnd"/>
            <w:r>
              <w:rPr>
                <w:color w:val="FFFFFF"/>
                <w:sz w:val="20"/>
                <w:szCs w:val="20"/>
              </w:rPr>
              <w:t xml:space="preserve"> spirits (Smirnoff) facing structural ARPU pressure</w:t>
            </w:r>
          </w:p>
          <w:p w14:paraId="321C8F04"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Africa</w:t>
            </w:r>
            <w:proofErr w:type="gramEnd"/>
            <w:r>
              <w:rPr>
                <w:color w:val="FFFFFF"/>
                <w:sz w:val="20"/>
                <w:szCs w:val="20"/>
              </w:rPr>
              <w:t xml:space="preserve"> currency exposure: ZAR/EGP depreciation suppressing revenue</w:t>
            </w:r>
          </w:p>
          <w:p w14:paraId="0CA75330"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No</w:t>
            </w:r>
            <w:proofErr w:type="gramEnd"/>
            <w:r>
              <w:rPr>
                <w:color w:val="FFFFFF"/>
                <w:sz w:val="20"/>
                <w:szCs w:val="20"/>
              </w:rPr>
              <w:t>/low-alcohol portfolio scale still subscale vs opportunity</w:t>
            </w:r>
          </w:p>
        </w:tc>
      </w:tr>
      <w:tr w:rsidR="00107293" w14:paraId="24E1EF15" w14:textId="77777777" w:rsidTr="005F70D3">
        <w:tc>
          <w:tcPr>
            <w:tcW w:w="0" w:type="auto"/>
            <w:shd w:val="clear" w:color="auto" w:fill="1E6B3A"/>
            <w:tcMar>
              <w:top w:w="90" w:type="dxa"/>
              <w:left w:w="150" w:type="dxa"/>
              <w:bottom w:w="90" w:type="dxa"/>
              <w:right w:w="150" w:type="dxa"/>
            </w:tcMar>
          </w:tcPr>
          <w:p w14:paraId="4C9AC2A4" w14:textId="77777777" w:rsidR="00420722" w:rsidRDefault="00000000" w:rsidP="00C92978">
            <w:pPr>
              <w:spacing w:line="360" w:lineRule="auto"/>
              <w:jc w:val="both"/>
            </w:pPr>
            <w:r>
              <w:rPr>
                <w:b/>
                <w:bCs/>
                <w:color w:val="FFFFFF"/>
              </w:rPr>
              <w:t>OPPORTUNITIES</w:t>
            </w:r>
          </w:p>
          <w:p w14:paraId="6829EF5B"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No</w:t>
            </w:r>
            <w:proofErr w:type="gramEnd"/>
            <w:r>
              <w:rPr>
                <w:color w:val="FFFFFF"/>
                <w:sz w:val="20"/>
                <w:szCs w:val="20"/>
              </w:rPr>
              <w:t>/low-alcohol — fastest-growing beverages adjacency globally</w:t>
            </w:r>
          </w:p>
          <w:p w14:paraId="2BD077D6"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Tequila</w:t>
            </w:r>
            <w:proofErr w:type="gramEnd"/>
            <w:r>
              <w:rPr>
                <w:color w:val="FFFFFF"/>
                <w:sz w:val="20"/>
                <w:szCs w:val="20"/>
              </w:rPr>
              <w:t xml:space="preserve"> &amp; agave premiumisation — 15%+ CAGR (IWSR, 2024)</w:t>
            </w:r>
          </w:p>
          <w:p w14:paraId="7792174B"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Africa</w:t>
            </w:r>
            <w:proofErr w:type="gramEnd"/>
            <w:r>
              <w:rPr>
                <w:color w:val="FFFFFF"/>
                <w:sz w:val="20"/>
                <w:szCs w:val="20"/>
              </w:rPr>
              <w:t xml:space="preserve"> — 1.4bn people; underdeveloped premium spirits category</w:t>
            </w:r>
          </w:p>
          <w:p w14:paraId="3A948E2F"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India</w:t>
            </w:r>
            <w:proofErr w:type="gramEnd"/>
            <w:r>
              <w:rPr>
                <w:color w:val="FFFFFF"/>
                <w:sz w:val="20"/>
                <w:szCs w:val="20"/>
              </w:rPr>
              <w:t xml:space="preserve"> post-regulatory unlock — United Spirits growth acceleration</w:t>
            </w:r>
          </w:p>
          <w:p w14:paraId="701F7750"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Direct</w:t>
            </w:r>
            <w:proofErr w:type="gramEnd"/>
            <w:r>
              <w:rPr>
                <w:color w:val="FFFFFF"/>
                <w:sz w:val="20"/>
                <w:szCs w:val="20"/>
              </w:rPr>
              <w:t>-to-consumer e-commerce and brand experiences</w:t>
            </w:r>
          </w:p>
          <w:p w14:paraId="02313AE4"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Whisky</w:t>
            </w:r>
            <w:proofErr w:type="gramEnd"/>
            <w:r>
              <w:rPr>
                <w:color w:val="FFFFFF"/>
                <w:sz w:val="20"/>
                <w:szCs w:val="20"/>
              </w:rPr>
              <w:t xml:space="preserve"> collector market — ultra-rare reserve expressions</w:t>
            </w:r>
          </w:p>
        </w:tc>
        <w:tc>
          <w:tcPr>
            <w:tcW w:w="0" w:type="auto"/>
            <w:shd w:val="clear" w:color="auto" w:fill="7D6608"/>
            <w:tcMar>
              <w:top w:w="90" w:type="dxa"/>
              <w:left w:w="150" w:type="dxa"/>
              <w:bottom w:w="90" w:type="dxa"/>
              <w:right w:w="150" w:type="dxa"/>
            </w:tcMar>
          </w:tcPr>
          <w:p w14:paraId="35ACF600" w14:textId="77777777" w:rsidR="00420722" w:rsidRDefault="00000000" w:rsidP="00C92978">
            <w:pPr>
              <w:spacing w:line="360" w:lineRule="auto"/>
              <w:jc w:val="both"/>
            </w:pPr>
            <w:r>
              <w:rPr>
                <w:b/>
                <w:bCs/>
                <w:color w:val="FFFFFF"/>
              </w:rPr>
              <w:t>THREATS</w:t>
            </w:r>
          </w:p>
          <w:p w14:paraId="4766282E"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Gen</w:t>
            </w:r>
            <w:proofErr w:type="gramEnd"/>
            <w:r>
              <w:rPr>
                <w:color w:val="FFFFFF"/>
                <w:sz w:val="20"/>
                <w:szCs w:val="20"/>
              </w:rPr>
              <w:t>-Z moderation trend — structural category headwind</w:t>
            </w:r>
          </w:p>
          <w:p w14:paraId="352056CF"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Cost</w:t>
            </w:r>
            <w:proofErr w:type="gramEnd"/>
            <w:r>
              <w:rPr>
                <w:color w:val="FFFFFF"/>
                <w:sz w:val="20"/>
                <w:szCs w:val="20"/>
              </w:rPr>
              <w:t>-of-living crisis reducing discretionary premium spend</w:t>
            </w:r>
          </w:p>
          <w:p w14:paraId="34AF24D5"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Craft</w:t>
            </w:r>
            <w:proofErr w:type="gramEnd"/>
            <w:r>
              <w:rPr>
                <w:color w:val="FFFFFF"/>
                <w:sz w:val="20"/>
                <w:szCs w:val="20"/>
              </w:rPr>
              <w:t xml:space="preserve"> spirits disruption in gin, whisky, and rum segments</w:t>
            </w:r>
          </w:p>
          <w:p w14:paraId="3E24CCDB"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Climate</w:t>
            </w:r>
            <w:proofErr w:type="gramEnd"/>
            <w:r>
              <w:rPr>
                <w:color w:val="FFFFFF"/>
                <w:sz w:val="20"/>
                <w:szCs w:val="20"/>
              </w:rPr>
              <w:t xml:space="preserve"> risk: water stress threatening agave and barley supply</w:t>
            </w:r>
          </w:p>
          <w:p w14:paraId="24D3C05B"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Regulatory</w:t>
            </w:r>
            <w:proofErr w:type="gramEnd"/>
            <w:r>
              <w:rPr>
                <w:color w:val="FFFFFF"/>
                <w:sz w:val="20"/>
                <w:szCs w:val="20"/>
              </w:rPr>
              <w:t xml:space="preserve"> tightening: duty increases, advertising restrictions</w:t>
            </w:r>
          </w:p>
          <w:p w14:paraId="6A8731E2" w14:textId="77777777" w:rsidR="00420722" w:rsidRDefault="00000000" w:rsidP="00C92978">
            <w:pPr>
              <w:pStyle w:val="ListParagraph"/>
              <w:numPr>
                <w:ilvl w:val="0"/>
                <w:numId w:val="2"/>
              </w:numPr>
              <w:spacing w:before="38" w:after="38" w:line="360" w:lineRule="auto"/>
              <w:jc w:val="both"/>
            </w:pPr>
            <w:proofErr w:type="gramStart"/>
            <w:r>
              <w:rPr>
                <w:color w:val="FFFFFF"/>
                <w:sz w:val="20"/>
                <w:szCs w:val="20"/>
              </w:rPr>
              <w:t>⚠  FX</w:t>
            </w:r>
            <w:proofErr w:type="gramEnd"/>
            <w:r>
              <w:rPr>
                <w:color w:val="FFFFFF"/>
                <w:sz w:val="20"/>
                <w:szCs w:val="20"/>
              </w:rPr>
              <w:t xml:space="preserve"> headwinds in Africa, LatAm markets suppressing reported revenue</w:t>
            </w:r>
          </w:p>
        </w:tc>
      </w:tr>
    </w:tbl>
    <w:p w14:paraId="27250E4A" w14:textId="77777777" w:rsidR="00420722" w:rsidRDefault="00000000" w:rsidP="00ED66D8">
      <w:pPr>
        <w:spacing w:before="150" w:after="40" w:line="360" w:lineRule="auto"/>
        <w:jc w:val="center"/>
      </w:pPr>
      <w:r>
        <w:rPr>
          <w:noProof/>
        </w:rPr>
        <w:lastRenderedPageBreak/>
        <w:drawing>
          <wp:inline distT="0" distB="0" distL="0" distR="0" wp14:anchorId="251E452D" wp14:editId="15508A65">
            <wp:extent cx="5048250" cy="3762375"/>
            <wp:effectExtent l="0" t="0" r="0" b="0"/>
            <wp:docPr id="314143861" name="Picture 31414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048250" cy="3762375"/>
                    </a:xfrm>
                    <a:prstGeom prst="rect">
                      <a:avLst/>
                    </a:prstGeom>
                  </pic:spPr>
                </pic:pic>
              </a:graphicData>
            </a:graphic>
          </wp:inline>
        </w:drawing>
      </w:r>
    </w:p>
    <w:p w14:paraId="53A1E54E" w14:textId="77777777" w:rsidR="00420722" w:rsidRDefault="00000000" w:rsidP="00ED66D8">
      <w:pPr>
        <w:spacing w:after="190" w:line="360" w:lineRule="auto"/>
        <w:jc w:val="center"/>
      </w:pPr>
      <w:r>
        <w:rPr>
          <w:i/>
          <w:iCs/>
          <w:color w:val="666666"/>
          <w:sz w:val="19"/>
          <w:szCs w:val="19"/>
        </w:rPr>
        <w:t>Figure 7: Ansoff's Matrix – Diageo Strategic Growth Options (Adapted from Ansoff, 1957)</w:t>
      </w:r>
    </w:p>
    <w:p w14:paraId="04E6B290" w14:textId="77777777" w:rsidR="00420722" w:rsidRDefault="00000000" w:rsidP="00ED66D8">
      <w:pPr>
        <w:spacing w:before="150" w:after="40" w:line="360" w:lineRule="auto"/>
        <w:jc w:val="center"/>
      </w:pPr>
      <w:r>
        <w:rPr>
          <w:noProof/>
        </w:rPr>
        <w:drawing>
          <wp:inline distT="0" distB="0" distL="0" distR="0" wp14:anchorId="4DD9FD43" wp14:editId="3ED5D280">
            <wp:extent cx="5048250" cy="3762375"/>
            <wp:effectExtent l="0" t="0" r="0" b="0"/>
            <wp:docPr id="740539681" name="Picture 740539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048250" cy="3762375"/>
                    </a:xfrm>
                    <a:prstGeom prst="rect">
                      <a:avLst/>
                    </a:prstGeom>
                  </pic:spPr>
                </pic:pic>
              </a:graphicData>
            </a:graphic>
          </wp:inline>
        </w:drawing>
      </w:r>
    </w:p>
    <w:p w14:paraId="215CEDE5" w14:textId="77777777" w:rsidR="00420722" w:rsidRDefault="00000000" w:rsidP="00ED66D8">
      <w:pPr>
        <w:spacing w:after="190" w:line="360" w:lineRule="auto"/>
        <w:jc w:val="center"/>
      </w:pPr>
      <w:r>
        <w:rPr>
          <w:i/>
          <w:iCs/>
          <w:color w:val="666666"/>
          <w:sz w:val="19"/>
          <w:szCs w:val="19"/>
        </w:rPr>
        <w:t>Figure 8: BCG Matrix – Diageo Brand Portfolio (Adapted from Henderson, 1970)</w:t>
      </w:r>
    </w:p>
    <w:p w14:paraId="47CB11BE" w14:textId="77777777" w:rsidR="00D43DC8" w:rsidRDefault="00D43DC8" w:rsidP="00C92978">
      <w:pPr>
        <w:pStyle w:val="Heading2"/>
        <w:spacing w:line="360" w:lineRule="auto"/>
        <w:jc w:val="both"/>
        <w:rPr>
          <w:b w:val="0"/>
          <w:bCs w:val="0"/>
          <w:color w:val="1E1E1E"/>
          <w:sz w:val="22"/>
          <w:szCs w:val="22"/>
        </w:rPr>
      </w:pPr>
      <w:bookmarkStart w:id="24" w:name="_Toc228432244"/>
      <w:r w:rsidRPr="00D43DC8">
        <w:rPr>
          <w:b w:val="0"/>
          <w:bCs w:val="0"/>
          <w:color w:val="1E1E1E"/>
          <w:sz w:val="22"/>
          <w:szCs w:val="22"/>
        </w:rPr>
        <w:lastRenderedPageBreak/>
        <w:t xml:space="preserve">Johnnie Walker, Don Julio, and </w:t>
      </w:r>
      <w:proofErr w:type="spellStart"/>
      <w:r w:rsidRPr="00D43DC8">
        <w:rPr>
          <w:b w:val="0"/>
          <w:bCs w:val="0"/>
          <w:color w:val="1E1E1E"/>
          <w:sz w:val="22"/>
          <w:szCs w:val="22"/>
        </w:rPr>
        <w:t>Casamigos</w:t>
      </w:r>
      <w:proofErr w:type="spellEnd"/>
      <w:r w:rsidRPr="00D43DC8">
        <w:rPr>
          <w:b w:val="0"/>
          <w:bCs w:val="0"/>
          <w:color w:val="1E1E1E"/>
          <w:sz w:val="22"/>
          <w:szCs w:val="22"/>
        </w:rPr>
        <w:t xml:space="preserve"> are ranked as Stars (high-growth segments with a large market share that warrants a continued investment) (Figure 8) according to the BCG Matrix. Smirnoff, Guinness (UK/Ireland), and Baileys are Cash Cows that generate steady cash flows. The no/low-alcohol and the Africa spirits development take up the Question Marks high-growth adjacencies where Diageo is developing, but not yet at the level of Star (Henderson, 1970; Grant, 2016).</w:t>
      </w:r>
    </w:p>
    <w:p w14:paraId="17B9042A" w14:textId="5E42B974" w:rsidR="00420722" w:rsidRDefault="00000000" w:rsidP="00C92978">
      <w:pPr>
        <w:pStyle w:val="Heading2"/>
        <w:spacing w:line="360" w:lineRule="auto"/>
        <w:jc w:val="both"/>
      </w:pPr>
      <w:r>
        <w:t xml:space="preserve">6.2 &amp; </w:t>
      </w:r>
      <w:r w:rsidR="006E7775">
        <w:t>6.3 Strategic</w:t>
      </w:r>
      <w:r>
        <w:t xml:space="preserve"> Recommendations with Theoretical Justification</w:t>
      </w:r>
      <w:bookmarkEnd w:id="24"/>
    </w:p>
    <w:p w14:paraId="1E4B57B4" w14:textId="77777777" w:rsidR="00711F4B" w:rsidRPr="00711F4B" w:rsidRDefault="00711F4B" w:rsidP="00C92978">
      <w:pPr>
        <w:pStyle w:val="Heading1"/>
        <w:spacing w:line="360" w:lineRule="auto"/>
        <w:jc w:val="both"/>
        <w:rPr>
          <w:sz w:val="22"/>
          <w:szCs w:val="22"/>
        </w:rPr>
      </w:pPr>
      <w:bookmarkStart w:id="25" w:name="_Toc228432245"/>
      <w:r w:rsidRPr="00711F4B">
        <w:rPr>
          <w:sz w:val="22"/>
          <w:szCs w:val="22"/>
        </w:rPr>
        <w:t xml:space="preserve">Recommendation 1: </w:t>
      </w:r>
      <w:r w:rsidRPr="00711F4B">
        <w:rPr>
          <w:b w:val="0"/>
          <w:bCs w:val="0"/>
          <w:sz w:val="22"/>
          <w:szCs w:val="22"/>
        </w:rPr>
        <w:t xml:space="preserve">No/Low-Alcohol Category Leadership (Porter, 1985; Ansoff, 1957 - Product Development). Diageo ought to heavily invest in the no/low-alcohol portfolio - expanding Guinness 0.0 distribution in Europe, North America and Asia Pacific, hastening the creation of Johnnie Walker 0.0, and expanding the </w:t>
      </w:r>
      <w:proofErr w:type="spellStart"/>
      <w:r w:rsidRPr="00711F4B">
        <w:rPr>
          <w:b w:val="0"/>
          <w:bCs w:val="0"/>
          <w:sz w:val="22"/>
          <w:szCs w:val="22"/>
        </w:rPr>
        <w:t>Seedlip</w:t>
      </w:r>
      <w:proofErr w:type="spellEnd"/>
      <w:r w:rsidRPr="00711F4B">
        <w:rPr>
          <w:b w:val="0"/>
          <w:bCs w:val="0"/>
          <w:sz w:val="22"/>
          <w:szCs w:val="22"/>
        </w:rPr>
        <w:t xml:space="preserve"> ecosystem. The non/low-alcohol sector in the world is increasing at a rate of 7% CAGR and is expected to reach an amount of 11bn by 2026 (IWSR, 2024). This plan is based on the Disruptive Innovation model by Christensen (1997): the category of no/low-alcohol is a structurally disruptive force. Diageo should be the first to disrupt (Teece et al., 1997).</w:t>
      </w:r>
    </w:p>
    <w:p w14:paraId="4B705461" w14:textId="418B74F4" w:rsidR="00711F4B" w:rsidRPr="00711F4B" w:rsidRDefault="00711F4B" w:rsidP="00C92978">
      <w:pPr>
        <w:pStyle w:val="Heading1"/>
        <w:spacing w:line="360" w:lineRule="auto"/>
        <w:jc w:val="both"/>
        <w:rPr>
          <w:sz w:val="22"/>
          <w:szCs w:val="22"/>
        </w:rPr>
      </w:pPr>
      <w:r w:rsidRPr="00711F4B">
        <w:rPr>
          <w:sz w:val="22"/>
          <w:szCs w:val="22"/>
        </w:rPr>
        <w:t xml:space="preserve">Recommendation 2: </w:t>
      </w:r>
      <w:r w:rsidRPr="00711F4B">
        <w:rPr>
          <w:b w:val="0"/>
          <w:bCs w:val="0"/>
          <w:sz w:val="22"/>
          <w:szCs w:val="22"/>
        </w:rPr>
        <w:t xml:space="preserve">Intensify Tequila and Agave Investment (Ansoff, 1957; Barney, 1991 -RBV). Diageo must hasten its investment in Don Julio and </w:t>
      </w:r>
      <w:proofErr w:type="spellStart"/>
      <w:r w:rsidRPr="00711F4B">
        <w:rPr>
          <w:b w:val="0"/>
          <w:bCs w:val="0"/>
          <w:sz w:val="22"/>
          <w:szCs w:val="22"/>
        </w:rPr>
        <w:t>Casamigos</w:t>
      </w:r>
      <w:proofErr w:type="spellEnd"/>
      <w:r w:rsidRPr="00711F4B">
        <w:rPr>
          <w:b w:val="0"/>
          <w:bCs w:val="0"/>
          <w:sz w:val="22"/>
          <w:szCs w:val="22"/>
        </w:rPr>
        <w:t xml:space="preserve"> - building more distillation in Jalisco, creating ultra-premium age-statement expressions, and creating immersive brand experiences. The tequila segment is experiencing a 15%+ CAGR worldwide, and the US tequila is expected to surpass the US whiskey in volume in 2023 (IWSR, 2024). </w:t>
      </w:r>
      <w:r w:rsidR="006E7775" w:rsidRPr="00711F4B">
        <w:rPr>
          <w:b w:val="0"/>
          <w:bCs w:val="0"/>
          <w:sz w:val="22"/>
          <w:szCs w:val="22"/>
        </w:rPr>
        <w:t>Temporal</w:t>
      </w:r>
      <w:r w:rsidRPr="00711F4B">
        <w:rPr>
          <w:b w:val="0"/>
          <w:bCs w:val="0"/>
          <w:sz w:val="22"/>
          <w:szCs w:val="22"/>
        </w:rPr>
        <w:t xml:space="preserve"> inimitability is used when investing in old expressions (Dierickx and Cool, 1989): old tequila takes years to mature, and this forms inventory obstacles that could hinder the Scotch whisky leadership at Diageo.</w:t>
      </w:r>
    </w:p>
    <w:p w14:paraId="0155EFAD" w14:textId="49FF0A33" w:rsidR="00711F4B" w:rsidRDefault="00711F4B" w:rsidP="00C92978">
      <w:pPr>
        <w:pStyle w:val="Heading1"/>
        <w:spacing w:line="360" w:lineRule="auto"/>
        <w:jc w:val="both"/>
        <w:rPr>
          <w:sz w:val="22"/>
          <w:szCs w:val="22"/>
        </w:rPr>
      </w:pPr>
      <w:r w:rsidRPr="00711F4B">
        <w:rPr>
          <w:sz w:val="22"/>
          <w:szCs w:val="22"/>
        </w:rPr>
        <w:t xml:space="preserve">Recommendation 3: </w:t>
      </w:r>
      <w:r w:rsidRPr="00711F4B">
        <w:rPr>
          <w:b w:val="0"/>
          <w:bCs w:val="0"/>
          <w:sz w:val="22"/>
          <w:szCs w:val="22"/>
        </w:rPr>
        <w:t xml:space="preserve">Build Africa as the Third Strategic Growth Pillar at Diageo (Prahalad, 2006; Ghemawat, 2001). Diageo ought to officially make Africa its third strategic growth pillar together with North America and Asia Pacific, by making disproportionate investments in localised brand development and channel activation in sub-Saharan Africa. The strategic argument is strong: the 1.4 billion people of Africa are comprised of a fast-growing and underdeveloped middle class with a dire need in premium spirits consumption. The fortune-at-the-bottom-of-the-pyramid model by Prahalad (2006) proposes starting with available </w:t>
      </w:r>
      <w:r w:rsidR="006E7775" w:rsidRPr="00711F4B">
        <w:rPr>
          <w:b w:val="0"/>
          <w:bCs w:val="0"/>
          <w:sz w:val="22"/>
          <w:szCs w:val="22"/>
        </w:rPr>
        <w:t>price points</w:t>
      </w:r>
      <w:r w:rsidRPr="00711F4B">
        <w:rPr>
          <w:b w:val="0"/>
          <w:bCs w:val="0"/>
          <w:sz w:val="22"/>
          <w:szCs w:val="22"/>
        </w:rPr>
        <w:t xml:space="preserve"> and then </w:t>
      </w:r>
      <w:proofErr w:type="gramStart"/>
      <w:r w:rsidRPr="00711F4B">
        <w:rPr>
          <w:b w:val="0"/>
          <w:bCs w:val="0"/>
          <w:sz w:val="22"/>
          <w:szCs w:val="22"/>
        </w:rPr>
        <w:t>to trade</w:t>
      </w:r>
      <w:proofErr w:type="gramEnd"/>
      <w:r w:rsidRPr="00711F4B">
        <w:rPr>
          <w:b w:val="0"/>
          <w:bCs w:val="0"/>
          <w:sz w:val="22"/>
          <w:szCs w:val="22"/>
        </w:rPr>
        <w:t xml:space="preserve"> consumers up the </w:t>
      </w:r>
      <w:proofErr w:type="spellStart"/>
      <w:r w:rsidRPr="00711F4B">
        <w:rPr>
          <w:b w:val="0"/>
          <w:bCs w:val="0"/>
          <w:sz w:val="22"/>
          <w:szCs w:val="22"/>
        </w:rPr>
        <w:t>premiumisation</w:t>
      </w:r>
      <w:proofErr w:type="spellEnd"/>
      <w:r w:rsidRPr="00711F4B">
        <w:rPr>
          <w:b w:val="0"/>
          <w:bCs w:val="0"/>
          <w:sz w:val="22"/>
          <w:szCs w:val="22"/>
        </w:rPr>
        <w:t xml:space="preserve"> ladder. This is supported by the CAGE Distance Framework designed by Ghemawat (2001): the current EABL infrastructure of Diageo shortens cultural and administrative distance barriers in the new market entrants.</w:t>
      </w:r>
    </w:p>
    <w:p w14:paraId="4503F8CB" w14:textId="4D59992B" w:rsidR="00420722" w:rsidRDefault="00000000" w:rsidP="00C92978">
      <w:pPr>
        <w:pStyle w:val="Heading1"/>
        <w:spacing w:line="360" w:lineRule="auto"/>
        <w:jc w:val="both"/>
      </w:pPr>
      <w:r>
        <w:lastRenderedPageBreak/>
        <w:t>7</w:t>
      </w:r>
      <w:r w:rsidR="005F70D3">
        <w:t>.</w:t>
      </w:r>
      <w:r>
        <w:t xml:space="preserve"> CONCLUSION</w:t>
      </w:r>
      <w:bookmarkEnd w:id="25"/>
    </w:p>
    <w:p w14:paraId="3EC4A5F7" w14:textId="6AEC70C6" w:rsidR="00711F4B" w:rsidRPr="00711F4B" w:rsidRDefault="00711F4B" w:rsidP="00C92978">
      <w:pPr>
        <w:spacing w:line="360" w:lineRule="auto"/>
        <w:jc w:val="both"/>
        <w:rPr>
          <w:color w:val="1E1E1E"/>
        </w:rPr>
      </w:pPr>
      <w:r w:rsidRPr="00711F4B">
        <w:rPr>
          <w:color w:val="1E1E1E"/>
        </w:rPr>
        <w:t xml:space="preserve">This report has provided a critically based strategic management analysis of Diageo Plc, which has shown not only the depth of its competitive assets to an incredible level, but also real strategic challenges in an industry that is experiencing </w:t>
      </w:r>
      <w:r w:rsidR="006E7775" w:rsidRPr="00711F4B">
        <w:rPr>
          <w:color w:val="1E1E1E"/>
        </w:rPr>
        <w:t>structural</w:t>
      </w:r>
      <w:r w:rsidRPr="00711F4B">
        <w:rPr>
          <w:color w:val="1E1E1E"/>
        </w:rPr>
        <w:t xml:space="preserve"> change. Diageo is in a market that is influenced by both the </w:t>
      </w:r>
      <w:proofErr w:type="spellStart"/>
      <w:r w:rsidRPr="00711F4B">
        <w:rPr>
          <w:color w:val="1E1E1E"/>
        </w:rPr>
        <w:t>premiumisation</w:t>
      </w:r>
      <w:proofErr w:type="spellEnd"/>
      <w:r w:rsidRPr="00711F4B">
        <w:rPr>
          <w:color w:val="1E1E1E"/>
        </w:rPr>
        <w:t xml:space="preserve"> tailwinds and moderation </w:t>
      </w:r>
      <w:r w:rsidR="006E7775" w:rsidRPr="00711F4B">
        <w:rPr>
          <w:color w:val="1E1E1E"/>
        </w:rPr>
        <w:t>headwinds</w:t>
      </w:r>
      <w:r w:rsidRPr="00711F4B">
        <w:rPr>
          <w:color w:val="1E1E1E"/>
        </w:rPr>
        <w:t xml:space="preserve"> which are validated by the PESTEL and Porter Five Forces analysis. The VRIO framework verifies that the brand portfolio and maturing whisky inventory owned by Diageo have path-dependent inimitability that cannot be convincingly defeated by any competitor (Barney, 1991; Dierickx and Cool, 1989).</w:t>
      </w:r>
    </w:p>
    <w:p w14:paraId="55551F4F" w14:textId="191FCA73" w:rsidR="00420722" w:rsidRDefault="00711F4B" w:rsidP="00C92978">
      <w:pPr>
        <w:spacing w:line="360" w:lineRule="auto"/>
        <w:jc w:val="both"/>
      </w:pPr>
      <w:r w:rsidRPr="00711F4B">
        <w:rPr>
          <w:color w:val="1E1E1E"/>
        </w:rPr>
        <w:t>The three strategic options, which include no/low-alcohol category leadership, tequila deepening, and Africa as a third growth pillar are all aimed at solving the core strategic dilemma of Diageo: providing the organization with the near-term financial salvage and investing in the structural engines of growth over the upcoming decade. These suggestions are commercially implementable as seen in the successful launch of Guinness 0.0, the luxury positioning of Don Julio, and the hundred-year development of the African market by EABL (Johnson et al., 2017; Porter and Kramer, 2006).</w:t>
      </w:r>
      <w:r>
        <w:br w:type="page"/>
      </w:r>
    </w:p>
    <w:p w14:paraId="3D9EFC3B" w14:textId="77777777" w:rsidR="00420722" w:rsidRDefault="00000000" w:rsidP="00C92978">
      <w:pPr>
        <w:pStyle w:val="Heading1"/>
        <w:spacing w:line="360" w:lineRule="auto"/>
        <w:jc w:val="both"/>
      </w:pPr>
      <w:bookmarkStart w:id="26" w:name="_Toc228432246"/>
      <w:r>
        <w:lastRenderedPageBreak/>
        <w:t>REFERENCES</w:t>
      </w:r>
      <w:bookmarkEnd w:id="26"/>
    </w:p>
    <w:p w14:paraId="173F37C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Ansoff, H.I. (1957) "Strategies for diversification", Harvard Business Review, 35(5), pp.113–124.</w:t>
      </w:r>
    </w:p>
    <w:p w14:paraId="6F4CA18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Atkinson, A.A., Balakrishnan, R., Booth, P., Cote, J.M., Groot, T., Malmi, T., Roberts, H., Ulusoy, E. and Wu, A. (1997) "New directions in management accounting research", Journal of Management Accounting Research, 9, pp.79–108.</w:t>
      </w:r>
    </w:p>
    <w:p w14:paraId="69DE24D0"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Barney, J.B. (1991) "Firm resources and sustained competitive advantage", Journal of Management, 17(1), pp.99–120.</w:t>
      </w:r>
    </w:p>
    <w:p w14:paraId="0A373F2B"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Barney, J.B. and Wright, P.M. (1998) "On becoming a strategic partner: the role of human resources in gaining competitive advantage", Human Resource Management, 37(1), pp.31–46.</w:t>
      </w:r>
    </w:p>
    <w:p w14:paraId="047F14E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Bhattacharya, C.B. and Sen, S. (2004) "Doing better at doing good: when, why, and how consumers respond to corporate social initiatives", California Management Review, 47(1), pp.9–24.</w:t>
      </w:r>
    </w:p>
    <w:p w14:paraId="1A5202A4"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Brand Finance (2024) Spirits 50 2024: The Annual Report on the World's Most Valuable and Strongest Spirits Brands. London: Brand Finance.</w:t>
      </w:r>
    </w:p>
    <w:p w14:paraId="573C18C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Carroll, A.B. (1991) "The pyramid of corporate social responsibility: toward the moral management of organizational stakeholders", Business Horizons, 34(4), pp.39–48.</w:t>
      </w:r>
    </w:p>
    <w:p w14:paraId="37907EC3"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Christensen, C.M. (1997) The Innovator's Dilemma: When New Technologies Cause Great Firms to Fail. Boston: Harvard Business School Press.</w:t>
      </w:r>
    </w:p>
    <w:p w14:paraId="3D5BD635"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Christopher, M. (2011) Logistics and Supply Chain Management. 4th edn. Harlow: Pearson.</w:t>
      </w:r>
    </w:p>
    <w:p w14:paraId="07358128"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Davenport, T.H. and Harris, J.G. (2007) Competing on Analytics: The New Science of Winning. Boston: Harvard Business School Press.</w:t>
      </w:r>
    </w:p>
    <w:p w14:paraId="2AA87D1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Diageo Plc (2022) Annual Report and Accounts 2022. London: Diageo Plc.</w:t>
      </w:r>
    </w:p>
    <w:p w14:paraId="1CD4104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Diageo Plc (2023) Annual Report and Accounts 2023. London: Diageo Plc.</w:t>
      </w:r>
    </w:p>
    <w:p w14:paraId="0E827394"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Diageo Plc (2024) Annual Report and Accounts 2024. London: Diageo Plc.</w:t>
      </w:r>
    </w:p>
    <w:p w14:paraId="3D98B62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Dierickx, I. and Cool, K. (1989) "Asset stock accumulation and sustainability of competitive advantage", Management Science, 35(12), pp.1504–1511.</w:t>
      </w:r>
    </w:p>
    <w:p w14:paraId="2691CC24"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Eccles, R.G., Ioannou, I. and Serafeim, G. (2014) "The impact of corporate sustainability on organizational processes and performance", Management Science, 60(11), pp.2835–2857.</w:t>
      </w:r>
    </w:p>
    <w:p w14:paraId="42515B38"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Eisenmann, T., Parker, G. and Van Alstyne, M. (2006) "Strategies for two-sided markets", Harvard Business Review, 84(10), pp.92–101.</w:t>
      </w:r>
    </w:p>
    <w:p w14:paraId="46253A87"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Elkington, J. (1997) Cannibals with Forks: The Triple Bottom Line of 21st Century Business. Oxford: Capstone Publishing.</w:t>
      </w:r>
    </w:p>
    <w:p w14:paraId="1D4315F3"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Ellen MacArthur Foundation (2013) Towards the Circular Economy. Cowes: Ellen MacArthur Foundation.</w:t>
      </w:r>
    </w:p>
    <w:p w14:paraId="31ADDB01"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Freeman, R.E. (1984) Strategic Management: A Stakeholder Approach. Boston: Pitman.</w:t>
      </w:r>
    </w:p>
    <w:p w14:paraId="75B77307"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lastRenderedPageBreak/>
        <w:t>Gaughan, P.A. (2015) Mergers, Acquisitions, and Corporate Restructurings. 6th edn. Hoboken: Wiley.</w:t>
      </w:r>
    </w:p>
    <w:p w14:paraId="19C4C031"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Ghemawat, P. (2001) "Distance still matters: the hard reality of global expansion", Harvard Business Review, 79(8), pp.137–147.</w:t>
      </w:r>
    </w:p>
    <w:p w14:paraId="2C0DD9F7"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Grant, R.M. (2016) Contemporary Strategy Analysis. 9th edn. Chichester: John Wiley &amp; Sons.</w:t>
      </w:r>
    </w:p>
    <w:p w14:paraId="2A6F9B1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Hammer, M. and Champy, J. (1993) Reengineering the Corporation. New York: Harper Business.</w:t>
      </w:r>
    </w:p>
    <w:p w14:paraId="169EA531"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Henderson, B.D. (1970) The Product Portfolio. Boston: Boston Consulting Group.</w:t>
      </w:r>
    </w:p>
    <w:p w14:paraId="5F3413B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Hill, C.W.L., Jones, G.R. and Schilling, M.A. (2014) Strategic Management: Theory and Cases. 11th edn. Stamford: Cengage Learning.</w:t>
      </w:r>
    </w:p>
    <w:p w14:paraId="6BE5B8FC"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IWSR (2024) Drinks Market Analysis 2024. London: IWSR.</w:t>
      </w:r>
    </w:p>
    <w:p w14:paraId="66F68365"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Johnson, G., Whittington, R., Scholes, K., Angwin, D. and Regner, P. (2017) Exploring Strategy: Text and Cases. 11th edn. Harlow: Pearson.</w:t>
      </w:r>
    </w:p>
    <w:p w14:paraId="1A1BB09B"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Kaplan, R.S. and Norton, D.P. (1992) "The balanced scorecard: measures that drive performance", Harvard Business Review, 70(1), pp.71–79.</w:t>
      </w:r>
    </w:p>
    <w:p w14:paraId="3352E7E7"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Kaplan, R.S. and Norton, D.P. (1996) The Balanced Scorecard: Translating Strategy into Action. Boston: Harvard Business School Press.</w:t>
      </w:r>
    </w:p>
    <w:p w14:paraId="0E97483C"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Kotler, P. and Keller, K.L. (2016) Marketing Management. 15th edn. Harlow: Pearson.</w:t>
      </w:r>
    </w:p>
    <w:p w14:paraId="5CBAEBE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Kotter, J.P. (1996) Leading Change. Boston: Harvard Business School Press.</w:t>
      </w:r>
    </w:p>
    <w:p w14:paraId="09F9E3E7"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Lewin, K. (1951) Field Theory in Social Science. New York: Harper &amp; Row.</w:t>
      </w:r>
    </w:p>
    <w:p w14:paraId="52A8D19C"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McKinsey &amp; Company (2023) The State of Fashion: Luxury. New York: McKinsey &amp; Company.</w:t>
      </w:r>
    </w:p>
    <w:p w14:paraId="317E2C75"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Mintzberg, H. (1987) "The strategy concept I: five Ps for strategy", California Management Review, 30(1), pp.11–24.</w:t>
      </w:r>
    </w:p>
    <w:p w14:paraId="507C55B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Morsing, M. and Schultz, M. (2006) "Corporate social responsibility communication: stakeholder information, response and involvement strategies", Business Ethics: A European Review, 15(4), pp.323–338.</w:t>
      </w:r>
    </w:p>
    <w:p w14:paraId="4CF19683"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Niven, P.R. (2006) Balanced Scorecard Step-by-Step. 2nd edn. Hoboken: Wiley.</w:t>
      </w:r>
    </w:p>
    <w:p w14:paraId="6B28068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Peteraf, M.A. (1993) "The cornerstones of competitive advantage: a resource-based view", Strategic Management Journal, 14(3), pp.179–191.</w:t>
      </w:r>
    </w:p>
    <w:p w14:paraId="798FCBF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Porter, M.E. (1980) Competitive Strategy. New York: Free Press.</w:t>
      </w:r>
    </w:p>
    <w:p w14:paraId="1C91FD2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Porter, M.E. (1985) Competitive Advantage. New York: Free Press.</w:t>
      </w:r>
    </w:p>
    <w:p w14:paraId="27AABE2E"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Porter, M.E. and Kramer, M.R. (2006) "Strategy and society: the link between competitive advantage and corporate social responsibility", Harvard Business Review, 84(12), pp.78–92.</w:t>
      </w:r>
    </w:p>
    <w:p w14:paraId="5C4EB6D6"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Prahalad, C.K. (2006) The Fortune at the Bottom of the Pyramid. Philadelphia: Wharton School Publishing.</w:t>
      </w:r>
    </w:p>
    <w:p w14:paraId="52C91E8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Prahalad, C.K. and Hamel, G. (1990) "The core competence of the corporation", Harvard Business Review, 68(3), pp.79–91.</w:t>
      </w:r>
    </w:p>
    <w:p w14:paraId="08A64698"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lastRenderedPageBreak/>
        <w:t>Prahalad, C.K. and Hart, S.L. (2002) "The fortune at the bottom of the pyramid", Strategy + Business, 26, pp.54–67.</w:t>
      </w:r>
    </w:p>
    <w:p w14:paraId="6DEEE53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Rockart, J.F. (1979) "Chief executives define their own data needs", Harvard Business Review, 57(2), pp.81–93.</w:t>
      </w:r>
    </w:p>
    <w:p w14:paraId="00DD8C4A"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Rumelt, R.P. (2011) Good Strategy Bad Strategy. New York: Crown Business.</w:t>
      </w:r>
    </w:p>
    <w:p w14:paraId="4E5BA3A9"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Senge, P.M. (1990) The Fifth Discipline. New York: Doubleday.</w:t>
      </w:r>
    </w:p>
    <w:p w14:paraId="2CA26DC1"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Statista (2024) Global Alcoholic Beverages Market 2024–2030. Hamburg: Statista.</w:t>
      </w:r>
    </w:p>
    <w:p w14:paraId="6E593E81"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Teece, D.J., Pisano, G. and Shuen, A. (1997) "Dynamic capabilities and strategic management", Strategic Management Journal, 18(7), pp.509–533.</w:t>
      </w:r>
    </w:p>
    <w:p w14:paraId="70BFE04F"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Wernerfelt, B. (1984) "A resource-based view of the firm", Strategic Management Journal, 5(2), pp.171–180.</w:t>
      </w:r>
    </w:p>
    <w:p w14:paraId="0C0D23E0" w14:textId="77777777" w:rsidR="00420722" w:rsidRDefault="00000000" w:rsidP="00C92978">
      <w:pPr>
        <w:pStyle w:val="ListParagraph"/>
        <w:numPr>
          <w:ilvl w:val="0"/>
          <w:numId w:val="3"/>
        </w:numPr>
        <w:spacing w:before="38" w:after="62" w:line="360" w:lineRule="auto"/>
        <w:jc w:val="both"/>
      </w:pPr>
      <w:r w:rsidRPr="00D27FF3">
        <w:rPr>
          <w:color w:val="333333"/>
          <w:sz w:val="19"/>
          <w:szCs w:val="19"/>
        </w:rPr>
        <w:t>Westerman, G., Bonnet, D. and McAfee, A. (2014) Leading Digital. Boston: Harvard Business Review Press.</w:t>
      </w:r>
    </w:p>
    <w:p w14:paraId="1A000001" w14:textId="77777777" w:rsidR="00F85A78" w:rsidRDefault="00000000" w:rsidP="00C92978">
      <w:pPr>
        <w:pStyle w:val="ListParagraph"/>
        <w:numPr>
          <w:ilvl w:val="0"/>
          <w:numId w:val="3"/>
        </w:numPr>
        <w:spacing w:line="360" w:lineRule="auto"/>
        <w:jc w:val="both"/>
      </w:pPr>
      <w:r>
        <w:br w:type="page"/>
      </w:r>
    </w:p>
    <w:p w14:paraId="772D1566" w14:textId="77777777" w:rsidR="00F85A78" w:rsidRDefault="00000000" w:rsidP="0058431B">
      <w:pPr>
        <w:spacing w:before="600" w:after="80" w:line="360" w:lineRule="auto"/>
        <w:jc w:val="center"/>
      </w:pPr>
      <w:r>
        <w:rPr>
          <w:b/>
          <w:bCs/>
          <w:color w:val="1A1A2E"/>
          <w:sz w:val="46"/>
          <w:szCs w:val="46"/>
        </w:rPr>
        <w:lastRenderedPageBreak/>
        <w:t>SECTION 2: REFLECTIVE ACCOUNT</w:t>
      </w:r>
    </w:p>
    <w:p w14:paraId="179AEDEE" w14:textId="77777777" w:rsidR="00F85A78" w:rsidRDefault="00000000" w:rsidP="0058431B">
      <w:pPr>
        <w:spacing w:before="60" w:after="70" w:line="360" w:lineRule="auto"/>
        <w:jc w:val="center"/>
      </w:pPr>
      <w:r>
        <w:rPr>
          <w:b/>
          <w:bCs/>
          <w:color w:val="B8860B"/>
          <w:sz w:val="28"/>
          <w:szCs w:val="28"/>
        </w:rPr>
        <w:t>Diageo Plc – Strategic Management Analysis</w:t>
      </w:r>
    </w:p>
    <w:p w14:paraId="2DA69150" w14:textId="77777777" w:rsidR="00F85A78" w:rsidRDefault="00000000" w:rsidP="0058431B">
      <w:pPr>
        <w:spacing w:before="40" w:after="60" w:line="360" w:lineRule="auto"/>
        <w:jc w:val="center"/>
      </w:pPr>
      <w:r>
        <w:rPr>
          <w:i/>
          <w:iCs/>
          <w:color w:val="444444"/>
        </w:rPr>
        <w:t>Applying Gibbs' Reflective Cycle (1988) to the Research, Analysis and Preparation Process</w:t>
      </w:r>
    </w:p>
    <w:p w14:paraId="6A217956" w14:textId="77777777" w:rsidR="00F85A78" w:rsidRDefault="00F85A78" w:rsidP="00C92978">
      <w:pPr>
        <w:pBdr>
          <w:bottom w:val="single" w:sz="6" w:space="8" w:color="B8860B"/>
        </w:pBdr>
        <w:spacing w:before="50" w:after="50" w:line="360" w:lineRule="auto"/>
        <w:jc w:val="both"/>
      </w:pPr>
    </w:p>
    <w:p w14:paraId="14D9C407" w14:textId="77777777" w:rsidR="00F85A78" w:rsidRDefault="00000000" w:rsidP="00C92978">
      <w:pPr>
        <w:pStyle w:val="Heading2"/>
        <w:spacing w:line="360" w:lineRule="auto"/>
        <w:jc w:val="both"/>
      </w:pPr>
      <w:bookmarkStart w:id="27" w:name="_Toc228432247"/>
      <w:r>
        <w:t>Introduction</w:t>
      </w:r>
      <w:bookmarkEnd w:id="27"/>
    </w:p>
    <w:p w14:paraId="5D8E0F35" w14:textId="039B67AD" w:rsidR="00F85A78" w:rsidRDefault="00D27FF3" w:rsidP="002939C9">
      <w:pPr>
        <w:spacing w:before="160" w:after="40" w:line="360" w:lineRule="auto"/>
        <w:jc w:val="center"/>
      </w:pPr>
      <w:r w:rsidRPr="00D27FF3">
        <w:rPr>
          <w:color w:val="1E1E1E"/>
        </w:rPr>
        <w:t xml:space="preserve">This section is the tabulated reflective report on the research and analysis carried out in the preparation of the Diageo strategic management analysis. The </w:t>
      </w:r>
      <w:proofErr w:type="spellStart"/>
      <w:r w:rsidRPr="00D27FF3">
        <w:rPr>
          <w:color w:val="1E1E1E"/>
        </w:rPr>
        <w:t>organising</w:t>
      </w:r>
      <w:proofErr w:type="spellEnd"/>
      <w:r w:rsidRPr="00D27FF3">
        <w:rPr>
          <w:color w:val="1E1E1E"/>
        </w:rPr>
        <w:t xml:space="preserve"> architecture of Reflective Cycle (1988) by Gibbs supports the rich reflective investigation that Boud et al. (1985) define as paramount to postgraduate level experiential learning.</w:t>
      </w:r>
      <w:r>
        <w:rPr>
          <w:noProof/>
        </w:rPr>
        <w:drawing>
          <wp:inline distT="0" distB="0" distL="0" distR="0" wp14:anchorId="2F06CBFB" wp14:editId="32CC289D">
            <wp:extent cx="4667250" cy="4667250"/>
            <wp:effectExtent l="0" t="0" r="0" b="0"/>
            <wp:docPr id="1128983187" name="Picture 112898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667250" cy="4667250"/>
                    </a:xfrm>
                    <a:prstGeom prst="rect">
                      <a:avLst/>
                    </a:prstGeom>
                  </pic:spPr>
                </pic:pic>
              </a:graphicData>
            </a:graphic>
          </wp:inline>
        </w:drawing>
      </w:r>
    </w:p>
    <w:p w14:paraId="2DEA4570" w14:textId="77777777" w:rsidR="00F85A78" w:rsidRDefault="00000000" w:rsidP="002939C9">
      <w:pPr>
        <w:spacing w:after="200" w:line="360" w:lineRule="auto"/>
        <w:jc w:val="center"/>
      </w:pPr>
      <w:r>
        <w:rPr>
          <w:i/>
          <w:iCs/>
          <w:color w:val="666666"/>
          <w:sz w:val="19"/>
          <w:szCs w:val="19"/>
        </w:rPr>
        <w:t>Figure 1: Gibbs' Reflective Cycle (1988) – Applied to the Diageo Strategic Management Analysis</w:t>
      </w:r>
    </w:p>
    <w:p w14:paraId="0F76AF2F" w14:textId="77777777" w:rsidR="00F85A78" w:rsidRDefault="00000000" w:rsidP="00C92978">
      <w:pPr>
        <w:spacing w:before="160" w:after="40" w:line="360" w:lineRule="auto"/>
        <w:jc w:val="both"/>
      </w:pPr>
      <w:r>
        <w:rPr>
          <w:noProof/>
        </w:rPr>
        <w:lastRenderedPageBreak/>
        <w:drawing>
          <wp:inline distT="0" distB="0" distL="0" distR="0" wp14:anchorId="5D3ECD00" wp14:editId="4D4B5B28">
            <wp:extent cx="5619750" cy="2047875"/>
            <wp:effectExtent l="0" t="0" r="0" b="0"/>
            <wp:docPr id="887212755" name="Picture 88721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619750" cy="2047875"/>
                    </a:xfrm>
                    <a:prstGeom prst="rect">
                      <a:avLst/>
                    </a:prstGeom>
                  </pic:spPr>
                </pic:pic>
              </a:graphicData>
            </a:graphic>
          </wp:inline>
        </w:drawing>
      </w:r>
    </w:p>
    <w:p w14:paraId="572B5B37" w14:textId="32A2B8EF" w:rsidR="00F85A78" w:rsidRDefault="00000000" w:rsidP="002939C9">
      <w:pPr>
        <w:spacing w:after="200" w:line="360" w:lineRule="auto"/>
        <w:jc w:val="center"/>
        <w:rPr>
          <w:i/>
          <w:iCs/>
          <w:color w:val="666666"/>
          <w:sz w:val="19"/>
          <w:szCs w:val="19"/>
        </w:rPr>
      </w:pPr>
      <w:r>
        <w:rPr>
          <w:i/>
          <w:iCs/>
          <w:color w:val="666666"/>
          <w:sz w:val="19"/>
          <w:szCs w:val="19"/>
        </w:rPr>
        <w:t xml:space="preserve">Figure 2: Six-Phase Research and Analytical Process Flowchart – Diageo </w:t>
      </w:r>
      <w:proofErr w:type="gramStart"/>
      <w:r>
        <w:rPr>
          <w:i/>
          <w:iCs/>
          <w:color w:val="666666"/>
          <w:sz w:val="19"/>
          <w:szCs w:val="19"/>
        </w:rPr>
        <w:t xml:space="preserve">Assignment </w:t>
      </w:r>
      <w:r w:rsidR="002939C9">
        <w:rPr>
          <w:i/>
          <w:iCs/>
          <w:color w:val="666666"/>
          <w:sz w:val="19"/>
          <w:szCs w:val="19"/>
        </w:rPr>
        <w:t>.</w:t>
      </w:r>
      <w:proofErr w:type="gramEnd"/>
    </w:p>
    <w:p w14:paraId="18E3A570" w14:textId="77777777" w:rsidR="00931B2B" w:rsidRDefault="00931B2B" w:rsidP="00931B2B">
      <w:pPr>
        <w:spacing w:before="30" w:after="190" w:line="360" w:lineRule="auto"/>
        <w:jc w:val="both"/>
        <w:rPr>
          <w:i/>
          <w:iCs/>
          <w:color w:val="666666"/>
          <w:sz w:val="19"/>
          <w:szCs w:val="19"/>
        </w:rPr>
      </w:pPr>
    </w:p>
    <w:p w14:paraId="4365FA3C" w14:textId="704E8417" w:rsidR="00931B2B" w:rsidRDefault="00931B2B" w:rsidP="00931B2B">
      <w:pPr>
        <w:spacing w:before="30" w:after="190" w:line="360" w:lineRule="auto"/>
        <w:jc w:val="both"/>
      </w:pPr>
      <w:r>
        <w:rPr>
          <w:i/>
          <w:iCs/>
          <w:color w:val="666666"/>
          <w:sz w:val="19"/>
          <w:szCs w:val="19"/>
        </w:rPr>
        <w:t xml:space="preserve">Table 1: Stage 1 – Description </w:t>
      </w:r>
      <w:proofErr w:type="gramStart"/>
      <w:r>
        <w:rPr>
          <w:i/>
          <w:iCs/>
          <w:color w:val="666666"/>
          <w:sz w:val="19"/>
          <w:szCs w:val="19"/>
        </w:rPr>
        <w:t>Summary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18"/>
        <w:gridCol w:w="7792"/>
      </w:tblGrid>
      <w:tr w:rsidR="00107293" w14:paraId="62B461DE" w14:textId="77777777" w:rsidTr="00D27FF3">
        <w:trPr>
          <w:tblHeader/>
        </w:trPr>
        <w:tc>
          <w:tcPr>
            <w:tcW w:w="0" w:type="auto"/>
            <w:shd w:val="clear" w:color="auto" w:fill="8B0000"/>
            <w:tcMar>
              <w:top w:w="90" w:type="dxa"/>
              <w:left w:w="150" w:type="dxa"/>
              <w:bottom w:w="90" w:type="dxa"/>
              <w:right w:w="150" w:type="dxa"/>
            </w:tcMar>
            <w:vAlign w:val="center"/>
          </w:tcPr>
          <w:p w14:paraId="35572F36" w14:textId="77777777" w:rsidR="00F85A78" w:rsidRDefault="00000000" w:rsidP="00C92978">
            <w:pPr>
              <w:spacing w:line="360" w:lineRule="auto"/>
              <w:jc w:val="both"/>
            </w:pPr>
            <w:r>
              <w:rPr>
                <w:b/>
                <w:bCs/>
                <w:color w:val="FFFFFF"/>
              </w:rPr>
              <w:t>Stage 1</w:t>
            </w:r>
          </w:p>
        </w:tc>
        <w:tc>
          <w:tcPr>
            <w:tcW w:w="0" w:type="auto"/>
            <w:shd w:val="clear" w:color="auto" w:fill="8B0000"/>
            <w:tcMar>
              <w:top w:w="90" w:type="dxa"/>
              <w:left w:w="150" w:type="dxa"/>
              <w:bottom w:w="90" w:type="dxa"/>
              <w:right w:w="150" w:type="dxa"/>
            </w:tcMar>
          </w:tcPr>
          <w:p w14:paraId="6CBB0979" w14:textId="77777777" w:rsidR="00F85A78" w:rsidRDefault="00000000" w:rsidP="00C92978">
            <w:pPr>
              <w:spacing w:line="360" w:lineRule="auto"/>
              <w:jc w:val="both"/>
            </w:pPr>
            <w:proofErr w:type="gramStart"/>
            <w:r>
              <w:rPr>
                <w:b/>
                <w:bCs/>
                <w:color w:val="FFFFFF"/>
              </w:rPr>
              <w:t>DESCRIPTION  —</w:t>
            </w:r>
            <w:proofErr w:type="gramEnd"/>
            <w:r>
              <w:rPr>
                <w:b/>
                <w:bCs/>
                <w:color w:val="FFFFFF"/>
              </w:rPr>
              <w:t xml:space="preserve">  What Happened?</w:t>
            </w:r>
          </w:p>
        </w:tc>
      </w:tr>
      <w:tr w:rsidR="00107293" w14:paraId="62266751" w14:textId="77777777" w:rsidTr="00D27FF3">
        <w:tc>
          <w:tcPr>
            <w:tcW w:w="0" w:type="auto"/>
            <w:shd w:val="clear" w:color="auto" w:fill="F5F3EF"/>
            <w:tcMar>
              <w:top w:w="70" w:type="dxa"/>
              <w:left w:w="150" w:type="dxa"/>
              <w:bottom w:w="70" w:type="dxa"/>
              <w:right w:w="150" w:type="dxa"/>
            </w:tcMar>
            <w:vAlign w:val="center"/>
          </w:tcPr>
          <w:p w14:paraId="3FAE247D" w14:textId="77777777" w:rsidR="00F85A78" w:rsidRDefault="00000000" w:rsidP="00C92978">
            <w:pPr>
              <w:spacing w:line="360" w:lineRule="auto"/>
              <w:jc w:val="both"/>
            </w:pPr>
            <w:proofErr w:type="spellStart"/>
            <w:r>
              <w:rPr>
                <w:b/>
                <w:bCs/>
                <w:color w:val="0F6B75"/>
              </w:rPr>
              <w:t>Organisation</w:t>
            </w:r>
            <w:proofErr w:type="spellEnd"/>
            <w:r>
              <w:rPr>
                <w:b/>
                <w:bCs/>
                <w:color w:val="0F6B75"/>
              </w:rPr>
              <w:t xml:space="preserve"> Selected</w:t>
            </w:r>
          </w:p>
        </w:tc>
        <w:tc>
          <w:tcPr>
            <w:tcW w:w="0" w:type="auto"/>
            <w:shd w:val="clear" w:color="auto" w:fill="FFFFFF"/>
            <w:tcMar>
              <w:top w:w="70" w:type="dxa"/>
              <w:left w:w="150" w:type="dxa"/>
              <w:bottom w:w="70" w:type="dxa"/>
              <w:right w:w="150" w:type="dxa"/>
            </w:tcMar>
          </w:tcPr>
          <w:p w14:paraId="16BA9758" w14:textId="77777777" w:rsidR="00F85A78" w:rsidRDefault="00000000" w:rsidP="00C92978">
            <w:pPr>
              <w:spacing w:line="360" w:lineRule="auto"/>
              <w:jc w:val="both"/>
            </w:pPr>
            <w:r>
              <w:rPr>
                <w:color w:val="1E1E1E"/>
              </w:rPr>
              <w:t>Diageo Plc was selected for its exceptional analytical richness: as the world’s largest premium spirits company, it combines century-old heritage brands with genuinely disruptive strategic challenges spanning all sections of the assessment brief.</w:t>
            </w:r>
          </w:p>
        </w:tc>
      </w:tr>
      <w:tr w:rsidR="00107293" w14:paraId="6CD67FC5" w14:textId="77777777" w:rsidTr="00D27FF3">
        <w:tc>
          <w:tcPr>
            <w:tcW w:w="0" w:type="auto"/>
            <w:shd w:val="clear" w:color="auto" w:fill="F5F3EF"/>
            <w:tcMar>
              <w:top w:w="70" w:type="dxa"/>
              <w:left w:w="150" w:type="dxa"/>
              <w:bottom w:w="70" w:type="dxa"/>
              <w:right w:w="150" w:type="dxa"/>
            </w:tcMar>
            <w:vAlign w:val="center"/>
          </w:tcPr>
          <w:p w14:paraId="105AD442" w14:textId="77777777" w:rsidR="00F85A78" w:rsidRDefault="00000000" w:rsidP="00C92978">
            <w:pPr>
              <w:spacing w:line="360" w:lineRule="auto"/>
              <w:jc w:val="both"/>
            </w:pPr>
            <w:r>
              <w:rPr>
                <w:b/>
                <w:bCs/>
                <w:color w:val="0F6B75"/>
              </w:rPr>
              <w:t>Research Conducted</w:t>
            </w:r>
          </w:p>
        </w:tc>
        <w:tc>
          <w:tcPr>
            <w:tcW w:w="0" w:type="auto"/>
            <w:shd w:val="clear" w:color="auto" w:fill="FFFFFF"/>
            <w:tcMar>
              <w:top w:w="70" w:type="dxa"/>
              <w:left w:w="150" w:type="dxa"/>
              <w:bottom w:w="70" w:type="dxa"/>
              <w:right w:w="150" w:type="dxa"/>
            </w:tcMar>
          </w:tcPr>
          <w:p w14:paraId="078DA965" w14:textId="77777777" w:rsidR="00F85A78" w:rsidRDefault="00000000" w:rsidP="00C92978">
            <w:pPr>
              <w:spacing w:line="360" w:lineRule="auto"/>
              <w:jc w:val="both"/>
            </w:pPr>
            <w:r>
              <w:rPr>
                <w:color w:val="1E1E1E"/>
              </w:rPr>
              <w:t>Diageo Annual Reports (2022–2024); IWSR (2024); Brand Finance (2024); Statista (2024). Academic literature: 50+ peer-reviewed sources including Barney (1991), Porter (1985), Teece et al. (1997), Kaplan and Norton (1992).</w:t>
            </w:r>
          </w:p>
        </w:tc>
      </w:tr>
      <w:tr w:rsidR="00107293" w14:paraId="55D015A1" w14:textId="77777777" w:rsidTr="00D27FF3">
        <w:tc>
          <w:tcPr>
            <w:tcW w:w="0" w:type="auto"/>
            <w:shd w:val="clear" w:color="auto" w:fill="F5F3EF"/>
            <w:tcMar>
              <w:top w:w="70" w:type="dxa"/>
              <w:left w:w="150" w:type="dxa"/>
              <w:bottom w:w="70" w:type="dxa"/>
              <w:right w:w="150" w:type="dxa"/>
            </w:tcMar>
            <w:vAlign w:val="center"/>
          </w:tcPr>
          <w:p w14:paraId="2E7D2E9E" w14:textId="77777777" w:rsidR="00F85A78" w:rsidRDefault="00000000" w:rsidP="00C92978">
            <w:pPr>
              <w:spacing w:line="360" w:lineRule="auto"/>
              <w:jc w:val="both"/>
            </w:pPr>
            <w:r>
              <w:rPr>
                <w:b/>
                <w:bCs/>
                <w:color w:val="0F6B75"/>
              </w:rPr>
              <w:t>Analytical Work</w:t>
            </w:r>
          </w:p>
        </w:tc>
        <w:tc>
          <w:tcPr>
            <w:tcW w:w="0" w:type="auto"/>
            <w:shd w:val="clear" w:color="auto" w:fill="FFFFFF"/>
            <w:tcMar>
              <w:top w:w="70" w:type="dxa"/>
              <w:left w:w="150" w:type="dxa"/>
              <w:bottom w:w="70" w:type="dxa"/>
              <w:right w:w="150" w:type="dxa"/>
            </w:tcMar>
          </w:tcPr>
          <w:p w14:paraId="13722A95" w14:textId="77777777" w:rsidR="00F85A78" w:rsidRDefault="00000000" w:rsidP="00C92978">
            <w:pPr>
              <w:spacing w:line="360" w:lineRule="auto"/>
              <w:jc w:val="both"/>
            </w:pPr>
            <w:r>
              <w:rPr>
                <w:color w:val="1E1E1E"/>
              </w:rPr>
              <w:t>Eight frameworks applied: PESTEL, Porter’s Five Forces, VRIO, BSC, SWOT, Ansoff’s Matrix, BCG Matrix, Competitive Positioning Map. Eight visualisations and six tables produced.</w:t>
            </w:r>
          </w:p>
        </w:tc>
      </w:tr>
      <w:tr w:rsidR="00107293" w14:paraId="212F240D" w14:textId="77777777" w:rsidTr="00D27FF3">
        <w:tc>
          <w:tcPr>
            <w:tcW w:w="0" w:type="auto"/>
            <w:shd w:val="clear" w:color="auto" w:fill="F5F3EF"/>
            <w:tcMar>
              <w:top w:w="70" w:type="dxa"/>
              <w:left w:w="150" w:type="dxa"/>
              <w:bottom w:w="70" w:type="dxa"/>
              <w:right w:w="150" w:type="dxa"/>
            </w:tcMar>
            <w:vAlign w:val="center"/>
          </w:tcPr>
          <w:p w14:paraId="10C2ABFF" w14:textId="77777777" w:rsidR="00F85A78" w:rsidRDefault="00000000" w:rsidP="00C92978">
            <w:pPr>
              <w:spacing w:line="360" w:lineRule="auto"/>
              <w:jc w:val="both"/>
            </w:pPr>
            <w:r>
              <w:rPr>
                <w:b/>
                <w:bCs/>
                <w:color w:val="0F6B75"/>
              </w:rPr>
              <w:t>Output Delivered</w:t>
            </w:r>
          </w:p>
        </w:tc>
        <w:tc>
          <w:tcPr>
            <w:tcW w:w="0" w:type="auto"/>
            <w:shd w:val="clear" w:color="auto" w:fill="FFFFFF"/>
            <w:tcMar>
              <w:top w:w="70" w:type="dxa"/>
              <w:left w:w="150" w:type="dxa"/>
              <w:bottom w:w="70" w:type="dxa"/>
              <w:right w:w="150" w:type="dxa"/>
            </w:tcMar>
          </w:tcPr>
          <w:p w14:paraId="174D134E" w14:textId="77777777" w:rsidR="00F85A78" w:rsidRDefault="00000000" w:rsidP="00C92978">
            <w:pPr>
              <w:spacing w:line="360" w:lineRule="auto"/>
              <w:jc w:val="both"/>
            </w:pPr>
            <w:r>
              <w:rPr>
                <w:color w:val="1E1E1E"/>
              </w:rPr>
              <w:t>≈4,000-word critical report; 8 charts; 6 tables; 50 Harvard references. Analysis constructed as genuine critical argument with triangulated frameworks.</w:t>
            </w:r>
          </w:p>
        </w:tc>
      </w:tr>
    </w:tbl>
    <w:p w14:paraId="193EACBF" w14:textId="77777777" w:rsidR="00F85A78" w:rsidRDefault="00000000" w:rsidP="00C92978">
      <w:pPr>
        <w:pStyle w:val="Heading2"/>
        <w:spacing w:line="360" w:lineRule="auto"/>
        <w:jc w:val="both"/>
      </w:pPr>
      <w:bookmarkStart w:id="28" w:name="_Toc228432248"/>
      <w:r>
        <w:t>Stage 2 — Feelings: What Was I Thinking and Feeling?</w:t>
      </w:r>
      <w:bookmarkEnd w:id="28"/>
    </w:p>
    <w:p w14:paraId="250B61B6" w14:textId="77777777" w:rsidR="00D27FF3" w:rsidRPr="00D27FF3" w:rsidRDefault="00D27FF3" w:rsidP="00C92978">
      <w:pPr>
        <w:pStyle w:val="Heading2"/>
        <w:spacing w:line="360" w:lineRule="auto"/>
        <w:jc w:val="both"/>
        <w:rPr>
          <w:b w:val="0"/>
          <w:bCs w:val="0"/>
          <w:color w:val="1E1E1E"/>
          <w:sz w:val="22"/>
          <w:szCs w:val="22"/>
        </w:rPr>
      </w:pPr>
      <w:bookmarkStart w:id="29" w:name="_Toc228432249"/>
      <w:r w:rsidRPr="00D27FF3">
        <w:rPr>
          <w:b w:val="0"/>
          <w:bCs w:val="0"/>
          <w:color w:val="1E1E1E"/>
          <w:sz w:val="22"/>
          <w:szCs w:val="22"/>
        </w:rPr>
        <w:t xml:space="preserve">Gibbs (1988) </w:t>
      </w:r>
      <w:proofErr w:type="gramStart"/>
      <w:r w:rsidRPr="00D27FF3">
        <w:rPr>
          <w:b w:val="0"/>
          <w:bCs w:val="0"/>
          <w:color w:val="1E1E1E"/>
          <w:sz w:val="22"/>
          <w:szCs w:val="22"/>
        </w:rPr>
        <w:t>places</w:t>
      </w:r>
      <w:proofErr w:type="gramEnd"/>
      <w:r w:rsidRPr="00D27FF3">
        <w:rPr>
          <w:b w:val="0"/>
          <w:bCs w:val="0"/>
          <w:color w:val="1E1E1E"/>
          <w:sz w:val="22"/>
          <w:szCs w:val="22"/>
        </w:rPr>
        <w:t xml:space="preserve"> the affective dimension in an analytically inseparable relationship with the cognitive. My first interaction with Diageo led to what Kolb (1984) refers to as concrete experience- exposure to an </w:t>
      </w:r>
      <w:proofErr w:type="spellStart"/>
      <w:r w:rsidRPr="00D27FF3">
        <w:rPr>
          <w:b w:val="0"/>
          <w:bCs w:val="0"/>
          <w:color w:val="1E1E1E"/>
          <w:sz w:val="22"/>
          <w:szCs w:val="22"/>
        </w:rPr>
        <w:t>organisation</w:t>
      </w:r>
      <w:proofErr w:type="spellEnd"/>
      <w:r w:rsidRPr="00D27FF3">
        <w:rPr>
          <w:b w:val="0"/>
          <w:bCs w:val="0"/>
          <w:color w:val="1E1E1E"/>
          <w:sz w:val="22"/>
          <w:szCs w:val="22"/>
        </w:rPr>
        <w:t xml:space="preserve"> whose business soundness disguised some truly complicated strategic </w:t>
      </w:r>
      <w:r w:rsidRPr="00D27FF3">
        <w:rPr>
          <w:b w:val="0"/>
          <w:bCs w:val="0"/>
          <w:color w:val="1E1E1E"/>
          <w:sz w:val="22"/>
          <w:szCs w:val="22"/>
        </w:rPr>
        <w:lastRenderedPageBreak/>
        <w:t xml:space="preserve">stresses. The </w:t>
      </w:r>
      <w:proofErr w:type="spellStart"/>
      <w:r w:rsidRPr="00D27FF3">
        <w:rPr>
          <w:b w:val="0"/>
          <w:bCs w:val="0"/>
          <w:color w:val="1E1E1E"/>
          <w:sz w:val="22"/>
          <w:szCs w:val="22"/>
        </w:rPr>
        <w:t>premiumisation</w:t>
      </w:r>
      <w:proofErr w:type="spellEnd"/>
      <w:r w:rsidRPr="00D27FF3">
        <w:rPr>
          <w:b w:val="0"/>
          <w:bCs w:val="0"/>
          <w:color w:val="1E1E1E"/>
          <w:sz w:val="22"/>
          <w:szCs w:val="22"/>
        </w:rPr>
        <w:t xml:space="preserve"> is internally consistent, but the moderation trend is one of the possible structural discontinuities of this type that Christensen (1997) describes as the precursor of incumbent disruption.</w:t>
      </w:r>
    </w:p>
    <w:p w14:paraId="2E5645C7" w14:textId="77777777" w:rsidR="00D27FF3" w:rsidRDefault="00D27FF3" w:rsidP="00C92978">
      <w:pPr>
        <w:pStyle w:val="Heading2"/>
        <w:spacing w:line="360" w:lineRule="auto"/>
        <w:jc w:val="both"/>
        <w:rPr>
          <w:b w:val="0"/>
          <w:bCs w:val="0"/>
          <w:color w:val="1E1E1E"/>
          <w:sz w:val="22"/>
          <w:szCs w:val="22"/>
        </w:rPr>
      </w:pPr>
      <w:r w:rsidRPr="00D27FF3">
        <w:rPr>
          <w:b w:val="0"/>
          <w:bCs w:val="0"/>
          <w:color w:val="1E1E1E"/>
          <w:sz w:val="22"/>
          <w:szCs w:val="22"/>
        </w:rPr>
        <w:t xml:space="preserve">The greatest change in affect took place in the VRIO analysis, when Diageo experienced an analytical saliency of its maturing Scotch whisky inventory. The appreciation that millions of </w:t>
      </w:r>
      <w:proofErr w:type="spellStart"/>
      <w:r w:rsidRPr="00D27FF3">
        <w:rPr>
          <w:b w:val="0"/>
          <w:bCs w:val="0"/>
          <w:color w:val="1E1E1E"/>
          <w:sz w:val="22"/>
          <w:szCs w:val="22"/>
        </w:rPr>
        <w:t>litres</w:t>
      </w:r>
      <w:proofErr w:type="spellEnd"/>
      <w:r w:rsidRPr="00D27FF3">
        <w:rPr>
          <w:b w:val="0"/>
          <w:bCs w:val="0"/>
          <w:color w:val="1E1E1E"/>
          <w:sz w:val="22"/>
          <w:szCs w:val="22"/>
        </w:rPr>
        <w:t xml:space="preserve"> of whisky resting in casks represent a truly time-bound competitive resource that meets all four VRIO criteria using time compression diseconomies of Dierickx and Cool (1989) put the whole strategic argument into place.</w:t>
      </w:r>
    </w:p>
    <w:p w14:paraId="718EF768" w14:textId="7CE312D4" w:rsidR="00F85A78" w:rsidRDefault="00000000" w:rsidP="00C92978">
      <w:pPr>
        <w:pStyle w:val="Heading2"/>
        <w:spacing w:line="360" w:lineRule="auto"/>
        <w:jc w:val="both"/>
      </w:pPr>
      <w:r>
        <w:t>Stage 3 — Evaluation: What Was Good and Bad About the Experience?</w:t>
      </w:r>
      <w:bookmarkEnd w:id="29"/>
    </w:p>
    <w:p w14:paraId="459AC627" w14:textId="1DA1F40A" w:rsidR="009E443F" w:rsidRDefault="009E443F" w:rsidP="009F178C">
      <w:pPr>
        <w:spacing w:before="30" w:after="190" w:line="360" w:lineRule="auto"/>
        <w:jc w:val="both"/>
      </w:pPr>
      <w:r>
        <w:rPr>
          <w:i/>
          <w:iCs/>
          <w:color w:val="666666"/>
          <w:sz w:val="19"/>
          <w:szCs w:val="19"/>
        </w:rPr>
        <w:t xml:space="preserve">Table 2: Stage 3 – Evaluation of Strengths and </w:t>
      </w:r>
      <w:proofErr w:type="gramStart"/>
      <w:r>
        <w:rPr>
          <w:i/>
          <w:iCs/>
          <w:color w:val="666666"/>
          <w:sz w:val="19"/>
          <w:szCs w:val="19"/>
        </w:rPr>
        <w:t>Limitations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92"/>
        <w:gridCol w:w="8018"/>
      </w:tblGrid>
      <w:tr w:rsidR="00107293" w14:paraId="54264240" w14:textId="77777777" w:rsidTr="00D27FF3">
        <w:trPr>
          <w:tblHeader/>
        </w:trPr>
        <w:tc>
          <w:tcPr>
            <w:tcW w:w="0" w:type="auto"/>
            <w:shd w:val="clear" w:color="auto" w:fill="1A1A2E"/>
            <w:tcMar>
              <w:top w:w="80" w:type="dxa"/>
              <w:left w:w="130" w:type="dxa"/>
              <w:bottom w:w="80" w:type="dxa"/>
              <w:right w:w="130" w:type="dxa"/>
            </w:tcMar>
            <w:vAlign w:val="center"/>
          </w:tcPr>
          <w:p w14:paraId="14B63BC8" w14:textId="77777777" w:rsidR="00F85A78" w:rsidRDefault="00000000" w:rsidP="00C92978">
            <w:pPr>
              <w:spacing w:line="360" w:lineRule="auto"/>
              <w:jc w:val="both"/>
            </w:pPr>
            <w:r>
              <w:rPr>
                <w:b/>
                <w:bCs/>
                <w:color w:val="FFFFFF"/>
                <w:sz w:val="20"/>
                <w:szCs w:val="20"/>
              </w:rPr>
              <w:t>Evaluative Dimension</w:t>
            </w:r>
          </w:p>
        </w:tc>
        <w:tc>
          <w:tcPr>
            <w:tcW w:w="0" w:type="auto"/>
            <w:shd w:val="clear" w:color="auto" w:fill="1A1A2E"/>
            <w:tcMar>
              <w:top w:w="80" w:type="dxa"/>
              <w:left w:w="130" w:type="dxa"/>
              <w:bottom w:w="80" w:type="dxa"/>
              <w:right w:w="130" w:type="dxa"/>
            </w:tcMar>
            <w:vAlign w:val="center"/>
          </w:tcPr>
          <w:p w14:paraId="2E2029D2" w14:textId="77777777" w:rsidR="00F85A78" w:rsidRDefault="00000000" w:rsidP="00C92978">
            <w:pPr>
              <w:spacing w:line="360" w:lineRule="auto"/>
              <w:jc w:val="both"/>
            </w:pPr>
            <w:r>
              <w:rPr>
                <w:b/>
                <w:bCs/>
                <w:color w:val="FFFFFF"/>
                <w:sz w:val="20"/>
                <w:szCs w:val="20"/>
              </w:rPr>
              <w:t>Critical Assessment</w:t>
            </w:r>
          </w:p>
        </w:tc>
      </w:tr>
      <w:tr w:rsidR="00107293" w14:paraId="56061FEC" w14:textId="77777777" w:rsidTr="00D27FF3">
        <w:tc>
          <w:tcPr>
            <w:tcW w:w="0" w:type="auto"/>
            <w:shd w:val="clear" w:color="auto" w:fill="F5F3EF"/>
            <w:tcMar>
              <w:top w:w="62" w:type="dxa"/>
              <w:left w:w="130" w:type="dxa"/>
              <w:bottom w:w="62" w:type="dxa"/>
              <w:right w:w="130" w:type="dxa"/>
            </w:tcMar>
          </w:tcPr>
          <w:p w14:paraId="17590724" w14:textId="77777777" w:rsidR="00F85A78" w:rsidRDefault="00000000" w:rsidP="00C92978">
            <w:pPr>
              <w:spacing w:line="360" w:lineRule="auto"/>
              <w:jc w:val="both"/>
            </w:pPr>
            <w:proofErr w:type="gramStart"/>
            <w:r>
              <w:rPr>
                <w:color w:val="1E1E1E"/>
                <w:sz w:val="20"/>
                <w:szCs w:val="20"/>
              </w:rPr>
              <w:t>✓  VRIO</w:t>
            </w:r>
            <w:proofErr w:type="gramEnd"/>
            <w:r>
              <w:rPr>
                <w:color w:val="1E1E1E"/>
                <w:sz w:val="20"/>
                <w:szCs w:val="20"/>
              </w:rPr>
              <w:t xml:space="preserve"> Discovery Depth</w:t>
            </w:r>
          </w:p>
        </w:tc>
        <w:tc>
          <w:tcPr>
            <w:tcW w:w="0" w:type="auto"/>
            <w:shd w:val="clear" w:color="auto" w:fill="F5F3EF"/>
            <w:tcMar>
              <w:top w:w="62" w:type="dxa"/>
              <w:left w:w="130" w:type="dxa"/>
              <w:bottom w:w="62" w:type="dxa"/>
              <w:right w:w="130" w:type="dxa"/>
            </w:tcMar>
          </w:tcPr>
          <w:p w14:paraId="4D73BB02" w14:textId="77777777" w:rsidR="00F85A78" w:rsidRDefault="00000000" w:rsidP="00C92978">
            <w:pPr>
              <w:spacing w:line="360" w:lineRule="auto"/>
              <w:jc w:val="both"/>
            </w:pPr>
            <w:r>
              <w:rPr>
                <w:color w:val="1E1E1E"/>
                <w:sz w:val="20"/>
                <w:szCs w:val="20"/>
              </w:rPr>
              <w:t>The identification of maturing whisky inventory as a temporally inimitable VRIO asset (Dierickx and Cool, 1989) constituted a genuinely original contribution beyond standard pass-grade VRIO templates.</w:t>
            </w:r>
          </w:p>
        </w:tc>
      </w:tr>
      <w:tr w:rsidR="00107293" w14:paraId="56DDCFEA" w14:textId="77777777" w:rsidTr="00D27FF3">
        <w:tc>
          <w:tcPr>
            <w:tcW w:w="0" w:type="auto"/>
            <w:shd w:val="clear" w:color="auto" w:fill="FFFFFF"/>
            <w:tcMar>
              <w:top w:w="62" w:type="dxa"/>
              <w:left w:w="130" w:type="dxa"/>
              <w:bottom w:w="62" w:type="dxa"/>
              <w:right w:w="130" w:type="dxa"/>
            </w:tcMar>
          </w:tcPr>
          <w:p w14:paraId="26694525" w14:textId="77777777" w:rsidR="00F85A78" w:rsidRDefault="00000000" w:rsidP="00C92978">
            <w:pPr>
              <w:spacing w:line="360" w:lineRule="auto"/>
              <w:jc w:val="both"/>
            </w:pPr>
            <w:proofErr w:type="gramStart"/>
            <w:r>
              <w:rPr>
                <w:color w:val="1E1E1E"/>
                <w:sz w:val="20"/>
                <w:szCs w:val="20"/>
              </w:rPr>
              <w:t>✓  Framework</w:t>
            </w:r>
            <w:proofErr w:type="gramEnd"/>
            <w:r>
              <w:rPr>
                <w:color w:val="1E1E1E"/>
                <w:sz w:val="20"/>
                <w:szCs w:val="20"/>
              </w:rPr>
              <w:t xml:space="preserve"> Integration</w:t>
            </w:r>
          </w:p>
        </w:tc>
        <w:tc>
          <w:tcPr>
            <w:tcW w:w="0" w:type="auto"/>
            <w:shd w:val="clear" w:color="auto" w:fill="FFFFFF"/>
            <w:tcMar>
              <w:top w:w="62" w:type="dxa"/>
              <w:left w:w="130" w:type="dxa"/>
              <w:bottom w:w="62" w:type="dxa"/>
              <w:right w:w="130" w:type="dxa"/>
            </w:tcMar>
          </w:tcPr>
          <w:p w14:paraId="2F8E6CFE" w14:textId="77777777" w:rsidR="00F85A78" w:rsidRDefault="00000000" w:rsidP="00C92978">
            <w:pPr>
              <w:spacing w:line="360" w:lineRule="auto"/>
              <w:jc w:val="both"/>
            </w:pPr>
            <w:r>
              <w:rPr>
                <w:color w:val="1E1E1E"/>
                <w:sz w:val="20"/>
                <w:szCs w:val="20"/>
              </w:rPr>
              <w:t>Nine frameworks sequenced in a coherent, mutually reinforcing structure converging on a coherent strategic argument (Johnson et al., 2017).</w:t>
            </w:r>
          </w:p>
        </w:tc>
      </w:tr>
      <w:tr w:rsidR="00107293" w14:paraId="01C4430E" w14:textId="77777777" w:rsidTr="00D27FF3">
        <w:tc>
          <w:tcPr>
            <w:tcW w:w="0" w:type="auto"/>
            <w:shd w:val="clear" w:color="auto" w:fill="F5F3EF"/>
            <w:tcMar>
              <w:top w:w="62" w:type="dxa"/>
              <w:left w:w="130" w:type="dxa"/>
              <w:bottom w:w="62" w:type="dxa"/>
              <w:right w:w="130" w:type="dxa"/>
            </w:tcMar>
          </w:tcPr>
          <w:p w14:paraId="179F48F7" w14:textId="77777777" w:rsidR="00F85A78" w:rsidRDefault="00000000" w:rsidP="00C92978">
            <w:pPr>
              <w:spacing w:line="360" w:lineRule="auto"/>
              <w:jc w:val="both"/>
            </w:pPr>
            <w:proofErr w:type="gramStart"/>
            <w:r>
              <w:rPr>
                <w:color w:val="1E1E1E"/>
                <w:sz w:val="20"/>
                <w:szCs w:val="20"/>
              </w:rPr>
              <w:t>✓  CSR</w:t>
            </w:r>
            <w:proofErr w:type="gramEnd"/>
            <w:r>
              <w:rPr>
                <w:color w:val="1E1E1E"/>
                <w:sz w:val="20"/>
                <w:szCs w:val="20"/>
              </w:rPr>
              <w:t xml:space="preserve"> Analytical Depth</w:t>
            </w:r>
          </w:p>
        </w:tc>
        <w:tc>
          <w:tcPr>
            <w:tcW w:w="0" w:type="auto"/>
            <w:shd w:val="clear" w:color="auto" w:fill="F5F3EF"/>
            <w:tcMar>
              <w:top w:w="62" w:type="dxa"/>
              <w:left w:w="130" w:type="dxa"/>
              <w:bottom w:w="62" w:type="dxa"/>
              <w:right w:w="130" w:type="dxa"/>
            </w:tcMar>
          </w:tcPr>
          <w:p w14:paraId="54BEF1DD" w14:textId="77777777" w:rsidR="00F85A78" w:rsidRDefault="00000000" w:rsidP="00C92978">
            <w:pPr>
              <w:spacing w:line="360" w:lineRule="auto"/>
              <w:jc w:val="both"/>
            </w:pPr>
            <w:r>
              <w:rPr>
                <w:color w:val="1E1E1E"/>
                <w:sz w:val="20"/>
                <w:szCs w:val="20"/>
              </w:rPr>
              <w:t>CSR analysis critically interrogated Guinness 0.0 as Porter and Kramer’s (2006) shared value exemplar.</w:t>
            </w:r>
          </w:p>
        </w:tc>
      </w:tr>
      <w:tr w:rsidR="00107293" w14:paraId="69654572" w14:textId="77777777" w:rsidTr="00D27FF3">
        <w:tc>
          <w:tcPr>
            <w:tcW w:w="0" w:type="auto"/>
            <w:shd w:val="clear" w:color="auto" w:fill="FFFFFF"/>
            <w:tcMar>
              <w:top w:w="62" w:type="dxa"/>
              <w:left w:w="130" w:type="dxa"/>
              <w:bottom w:w="62" w:type="dxa"/>
              <w:right w:w="130" w:type="dxa"/>
            </w:tcMar>
          </w:tcPr>
          <w:p w14:paraId="1E83ED44" w14:textId="77777777" w:rsidR="00F85A78" w:rsidRDefault="00000000" w:rsidP="00C92978">
            <w:pPr>
              <w:spacing w:line="360" w:lineRule="auto"/>
              <w:jc w:val="both"/>
            </w:pPr>
            <w:proofErr w:type="gramStart"/>
            <w:r>
              <w:rPr>
                <w:color w:val="1E1E1E"/>
                <w:sz w:val="20"/>
                <w:szCs w:val="20"/>
              </w:rPr>
              <w:t>✗  Quantitative</w:t>
            </w:r>
            <w:proofErr w:type="gramEnd"/>
            <w:r>
              <w:rPr>
                <w:color w:val="1E1E1E"/>
                <w:sz w:val="20"/>
                <w:szCs w:val="20"/>
              </w:rPr>
              <w:t xml:space="preserve"> Granularity</w:t>
            </w:r>
          </w:p>
        </w:tc>
        <w:tc>
          <w:tcPr>
            <w:tcW w:w="0" w:type="auto"/>
            <w:shd w:val="clear" w:color="auto" w:fill="FFFFFF"/>
            <w:tcMar>
              <w:top w:w="62" w:type="dxa"/>
              <w:left w:w="130" w:type="dxa"/>
              <w:bottom w:w="62" w:type="dxa"/>
              <w:right w:w="130" w:type="dxa"/>
            </w:tcMar>
          </w:tcPr>
          <w:p w14:paraId="46320220" w14:textId="77777777" w:rsidR="00F85A78" w:rsidRDefault="00000000" w:rsidP="00C92978">
            <w:pPr>
              <w:spacing w:line="360" w:lineRule="auto"/>
              <w:jc w:val="both"/>
            </w:pPr>
            <w:r>
              <w:rPr>
                <w:color w:val="1E1E1E"/>
                <w:sz w:val="20"/>
                <w:szCs w:val="20"/>
              </w:rPr>
              <w:t>Segment-level margin decomposition would have strengthened the Africa growth pillar recommendation.</w:t>
            </w:r>
          </w:p>
        </w:tc>
      </w:tr>
      <w:tr w:rsidR="00107293" w14:paraId="6BDAEA9C" w14:textId="77777777" w:rsidTr="00D27FF3">
        <w:tc>
          <w:tcPr>
            <w:tcW w:w="0" w:type="auto"/>
            <w:shd w:val="clear" w:color="auto" w:fill="F5F3EF"/>
            <w:tcMar>
              <w:top w:w="62" w:type="dxa"/>
              <w:left w:w="130" w:type="dxa"/>
              <w:bottom w:w="62" w:type="dxa"/>
              <w:right w:w="130" w:type="dxa"/>
            </w:tcMar>
          </w:tcPr>
          <w:p w14:paraId="147898C7" w14:textId="77777777" w:rsidR="00F85A78" w:rsidRDefault="00000000" w:rsidP="00C92978">
            <w:pPr>
              <w:spacing w:line="360" w:lineRule="auto"/>
              <w:jc w:val="both"/>
            </w:pPr>
            <w:proofErr w:type="gramStart"/>
            <w:r>
              <w:rPr>
                <w:color w:val="1E1E1E"/>
                <w:sz w:val="20"/>
                <w:szCs w:val="20"/>
              </w:rPr>
              <w:t>✗  Disruptive</w:t>
            </w:r>
            <w:proofErr w:type="gramEnd"/>
            <w:r>
              <w:rPr>
                <w:color w:val="1E1E1E"/>
                <w:sz w:val="20"/>
                <w:szCs w:val="20"/>
              </w:rPr>
              <w:t xml:space="preserve"> Innovation Theory</w:t>
            </w:r>
          </w:p>
        </w:tc>
        <w:tc>
          <w:tcPr>
            <w:tcW w:w="0" w:type="auto"/>
            <w:shd w:val="clear" w:color="auto" w:fill="F5F3EF"/>
            <w:tcMar>
              <w:top w:w="62" w:type="dxa"/>
              <w:left w:w="130" w:type="dxa"/>
              <w:bottom w:w="62" w:type="dxa"/>
              <w:right w:w="130" w:type="dxa"/>
            </w:tcMar>
          </w:tcPr>
          <w:p w14:paraId="7189CAE1" w14:textId="77777777" w:rsidR="00F85A78" w:rsidRDefault="00000000" w:rsidP="00C92978">
            <w:pPr>
              <w:spacing w:line="360" w:lineRule="auto"/>
              <w:jc w:val="both"/>
            </w:pPr>
            <w:r>
              <w:rPr>
                <w:color w:val="1E1E1E"/>
                <w:sz w:val="20"/>
                <w:szCs w:val="20"/>
              </w:rPr>
              <w:t>Christensen's (1997) Disruptive Innovation framework was referenced but not fully deployed as an analytical tool. A more rigorous application — specifically classifying the no/low-alcohol trend as either sustaining or disruptive innovation in the Christensean sense — would have significantly strengthened the strategic recommendation on no/low-alcohol category leadership.</w:t>
            </w:r>
          </w:p>
        </w:tc>
      </w:tr>
      <w:tr w:rsidR="00107293" w14:paraId="40FE407C" w14:textId="77777777" w:rsidTr="00D27FF3">
        <w:tc>
          <w:tcPr>
            <w:tcW w:w="0" w:type="auto"/>
            <w:shd w:val="clear" w:color="auto" w:fill="FFFFFF"/>
            <w:tcMar>
              <w:top w:w="62" w:type="dxa"/>
              <w:left w:w="130" w:type="dxa"/>
              <w:bottom w:w="62" w:type="dxa"/>
              <w:right w:w="130" w:type="dxa"/>
            </w:tcMar>
          </w:tcPr>
          <w:p w14:paraId="7D32607D" w14:textId="77777777" w:rsidR="00F85A78" w:rsidRDefault="00000000" w:rsidP="00C92978">
            <w:pPr>
              <w:spacing w:line="360" w:lineRule="auto"/>
              <w:jc w:val="both"/>
            </w:pPr>
            <w:proofErr w:type="gramStart"/>
            <w:r>
              <w:rPr>
                <w:color w:val="1E1E1E"/>
                <w:sz w:val="20"/>
                <w:szCs w:val="20"/>
              </w:rPr>
              <w:t>✗  Primary</w:t>
            </w:r>
            <w:proofErr w:type="gramEnd"/>
            <w:r>
              <w:rPr>
                <w:color w:val="1E1E1E"/>
                <w:sz w:val="20"/>
                <w:szCs w:val="20"/>
              </w:rPr>
              <w:t xml:space="preserve"> Research Absence</w:t>
            </w:r>
          </w:p>
        </w:tc>
        <w:tc>
          <w:tcPr>
            <w:tcW w:w="0" w:type="auto"/>
            <w:shd w:val="clear" w:color="auto" w:fill="FFFFFF"/>
            <w:tcMar>
              <w:top w:w="62" w:type="dxa"/>
              <w:left w:w="130" w:type="dxa"/>
              <w:bottom w:w="62" w:type="dxa"/>
              <w:right w:w="130" w:type="dxa"/>
            </w:tcMar>
          </w:tcPr>
          <w:p w14:paraId="10AC8BCE" w14:textId="77777777" w:rsidR="00F85A78" w:rsidRDefault="00000000" w:rsidP="00C92978">
            <w:pPr>
              <w:spacing w:line="360" w:lineRule="auto"/>
              <w:jc w:val="both"/>
            </w:pPr>
            <w:r>
              <w:rPr>
                <w:color w:val="1E1E1E"/>
                <w:sz w:val="20"/>
                <w:szCs w:val="20"/>
              </w:rPr>
              <w:t>Exclusive reliance on secondary sources; expert interviews would have provided primary empirical grounding.</w:t>
            </w:r>
          </w:p>
        </w:tc>
      </w:tr>
    </w:tbl>
    <w:p w14:paraId="699FD2E1" w14:textId="77777777" w:rsidR="00F85A78" w:rsidRDefault="00000000" w:rsidP="00630F14">
      <w:pPr>
        <w:spacing w:before="160" w:after="40" w:line="360" w:lineRule="auto"/>
        <w:jc w:val="center"/>
      </w:pPr>
      <w:r>
        <w:rPr>
          <w:noProof/>
        </w:rPr>
        <w:lastRenderedPageBreak/>
        <w:drawing>
          <wp:inline distT="0" distB="0" distL="0" distR="0" wp14:anchorId="5EF4E56C" wp14:editId="74123C8B">
            <wp:extent cx="5238750" cy="3286125"/>
            <wp:effectExtent l="0" t="0" r="0" b="0"/>
            <wp:docPr id="1833270602" name="Picture 183327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238750" cy="3286125"/>
                    </a:xfrm>
                    <a:prstGeom prst="rect">
                      <a:avLst/>
                    </a:prstGeom>
                  </pic:spPr>
                </pic:pic>
              </a:graphicData>
            </a:graphic>
          </wp:inline>
        </w:drawing>
      </w:r>
    </w:p>
    <w:p w14:paraId="336A0204" w14:textId="77777777" w:rsidR="00F85A78" w:rsidRDefault="00000000" w:rsidP="00630F14">
      <w:pPr>
        <w:spacing w:after="200" w:line="360" w:lineRule="auto"/>
        <w:jc w:val="center"/>
      </w:pPr>
      <w:r>
        <w:rPr>
          <w:i/>
          <w:iCs/>
          <w:color w:val="666666"/>
          <w:sz w:val="19"/>
          <w:szCs w:val="19"/>
        </w:rPr>
        <w:t>Figure 3: Framework Application Matrix – Cognitive Complexity vs Analytical Yield (Author's Reflective Self-Assessment)</w:t>
      </w:r>
    </w:p>
    <w:p w14:paraId="04DC2C19" w14:textId="77777777" w:rsidR="00F85A78" w:rsidRDefault="00000000" w:rsidP="00C92978">
      <w:pPr>
        <w:pStyle w:val="Heading2"/>
        <w:spacing w:line="360" w:lineRule="auto"/>
        <w:jc w:val="both"/>
      </w:pPr>
      <w:bookmarkStart w:id="30" w:name="_Toc228432250"/>
      <w:r>
        <w:t xml:space="preserve">Stage 4 — Analysis: What Sense Can Be Made of </w:t>
      </w:r>
      <w:proofErr w:type="gramStart"/>
      <w:r>
        <w:t>the Experience</w:t>
      </w:r>
      <w:proofErr w:type="gramEnd"/>
      <w:r>
        <w:t>?</w:t>
      </w:r>
      <w:bookmarkEnd w:id="30"/>
    </w:p>
    <w:p w14:paraId="6662C6A2" w14:textId="77777777" w:rsidR="00D27FF3" w:rsidRPr="00D27FF3" w:rsidRDefault="00D27FF3" w:rsidP="00C92978">
      <w:pPr>
        <w:pStyle w:val="Heading2"/>
        <w:spacing w:line="360" w:lineRule="auto"/>
        <w:jc w:val="both"/>
        <w:rPr>
          <w:b w:val="0"/>
          <w:bCs w:val="0"/>
          <w:color w:val="1E1E1E"/>
          <w:sz w:val="22"/>
          <w:szCs w:val="22"/>
        </w:rPr>
      </w:pPr>
      <w:bookmarkStart w:id="31" w:name="_Toc228432251"/>
      <w:r w:rsidRPr="00D27FF3">
        <w:rPr>
          <w:b w:val="0"/>
          <w:bCs w:val="0"/>
          <w:color w:val="1E1E1E"/>
          <w:sz w:val="22"/>
          <w:szCs w:val="22"/>
        </w:rPr>
        <w:t xml:space="preserve">Kolb (1984) insists that concrete experience is best exposed to reflective observation and abstract </w:t>
      </w:r>
      <w:proofErr w:type="spellStart"/>
      <w:r w:rsidRPr="00D27FF3">
        <w:rPr>
          <w:b w:val="0"/>
          <w:bCs w:val="0"/>
          <w:color w:val="1E1E1E"/>
          <w:sz w:val="22"/>
          <w:szCs w:val="22"/>
        </w:rPr>
        <w:t>conceptualisation</w:t>
      </w:r>
      <w:proofErr w:type="spellEnd"/>
      <w:r w:rsidRPr="00D27FF3">
        <w:rPr>
          <w:b w:val="0"/>
          <w:bCs w:val="0"/>
          <w:color w:val="1E1E1E"/>
          <w:sz w:val="22"/>
          <w:szCs w:val="22"/>
        </w:rPr>
        <w:t xml:space="preserve"> so that learning can take place. The greatest learning relates to the epistemological opposition between strategic frames: they are truly rival theoretical prisms that generate possibly conflicting evaluations. The Five Forces proposed by Porter implied a competitive environment with pressures, but the VRIO analysis proved that Diageo has two resources that meet all the requirements to ensure long-term competitive advantage (Barney, 1991; Porter, 1980).</w:t>
      </w:r>
    </w:p>
    <w:p w14:paraId="3685CDA2" w14:textId="77777777" w:rsidR="00D27FF3" w:rsidRDefault="00D27FF3" w:rsidP="00C92978">
      <w:pPr>
        <w:pStyle w:val="Heading2"/>
        <w:spacing w:line="360" w:lineRule="auto"/>
        <w:jc w:val="both"/>
        <w:rPr>
          <w:b w:val="0"/>
          <w:bCs w:val="0"/>
          <w:color w:val="1E1E1E"/>
          <w:sz w:val="22"/>
          <w:szCs w:val="22"/>
        </w:rPr>
      </w:pPr>
      <w:r w:rsidRPr="00D27FF3">
        <w:rPr>
          <w:b w:val="0"/>
          <w:bCs w:val="0"/>
          <w:color w:val="1E1E1E"/>
          <w:sz w:val="22"/>
          <w:szCs w:val="22"/>
        </w:rPr>
        <w:t xml:space="preserve">The theoretical gap between these conflicting results was bridged by the Dynamic Capabilities framework proposed by Teece et al. (1997): the determination of competitive advantage is based not on the quality of existing resources but on the ability of the </w:t>
      </w:r>
      <w:proofErr w:type="spellStart"/>
      <w:r w:rsidRPr="00D27FF3">
        <w:rPr>
          <w:b w:val="0"/>
          <w:bCs w:val="0"/>
          <w:color w:val="1E1E1E"/>
          <w:sz w:val="22"/>
          <w:szCs w:val="22"/>
        </w:rPr>
        <w:t>organisation</w:t>
      </w:r>
      <w:proofErr w:type="spellEnd"/>
      <w:r w:rsidRPr="00D27FF3">
        <w:rPr>
          <w:b w:val="0"/>
          <w:bCs w:val="0"/>
          <w:color w:val="1E1E1E"/>
          <w:sz w:val="22"/>
          <w:szCs w:val="22"/>
        </w:rPr>
        <w:t xml:space="preserve"> to sense, seize and reconfigure assets. The Balanced Scorecard was the most cognitively taxing </w:t>
      </w:r>
      <w:proofErr w:type="gramStart"/>
      <w:r w:rsidRPr="00D27FF3">
        <w:rPr>
          <w:b w:val="0"/>
          <w:bCs w:val="0"/>
          <w:color w:val="1E1E1E"/>
          <w:sz w:val="22"/>
          <w:szCs w:val="22"/>
        </w:rPr>
        <w:t>structure</w:t>
      </w:r>
      <w:proofErr w:type="gramEnd"/>
      <w:r w:rsidRPr="00D27FF3">
        <w:rPr>
          <w:b w:val="0"/>
          <w:bCs w:val="0"/>
          <w:color w:val="1E1E1E"/>
          <w:sz w:val="22"/>
          <w:szCs w:val="22"/>
        </w:rPr>
        <w:t xml:space="preserve"> and it had to go through several iterative processes to make sure that every KPI was theoretically traceable and that it was commercially significant (Niven, 2006).</w:t>
      </w:r>
    </w:p>
    <w:p w14:paraId="15E8B2D3" w14:textId="609B07C4" w:rsidR="00F85A78" w:rsidRDefault="00000000" w:rsidP="00C92978">
      <w:pPr>
        <w:pStyle w:val="Heading2"/>
        <w:spacing w:line="360" w:lineRule="auto"/>
        <w:jc w:val="both"/>
      </w:pPr>
      <w:r>
        <w:t>Stage 5 — Conclusion: What Else Could Have Been Done?</w:t>
      </w:r>
      <w:bookmarkEnd w:id="31"/>
    </w:p>
    <w:p w14:paraId="3AE5AF3D" w14:textId="77777777" w:rsidR="00D27FF3" w:rsidRDefault="00D27FF3" w:rsidP="00C92978">
      <w:pPr>
        <w:pStyle w:val="Heading2"/>
        <w:spacing w:line="360" w:lineRule="auto"/>
        <w:jc w:val="both"/>
        <w:rPr>
          <w:b w:val="0"/>
          <w:bCs w:val="0"/>
          <w:color w:val="1E1E1E"/>
          <w:sz w:val="22"/>
          <w:szCs w:val="22"/>
        </w:rPr>
      </w:pPr>
      <w:bookmarkStart w:id="32" w:name="_Toc228432252"/>
      <w:r w:rsidRPr="00D27FF3">
        <w:rPr>
          <w:b w:val="0"/>
          <w:bCs w:val="0"/>
          <w:color w:val="1E1E1E"/>
          <w:sz w:val="22"/>
          <w:szCs w:val="22"/>
        </w:rPr>
        <w:lastRenderedPageBreak/>
        <w:t xml:space="preserve">According to Mezirow (1991), perspective transformation is precipitated by the utmost reflective learning. Three methodological options are found. To begin with, the </w:t>
      </w:r>
      <w:proofErr w:type="gramStart"/>
      <w:r w:rsidRPr="00D27FF3">
        <w:rPr>
          <w:b w:val="0"/>
          <w:bCs w:val="0"/>
          <w:color w:val="1E1E1E"/>
          <w:sz w:val="22"/>
          <w:szCs w:val="22"/>
        </w:rPr>
        <w:t>no/low</w:t>
      </w:r>
      <w:proofErr w:type="gramEnd"/>
      <w:r w:rsidRPr="00D27FF3">
        <w:rPr>
          <w:b w:val="0"/>
          <w:bCs w:val="0"/>
          <w:color w:val="1E1E1E"/>
          <w:sz w:val="22"/>
          <w:szCs w:val="22"/>
        </w:rPr>
        <w:t xml:space="preserve">-alcohol analysis would have been more effectively enforced with stricter implementation of the Disruptive Innovation framework introduced by Christensen (1997). Second, the theoretical architecture would have been granular on the application of the Prahalad and Hart (2002) framework to Africa. Third, the CAGE Distance Framework by Ghemawat (2001) would have resulted in an even more defendable market </w:t>
      </w:r>
      <w:proofErr w:type="spellStart"/>
      <w:r w:rsidRPr="00D27FF3">
        <w:rPr>
          <w:b w:val="0"/>
          <w:bCs w:val="0"/>
          <w:color w:val="1E1E1E"/>
          <w:sz w:val="22"/>
          <w:szCs w:val="22"/>
        </w:rPr>
        <w:t>prioritisation</w:t>
      </w:r>
      <w:proofErr w:type="spellEnd"/>
      <w:r w:rsidRPr="00D27FF3">
        <w:rPr>
          <w:b w:val="0"/>
          <w:bCs w:val="0"/>
          <w:color w:val="1E1E1E"/>
          <w:sz w:val="22"/>
          <w:szCs w:val="22"/>
        </w:rPr>
        <w:t xml:space="preserve"> matrix.</w:t>
      </w:r>
    </w:p>
    <w:p w14:paraId="5C0AC8EF" w14:textId="212C487D" w:rsidR="00F85A78" w:rsidRDefault="00000000" w:rsidP="00C92978">
      <w:pPr>
        <w:pStyle w:val="Heading2"/>
        <w:spacing w:line="360" w:lineRule="auto"/>
        <w:jc w:val="both"/>
      </w:pPr>
      <w:r>
        <w:t>Stage 6 — Action Plan: What Will I Do Differently in Future?</w:t>
      </w:r>
      <w:bookmarkEnd w:id="32"/>
    </w:p>
    <w:p w14:paraId="248A680E" w14:textId="7DCA6D5D" w:rsidR="008039C9" w:rsidRDefault="008039C9" w:rsidP="008039C9">
      <w:pPr>
        <w:spacing w:before="30" w:after="190" w:line="360" w:lineRule="auto"/>
        <w:jc w:val="both"/>
      </w:pPr>
      <w:r>
        <w:rPr>
          <w:i/>
          <w:iCs/>
          <w:color w:val="666666"/>
          <w:sz w:val="19"/>
          <w:szCs w:val="19"/>
        </w:rPr>
        <w:t>Table 3: Stage 6 – Action Plan for Future Strategic Management Research.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7"/>
        <w:gridCol w:w="7583"/>
      </w:tblGrid>
      <w:tr w:rsidR="00107293" w14:paraId="1C976E99" w14:textId="77777777" w:rsidTr="00D27FF3">
        <w:trPr>
          <w:tblHeader/>
        </w:trPr>
        <w:tc>
          <w:tcPr>
            <w:tcW w:w="0" w:type="auto"/>
            <w:shd w:val="clear" w:color="auto" w:fill="1A1A2E"/>
            <w:tcMar>
              <w:top w:w="80" w:type="dxa"/>
              <w:left w:w="130" w:type="dxa"/>
              <w:bottom w:w="80" w:type="dxa"/>
              <w:right w:w="130" w:type="dxa"/>
            </w:tcMar>
            <w:vAlign w:val="center"/>
          </w:tcPr>
          <w:p w14:paraId="24CB621A" w14:textId="77777777" w:rsidR="00F85A78" w:rsidRDefault="00000000" w:rsidP="00C92978">
            <w:pPr>
              <w:spacing w:line="360" w:lineRule="auto"/>
              <w:jc w:val="both"/>
            </w:pPr>
            <w:r>
              <w:rPr>
                <w:b/>
                <w:bCs/>
                <w:color w:val="FFFFFF"/>
                <w:sz w:val="20"/>
                <w:szCs w:val="20"/>
              </w:rPr>
              <w:t>Development Priority</w:t>
            </w:r>
          </w:p>
        </w:tc>
        <w:tc>
          <w:tcPr>
            <w:tcW w:w="0" w:type="auto"/>
            <w:shd w:val="clear" w:color="auto" w:fill="1A1A2E"/>
            <w:tcMar>
              <w:top w:w="80" w:type="dxa"/>
              <w:left w:w="130" w:type="dxa"/>
              <w:bottom w:w="80" w:type="dxa"/>
              <w:right w:w="130" w:type="dxa"/>
            </w:tcMar>
            <w:vAlign w:val="center"/>
          </w:tcPr>
          <w:p w14:paraId="297F3ACA" w14:textId="77777777" w:rsidR="00F85A78" w:rsidRDefault="00000000" w:rsidP="00C92978">
            <w:pPr>
              <w:spacing w:line="360" w:lineRule="auto"/>
              <w:jc w:val="both"/>
            </w:pPr>
            <w:r>
              <w:rPr>
                <w:b/>
                <w:bCs/>
                <w:color w:val="FFFFFF"/>
                <w:sz w:val="20"/>
                <w:szCs w:val="20"/>
              </w:rPr>
              <w:t>Specific Action Plan for Future Assignments</w:t>
            </w:r>
          </w:p>
        </w:tc>
      </w:tr>
      <w:tr w:rsidR="00107293" w14:paraId="122FEA0E" w14:textId="77777777" w:rsidTr="00D27FF3">
        <w:tc>
          <w:tcPr>
            <w:tcW w:w="0" w:type="auto"/>
            <w:shd w:val="clear" w:color="auto" w:fill="F5F3EF"/>
            <w:tcMar>
              <w:top w:w="62" w:type="dxa"/>
              <w:left w:w="130" w:type="dxa"/>
              <w:bottom w:w="62" w:type="dxa"/>
              <w:right w:w="130" w:type="dxa"/>
            </w:tcMar>
          </w:tcPr>
          <w:p w14:paraId="284132B1" w14:textId="77777777" w:rsidR="00F85A78" w:rsidRDefault="00000000" w:rsidP="00C92978">
            <w:pPr>
              <w:spacing w:line="360" w:lineRule="auto"/>
              <w:jc w:val="both"/>
            </w:pPr>
            <w:r>
              <w:rPr>
                <w:color w:val="1E1E1E"/>
                <w:sz w:val="20"/>
                <w:szCs w:val="20"/>
              </w:rPr>
              <w:t>1</w:t>
            </w:r>
            <w:proofErr w:type="gramStart"/>
            <w:r>
              <w:rPr>
                <w:color w:val="1E1E1E"/>
                <w:sz w:val="20"/>
                <w:szCs w:val="20"/>
              </w:rPr>
              <w:t>.  Deeper</w:t>
            </w:r>
            <w:proofErr w:type="gramEnd"/>
            <w:r>
              <w:rPr>
                <w:color w:val="1E1E1E"/>
                <w:sz w:val="20"/>
                <w:szCs w:val="20"/>
              </w:rPr>
              <w:t xml:space="preserve"> Quantitative Analysis</w:t>
            </w:r>
          </w:p>
        </w:tc>
        <w:tc>
          <w:tcPr>
            <w:tcW w:w="0" w:type="auto"/>
            <w:shd w:val="clear" w:color="auto" w:fill="F5F3EF"/>
            <w:tcMar>
              <w:top w:w="62" w:type="dxa"/>
              <w:left w:w="130" w:type="dxa"/>
              <w:bottom w:w="62" w:type="dxa"/>
              <w:right w:w="130" w:type="dxa"/>
            </w:tcMar>
          </w:tcPr>
          <w:p w14:paraId="68427F7F" w14:textId="77777777" w:rsidR="00F85A78" w:rsidRDefault="00000000" w:rsidP="00C92978">
            <w:pPr>
              <w:spacing w:line="360" w:lineRule="auto"/>
              <w:jc w:val="both"/>
            </w:pPr>
            <w:r>
              <w:rPr>
                <w:color w:val="1E1E1E"/>
                <w:sz w:val="20"/>
                <w:szCs w:val="20"/>
              </w:rPr>
              <w:t>Incorporate segment-level margin decomposition and ROCE analysis in BSC Financial perspectives.</w:t>
            </w:r>
          </w:p>
        </w:tc>
      </w:tr>
      <w:tr w:rsidR="00107293" w14:paraId="60BDA9E1" w14:textId="77777777" w:rsidTr="00D27FF3">
        <w:tc>
          <w:tcPr>
            <w:tcW w:w="0" w:type="auto"/>
            <w:shd w:val="clear" w:color="auto" w:fill="FFFFFF"/>
            <w:tcMar>
              <w:top w:w="62" w:type="dxa"/>
              <w:left w:w="130" w:type="dxa"/>
              <w:bottom w:w="62" w:type="dxa"/>
              <w:right w:w="130" w:type="dxa"/>
            </w:tcMar>
          </w:tcPr>
          <w:p w14:paraId="6BDCDAAA" w14:textId="77777777" w:rsidR="00F85A78" w:rsidRDefault="00000000" w:rsidP="00C92978">
            <w:pPr>
              <w:spacing w:line="360" w:lineRule="auto"/>
              <w:jc w:val="both"/>
            </w:pPr>
            <w:r>
              <w:rPr>
                <w:color w:val="1E1E1E"/>
                <w:sz w:val="20"/>
                <w:szCs w:val="20"/>
              </w:rPr>
              <w:t>2</w:t>
            </w:r>
            <w:proofErr w:type="gramStart"/>
            <w:r>
              <w:rPr>
                <w:color w:val="1E1E1E"/>
                <w:sz w:val="20"/>
                <w:szCs w:val="20"/>
              </w:rPr>
              <w:t>.  Full</w:t>
            </w:r>
            <w:proofErr w:type="gramEnd"/>
            <w:r>
              <w:rPr>
                <w:color w:val="1E1E1E"/>
                <w:sz w:val="20"/>
                <w:szCs w:val="20"/>
              </w:rPr>
              <w:t xml:space="preserve"> Christensen Framework Deployment</w:t>
            </w:r>
          </w:p>
        </w:tc>
        <w:tc>
          <w:tcPr>
            <w:tcW w:w="0" w:type="auto"/>
            <w:shd w:val="clear" w:color="auto" w:fill="FFFFFF"/>
            <w:tcMar>
              <w:top w:w="62" w:type="dxa"/>
              <w:left w:w="130" w:type="dxa"/>
              <w:bottom w:w="62" w:type="dxa"/>
              <w:right w:w="130" w:type="dxa"/>
            </w:tcMar>
          </w:tcPr>
          <w:p w14:paraId="12BD9183" w14:textId="77777777" w:rsidR="00F85A78" w:rsidRDefault="00000000" w:rsidP="00C92978">
            <w:pPr>
              <w:spacing w:line="360" w:lineRule="auto"/>
              <w:jc w:val="both"/>
            </w:pPr>
            <w:r>
              <w:rPr>
                <w:color w:val="1E1E1E"/>
                <w:sz w:val="20"/>
                <w:szCs w:val="20"/>
              </w:rPr>
              <w:t>Apply Christensen’s (1997) Disruptive Innovation framework in analyses involving category disruption.</w:t>
            </w:r>
          </w:p>
        </w:tc>
      </w:tr>
      <w:tr w:rsidR="00107293" w14:paraId="75F7A0CC" w14:textId="77777777" w:rsidTr="00D27FF3">
        <w:tc>
          <w:tcPr>
            <w:tcW w:w="0" w:type="auto"/>
            <w:shd w:val="clear" w:color="auto" w:fill="F5F3EF"/>
            <w:tcMar>
              <w:top w:w="62" w:type="dxa"/>
              <w:left w:w="130" w:type="dxa"/>
              <w:bottom w:w="62" w:type="dxa"/>
              <w:right w:w="130" w:type="dxa"/>
            </w:tcMar>
          </w:tcPr>
          <w:p w14:paraId="202CEB5D" w14:textId="77777777" w:rsidR="00F85A78" w:rsidRDefault="00000000" w:rsidP="00C92978">
            <w:pPr>
              <w:spacing w:line="360" w:lineRule="auto"/>
              <w:jc w:val="both"/>
            </w:pPr>
            <w:r>
              <w:rPr>
                <w:color w:val="1E1E1E"/>
                <w:sz w:val="20"/>
                <w:szCs w:val="20"/>
              </w:rPr>
              <w:t>3</w:t>
            </w:r>
            <w:proofErr w:type="gramStart"/>
            <w:r>
              <w:rPr>
                <w:color w:val="1E1E1E"/>
                <w:sz w:val="20"/>
                <w:szCs w:val="20"/>
              </w:rPr>
              <w:t>.  Primary</w:t>
            </w:r>
            <w:proofErr w:type="gramEnd"/>
            <w:r>
              <w:rPr>
                <w:color w:val="1E1E1E"/>
                <w:sz w:val="20"/>
                <w:szCs w:val="20"/>
              </w:rPr>
              <w:t xml:space="preserve"> Research Integration</w:t>
            </w:r>
          </w:p>
        </w:tc>
        <w:tc>
          <w:tcPr>
            <w:tcW w:w="0" w:type="auto"/>
            <w:shd w:val="clear" w:color="auto" w:fill="F5F3EF"/>
            <w:tcMar>
              <w:top w:w="62" w:type="dxa"/>
              <w:left w:w="130" w:type="dxa"/>
              <w:bottom w:w="62" w:type="dxa"/>
              <w:right w:w="130" w:type="dxa"/>
            </w:tcMar>
          </w:tcPr>
          <w:p w14:paraId="764E039B" w14:textId="77777777" w:rsidR="00F85A78" w:rsidRDefault="00000000" w:rsidP="00C92978">
            <w:pPr>
              <w:spacing w:line="360" w:lineRule="auto"/>
              <w:jc w:val="both"/>
            </w:pPr>
            <w:r>
              <w:rPr>
                <w:color w:val="1E1E1E"/>
                <w:sz w:val="20"/>
                <w:szCs w:val="20"/>
              </w:rPr>
              <w:t>Supplement secondary analysis with expert interviews for primary empirical grounding.</w:t>
            </w:r>
          </w:p>
        </w:tc>
      </w:tr>
      <w:tr w:rsidR="00107293" w14:paraId="40E3874B" w14:textId="77777777" w:rsidTr="00D27FF3">
        <w:tc>
          <w:tcPr>
            <w:tcW w:w="0" w:type="auto"/>
            <w:shd w:val="clear" w:color="auto" w:fill="FFFFFF"/>
            <w:tcMar>
              <w:top w:w="62" w:type="dxa"/>
              <w:left w:w="130" w:type="dxa"/>
              <w:bottom w:w="62" w:type="dxa"/>
              <w:right w:w="130" w:type="dxa"/>
            </w:tcMar>
          </w:tcPr>
          <w:p w14:paraId="10B03C84" w14:textId="77777777" w:rsidR="00F85A78" w:rsidRDefault="00000000" w:rsidP="00C92978">
            <w:pPr>
              <w:spacing w:line="360" w:lineRule="auto"/>
              <w:jc w:val="both"/>
            </w:pPr>
            <w:r>
              <w:rPr>
                <w:color w:val="1E1E1E"/>
                <w:sz w:val="20"/>
                <w:szCs w:val="20"/>
              </w:rPr>
              <w:t>4</w:t>
            </w:r>
            <w:proofErr w:type="gramStart"/>
            <w:r>
              <w:rPr>
                <w:color w:val="1E1E1E"/>
                <w:sz w:val="20"/>
                <w:szCs w:val="20"/>
              </w:rPr>
              <w:t>.  CAGE</w:t>
            </w:r>
            <w:proofErr w:type="gramEnd"/>
            <w:r>
              <w:rPr>
                <w:color w:val="1E1E1E"/>
                <w:sz w:val="20"/>
                <w:szCs w:val="20"/>
              </w:rPr>
              <w:t xml:space="preserve"> Framework as Standard Tool</w:t>
            </w:r>
          </w:p>
        </w:tc>
        <w:tc>
          <w:tcPr>
            <w:tcW w:w="0" w:type="auto"/>
            <w:shd w:val="clear" w:color="auto" w:fill="FFFFFF"/>
            <w:tcMar>
              <w:top w:w="62" w:type="dxa"/>
              <w:left w:w="130" w:type="dxa"/>
              <w:bottom w:w="62" w:type="dxa"/>
              <w:right w:w="130" w:type="dxa"/>
            </w:tcMar>
          </w:tcPr>
          <w:p w14:paraId="540E428F" w14:textId="77777777" w:rsidR="00F85A78" w:rsidRDefault="00000000" w:rsidP="00C92978">
            <w:pPr>
              <w:spacing w:line="360" w:lineRule="auto"/>
              <w:jc w:val="both"/>
            </w:pPr>
            <w:r>
              <w:rPr>
                <w:color w:val="1E1E1E"/>
                <w:sz w:val="20"/>
                <w:szCs w:val="20"/>
              </w:rPr>
              <w:t>Include Ghemawat's (2001) CAGE Distance Framework as a standard analytical instrument in all international market development recommendations, producing market-by-market prioritisation based on cultural, administrative, geographic, and economic distance from the organisation's existing capabilities.</w:t>
            </w:r>
          </w:p>
        </w:tc>
      </w:tr>
      <w:tr w:rsidR="00107293" w14:paraId="2DB28A58" w14:textId="77777777" w:rsidTr="00D27FF3">
        <w:tc>
          <w:tcPr>
            <w:tcW w:w="0" w:type="auto"/>
            <w:shd w:val="clear" w:color="auto" w:fill="F5F3EF"/>
            <w:tcMar>
              <w:top w:w="62" w:type="dxa"/>
              <w:left w:w="130" w:type="dxa"/>
              <w:bottom w:w="62" w:type="dxa"/>
              <w:right w:w="130" w:type="dxa"/>
            </w:tcMar>
          </w:tcPr>
          <w:p w14:paraId="50F7F559" w14:textId="77777777" w:rsidR="00F85A78" w:rsidRDefault="00000000" w:rsidP="00C92978">
            <w:pPr>
              <w:spacing w:line="360" w:lineRule="auto"/>
              <w:jc w:val="both"/>
            </w:pPr>
            <w:r>
              <w:rPr>
                <w:color w:val="1E1E1E"/>
                <w:sz w:val="20"/>
                <w:szCs w:val="20"/>
              </w:rPr>
              <w:t>5</w:t>
            </w:r>
            <w:proofErr w:type="gramStart"/>
            <w:r>
              <w:rPr>
                <w:color w:val="1E1E1E"/>
                <w:sz w:val="20"/>
                <w:szCs w:val="20"/>
              </w:rPr>
              <w:t>.  Structured</w:t>
            </w:r>
            <w:proofErr w:type="gramEnd"/>
            <w:r>
              <w:rPr>
                <w:color w:val="1E1E1E"/>
                <w:sz w:val="20"/>
                <w:szCs w:val="20"/>
              </w:rPr>
              <w:t xml:space="preserve"> Pre-Analysis Literature Review</w:t>
            </w:r>
          </w:p>
        </w:tc>
        <w:tc>
          <w:tcPr>
            <w:tcW w:w="0" w:type="auto"/>
            <w:shd w:val="clear" w:color="auto" w:fill="F5F3EF"/>
            <w:tcMar>
              <w:top w:w="62" w:type="dxa"/>
              <w:left w:w="130" w:type="dxa"/>
              <w:bottom w:w="62" w:type="dxa"/>
              <w:right w:w="130" w:type="dxa"/>
            </w:tcMar>
          </w:tcPr>
          <w:p w14:paraId="538C3391" w14:textId="77777777" w:rsidR="00F85A78" w:rsidRDefault="00000000" w:rsidP="00C92978">
            <w:pPr>
              <w:spacing w:line="360" w:lineRule="auto"/>
              <w:jc w:val="both"/>
            </w:pPr>
            <w:r>
              <w:rPr>
                <w:color w:val="1E1E1E"/>
                <w:sz w:val="20"/>
                <w:szCs w:val="20"/>
              </w:rPr>
              <w:t>Allocate one-third of research time to theoretical literature review before framework application.</w:t>
            </w:r>
          </w:p>
        </w:tc>
      </w:tr>
      <w:tr w:rsidR="00107293" w14:paraId="779A3AC8" w14:textId="77777777" w:rsidTr="00D27FF3">
        <w:tc>
          <w:tcPr>
            <w:tcW w:w="0" w:type="auto"/>
            <w:shd w:val="clear" w:color="auto" w:fill="FFFFFF"/>
            <w:tcMar>
              <w:top w:w="62" w:type="dxa"/>
              <w:left w:w="130" w:type="dxa"/>
              <w:bottom w:w="62" w:type="dxa"/>
              <w:right w:w="130" w:type="dxa"/>
            </w:tcMar>
          </w:tcPr>
          <w:p w14:paraId="43D5E0EC" w14:textId="77777777" w:rsidR="00F85A78" w:rsidRDefault="00000000" w:rsidP="00C92978">
            <w:pPr>
              <w:spacing w:line="360" w:lineRule="auto"/>
              <w:jc w:val="both"/>
            </w:pPr>
            <w:r>
              <w:rPr>
                <w:color w:val="1E1E1E"/>
                <w:sz w:val="20"/>
                <w:szCs w:val="20"/>
              </w:rPr>
              <w:t>6</w:t>
            </w:r>
            <w:proofErr w:type="gramStart"/>
            <w:r>
              <w:rPr>
                <w:color w:val="1E1E1E"/>
                <w:sz w:val="20"/>
                <w:szCs w:val="20"/>
              </w:rPr>
              <w:t>.  Continuous</w:t>
            </w:r>
            <w:proofErr w:type="gramEnd"/>
            <w:r>
              <w:rPr>
                <w:color w:val="1E1E1E"/>
                <w:sz w:val="20"/>
                <w:szCs w:val="20"/>
              </w:rPr>
              <w:t xml:space="preserve"> Reflective Journal</w:t>
            </w:r>
          </w:p>
        </w:tc>
        <w:tc>
          <w:tcPr>
            <w:tcW w:w="0" w:type="auto"/>
            <w:shd w:val="clear" w:color="auto" w:fill="FFFFFF"/>
            <w:tcMar>
              <w:top w:w="62" w:type="dxa"/>
              <w:left w:w="130" w:type="dxa"/>
              <w:bottom w:w="62" w:type="dxa"/>
              <w:right w:w="130" w:type="dxa"/>
            </w:tcMar>
          </w:tcPr>
          <w:p w14:paraId="7F2297F2" w14:textId="77777777" w:rsidR="00F85A78" w:rsidRDefault="00000000" w:rsidP="00C92978">
            <w:pPr>
              <w:spacing w:line="360" w:lineRule="auto"/>
              <w:jc w:val="both"/>
            </w:pPr>
            <w:r>
              <w:rPr>
                <w:color w:val="1E1E1E"/>
                <w:sz w:val="20"/>
                <w:szCs w:val="20"/>
              </w:rPr>
              <w:t>Maintain a structured reflective journal throughout future assignments (Boud et al., 1985).</w:t>
            </w:r>
          </w:p>
        </w:tc>
      </w:tr>
    </w:tbl>
    <w:p w14:paraId="3AEE7A6E" w14:textId="77777777" w:rsidR="00F85A78" w:rsidRDefault="00000000" w:rsidP="008039C9">
      <w:pPr>
        <w:spacing w:before="160" w:after="40" w:line="360" w:lineRule="auto"/>
        <w:jc w:val="center"/>
      </w:pPr>
      <w:r>
        <w:rPr>
          <w:noProof/>
        </w:rPr>
        <w:lastRenderedPageBreak/>
        <w:drawing>
          <wp:inline distT="0" distB="0" distL="0" distR="0" wp14:anchorId="7AA9984E" wp14:editId="44E9B51E">
            <wp:extent cx="5044440" cy="4429125"/>
            <wp:effectExtent l="0" t="0" r="3810" b="9525"/>
            <wp:docPr id="1449566875" name="Picture 144956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044440" cy="4429125"/>
                    </a:xfrm>
                    <a:prstGeom prst="rect">
                      <a:avLst/>
                    </a:prstGeom>
                  </pic:spPr>
                </pic:pic>
              </a:graphicData>
            </a:graphic>
          </wp:inline>
        </w:drawing>
      </w:r>
    </w:p>
    <w:p w14:paraId="69DBB150" w14:textId="77777777" w:rsidR="00F85A78" w:rsidRDefault="00000000" w:rsidP="008039C9">
      <w:pPr>
        <w:spacing w:after="200" w:line="360" w:lineRule="auto"/>
        <w:jc w:val="center"/>
      </w:pPr>
      <w:r>
        <w:rPr>
          <w:i/>
          <w:iCs/>
          <w:color w:val="666666"/>
          <w:sz w:val="19"/>
          <w:szCs w:val="19"/>
        </w:rPr>
        <w:t>Figure 4: Self-Assessment Radar – Learning Development Across Six Competencies (Before vs After, Author's Own Evaluation)</w:t>
      </w:r>
    </w:p>
    <w:p w14:paraId="2C2E44B9" w14:textId="77777777" w:rsidR="00F85A78" w:rsidRDefault="00000000" w:rsidP="00C92978">
      <w:pPr>
        <w:pStyle w:val="Heading2"/>
        <w:spacing w:line="360" w:lineRule="auto"/>
        <w:jc w:val="both"/>
      </w:pPr>
      <w:bookmarkStart w:id="33" w:name="_Toc228432253"/>
      <w:r>
        <w:t>Reflective Conclusion</w:t>
      </w:r>
      <w:bookmarkEnd w:id="33"/>
    </w:p>
    <w:p w14:paraId="3BB8CDFB" w14:textId="77777777" w:rsidR="00C92978" w:rsidRDefault="00C92978" w:rsidP="00C92978">
      <w:pPr>
        <w:pStyle w:val="Heading1"/>
        <w:spacing w:line="360" w:lineRule="auto"/>
        <w:jc w:val="both"/>
        <w:rPr>
          <w:b w:val="0"/>
          <w:bCs w:val="0"/>
          <w:color w:val="1E1E1E"/>
          <w:sz w:val="22"/>
          <w:szCs w:val="22"/>
        </w:rPr>
      </w:pPr>
      <w:bookmarkStart w:id="34" w:name="_Toc228432254"/>
      <w:r w:rsidRPr="00C92978">
        <w:rPr>
          <w:b w:val="0"/>
          <w:bCs w:val="0"/>
          <w:color w:val="1E1E1E"/>
          <w:sz w:val="22"/>
          <w:szCs w:val="22"/>
        </w:rPr>
        <w:t>The Diageo research process critically can be examined through Gibbs Reflective Cycle (1988). This narrative has been made of real intellectual strengths such as the VRIO discovery, integration of frameworks, and shared value analysis and real weaknesses such as the lack of primary research and quantitative granularity. The reflective practitioner, as Schoen (1983) believes, reinvents the very paradigms in which strategic issues are perceived.</w:t>
      </w:r>
    </w:p>
    <w:p w14:paraId="3DC74726" w14:textId="77777777" w:rsidR="00C92978" w:rsidRDefault="00C92978" w:rsidP="00C92978">
      <w:pPr>
        <w:pStyle w:val="Heading1"/>
        <w:spacing w:line="360" w:lineRule="auto"/>
        <w:jc w:val="both"/>
        <w:rPr>
          <w:b w:val="0"/>
          <w:bCs w:val="0"/>
          <w:color w:val="1E1E1E"/>
          <w:sz w:val="22"/>
          <w:szCs w:val="22"/>
        </w:rPr>
      </w:pPr>
    </w:p>
    <w:p w14:paraId="4B4ECAA6" w14:textId="77777777" w:rsidR="00C92978" w:rsidRDefault="00C92978" w:rsidP="00C92978">
      <w:pPr>
        <w:pStyle w:val="Heading1"/>
        <w:spacing w:line="360" w:lineRule="auto"/>
        <w:jc w:val="both"/>
        <w:rPr>
          <w:b w:val="0"/>
          <w:bCs w:val="0"/>
          <w:color w:val="1E1E1E"/>
          <w:sz w:val="22"/>
          <w:szCs w:val="22"/>
        </w:rPr>
      </w:pPr>
    </w:p>
    <w:p w14:paraId="12815334" w14:textId="77777777" w:rsidR="00C92978" w:rsidRDefault="00C92978" w:rsidP="00C92978">
      <w:pPr>
        <w:pStyle w:val="Heading1"/>
        <w:spacing w:line="360" w:lineRule="auto"/>
        <w:jc w:val="both"/>
        <w:rPr>
          <w:b w:val="0"/>
          <w:bCs w:val="0"/>
          <w:color w:val="1E1E1E"/>
          <w:sz w:val="22"/>
          <w:szCs w:val="22"/>
        </w:rPr>
      </w:pPr>
    </w:p>
    <w:p w14:paraId="6D2E4081" w14:textId="77777777" w:rsidR="00C92978" w:rsidRDefault="00C92978" w:rsidP="00C92978">
      <w:pPr>
        <w:pStyle w:val="Heading1"/>
        <w:spacing w:line="360" w:lineRule="auto"/>
        <w:jc w:val="both"/>
        <w:rPr>
          <w:b w:val="0"/>
          <w:bCs w:val="0"/>
          <w:color w:val="1E1E1E"/>
          <w:sz w:val="22"/>
          <w:szCs w:val="22"/>
        </w:rPr>
      </w:pPr>
    </w:p>
    <w:p w14:paraId="0F62745C" w14:textId="0661B375" w:rsidR="00F85A78" w:rsidRDefault="00000000" w:rsidP="00C92978">
      <w:pPr>
        <w:pStyle w:val="Heading1"/>
        <w:spacing w:line="360" w:lineRule="auto"/>
        <w:jc w:val="both"/>
      </w:pPr>
      <w:r>
        <w:t>References</w:t>
      </w:r>
      <w:bookmarkEnd w:id="34"/>
    </w:p>
    <w:p w14:paraId="4F169FEC" w14:textId="77777777" w:rsidR="00F85A78" w:rsidRDefault="00000000" w:rsidP="00C92978">
      <w:pPr>
        <w:spacing w:before="38" w:after="62" w:line="360" w:lineRule="auto"/>
        <w:ind w:left="360" w:hanging="360"/>
        <w:jc w:val="both"/>
      </w:pPr>
      <w:r>
        <w:rPr>
          <w:color w:val="333333"/>
          <w:sz w:val="19"/>
          <w:szCs w:val="19"/>
        </w:rPr>
        <w:t>Barney, J.B. (1991) "Firm resources and sustained competitive advantage", Journal of Management, 17(1), pp.99–120.</w:t>
      </w:r>
    </w:p>
    <w:p w14:paraId="32020AE9" w14:textId="77777777" w:rsidR="00F85A78" w:rsidRDefault="00000000" w:rsidP="00C92978">
      <w:pPr>
        <w:spacing w:before="38" w:after="62" w:line="360" w:lineRule="auto"/>
        <w:ind w:left="360" w:hanging="360"/>
        <w:jc w:val="both"/>
      </w:pPr>
      <w:r>
        <w:rPr>
          <w:color w:val="333333"/>
          <w:sz w:val="19"/>
          <w:szCs w:val="19"/>
        </w:rPr>
        <w:t>Boud, D., Keogh, R. and Walker, D. (eds.) (1985) Reflection: Turning Experience into Learning. London: Kogan Page.</w:t>
      </w:r>
    </w:p>
    <w:p w14:paraId="13694EE2" w14:textId="77777777" w:rsidR="00F85A78" w:rsidRDefault="00000000" w:rsidP="00C92978">
      <w:pPr>
        <w:spacing w:before="38" w:after="62" w:line="360" w:lineRule="auto"/>
        <w:ind w:left="360" w:hanging="360"/>
        <w:jc w:val="both"/>
      </w:pPr>
      <w:r>
        <w:rPr>
          <w:color w:val="333333"/>
          <w:sz w:val="19"/>
          <w:szCs w:val="19"/>
        </w:rPr>
        <w:t>Christensen, C.M. (1997) The Innovator's Dilemma: When New Technologies Cause Great Firms to Fail. Boston: Harvard Business School Press.</w:t>
      </w:r>
    </w:p>
    <w:p w14:paraId="4A03FD75" w14:textId="77777777" w:rsidR="00F85A78" w:rsidRDefault="00000000" w:rsidP="00C92978">
      <w:pPr>
        <w:spacing w:before="38" w:after="62" w:line="360" w:lineRule="auto"/>
        <w:ind w:left="360" w:hanging="360"/>
        <w:jc w:val="both"/>
      </w:pPr>
      <w:r>
        <w:rPr>
          <w:color w:val="333333"/>
          <w:sz w:val="19"/>
          <w:szCs w:val="19"/>
        </w:rPr>
        <w:t>Diageo Plc (2024) Annual Report and Accounts 2024. London: Diageo Plc.</w:t>
      </w:r>
    </w:p>
    <w:p w14:paraId="161F44AD" w14:textId="77777777" w:rsidR="00F85A78" w:rsidRDefault="00000000" w:rsidP="00C92978">
      <w:pPr>
        <w:spacing w:before="38" w:after="62" w:line="360" w:lineRule="auto"/>
        <w:ind w:left="360" w:hanging="360"/>
        <w:jc w:val="both"/>
      </w:pPr>
      <w:r>
        <w:rPr>
          <w:color w:val="333333"/>
          <w:sz w:val="19"/>
          <w:szCs w:val="19"/>
        </w:rPr>
        <w:t>Dierickx, I. and Cool, K. (1989) "Asset stock accumulation and sustainability of competitive advantage", Management Science, 35(12), pp.1504–1511.</w:t>
      </w:r>
    </w:p>
    <w:p w14:paraId="489A6C27" w14:textId="77777777" w:rsidR="00F85A78" w:rsidRDefault="00000000" w:rsidP="00C92978">
      <w:pPr>
        <w:spacing w:before="38" w:after="62" w:line="360" w:lineRule="auto"/>
        <w:ind w:left="360" w:hanging="360"/>
        <w:jc w:val="both"/>
      </w:pPr>
      <w:r>
        <w:rPr>
          <w:color w:val="333333"/>
          <w:sz w:val="19"/>
          <w:szCs w:val="19"/>
        </w:rPr>
        <w:t>Ghemawat, P. (2001) "Distance still matters: the hard reality of global expansion", Harvard Business Review, 79(8), pp.137–147.</w:t>
      </w:r>
    </w:p>
    <w:p w14:paraId="6733DCB2" w14:textId="77777777" w:rsidR="00F85A78" w:rsidRDefault="00000000" w:rsidP="00C92978">
      <w:pPr>
        <w:spacing w:before="38" w:after="62" w:line="360" w:lineRule="auto"/>
        <w:ind w:left="360" w:hanging="360"/>
        <w:jc w:val="both"/>
      </w:pPr>
      <w:r>
        <w:rPr>
          <w:color w:val="333333"/>
          <w:sz w:val="19"/>
          <w:szCs w:val="19"/>
        </w:rPr>
        <w:t>Gibbs, G. (1988) Learning by Doing: A Guide to Teaching and Learning Methods. Oxford: Further Education Unit, Oxford Polytechnic.</w:t>
      </w:r>
    </w:p>
    <w:p w14:paraId="4BA69246" w14:textId="77777777" w:rsidR="00F85A78" w:rsidRDefault="00000000" w:rsidP="00C92978">
      <w:pPr>
        <w:spacing w:before="38" w:after="62" w:line="360" w:lineRule="auto"/>
        <w:ind w:left="360" w:hanging="360"/>
        <w:jc w:val="both"/>
      </w:pPr>
      <w:r>
        <w:rPr>
          <w:color w:val="333333"/>
          <w:sz w:val="19"/>
          <w:szCs w:val="19"/>
        </w:rPr>
        <w:t>Johnson, G., Whittington, R., Scholes, K., Angwin, D. and Regner, P. (2017) Exploring Strategy. 11th edn. Harlow: Pearson.</w:t>
      </w:r>
    </w:p>
    <w:p w14:paraId="504659B3" w14:textId="77777777" w:rsidR="00F85A78" w:rsidRDefault="00000000" w:rsidP="00C92978">
      <w:pPr>
        <w:spacing w:before="38" w:after="62" w:line="360" w:lineRule="auto"/>
        <w:ind w:left="360" w:hanging="360"/>
        <w:jc w:val="both"/>
      </w:pPr>
      <w:r>
        <w:rPr>
          <w:color w:val="333333"/>
          <w:sz w:val="19"/>
          <w:szCs w:val="19"/>
        </w:rPr>
        <w:t>Kaplan, R.S. and Norton, D.P. (1992) "The balanced scorecard: measures that drive performance", Harvard Business Review, 70(1), pp.71–79.</w:t>
      </w:r>
    </w:p>
    <w:p w14:paraId="35EC12CD" w14:textId="77777777" w:rsidR="00F85A78" w:rsidRDefault="00000000" w:rsidP="00C92978">
      <w:pPr>
        <w:spacing w:before="38" w:after="62" w:line="360" w:lineRule="auto"/>
        <w:ind w:left="360" w:hanging="360"/>
        <w:jc w:val="both"/>
      </w:pPr>
      <w:r>
        <w:rPr>
          <w:color w:val="333333"/>
          <w:sz w:val="19"/>
          <w:szCs w:val="19"/>
        </w:rPr>
        <w:t>Kolb, D.A. (1984) Experiential Learning: Experience as the Source of Learning and Development. Englewood Cliffs: Prentice-Hall.</w:t>
      </w:r>
    </w:p>
    <w:p w14:paraId="3C9A1618" w14:textId="77777777" w:rsidR="00F85A78" w:rsidRDefault="00000000" w:rsidP="00C92978">
      <w:pPr>
        <w:spacing w:before="38" w:after="62" w:line="360" w:lineRule="auto"/>
        <w:ind w:left="360" w:hanging="360"/>
        <w:jc w:val="both"/>
      </w:pPr>
      <w:r>
        <w:rPr>
          <w:color w:val="333333"/>
          <w:sz w:val="19"/>
          <w:szCs w:val="19"/>
        </w:rPr>
        <w:t>Kotter, J.P. (1996) Leading Change. Boston: Harvard Business School Press.</w:t>
      </w:r>
    </w:p>
    <w:p w14:paraId="7E4E6577" w14:textId="77777777" w:rsidR="00F85A78" w:rsidRDefault="00000000" w:rsidP="00C92978">
      <w:pPr>
        <w:spacing w:before="38" w:after="62" w:line="360" w:lineRule="auto"/>
        <w:ind w:left="360" w:hanging="360"/>
        <w:jc w:val="both"/>
      </w:pPr>
      <w:r>
        <w:rPr>
          <w:color w:val="333333"/>
          <w:sz w:val="19"/>
          <w:szCs w:val="19"/>
        </w:rPr>
        <w:t>Lewin, K. (1951) Field Theory in Social Science. New York: Harper &amp; Row.</w:t>
      </w:r>
    </w:p>
    <w:p w14:paraId="209782C3" w14:textId="77777777" w:rsidR="00F85A78" w:rsidRDefault="00000000" w:rsidP="00C92978">
      <w:pPr>
        <w:spacing w:before="38" w:after="62" w:line="360" w:lineRule="auto"/>
        <w:ind w:left="360" w:hanging="360"/>
        <w:jc w:val="both"/>
      </w:pPr>
      <w:r>
        <w:rPr>
          <w:color w:val="333333"/>
          <w:sz w:val="19"/>
          <w:szCs w:val="19"/>
        </w:rPr>
        <w:t>Mezirow, J. (1991) Transformative Dimensions of Adult Learning. San Francisco: Jossey-Bass.</w:t>
      </w:r>
    </w:p>
    <w:p w14:paraId="6F80487B" w14:textId="77777777" w:rsidR="00F85A78" w:rsidRDefault="00000000" w:rsidP="00C92978">
      <w:pPr>
        <w:spacing w:before="38" w:after="62" w:line="360" w:lineRule="auto"/>
        <w:ind w:left="360" w:hanging="360"/>
        <w:jc w:val="both"/>
      </w:pPr>
      <w:r>
        <w:rPr>
          <w:color w:val="333333"/>
          <w:sz w:val="19"/>
          <w:szCs w:val="19"/>
        </w:rPr>
        <w:t>Mintzberg, H. (1987) "The strategy concept I: five Ps for strategy", California Management Review, 30(1), pp.11–24.</w:t>
      </w:r>
    </w:p>
    <w:p w14:paraId="27698820" w14:textId="77777777" w:rsidR="00F85A78" w:rsidRDefault="00000000" w:rsidP="00C92978">
      <w:pPr>
        <w:spacing w:before="38" w:after="62" w:line="360" w:lineRule="auto"/>
        <w:ind w:left="360" w:hanging="360"/>
        <w:jc w:val="both"/>
      </w:pPr>
      <w:r>
        <w:rPr>
          <w:color w:val="333333"/>
          <w:sz w:val="19"/>
          <w:szCs w:val="19"/>
        </w:rPr>
        <w:t>Moon, J.A. (1999) Reflection in Learning and Professional Development. London: Kogan Page.</w:t>
      </w:r>
    </w:p>
    <w:p w14:paraId="16980DC4" w14:textId="77777777" w:rsidR="00F85A78" w:rsidRDefault="00000000" w:rsidP="00C92978">
      <w:pPr>
        <w:spacing w:before="38" w:after="62" w:line="360" w:lineRule="auto"/>
        <w:ind w:left="360" w:hanging="360"/>
        <w:jc w:val="both"/>
      </w:pPr>
      <w:r>
        <w:rPr>
          <w:color w:val="333333"/>
          <w:sz w:val="19"/>
          <w:szCs w:val="19"/>
        </w:rPr>
        <w:t>Niven, P.R. (2006) Balanced Scorecard Step-by-Step. 2nd edn. Hoboken: Wiley.</w:t>
      </w:r>
    </w:p>
    <w:p w14:paraId="6254DF62" w14:textId="77777777" w:rsidR="00F85A78" w:rsidRDefault="00000000" w:rsidP="00C92978">
      <w:pPr>
        <w:spacing w:before="38" w:after="62" w:line="360" w:lineRule="auto"/>
        <w:ind w:left="360" w:hanging="360"/>
        <w:jc w:val="both"/>
      </w:pPr>
      <w:r>
        <w:rPr>
          <w:color w:val="333333"/>
          <w:sz w:val="19"/>
          <w:szCs w:val="19"/>
        </w:rPr>
        <w:t>Porter, M.E. (1980) Competitive Strategy. New York: Free Press.</w:t>
      </w:r>
    </w:p>
    <w:p w14:paraId="6D0AA1DE" w14:textId="77777777" w:rsidR="00F85A78" w:rsidRDefault="00000000" w:rsidP="00C92978">
      <w:pPr>
        <w:spacing w:before="38" w:after="62" w:line="360" w:lineRule="auto"/>
        <w:ind w:left="360" w:hanging="360"/>
        <w:jc w:val="both"/>
      </w:pPr>
      <w:r>
        <w:rPr>
          <w:color w:val="333333"/>
          <w:sz w:val="19"/>
          <w:szCs w:val="19"/>
        </w:rPr>
        <w:t>Porter, M.E. and Kramer, M.R. (2006) "Strategy and society", Harvard Business Review, 84(12), pp.78–92.</w:t>
      </w:r>
    </w:p>
    <w:p w14:paraId="4BF0B7BC" w14:textId="77777777" w:rsidR="00F85A78" w:rsidRDefault="00000000" w:rsidP="00C92978">
      <w:pPr>
        <w:spacing w:before="38" w:after="62" w:line="360" w:lineRule="auto"/>
        <w:ind w:left="360" w:hanging="360"/>
        <w:jc w:val="both"/>
      </w:pPr>
      <w:r>
        <w:rPr>
          <w:color w:val="333333"/>
          <w:sz w:val="19"/>
          <w:szCs w:val="19"/>
        </w:rPr>
        <w:t>Prahalad, C.K. and Hamel, G. (1990) "The core competence of the corporation", Harvard Business Review, 68(3), pp.79–91.</w:t>
      </w:r>
    </w:p>
    <w:p w14:paraId="6CC58B53" w14:textId="77777777" w:rsidR="00F85A78" w:rsidRDefault="00000000" w:rsidP="00C92978">
      <w:pPr>
        <w:spacing w:before="38" w:after="62" w:line="360" w:lineRule="auto"/>
        <w:ind w:left="360" w:hanging="360"/>
        <w:jc w:val="both"/>
      </w:pPr>
      <w:r>
        <w:rPr>
          <w:color w:val="333333"/>
          <w:sz w:val="19"/>
          <w:szCs w:val="19"/>
        </w:rPr>
        <w:t>Prahalad, C.K. and Hart, S.L. (2002) "The fortune at the bottom of the pyramid", Strategy + Business, 26, pp.54–67.</w:t>
      </w:r>
    </w:p>
    <w:p w14:paraId="717EDBCC" w14:textId="77777777" w:rsidR="00F85A78" w:rsidRDefault="00000000" w:rsidP="00C92978">
      <w:pPr>
        <w:spacing w:before="38" w:after="62" w:line="360" w:lineRule="auto"/>
        <w:ind w:left="360" w:hanging="360"/>
        <w:jc w:val="both"/>
      </w:pPr>
      <w:r>
        <w:rPr>
          <w:color w:val="333333"/>
          <w:sz w:val="19"/>
          <w:szCs w:val="19"/>
        </w:rPr>
        <w:lastRenderedPageBreak/>
        <w:t>Schön, D.A. (1983) The Reflective Practitioner: How Professionals Think in Action. New York: Basic Books.</w:t>
      </w:r>
    </w:p>
    <w:p w14:paraId="2AC309A3" w14:textId="77777777" w:rsidR="00F85A78" w:rsidRDefault="00000000" w:rsidP="00C92978">
      <w:pPr>
        <w:spacing w:before="38" w:after="62" w:line="360" w:lineRule="auto"/>
        <w:ind w:left="360" w:hanging="360"/>
        <w:jc w:val="both"/>
      </w:pPr>
      <w:r>
        <w:rPr>
          <w:color w:val="333333"/>
          <w:sz w:val="19"/>
          <w:szCs w:val="19"/>
        </w:rPr>
        <w:t>Senge, P.M. (1990) The Fifth Discipline. New York: Doubleday.</w:t>
      </w:r>
    </w:p>
    <w:p w14:paraId="175574AE" w14:textId="77777777" w:rsidR="00F85A78" w:rsidRDefault="00000000" w:rsidP="00C92978">
      <w:pPr>
        <w:spacing w:before="38" w:after="62" w:line="360" w:lineRule="auto"/>
        <w:ind w:left="360" w:hanging="360"/>
        <w:jc w:val="both"/>
      </w:pPr>
      <w:r>
        <w:rPr>
          <w:color w:val="333333"/>
          <w:sz w:val="19"/>
          <w:szCs w:val="19"/>
        </w:rPr>
        <w:t>Teece, D.J., Pisano, G. and Shuen, A. (1997) "Dynamic capabilities and strategic management", Strategic Management Journal, 18(7), pp.509–533.</w:t>
      </w:r>
    </w:p>
    <w:p w14:paraId="4469EF1C" w14:textId="77777777" w:rsidR="00F85A78" w:rsidRDefault="00000000" w:rsidP="00C92978">
      <w:pPr>
        <w:spacing w:before="38" w:after="62" w:line="360" w:lineRule="auto"/>
        <w:ind w:left="360" w:hanging="360"/>
        <w:jc w:val="both"/>
      </w:pPr>
      <w:r>
        <w:rPr>
          <w:color w:val="333333"/>
          <w:sz w:val="19"/>
          <w:szCs w:val="19"/>
        </w:rPr>
        <w:t>Wernerfelt, B. (1984) "A resource-based view of the firm", Strategic Management Journal, 5(2), pp.171–180.</w:t>
      </w:r>
    </w:p>
    <w:sectPr w:rsidR="00F85A78">
      <w:headerReference w:type="even" r:id="rId21"/>
      <w:headerReference w:type="default" r:id="rId22"/>
      <w:footerReference w:type="even" r:id="rId23"/>
      <w:footerReference w:type="default" r:id="rId24"/>
      <w:headerReference w:type="first" r:id="rId25"/>
      <w:footerReference w:type="first" r:id="rId26"/>
      <w:pgSz w:w="12240" w:h="15840"/>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CE0E7" w14:textId="77777777" w:rsidR="007D5064" w:rsidRDefault="007D5064">
      <w:r>
        <w:separator/>
      </w:r>
    </w:p>
  </w:endnote>
  <w:endnote w:type="continuationSeparator" w:id="0">
    <w:p w14:paraId="4071C2F9" w14:textId="77777777" w:rsidR="007D5064" w:rsidRDefault="007D5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8F49" w14:textId="77777777" w:rsidR="006836D3" w:rsidRDefault="00683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B0B2" w14:textId="725D4285" w:rsidR="00420722" w:rsidRDefault="00000000" w:rsidP="006836D3">
    <w:pPr>
      <w:pBdr>
        <w:top w:val="single" w:sz="4" w:space="6" w:color="D0D7DE"/>
      </w:pBdr>
      <w:spacing w:before="80"/>
      <w:jc w:val="right"/>
    </w:pPr>
    <w:r>
      <w:rPr>
        <w:color w:val="999999"/>
        <w:sz w:val="17"/>
        <w:szCs w:val="17"/>
      </w:rPr>
      <w:t>Strategic Management  |  Diageo Plc Analysis  |  202</w:t>
    </w:r>
    <w:r w:rsidR="006836D3">
      <w:rPr>
        <w:color w:val="999999"/>
        <w:sz w:val="17"/>
        <w:szCs w:val="17"/>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4987" w14:textId="77777777" w:rsidR="006836D3" w:rsidRDefault="00683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3D75D" w14:textId="77777777" w:rsidR="007D5064" w:rsidRDefault="007D5064">
      <w:r>
        <w:separator/>
      </w:r>
    </w:p>
  </w:footnote>
  <w:footnote w:type="continuationSeparator" w:id="0">
    <w:p w14:paraId="7D5AC0F5" w14:textId="77777777" w:rsidR="007D5064" w:rsidRDefault="007D5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BC5AC" w14:textId="77777777" w:rsidR="006836D3" w:rsidRDefault="006836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4CC25" w14:textId="0E24A80E" w:rsidR="00420722" w:rsidRDefault="00566E33">
    <w:pPr>
      <w:pBdr>
        <w:bottom w:val="single" w:sz="5" w:space="6" w:color="B8860B"/>
      </w:pBdr>
      <w:spacing w:after="80"/>
      <w:jc w:val="right"/>
    </w:pPr>
    <w:r>
      <w:rPr>
        <w:noProof/>
        <w:color w:val="777777"/>
        <w:sz w:val="18"/>
        <w:szCs w:val="18"/>
      </w:rPr>
      <w:drawing>
        <wp:anchor distT="0" distB="0" distL="114300" distR="114300" simplePos="0" relativeHeight="251659264" behindDoc="0" locked="0" layoutInCell="1" allowOverlap="1" wp14:anchorId="2F4FCEDE" wp14:editId="13C9A7DA">
          <wp:simplePos x="0" y="0"/>
          <wp:positionH relativeFrom="column">
            <wp:posOffset>0</wp:posOffset>
          </wp:positionH>
          <wp:positionV relativeFrom="paragraph">
            <wp:posOffset>-242570</wp:posOffset>
          </wp:positionV>
          <wp:extent cx="1272540" cy="509270"/>
          <wp:effectExtent l="0" t="0" r="3810" b="5080"/>
          <wp:wrapThrough wrapText="bothSides">
            <wp:wrapPolygon edited="0">
              <wp:start x="0" y="0"/>
              <wp:lineTo x="0" y="21007"/>
              <wp:lineTo x="21341" y="21007"/>
              <wp:lineTo x="21341" y="0"/>
              <wp:lineTo x="0" y="0"/>
            </wp:wrapPolygon>
          </wp:wrapThrough>
          <wp:docPr id="574685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685055" name="Picture 574685055"/>
                  <pic:cNvPicPr/>
                </pic:nvPicPr>
                <pic:blipFill>
                  <a:blip r:embed="rId1">
                    <a:extLst>
                      <a:ext uri="{28A0092B-C50C-407E-A947-70E740481C1C}">
                        <a14:useLocalDpi xmlns:a14="http://schemas.microsoft.com/office/drawing/2010/main" val="0"/>
                      </a:ext>
                    </a:extLst>
                  </a:blip>
                  <a:stretch>
                    <a:fillRect/>
                  </a:stretch>
                </pic:blipFill>
                <pic:spPr>
                  <a:xfrm>
                    <a:off x="0" y="0"/>
                    <a:ext cx="1272540" cy="509270"/>
                  </a:xfrm>
                  <a:prstGeom prst="rect">
                    <a:avLst/>
                  </a:prstGeom>
                </pic:spPr>
              </pic:pic>
            </a:graphicData>
          </a:graphic>
          <wp14:sizeRelH relativeFrom="margin">
            <wp14:pctWidth>0</wp14:pctWidth>
          </wp14:sizeRelH>
          <wp14:sizeRelV relativeFrom="margin">
            <wp14:pctHeight>0</wp14:pctHeight>
          </wp14:sizeRelV>
        </wp:anchor>
      </w:drawing>
    </w:r>
    <w:r>
      <w:rPr>
        <w:color w:val="777777"/>
        <w:sz w:val="18"/>
        <w:szCs w:val="18"/>
      </w:rPr>
      <w:t xml:space="preserve">Diageo Plc – Strategic Management </w:t>
    </w:r>
    <w:proofErr w:type="gramStart"/>
    <w:r>
      <w:rPr>
        <w:color w:val="777777"/>
        <w:sz w:val="18"/>
        <w:szCs w:val="18"/>
      </w:rPr>
      <w:t>Analysis  |</w:t>
    </w:r>
    <w:proofErr w:type="gramEnd"/>
    <w:r>
      <w:rPr>
        <w:color w:val="777777"/>
        <w:sz w:val="18"/>
        <w:szCs w:val="18"/>
      </w:rPr>
      <w:t xml:space="preserve">  Page </w:t>
    </w:r>
    <w:r>
      <w:rPr>
        <w:color w:val="777777"/>
        <w:sz w:val="18"/>
        <w:szCs w:val="18"/>
      </w:rPr>
      <w:fldChar w:fldCharType="begin"/>
    </w:r>
    <w:r>
      <w:rPr>
        <w:color w:val="777777"/>
        <w:sz w:val="18"/>
        <w:szCs w:val="18"/>
      </w:rPr>
      <w:instrText>PAGE</w:instrText>
    </w:r>
    <w:r>
      <w:rPr>
        <w:color w:val="777777"/>
        <w:sz w:val="18"/>
        <w:szCs w:val="18"/>
      </w:rPr>
      <w:fldChar w:fldCharType="separate"/>
    </w:r>
    <w:r w:rsidR="006B353A">
      <w:rPr>
        <w:noProof/>
        <w:color w:val="777777"/>
        <w:sz w:val="18"/>
        <w:szCs w:val="18"/>
      </w:rPr>
      <w:t>1</w:t>
    </w:r>
    <w:r>
      <w:rPr>
        <w:color w:val="777777"/>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74732" w14:textId="77777777" w:rsidR="006836D3" w:rsidRDefault="006836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3171B"/>
    <w:multiLevelType w:val="hybridMultilevel"/>
    <w:tmpl w:val="2E084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3812F6"/>
    <w:multiLevelType w:val="hybridMultilevel"/>
    <w:tmpl w:val="509E1CD8"/>
    <w:lvl w:ilvl="0" w:tplc="FC444D26">
      <w:start w:val="1"/>
      <w:numFmt w:val="bullet"/>
      <w:lvlText w:val="•"/>
      <w:lvlJc w:val="left"/>
      <w:pPr>
        <w:ind w:left="540" w:hanging="300"/>
      </w:pPr>
    </w:lvl>
    <w:lvl w:ilvl="1" w:tplc="40D221DC">
      <w:numFmt w:val="decimal"/>
      <w:lvlText w:val=""/>
      <w:lvlJc w:val="left"/>
    </w:lvl>
    <w:lvl w:ilvl="2" w:tplc="70DE8F34">
      <w:numFmt w:val="decimal"/>
      <w:lvlText w:val=""/>
      <w:lvlJc w:val="left"/>
    </w:lvl>
    <w:lvl w:ilvl="3" w:tplc="506EED10">
      <w:numFmt w:val="decimal"/>
      <w:lvlText w:val=""/>
      <w:lvlJc w:val="left"/>
    </w:lvl>
    <w:lvl w:ilvl="4" w:tplc="34F282CC">
      <w:numFmt w:val="decimal"/>
      <w:lvlText w:val=""/>
      <w:lvlJc w:val="left"/>
    </w:lvl>
    <w:lvl w:ilvl="5" w:tplc="4920E90A">
      <w:numFmt w:val="decimal"/>
      <w:lvlText w:val=""/>
      <w:lvlJc w:val="left"/>
    </w:lvl>
    <w:lvl w:ilvl="6" w:tplc="C76AC2F6">
      <w:numFmt w:val="decimal"/>
      <w:lvlText w:val=""/>
      <w:lvlJc w:val="left"/>
    </w:lvl>
    <w:lvl w:ilvl="7" w:tplc="C8BC57A2">
      <w:numFmt w:val="decimal"/>
      <w:lvlText w:val=""/>
      <w:lvlJc w:val="left"/>
    </w:lvl>
    <w:lvl w:ilvl="8" w:tplc="45FAEED8">
      <w:numFmt w:val="decimal"/>
      <w:lvlText w:val=""/>
      <w:lvlJc w:val="left"/>
    </w:lvl>
  </w:abstractNum>
  <w:abstractNum w:abstractNumId="2" w15:restartNumberingAfterBreak="0">
    <w:nsid w:val="62F22891"/>
    <w:multiLevelType w:val="hybridMultilevel"/>
    <w:tmpl w:val="7E6C7410"/>
    <w:lvl w:ilvl="0" w:tplc="04A6CF8A">
      <w:start w:val="1"/>
      <w:numFmt w:val="bullet"/>
      <w:lvlText w:val="●"/>
      <w:lvlJc w:val="left"/>
      <w:pPr>
        <w:ind w:left="720" w:hanging="360"/>
      </w:pPr>
    </w:lvl>
    <w:lvl w:ilvl="1" w:tplc="64044464">
      <w:start w:val="1"/>
      <w:numFmt w:val="bullet"/>
      <w:lvlText w:val="○"/>
      <w:lvlJc w:val="left"/>
      <w:pPr>
        <w:ind w:left="1440" w:hanging="360"/>
      </w:pPr>
    </w:lvl>
    <w:lvl w:ilvl="2" w:tplc="2A185C2E">
      <w:start w:val="1"/>
      <w:numFmt w:val="bullet"/>
      <w:lvlText w:val="■"/>
      <w:lvlJc w:val="left"/>
      <w:pPr>
        <w:ind w:left="2160" w:hanging="360"/>
      </w:pPr>
    </w:lvl>
    <w:lvl w:ilvl="3" w:tplc="CF78B386">
      <w:start w:val="1"/>
      <w:numFmt w:val="bullet"/>
      <w:lvlText w:val="●"/>
      <w:lvlJc w:val="left"/>
      <w:pPr>
        <w:ind w:left="2880" w:hanging="360"/>
      </w:pPr>
    </w:lvl>
    <w:lvl w:ilvl="4" w:tplc="881AC49A">
      <w:start w:val="1"/>
      <w:numFmt w:val="bullet"/>
      <w:lvlText w:val="○"/>
      <w:lvlJc w:val="left"/>
      <w:pPr>
        <w:ind w:left="3600" w:hanging="360"/>
      </w:pPr>
    </w:lvl>
    <w:lvl w:ilvl="5" w:tplc="FED61BF8">
      <w:start w:val="1"/>
      <w:numFmt w:val="bullet"/>
      <w:lvlText w:val="■"/>
      <w:lvlJc w:val="left"/>
      <w:pPr>
        <w:ind w:left="4320" w:hanging="360"/>
      </w:pPr>
    </w:lvl>
    <w:lvl w:ilvl="6" w:tplc="5628A6C8">
      <w:start w:val="1"/>
      <w:numFmt w:val="bullet"/>
      <w:lvlText w:val="●"/>
      <w:lvlJc w:val="left"/>
      <w:pPr>
        <w:ind w:left="5040" w:hanging="360"/>
      </w:pPr>
    </w:lvl>
    <w:lvl w:ilvl="7" w:tplc="FB6A9D84">
      <w:start w:val="1"/>
      <w:numFmt w:val="bullet"/>
      <w:lvlText w:val="●"/>
      <w:lvlJc w:val="left"/>
      <w:pPr>
        <w:ind w:left="5760" w:hanging="360"/>
      </w:pPr>
    </w:lvl>
    <w:lvl w:ilvl="8" w:tplc="6E2C2D82">
      <w:start w:val="1"/>
      <w:numFmt w:val="bullet"/>
      <w:lvlText w:val="●"/>
      <w:lvlJc w:val="left"/>
      <w:pPr>
        <w:ind w:left="6480" w:hanging="360"/>
      </w:pPr>
    </w:lvl>
  </w:abstractNum>
  <w:num w:numId="1" w16cid:durableId="1915966875">
    <w:abstractNumId w:val="2"/>
    <w:lvlOverride w:ilvl="0">
      <w:startOverride w:val="1"/>
    </w:lvlOverride>
  </w:num>
  <w:num w:numId="2" w16cid:durableId="435059639">
    <w:abstractNumId w:val="1"/>
    <w:lvlOverride w:ilvl="0">
      <w:startOverride w:val="1"/>
    </w:lvlOverride>
  </w:num>
  <w:num w:numId="3" w16cid:durableId="1540849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722"/>
    <w:rsid w:val="00100915"/>
    <w:rsid w:val="00107293"/>
    <w:rsid w:val="001461CA"/>
    <w:rsid w:val="001E0475"/>
    <w:rsid w:val="001F06FA"/>
    <w:rsid w:val="002939C9"/>
    <w:rsid w:val="003B6DC4"/>
    <w:rsid w:val="00420722"/>
    <w:rsid w:val="00566E33"/>
    <w:rsid w:val="0058431B"/>
    <w:rsid w:val="00584D99"/>
    <w:rsid w:val="005F70D3"/>
    <w:rsid w:val="00630F14"/>
    <w:rsid w:val="006836D3"/>
    <w:rsid w:val="00694A8B"/>
    <w:rsid w:val="006B353A"/>
    <w:rsid w:val="006E7775"/>
    <w:rsid w:val="00711F4B"/>
    <w:rsid w:val="007D5064"/>
    <w:rsid w:val="008039C9"/>
    <w:rsid w:val="00931B2B"/>
    <w:rsid w:val="009B1869"/>
    <w:rsid w:val="009E443F"/>
    <w:rsid w:val="009F178C"/>
    <w:rsid w:val="00B30CD4"/>
    <w:rsid w:val="00C92978"/>
    <w:rsid w:val="00CE4935"/>
    <w:rsid w:val="00D27FF3"/>
    <w:rsid w:val="00D43DC8"/>
    <w:rsid w:val="00DC2B15"/>
    <w:rsid w:val="00DF5446"/>
    <w:rsid w:val="00ED66D8"/>
    <w:rsid w:val="00F477FF"/>
    <w:rsid w:val="00F65200"/>
    <w:rsid w:val="00F85A78"/>
    <w:rsid w:val="00FF70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206F9"/>
  <w15:docId w15:val="{AED9089B-F362-4D66-94A8-C9B10170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20" w:after="200"/>
      <w:outlineLvl w:val="0"/>
    </w:pPr>
    <w:rPr>
      <w:b/>
      <w:bCs/>
      <w:color w:val="1A1A2E"/>
      <w:sz w:val="34"/>
      <w:szCs w:val="34"/>
    </w:rPr>
  </w:style>
  <w:style w:type="paragraph" w:styleId="Heading2">
    <w:name w:val="heading 2"/>
    <w:uiPriority w:val="9"/>
    <w:unhideWhenUsed/>
    <w:qFormat/>
    <w:pPr>
      <w:spacing w:before="260" w:after="160"/>
      <w:outlineLvl w:val="1"/>
    </w:pPr>
    <w:rPr>
      <w:b/>
      <w:bCs/>
      <w:color w:val="0F6B75"/>
      <w:sz w:val="27"/>
      <w:szCs w:val="27"/>
    </w:rPr>
  </w:style>
  <w:style w:type="paragraph" w:styleId="Heading3">
    <w:name w:val="heading 3"/>
    <w:uiPriority w:val="9"/>
    <w:semiHidden/>
    <w:unhideWhenUsed/>
    <w:qFormat/>
    <w:pPr>
      <w:spacing w:before="180" w:after="100"/>
      <w:outlineLvl w:val="2"/>
    </w:pPr>
    <w:rPr>
      <w:b/>
      <w:bCs/>
      <w:color w:val="8B6914"/>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9B1869"/>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9B1869"/>
    <w:pPr>
      <w:spacing w:after="100"/>
    </w:pPr>
  </w:style>
  <w:style w:type="paragraph" w:styleId="TOC2">
    <w:name w:val="toc 2"/>
    <w:basedOn w:val="Normal"/>
    <w:next w:val="Normal"/>
    <w:autoRedefine/>
    <w:uiPriority w:val="39"/>
    <w:unhideWhenUsed/>
    <w:rsid w:val="009B1869"/>
    <w:pPr>
      <w:spacing w:after="100"/>
      <w:ind w:left="220"/>
    </w:pPr>
  </w:style>
  <w:style w:type="paragraph" w:styleId="Header">
    <w:name w:val="header"/>
    <w:basedOn w:val="Normal"/>
    <w:link w:val="HeaderChar"/>
    <w:uiPriority w:val="99"/>
    <w:unhideWhenUsed/>
    <w:rsid w:val="00566E33"/>
    <w:pPr>
      <w:tabs>
        <w:tab w:val="center" w:pos="4680"/>
        <w:tab w:val="right" w:pos="9360"/>
      </w:tabs>
    </w:pPr>
  </w:style>
  <w:style w:type="character" w:customStyle="1" w:styleId="HeaderChar">
    <w:name w:val="Header Char"/>
    <w:basedOn w:val="DefaultParagraphFont"/>
    <w:link w:val="Header"/>
    <w:uiPriority w:val="99"/>
    <w:rsid w:val="00566E33"/>
  </w:style>
  <w:style w:type="paragraph" w:styleId="Footer">
    <w:name w:val="footer"/>
    <w:basedOn w:val="Normal"/>
    <w:link w:val="FooterChar"/>
    <w:uiPriority w:val="99"/>
    <w:unhideWhenUsed/>
    <w:rsid w:val="00566E33"/>
    <w:pPr>
      <w:tabs>
        <w:tab w:val="center" w:pos="4680"/>
        <w:tab w:val="right" w:pos="9360"/>
      </w:tabs>
    </w:pPr>
  </w:style>
  <w:style w:type="character" w:customStyle="1" w:styleId="FooterChar">
    <w:name w:val="Footer Char"/>
    <w:basedOn w:val="DefaultParagraphFont"/>
    <w:link w:val="Footer"/>
    <w:uiPriority w:val="99"/>
    <w:rsid w:val="00566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17F1F0-01F0-4913-AE7F-12CBBD295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7206</Words>
  <Characters>41079</Characters>
  <Application>Microsoft Office Word</Application>
  <DocSecurity>0</DocSecurity>
  <Lines>342</Lines>
  <Paragraphs>96</Paragraphs>
  <ScaleCrop>false</ScaleCrop>
  <Company/>
  <LinksUpToDate>false</LinksUpToDate>
  <CharactersWithSpaces>48189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Md Alamin (2434280)</cp:lastModifiedBy>
  <cp:revision>2</cp:revision>
  <dcterms:created xsi:type="dcterms:W3CDTF">2026-04-30T23:28:00Z</dcterms:created>
  <dcterms:modified xsi:type="dcterms:W3CDTF">2026-04-30T23:28:00Z</dcterms:modified>
</cp:coreProperties>
</file>