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22A5B0" w14:textId="77777777" w:rsidR="009912D7" w:rsidRDefault="009912D7" w:rsidP="002A7870">
      <w:pPr>
        <w:spacing w:line="360" w:lineRule="auto"/>
        <w:jc w:val="both"/>
      </w:pPr>
    </w:p>
    <w:p w14:paraId="59DB5A25" w14:textId="53F196E9" w:rsidR="00936702" w:rsidRPr="00FB28C0" w:rsidRDefault="00936702" w:rsidP="002A7870">
      <w:pPr>
        <w:spacing w:line="360" w:lineRule="auto"/>
        <w:jc w:val="both"/>
        <w:rPr>
          <w:highlight w:val="green"/>
        </w:rPr>
      </w:pPr>
      <w:r>
        <w:t xml:space="preserve"> </w:t>
      </w:r>
      <w:r w:rsidRPr="00936702">
        <w:t>This submission aims to deliver a comprehensive critical analysis of inequality</w:t>
      </w:r>
      <w:r>
        <w:t xml:space="preserve"> (</w:t>
      </w:r>
      <w:r w:rsidRPr="00516178">
        <w:t>Koh</w:t>
      </w:r>
      <w:r w:rsidRPr="0072401F">
        <w:t>,</w:t>
      </w:r>
      <w:r>
        <w:t xml:space="preserve"> </w:t>
      </w:r>
      <w:r w:rsidRPr="0072401F">
        <w:t>2020</w:t>
      </w:r>
      <w:r>
        <w:t>; SCE, 2024)</w:t>
      </w:r>
      <w:r w:rsidRPr="00936702">
        <w:t>, specifically focusing on class-structured disparities</w:t>
      </w:r>
      <w:r>
        <w:t xml:space="preserve"> (</w:t>
      </w:r>
      <w:r w:rsidRPr="002300A4">
        <w:t xml:space="preserve">Piff, </w:t>
      </w:r>
      <w:r w:rsidRPr="00210417">
        <w:t xml:space="preserve">Kraus and Keltner, 2018; Southgate and Keister 2021; </w:t>
      </w:r>
      <w:r w:rsidRPr="00210417">
        <w:rPr>
          <w:rFonts w:eastAsiaTheme="majorEastAsia"/>
        </w:rPr>
        <w:t>Jodhka</w:t>
      </w:r>
      <w:r w:rsidRPr="00210417">
        <w:t>, </w:t>
      </w:r>
      <w:hyperlink r:id="rId8" w:history="1">
        <w:r w:rsidRPr="00210417">
          <w:rPr>
            <w:rStyle w:val="Hyperlink"/>
            <w:rFonts w:eastAsiaTheme="majorEastAsia"/>
            <w:color w:val="auto"/>
            <w:u w:val="none"/>
          </w:rPr>
          <w:t>Rehbein</w:t>
        </w:r>
      </w:hyperlink>
      <w:r w:rsidRPr="00210417">
        <w:t xml:space="preserve"> and</w:t>
      </w:r>
      <w:r w:rsidRPr="00210417">
        <w:rPr>
          <w:rFonts w:eastAsiaTheme="majorEastAsia"/>
        </w:rPr>
        <w:t xml:space="preserve"> Souza, 2017</w:t>
      </w:r>
      <w:r>
        <w:rPr>
          <w:rFonts w:eastAsiaTheme="majorEastAsia"/>
        </w:rPr>
        <w:t>)</w:t>
      </w:r>
      <w:r w:rsidRPr="00936702">
        <w:t xml:space="preserve">. To thoroughly examine inequality, this assessment will </w:t>
      </w:r>
      <w:r w:rsidRPr="00FB28C0">
        <w:t>explore how class-based inequities are exacerbated by structural hierarchies (Piff, Kraus and Keltner, 2018; Southgate and Keister 2021</w:t>
      </w:r>
      <w:r w:rsidRPr="00FB28C0">
        <w:rPr>
          <w:rFonts w:eastAsiaTheme="majorEastAsia"/>
        </w:rPr>
        <w:t>)</w:t>
      </w:r>
      <w:r w:rsidRPr="00FB28C0">
        <w:t xml:space="preserve">, </w:t>
      </w:r>
      <w:r w:rsidR="00FB28C0" w:rsidRPr="00FB28C0">
        <w:t>Specifically considering the impact of Covid-19</w:t>
      </w:r>
      <w:r>
        <w:t xml:space="preserve"> (</w:t>
      </w:r>
      <w:r w:rsidR="008C0639" w:rsidRPr="00EE66A6">
        <w:t xml:space="preserve">Blundell, </w:t>
      </w:r>
      <w:r w:rsidR="008C0639" w:rsidRPr="00EE66A6">
        <w:rPr>
          <w:i/>
          <w:iCs/>
        </w:rPr>
        <w:t>et al,</w:t>
      </w:r>
      <w:r w:rsidR="008C0639" w:rsidRPr="00EE66A6">
        <w:t xml:space="preserve"> 2020</w:t>
      </w:r>
      <w:r w:rsidR="008C0639">
        <w:t xml:space="preserve">; </w:t>
      </w:r>
      <w:r w:rsidRPr="00EE66A6">
        <w:t xml:space="preserve">Adams-Prassl, </w:t>
      </w:r>
      <w:r w:rsidRPr="00EE66A6">
        <w:rPr>
          <w:i/>
          <w:iCs/>
        </w:rPr>
        <w:t xml:space="preserve">et al, </w:t>
      </w:r>
      <w:r w:rsidRPr="00EE66A6">
        <w:t>2020</w:t>
      </w:r>
      <w:r>
        <w:t>a</w:t>
      </w:r>
      <w:r w:rsidRPr="00EE66A6">
        <w:t>; Adam, Miller and Waters, 2020</w:t>
      </w:r>
      <w:r>
        <w:t>)</w:t>
      </w:r>
      <w:r w:rsidRPr="00936702">
        <w:t>. The pandemic has further highlighted the deep-seated disparities within the class system, affecting access to essential resources, opportunities, and privileges based on socio-economic standing</w:t>
      </w:r>
      <w:r>
        <w:t xml:space="preserve"> (</w:t>
      </w:r>
      <w:r w:rsidRPr="00EE66A6">
        <w:t xml:space="preserve">Adams-Prassl, </w:t>
      </w:r>
      <w:r w:rsidRPr="00EE66A6">
        <w:rPr>
          <w:i/>
          <w:iCs/>
        </w:rPr>
        <w:t xml:space="preserve">et al, </w:t>
      </w:r>
      <w:r w:rsidRPr="00EE66A6">
        <w:t>2020</w:t>
      </w:r>
      <w:r>
        <w:t>a</w:t>
      </w:r>
      <w:r w:rsidRPr="00EE66A6">
        <w:t xml:space="preserve">; Adam, Miller and Waters, 2020; Blundell, </w:t>
      </w:r>
      <w:r w:rsidRPr="00EE66A6">
        <w:rPr>
          <w:i/>
          <w:iCs/>
        </w:rPr>
        <w:t>et al,</w:t>
      </w:r>
      <w:r w:rsidRPr="00EE66A6">
        <w:t xml:space="preserve"> 2020</w:t>
      </w:r>
      <w:r>
        <w:t>)</w:t>
      </w:r>
      <w:r w:rsidRPr="00936702">
        <w:t>. Class-based inequality reflects entrenched disparities in income</w:t>
      </w:r>
      <w:r>
        <w:t xml:space="preserve"> and</w:t>
      </w:r>
      <w:r w:rsidRPr="00936702">
        <w:t xml:space="preserve"> social mobility</w:t>
      </w:r>
      <w:r>
        <w:t xml:space="preserve"> (</w:t>
      </w:r>
      <w:r w:rsidRPr="00D20FE3">
        <w:t>Heath</w:t>
      </w:r>
      <w:r w:rsidR="00D240D4">
        <w:t xml:space="preserve"> </w:t>
      </w:r>
      <w:r w:rsidRPr="00D20FE3">
        <w:t xml:space="preserve">and Li, 2023; Weber, </w:t>
      </w:r>
      <w:r w:rsidRPr="005B6E89">
        <w:t>2018</w:t>
      </w:r>
      <w:r>
        <w:t>)</w:t>
      </w:r>
      <w:r w:rsidRPr="00936702">
        <w:t>, shaped by both historical legacies and current societal frameworks</w:t>
      </w:r>
      <w:r>
        <w:t xml:space="preserve"> (</w:t>
      </w:r>
      <w:r w:rsidRPr="00D20FE3">
        <w:t xml:space="preserve">Heath and Li, 2023; Weber, </w:t>
      </w:r>
      <w:r w:rsidRPr="005B6E89">
        <w:t>2018</w:t>
      </w:r>
      <w:r>
        <w:t>)</w:t>
      </w:r>
      <w:r w:rsidRPr="00936702">
        <w:t>. A critical analysis of these factors will illustrate how the class system systematically privileges certain groups while marginalizing others</w:t>
      </w:r>
      <w:r>
        <w:t xml:space="preserve"> (</w:t>
      </w:r>
      <w:r w:rsidRPr="00516178">
        <w:t>Koh</w:t>
      </w:r>
      <w:r w:rsidRPr="0072401F">
        <w:t>,</w:t>
      </w:r>
      <w:r>
        <w:t xml:space="preserve"> </w:t>
      </w:r>
      <w:r w:rsidRPr="0072401F">
        <w:t>2020</w:t>
      </w:r>
      <w:r>
        <w:t>; SCE, 2024)</w:t>
      </w:r>
      <w:r w:rsidRPr="00936702">
        <w:t>, creating significant barriers to equity and social cohesion</w:t>
      </w:r>
      <w:r>
        <w:t xml:space="preserve"> (</w:t>
      </w:r>
      <w:r w:rsidRPr="00516178">
        <w:t>Koh</w:t>
      </w:r>
      <w:r w:rsidRPr="0072401F">
        <w:t>,</w:t>
      </w:r>
      <w:r>
        <w:t xml:space="preserve"> </w:t>
      </w:r>
      <w:r w:rsidRPr="0072401F">
        <w:t>2020</w:t>
      </w:r>
      <w:r>
        <w:t xml:space="preserve">; SCE, 2024; </w:t>
      </w:r>
      <w:r w:rsidRPr="002300A4">
        <w:t xml:space="preserve">Piff, </w:t>
      </w:r>
      <w:r w:rsidRPr="00210417">
        <w:t xml:space="preserve">Kraus and Keltner, 2018; Southgate and Keister 2021; </w:t>
      </w:r>
      <w:r w:rsidRPr="00210417">
        <w:rPr>
          <w:rFonts w:eastAsiaTheme="majorEastAsia"/>
        </w:rPr>
        <w:t>Jodhka</w:t>
      </w:r>
      <w:r w:rsidRPr="00210417">
        <w:t>, </w:t>
      </w:r>
      <w:hyperlink r:id="rId9" w:history="1">
        <w:r w:rsidRPr="00210417">
          <w:rPr>
            <w:rStyle w:val="Hyperlink"/>
            <w:rFonts w:eastAsiaTheme="majorEastAsia"/>
            <w:color w:val="auto"/>
            <w:u w:val="none"/>
          </w:rPr>
          <w:t>Rehbein</w:t>
        </w:r>
      </w:hyperlink>
      <w:r w:rsidRPr="00210417">
        <w:t xml:space="preserve"> and</w:t>
      </w:r>
      <w:r w:rsidRPr="00210417">
        <w:rPr>
          <w:rFonts w:eastAsiaTheme="majorEastAsia"/>
        </w:rPr>
        <w:t xml:space="preserve"> Souza, 2017</w:t>
      </w:r>
      <w:r w:rsidRPr="0072401F">
        <w:t>)</w:t>
      </w:r>
      <w:r w:rsidRPr="00936702">
        <w:t>.</w:t>
      </w:r>
    </w:p>
    <w:p w14:paraId="206248D0" w14:textId="1E328CC6" w:rsidR="008E136B" w:rsidRPr="008E136B" w:rsidRDefault="008E136B">
      <w:pPr>
        <w:rPr>
          <w:color w:val="000000"/>
        </w:rPr>
      </w:pPr>
    </w:p>
    <w:p w14:paraId="65CC900C" w14:textId="44BAF59B" w:rsidR="002225B4" w:rsidRPr="002A7870" w:rsidRDefault="00C31C8E" w:rsidP="00E41D81">
      <w:pPr>
        <w:pStyle w:val="NormalWeb"/>
        <w:spacing w:line="360" w:lineRule="auto"/>
        <w:jc w:val="both"/>
      </w:pPr>
      <w:r>
        <w:t xml:space="preserve"> </w:t>
      </w:r>
      <w:r w:rsidRPr="00C31C8E">
        <w:t xml:space="preserve">Inequality encompasses the disproportionate allocation of </w:t>
      </w:r>
      <w:r w:rsidRPr="00516178">
        <w:t>resources, opportunities, entitlements, and privileges among individuals or groups within the framework of society</w:t>
      </w:r>
      <w:r w:rsidR="00516178">
        <w:t xml:space="preserve"> </w:t>
      </w:r>
      <w:r w:rsidR="00516178" w:rsidRPr="00516178">
        <w:t>(Koh</w:t>
      </w:r>
      <w:r w:rsidR="00516178" w:rsidRPr="0072401F">
        <w:t>,</w:t>
      </w:r>
      <w:r w:rsidR="00516178">
        <w:t xml:space="preserve"> </w:t>
      </w:r>
      <w:r w:rsidR="00516178" w:rsidRPr="0072401F">
        <w:t>2020</w:t>
      </w:r>
      <w:r w:rsidR="00516178">
        <w:t>; SCE, 2024</w:t>
      </w:r>
      <w:r w:rsidR="00516178" w:rsidRPr="0072401F">
        <w:t>)</w:t>
      </w:r>
      <w:r w:rsidRPr="00C31C8E">
        <w:t xml:space="preserve">. This </w:t>
      </w:r>
      <w:r w:rsidRPr="00B2467C">
        <w:t xml:space="preserve">phenomenon manifests across multiple dimensions, including </w:t>
      </w:r>
      <w:r w:rsidR="00F46A2F" w:rsidRPr="00B2467C">
        <w:t>income</w:t>
      </w:r>
      <w:r w:rsidR="00516178" w:rsidRPr="00B2467C">
        <w:t xml:space="preserve"> (OHCHR, 2023</w:t>
      </w:r>
      <w:r w:rsidR="00B2467C">
        <w:t xml:space="preserve">; </w:t>
      </w:r>
      <w:r w:rsidR="00B2467C" w:rsidRPr="00D6023A">
        <w:t>United Nations, 2024</w:t>
      </w:r>
      <w:r w:rsidR="00516178" w:rsidRPr="00D6023A">
        <w:t>)</w:t>
      </w:r>
      <w:r w:rsidR="00F46A2F" w:rsidRPr="00D6023A">
        <w:t xml:space="preserve">, </w:t>
      </w:r>
      <w:r w:rsidRPr="00D6023A">
        <w:t>education</w:t>
      </w:r>
      <w:r w:rsidR="00B2467C" w:rsidRPr="00D6023A">
        <w:t xml:space="preserve"> (Farquharson, McNally and Tahir, 2022)</w:t>
      </w:r>
      <w:r w:rsidRPr="00D6023A">
        <w:t xml:space="preserve">, </w:t>
      </w:r>
      <w:r w:rsidRPr="00FC6234">
        <w:t>health, gender, ethnicity, and broader social stratification</w:t>
      </w:r>
      <w:r w:rsidR="00516178" w:rsidRPr="00FC6234">
        <w:t xml:space="preserve"> (OHCHR, 2023</w:t>
      </w:r>
      <w:r w:rsidR="00B2467C" w:rsidRPr="00FC6234">
        <w:t>; United Nations, 2024</w:t>
      </w:r>
      <w:r w:rsidR="00516178" w:rsidRPr="00FC6234">
        <w:t>)</w:t>
      </w:r>
      <w:r w:rsidRPr="00FC6234">
        <w:t xml:space="preserve">. </w:t>
      </w:r>
      <w:r w:rsidR="00B65415" w:rsidRPr="00FC6234">
        <w:t>Inequality is measured in several different ways</w:t>
      </w:r>
      <w:r w:rsidR="002208EA" w:rsidRPr="00FC6234">
        <w:t xml:space="preserve"> </w:t>
      </w:r>
      <w:r w:rsidR="0099582E" w:rsidRPr="00FC6234">
        <w:t xml:space="preserve">some </w:t>
      </w:r>
      <w:r w:rsidR="00E41D81" w:rsidRPr="00FC6234">
        <w:t>examples</w:t>
      </w:r>
      <w:r w:rsidR="0099582E" w:rsidRPr="00FC6234">
        <w:t xml:space="preserve"> </w:t>
      </w:r>
      <w:r w:rsidR="00E41D81" w:rsidRPr="00FC6234">
        <w:t>being,</w:t>
      </w:r>
      <w:r w:rsidR="00D438A1">
        <w:t xml:space="preserve"> </w:t>
      </w:r>
      <w:r w:rsidR="001D1A68" w:rsidRPr="00FC6234">
        <w:t xml:space="preserve">The Gini </w:t>
      </w:r>
      <w:r w:rsidR="00E41D81" w:rsidRPr="00FC6234">
        <w:t>C</w:t>
      </w:r>
      <w:r w:rsidR="001D1A68" w:rsidRPr="00FC6234">
        <w:t>oefficient</w:t>
      </w:r>
      <w:r w:rsidR="00B2467C" w:rsidRPr="00FC6234">
        <w:t xml:space="preserve"> (ONS, 2022)</w:t>
      </w:r>
      <w:r w:rsidR="001D1A68" w:rsidRPr="00FC6234">
        <w:t xml:space="preserve"> which </w:t>
      </w:r>
      <w:r w:rsidR="001D1A68" w:rsidRPr="00425055">
        <w:t>was developed by</w:t>
      </w:r>
      <w:r w:rsidR="00D438A1" w:rsidRPr="00425055">
        <w:rPr>
          <w:rFonts w:eastAsiaTheme="majorEastAsia"/>
        </w:rPr>
        <w:t xml:space="preserve"> </w:t>
      </w:r>
      <w:r w:rsidR="001D1A68" w:rsidRPr="00425055">
        <w:rPr>
          <w:rFonts w:eastAsiaTheme="majorEastAsia"/>
        </w:rPr>
        <w:t>Corrado Gini </w:t>
      </w:r>
      <w:r w:rsidR="001D1A68" w:rsidRPr="00425055">
        <w:t>in 1912</w:t>
      </w:r>
      <w:r w:rsidR="00D6023A" w:rsidRPr="00425055">
        <w:t xml:space="preserve"> (BBC, 2015</w:t>
      </w:r>
      <w:r w:rsidR="00FC6234" w:rsidRPr="00425055">
        <w:t>; World Population Review, 2024</w:t>
      </w:r>
      <w:r w:rsidR="00D6023A" w:rsidRPr="00425055">
        <w:t>)</w:t>
      </w:r>
      <w:r w:rsidR="001D1A68" w:rsidRPr="00425055">
        <w:t xml:space="preserve">. </w:t>
      </w:r>
      <w:r w:rsidR="002A7870" w:rsidRPr="00425055">
        <w:t xml:space="preserve">He presented it as a method to assess the disparity in the </w:t>
      </w:r>
      <w:r w:rsidR="00425055" w:rsidRPr="00425055">
        <w:t>dispersal</w:t>
      </w:r>
      <w:r w:rsidR="002A7870" w:rsidRPr="00425055">
        <w:t xml:space="preserve"> of </w:t>
      </w:r>
      <w:r w:rsidR="00425055" w:rsidRPr="00425055">
        <w:t>revenue</w:t>
      </w:r>
      <w:r w:rsidR="002A7870" w:rsidRPr="00425055">
        <w:t xml:space="preserve"> or wealth </w:t>
      </w:r>
      <w:r w:rsidR="00425055" w:rsidRPr="00425055">
        <w:t>inside</w:t>
      </w:r>
      <w:r w:rsidR="002A7870" w:rsidRPr="00425055">
        <w:t xml:space="preserve"> a </w:t>
      </w:r>
      <w:r w:rsidR="00425055" w:rsidRPr="00425055">
        <w:t>populace</w:t>
      </w:r>
      <w:r w:rsidR="002A7870">
        <w:t xml:space="preserve"> </w:t>
      </w:r>
      <w:r w:rsidR="00FC6234" w:rsidRPr="00FC6234">
        <w:t>(BBC,</w:t>
      </w:r>
      <w:r w:rsidR="00FC6234" w:rsidRPr="00C33A37">
        <w:t xml:space="preserve"> 2015</w:t>
      </w:r>
      <w:r w:rsidR="00FC6234">
        <w:t>; World Population Review, 2024)</w:t>
      </w:r>
      <w:r w:rsidR="001D1A68" w:rsidRPr="001D1A68">
        <w:t xml:space="preserve">. </w:t>
      </w:r>
      <w:r w:rsidR="008C0639" w:rsidRPr="008C0639">
        <w:t xml:space="preserve">The coefficient is a </w:t>
      </w:r>
      <w:r w:rsidR="008C0639" w:rsidRPr="00D73109">
        <w:t xml:space="preserve">numerical value that ranges from 0 to 1, </w:t>
      </w:r>
      <w:r w:rsidR="002B1164" w:rsidRPr="00D73109">
        <w:t>designed to assess the distribution of income within a population. It serves as an indicator of economic inequality. A value of 0 signifies complete equality</w:t>
      </w:r>
      <w:r w:rsidR="008C0639" w:rsidRPr="00D73109">
        <w:t xml:space="preserve">, </w:t>
      </w:r>
      <w:r w:rsidR="00D73109" w:rsidRPr="00D73109">
        <w:t>where everyone receives an identical level of financial income</w:t>
      </w:r>
      <w:r w:rsidR="008C0639" w:rsidRPr="00D73109">
        <w:t>. Conversely, 1 signifies extreme inequality,</w:t>
      </w:r>
      <w:r w:rsidR="008C0639" w:rsidRPr="008C0639">
        <w:t xml:space="preserve"> with one individual possessing all the income while the rest of the population has none</w:t>
      </w:r>
      <w:r w:rsidR="008C0639">
        <w:t xml:space="preserve"> </w:t>
      </w:r>
      <w:r w:rsidR="00B65415" w:rsidRPr="00FC6234">
        <w:rPr>
          <w:color w:val="000000"/>
        </w:rPr>
        <w:t>(ONS</w:t>
      </w:r>
      <w:r w:rsidR="00FC6234" w:rsidRPr="00FC6234">
        <w:rPr>
          <w:color w:val="000000"/>
        </w:rPr>
        <w:t xml:space="preserve">, </w:t>
      </w:r>
      <w:r w:rsidR="00FC6234" w:rsidRPr="003103B5">
        <w:rPr>
          <w:color w:val="000000"/>
        </w:rPr>
        <w:t xml:space="preserve">2022; </w:t>
      </w:r>
      <w:r w:rsidR="00FC6234" w:rsidRPr="003103B5">
        <w:t>World Population Review, 2024</w:t>
      </w:r>
      <w:r w:rsidR="00B65415" w:rsidRPr="003103B5">
        <w:rPr>
          <w:color w:val="000000"/>
        </w:rPr>
        <w:t>).</w:t>
      </w:r>
      <w:r w:rsidR="002208EA" w:rsidRPr="003103B5">
        <w:rPr>
          <w:color w:val="000000"/>
        </w:rPr>
        <w:t xml:space="preserve"> </w:t>
      </w:r>
      <w:r w:rsidR="001D1A68" w:rsidRPr="003103B5">
        <w:rPr>
          <w:color w:val="000000"/>
        </w:rPr>
        <w:t xml:space="preserve">A study </w:t>
      </w:r>
      <w:r w:rsidR="001D1A68" w:rsidRPr="003103B5">
        <w:rPr>
          <w:color w:val="000000"/>
        </w:rPr>
        <w:lastRenderedPageBreak/>
        <w:t xml:space="preserve">conducted by </w:t>
      </w:r>
      <w:r w:rsidR="006C64CB" w:rsidRPr="003103B5">
        <w:rPr>
          <w:color w:val="000000"/>
        </w:rPr>
        <w:t>The World Inequality Lab (2022)</w:t>
      </w:r>
      <w:r w:rsidR="006C64CB">
        <w:rPr>
          <w:color w:val="000000"/>
        </w:rPr>
        <w:t xml:space="preserve"> </w:t>
      </w:r>
      <w:r w:rsidR="003417F7">
        <w:rPr>
          <w:color w:val="000000"/>
        </w:rPr>
        <w:t xml:space="preserve">found that the </w:t>
      </w:r>
      <w:r w:rsidR="00425055" w:rsidRPr="00425055">
        <w:rPr>
          <w:color w:val="000000"/>
        </w:rPr>
        <w:t>lower</w:t>
      </w:r>
      <w:r w:rsidR="00C071DE" w:rsidRPr="00425055">
        <w:rPr>
          <w:color w:val="000000"/>
        </w:rPr>
        <w:t xml:space="preserve"> </w:t>
      </w:r>
      <w:r w:rsidR="003417F7">
        <w:rPr>
          <w:color w:val="000000"/>
        </w:rPr>
        <w:t>part</w:t>
      </w:r>
      <w:r w:rsidR="00C071DE" w:rsidRPr="00425055">
        <w:rPr>
          <w:color w:val="000000"/>
        </w:rPr>
        <w:t xml:space="preserve"> of the UK </w:t>
      </w:r>
      <w:r w:rsidR="00425055" w:rsidRPr="00425055">
        <w:rPr>
          <w:color w:val="000000"/>
        </w:rPr>
        <w:t>populace</w:t>
      </w:r>
      <w:r w:rsidR="00C071DE" w:rsidRPr="00425055">
        <w:rPr>
          <w:color w:val="000000"/>
        </w:rPr>
        <w:t xml:space="preserve"> </w:t>
      </w:r>
      <w:r w:rsidR="003417F7" w:rsidRPr="00425055">
        <w:rPr>
          <w:color w:val="000000"/>
        </w:rPr>
        <w:t>held</w:t>
      </w:r>
      <w:r w:rsidR="00C071DE" w:rsidRPr="00425055">
        <w:rPr>
          <w:color w:val="000000"/>
        </w:rPr>
        <w:t xml:space="preserve"> </w:t>
      </w:r>
      <w:r w:rsidR="00425055" w:rsidRPr="00425055">
        <w:rPr>
          <w:color w:val="000000"/>
        </w:rPr>
        <w:t>fewer</w:t>
      </w:r>
      <w:r w:rsidR="00C071DE" w:rsidRPr="00425055">
        <w:rPr>
          <w:color w:val="000000"/>
        </w:rPr>
        <w:t xml:space="preserve"> than 5% of the </w:t>
      </w:r>
      <w:r w:rsidR="00425055" w:rsidRPr="00425055">
        <w:rPr>
          <w:color w:val="000000"/>
        </w:rPr>
        <w:t>nation's</w:t>
      </w:r>
      <w:r w:rsidR="00C071DE" w:rsidRPr="00425055">
        <w:rPr>
          <w:color w:val="000000"/>
        </w:rPr>
        <w:t xml:space="preserve"> </w:t>
      </w:r>
      <w:r w:rsidR="003417F7" w:rsidRPr="00425055">
        <w:rPr>
          <w:color w:val="000000"/>
        </w:rPr>
        <w:t>capital</w:t>
      </w:r>
      <w:r w:rsidR="00C071DE" w:rsidRPr="00425055">
        <w:rPr>
          <w:color w:val="000000"/>
        </w:rPr>
        <w:t>,</w:t>
      </w:r>
      <w:r w:rsidR="00C071DE" w:rsidRPr="00C071DE">
        <w:rPr>
          <w:color w:val="000000"/>
        </w:rPr>
        <w:t xml:space="preserve"> while the top 10% controlled </w:t>
      </w:r>
      <w:r w:rsidR="00C071DE">
        <w:rPr>
          <w:color w:val="000000"/>
        </w:rPr>
        <w:t>almost 60</w:t>
      </w:r>
      <w:r w:rsidR="00C071DE" w:rsidRPr="00C071DE">
        <w:rPr>
          <w:color w:val="000000"/>
        </w:rPr>
        <w:t xml:space="preserve">%, an increase from </w:t>
      </w:r>
      <w:r w:rsidR="00C071DE">
        <w:rPr>
          <w:color w:val="000000"/>
        </w:rPr>
        <w:t xml:space="preserve">over </w:t>
      </w:r>
      <w:r w:rsidR="00C071DE" w:rsidRPr="00C071DE">
        <w:rPr>
          <w:color w:val="000000"/>
        </w:rPr>
        <w:t>5</w:t>
      </w:r>
      <w:r w:rsidR="00C071DE">
        <w:rPr>
          <w:color w:val="000000"/>
        </w:rPr>
        <w:t>0</w:t>
      </w:r>
      <w:r w:rsidR="00C071DE" w:rsidRPr="00C071DE">
        <w:rPr>
          <w:color w:val="000000"/>
        </w:rPr>
        <w:t xml:space="preserve">% in 1995. Remarkably, the top 1% alone held </w:t>
      </w:r>
      <w:r w:rsidR="00C071DE">
        <w:rPr>
          <w:color w:val="000000"/>
        </w:rPr>
        <w:t xml:space="preserve">almost </w:t>
      </w:r>
      <w:r w:rsidR="00C071DE" w:rsidRPr="00C071DE">
        <w:rPr>
          <w:color w:val="000000"/>
        </w:rPr>
        <w:t>2</w:t>
      </w:r>
      <w:r w:rsidR="00C071DE">
        <w:rPr>
          <w:color w:val="000000"/>
        </w:rPr>
        <w:t>5</w:t>
      </w:r>
      <w:r w:rsidR="00C071DE" w:rsidRPr="00C071DE">
        <w:rPr>
          <w:color w:val="000000"/>
        </w:rPr>
        <w:t>% of the wealth.</w:t>
      </w:r>
      <w:r w:rsidR="006C64CB" w:rsidRPr="006B22C3">
        <w:rPr>
          <w:color w:val="000000"/>
        </w:rPr>
        <w:t xml:space="preserve"> (World Inequality Lab, 2022). According to the </w:t>
      </w:r>
      <w:r w:rsidR="006C64CB" w:rsidRPr="00615990">
        <w:rPr>
          <w:color w:val="000000"/>
        </w:rPr>
        <w:t xml:space="preserve">Joseph Rowntree Foundation (2024, p.2), </w:t>
      </w:r>
      <w:r w:rsidR="002208EA" w:rsidRPr="00615990">
        <w:rPr>
          <w:color w:val="000000"/>
        </w:rPr>
        <w:t>‘</w:t>
      </w:r>
      <w:r w:rsidR="002208EA" w:rsidRPr="00615990">
        <w:t>There are no nations which have high levels of economic inequality and low levels of poverty</w:t>
      </w:r>
      <w:r w:rsidR="006C64CB" w:rsidRPr="00615990">
        <w:rPr>
          <w:color w:val="000000"/>
        </w:rPr>
        <w:t>,</w:t>
      </w:r>
      <w:r w:rsidR="002208EA" w:rsidRPr="00615990">
        <w:rPr>
          <w:color w:val="000000"/>
        </w:rPr>
        <w:t>’</w:t>
      </w:r>
      <w:r w:rsidR="006C64CB" w:rsidRPr="00615990">
        <w:rPr>
          <w:color w:val="000000"/>
        </w:rPr>
        <w:t xml:space="preserve"> highlighting the strong correlation between inequality and poverty</w:t>
      </w:r>
      <w:r w:rsidR="00B07CAA" w:rsidRPr="00615990">
        <w:rPr>
          <w:color w:val="000000"/>
        </w:rPr>
        <w:t xml:space="preserve"> (</w:t>
      </w:r>
      <w:r w:rsidR="00615990" w:rsidRPr="00615990">
        <w:t>United</w:t>
      </w:r>
      <w:r w:rsidR="00615990">
        <w:t xml:space="preserve"> Nation, 2023; </w:t>
      </w:r>
      <w:r w:rsidR="00B07CAA" w:rsidRPr="00E83F34">
        <w:t>Mcknight, 2019</w:t>
      </w:r>
      <w:r w:rsidR="00B07CAA">
        <w:t>)</w:t>
      </w:r>
      <w:r w:rsidR="006C64CB">
        <w:rPr>
          <w:color w:val="000000"/>
        </w:rPr>
        <w:t>.</w:t>
      </w:r>
      <w:r w:rsidR="00E41D81">
        <w:rPr>
          <w:color w:val="000000"/>
        </w:rPr>
        <w:t xml:space="preserve"> The </w:t>
      </w:r>
      <w:r w:rsidR="002208EA" w:rsidRPr="007B5AB7">
        <w:rPr>
          <w:rFonts w:eastAsiaTheme="majorEastAsia"/>
        </w:rPr>
        <w:t xml:space="preserve">Gender </w:t>
      </w:r>
      <w:r w:rsidR="002208EA" w:rsidRPr="00615990">
        <w:rPr>
          <w:rFonts w:eastAsiaTheme="majorEastAsia"/>
        </w:rPr>
        <w:t>Inequality Index (GII)</w:t>
      </w:r>
      <w:r w:rsidR="00615990">
        <w:t xml:space="preserve"> (</w:t>
      </w:r>
      <w:r w:rsidR="00615990" w:rsidRPr="007B7CB4">
        <w:t>WHO</w:t>
      </w:r>
      <w:r w:rsidR="00615990">
        <w:t xml:space="preserve">, </w:t>
      </w:r>
      <w:r w:rsidR="00615990" w:rsidRPr="007B7CB4">
        <w:t>2024</w:t>
      </w:r>
      <w:r w:rsidR="00615990">
        <w:t xml:space="preserve">; </w:t>
      </w:r>
      <w:r w:rsidR="00615990" w:rsidRPr="00E005C3">
        <w:t>UNDP, 2024) d</w:t>
      </w:r>
      <w:r w:rsidR="002208EA" w:rsidRPr="00E005C3">
        <w:t>eveloped by the United Nations</w:t>
      </w:r>
      <w:r w:rsidR="00615990" w:rsidRPr="00E005C3">
        <w:t xml:space="preserve"> (UNDP, 2024)</w:t>
      </w:r>
      <w:r w:rsidR="002208EA" w:rsidRPr="00E005C3">
        <w:t>, considers factors like reproductive health, empowerment, and economic status, revealing gender-based disparities in different countries</w:t>
      </w:r>
      <w:r w:rsidR="00E005C3" w:rsidRPr="00E005C3">
        <w:t xml:space="preserve"> (WHO, 2024; UNDP, 2024)</w:t>
      </w:r>
      <w:r w:rsidR="002208EA" w:rsidRPr="00E005C3">
        <w:t>.</w:t>
      </w:r>
      <w:r w:rsidR="007B5AB7" w:rsidRPr="00E005C3">
        <w:t xml:space="preserve"> The</w:t>
      </w:r>
      <w:r w:rsidR="007B5AB7" w:rsidRPr="007B5AB7">
        <w:t xml:space="preserve"> GII assigns a score between 0 (complete equality) and 1 (</w:t>
      </w:r>
      <w:r w:rsidR="007B5AB7" w:rsidRPr="00E005C3">
        <w:t>complete inequality)</w:t>
      </w:r>
      <w:r w:rsidR="00E005C3" w:rsidRPr="00E005C3">
        <w:t xml:space="preserve"> (UNDP, 2024)</w:t>
      </w:r>
      <w:r w:rsidR="00E41D81" w:rsidRPr="00E005C3">
        <w:t>.</w:t>
      </w:r>
      <w:r w:rsidR="002225B4" w:rsidRPr="002225B4">
        <w:rPr>
          <w:color w:val="000000"/>
        </w:rPr>
        <w:t xml:space="preserve"> </w:t>
      </w:r>
      <w:r w:rsidR="00E41D81">
        <w:rPr>
          <w:color w:val="000000"/>
        </w:rPr>
        <w:t xml:space="preserve">Looking at secondary </w:t>
      </w:r>
      <w:r w:rsidR="00E41D81" w:rsidRPr="00991A6A">
        <w:rPr>
          <w:color w:val="000000"/>
        </w:rPr>
        <w:t>education the GII shows that t</w:t>
      </w:r>
      <w:r w:rsidR="002225B4" w:rsidRPr="00991A6A">
        <w:rPr>
          <w:color w:val="000000"/>
        </w:rPr>
        <w:t>he UK</w:t>
      </w:r>
      <w:r w:rsidR="00E41D81" w:rsidRPr="00991A6A">
        <w:rPr>
          <w:color w:val="000000"/>
        </w:rPr>
        <w:t>’s</w:t>
      </w:r>
      <w:r w:rsidR="002225B4" w:rsidRPr="00991A6A">
        <w:rPr>
          <w:color w:val="000000"/>
        </w:rPr>
        <w:t xml:space="preserve"> gender representation is nearly equal, with both male and female enrolment at 99.0%</w:t>
      </w:r>
      <w:r w:rsidR="00991A6A" w:rsidRPr="00991A6A">
        <w:rPr>
          <w:color w:val="000000"/>
        </w:rPr>
        <w:t xml:space="preserve"> (</w:t>
      </w:r>
      <w:r w:rsidR="00991A6A" w:rsidRPr="00991A6A">
        <w:t>UNDP, 2024)</w:t>
      </w:r>
      <w:r w:rsidR="002225B4" w:rsidRPr="00991A6A">
        <w:rPr>
          <w:color w:val="000000"/>
        </w:rPr>
        <w:t>. In contrast, Gabon displays a 15.1% gender disparity in secondary education, with a higher percentage of females (70.4%) compared to males (55.3%)</w:t>
      </w:r>
      <w:r w:rsidR="00991A6A" w:rsidRPr="00991A6A">
        <w:rPr>
          <w:color w:val="000000"/>
        </w:rPr>
        <w:t xml:space="preserve"> (</w:t>
      </w:r>
      <w:r w:rsidR="00991A6A" w:rsidRPr="00991A6A">
        <w:t>UNDP, 2024)</w:t>
      </w:r>
      <w:r w:rsidR="002225B4" w:rsidRPr="00991A6A">
        <w:rPr>
          <w:color w:val="000000"/>
        </w:rPr>
        <w:t>. According to the GII, Yemen has one of the lowest rates of female representation in parliament, with only 0.3% of seats held by women and 99.7% by men</w:t>
      </w:r>
      <w:r w:rsidR="00991A6A" w:rsidRPr="00991A6A">
        <w:rPr>
          <w:color w:val="000000"/>
        </w:rPr>
        <w:t xml:space="preserve"> (</w:t>
      </w:r>
      <w:r w:rsidR="00991A6A" w:rsidRPr="00991A6A">
        <w:t>UNDP, 2024)</w:t>
      </w:r>
      <w:r w:rsidR="002225B4" w:rsidRPr="00991A6A">
        <w:rPr>
          <w:color w:val="000000"/>
        </w:rPr>
        <w:t>. Meanwhile, the United Arab Emirates stands out as egalitarian in parliamentary representation, with an equal 50% distribution of seats between men and women</w:t>
      </w:r>
      <w:r w:rsidR="00991A6A" w:rsidRPr="00991A6A">
        <w:rPr>
          <w:color w:val="000000"/>
        </w:rPr>
        <w:t xml:space="preserve"> (</w:t>
      </w:r>
      <w:r w:rsidR="00991A6A" w:rsidRPr="00991A6A">
        <w:t>UNDP, 2024)</w:t>
      </w:r>
      <w:r w:rsidR="002225B4" w:rsidRPr="00991A6A">
        <w:rPr>
          <w:color w:val="000000"/>
        </w:rPr>
        <w:t>.</w:t>
      </w:r>
      <w:r w:rsidR="002225B4" w:rsidRPr="00991A6A">
        <w:t xml:space="preserve"> (Image</w:t>
      </w:r>
      <w:r w:rsidR="000013ED">
        <w:t xml:space="preserve"> </w:t>
      </w:r>
      <w:r w:rsidR="002225B4" w:rsidRPr="00991A6A">
        <w:t xml:space="preserve">1, </w:t>
      </w:r>
      <w:r w:rsidR="00991A6A" w:rsidRPr="00991A6A">
        <w:t>UNDP</w:t>
      </w:r>
      <w:r w:rsidR="002225B4" w:rsidRPr="00991A6A">
        <w:t>, 2024)</w:t>
      </w:r>
      <w:r w:rsidR="00E41D81" w:rsidRPr="00991A6A">
        <w:t>.</w:t>
      </w:r>
    </w:p>
    <w:p w14:paraId="511261E7" w14:textId="5EAF1E0D" w:rsidR="002208EA" w:rsidRDefault="002225B4" w:rsidP="002208EA">
      <w:pPr>
        <w:pStyle w:val="NormalWeb"/>
        <w:spacing w:line="360" w:lineRule="auto"/>
        <w:jc w:val="both"/>
        <w:rPr>
          <w:rFonts w:ascii="-webkit-standard" w:hAnsi="-webkit-standard"/>
          <w:color w:val="000000"/>
          <w:sz w:val="27"/>
          <w:szCs w:val="27"/>
        </w:rPr>
      </w:pPr>
      <w:r>
        <w:rPr>
          <w:rFonts w:ascii="-webkit-standard" w:hAnsi="-webkit-standard"/>
          <w:noProof/>
          <w:color w:val="000000"/>
          <w:sz w:val="27"/>
          <w:szCs w:val="27"/>
          <w14:ligatures w14:val="standardContextual"/>
        </w:rPr>
        <w:drawing>
          <wp:inline distT="0" distB="0" distL="0" distR="0" wp14:anchorId="7F20C597" wp14:editId="71FA2A36">
            <wp:extent cx="5729671" cy="2541181"/>
            <wp:effectExtent l="0" t="0" r="0" b="0"/>
            <wp:docPr id="1925938911" name="Picture 1" descr="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938911" name="Picture 1" descr="A graph showing different colored lin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85599" cy="2654688"/>
                    </a:xfrm>
                    <a:prstGeom prst="rect">
                      <a:avLst/>
                    </a:prstGeom>
                  </pic:spPr>
                </pic:pic>
              </a:graphicData>
            </a:graphic>
          </wp:inline>
        </w:drawing>
      </w:r>
    </w:p>
    <w:p w14:paraId="744F7DC9" w14:textId="77777777" w:rsidR="000704E2" w:rsidRDefault="000704E2" w:rsidP="000704E2">
      <w:pPr>
        <w:spacing w:line="360" w:lineRule="auto"/>
        <w:jc w:val="both"/>
      </w:pPr>
      <w:r>
        <w:t xml:space="preserve"> </w:t>
      </w:r>
    </w:p>
    <w:p w14:paraId="1CBFBD30" w14:textId="03A6E47A" w:rsidR="009A03E2" w:rsidRDefault="00CF2750" w:rsidP="00CF2750">
      <w:pPr>
        <w:spacing w:line="360" w:lineRule="auto"/>
        <w:jc w:val="both"/>
      </w:pPr>
      <w:r w:rsidRPr="0099353D">
        <w:t xml:space="preserve">The Social Mobility Index (Social Mobility Commission, 2023) is a different way of looking at inequality (Koh, 2020; SCE, 2024) as it is an overall index of social mobility within the UK </w:t>
      </w:r>
      <w:r w:rsidRPr="0099353D">
        <w:lastRenderedPageBreak/>
        <w:t>(Social Mobility Commission, 2023; Social Mobility and Child Poverty Commission, 2016). It allows for the objective calculation of social mobility results and what is driving them (Social Mobility Commission, 2023; Social Mobility and Child Poverty Commission, 2016). The index sets out a long-term agenda to track and analyse social mobility improvements in the UK over the next 30 years (Social Mobility Commission, 2023; Social Mobility and Child Poverty Commission, 2016). In its most basic form, inequality describes inequality in access to the basic goods and life opportunities (Koh, 2020; SCE, 2024, OHCHR, 2023; United Nations, 2024), which greatly affects the individuals’ ability to live good lives (OHCHR, 2023; United Nations, 2024). Not only does this unequal distribution impair economic mobility and social inclusion (Department of Economic and Social Affairs, 2020; Neidhöfer, et al, 2023), it also negatively impacts the material and non-material dimensions of wellbeing (Neidhöfer, et al, 2023). Inequality then grows to be an institutional problem (Neidhöfer, et al, 2023; Department of Economic and Social Affairs, 2020), ingraining itself in society’s institutions and continuing vicious cycles of disadvantage with ramifications for generational development and social integration (Department of Economic and Social Affairs, 2020; The World Inequality Lab, 2022).</w:t>
      </w:r>
    </w:p>
    <w:p w14:paraId="447D7507" w14:textId="137A6D9D" w:rsidR="00323D0D" w:rsidRDefault="009A03E2" w:rsidP="00595E81">
      <w:pPr>
        <w:spacing w:line="360" w:lineRule="auto"/>
        <w:jc w:val="both"/>
      </w:pPr>
      <w:r>
        <w:t xml:space="preserve"> </w:t>
      </w:r>
    </w:p>
    <w:p w14:paraId="3111020F" w14:textId="35FDBEB2" w:rsidR="00323D0D" w:rsidRPr="00595E81" w:rsidRDefault="00323D0D" w:rsidP="00595E81">
      <w:pPr>
        <w:spacing w:line="360" w:lineRule="auto"/>
        <w:jc w:val="both"/>
      </w:pPr>
      <w:r w:rsidRPr="00323D0D">
        <w:t xml:space="preserve">The United Kingdom enacted a significant piece of legislation called the Equality Act (2010), which establishes equality as a fundamental principle aimed at treating individuals and groups with fairness and respect. This law ensures that no person is subjected to discrimination or disadvantage based on specific protected characteristics (Age UK, 2022; The Equality Act, 2010). The characteristics </w:t>
      </w:r>
      <w:r w:rsidRPr="00323D0D">
        <w:t>defined</w:t>
      </w:r>
      <w:r w:rsidRPr="00323D0D">
        <w:t xml:space="preserve"> in the Act encompass a broad spectrum of factors that define and safeguard individuals' identities and experiences (Age UK, 2022; The Equality Act, 2010). These factors include age, which acknowledges the necessity for fairness across all stages of life (Age UK, 2022; The Equality Act, 2010); disability, ensuring inclusion and accessibility for those with physical or mental impairments (EHRC, 2020a; The Equality Act, 2010); gender reassignment, which supports individuals who are undergoing or have completed gender transition (EHRC, 2023a; The Equality Act, 2010). However, it is important to note that the implementation of these provisions can vary (because of differing contexts) and this may lead to challenges in fully achieving the goals outlined in the legislation</w:t>
      </w:r>
      <w:r>
        <w:t xml:space="preserve"> (</w:t>
      </w:r>
      <w:r w:rsidRPr="00323D0D">
        <w:t xml:space="preserve">EHRC, 2023a; The Equality Act, 2010). Furthermore, the Act recognizes marriage and civil partnerships, thereby safeguarding the rights of legally acknowledged relationships (EHRC, 2023b; The Equality </w:t>
      </w:r>
      <w:r w:rsidRPr="00323D0D">
        <w:lastRenderedPageBreak/>
        <w:t>Act, 2010). It also addresses pregnancy and maternity</w:t>
      </w:r>
      <w:r>
        <w:t xml:space="preserve">, </w:t>
      </w:r>
      <w:r w:rsidRPr="00323D0D">
        <w:t xml:space="preserve">protecting individuals during and after this crucial period (Maternity Action, 2024; The Equality Act, 2010). Race is another significant area, tackling discrimination that stems from ethnic or national origins (EHRC, 2020b; The Equality Act, 2010). Religion or belief is included as well, ensuring that diverse faiths and secular perspectives are respected (EHRC, 2023c; The Equality Act, 2010). Moreover, sex is </w:t>
      </w:r>
      <w:r>
        <w:t>another protected characteristic</w:t>
      </w:r>
      <w:r w:rsidRPr="00323D0D">
        <w:t>, promoting gender equality and sexual orientation</w:t>
      </w:r>
      <w:r>
        <w:t>,</w:t>
      </w:r>
      <w:r w:rsidRPr="00323D0D">
        <w:t xml:space="preserve">which safeguards individuals, regardless of whom they are attracted to (EHRC, 2016; The Equality Act, 2010). These characteristics collectively seek to uphold dignity, equality and fairness within society (Age UK, 2022; EHRC, 2023a; EHRC, 2023b; EHRC, 2016; EHRC, 2023c; EHRC, 2020b; Maternity Action, 2024; The Equality Act, 2010). This legal framework compels employers, service providers and public </w:t>
      </w:r>
      <w:r w:rsidRPr="00323D0D">
        <w:t>bodies</w:t>
      </w:r>
      <w:r w:rsidRPr="00323D0D">
        <w:t xml:space="preserve"> to foster equality (Age UK, 2022; The Equality Act, 2010) and to accommodate varied needs to establish an environment in which everyone has the opportunity to</w:t>
      </w:r>
      <w:r>
        <w:t xml:space="preserve"> </w:t>
      </w:r>
      <w:r w:rsidRPr="00323D0D">
        <w:t xml:space="preserve">feel valued (Age UK, 2022; The Equality Act, 2010). However, the Equality Act of (2010) stands as a comprehensive piece of legislative law that integrates and streamlines numerous pre-existing anti-discrimination </w:t>
      </w:r>
      <w:r w:rsidRPr="00323D0D">
        <w:t>laws</w:t>
      </w:r>
      <w:r w:rsidRPr="00323D0D">
        <w:t xml:space="preserve">, </w:t>
      </w:r>
      <w:r w:rsidRPr="00323D0D">
        <w:t>combining</w:t>
      </w:r>
      <w:r w:rsidRPr="00323D0D">
        <w:t xml:space="preserve"> earlier acts, such as the Sex Discrimination Act (1975), the Race Relations Act Disability (1976) and the Disability Discrimination Act (1995) (Butler, 2015). Although the Act simplifies legal frameworks by merging various provisions, it simultaneously introduces an inherent complexity that creates challenges for practical implementation (Hussain, Rizvi and Sheikh, 2022; Feast, Hand and Chamberlain, 2015). Small businesses, which often operate with limited resources, may find it difficult to </w:t>
      </w:r>
      <w:r w:rsidRPr="00323D0D">
        <w:t>translate</w:t>
      </w:r>
      <w:r w:rsidRPr="00323D0D">
        <w:t xml:space="preserve"> specific provisions (McColgan, 2023; Gardner, 2018). Public awareness remains low, resulting in weak enforcement and limited protection for those it seeks to assist (Lockwood, Henderson and Thornicroft, 2012; Gardner, 2018; McColgan, 2023). This knowledge gap creates a sense of uncertainty among individuals regarding their rights and the means to confront discrimination (Lockwood, Henderson and Thornicroft, 2012; Gardner, 2018; Yu, 2024; Yu and Lee, 2021). Enforcement often </w:t>
      </w:r>
      <w:r w:rsidR="00D14271" w:rsidRPr="00323D0D">
        <w:t>pivots</w:t>
      </w:r>
      <w:r w:rsidRPr="00323D0D">
        <w:t xml:space="preserve"> on individual complaints; thus, discrimination may remain unreported, primarily because of fear or discomfort (Yu, H. H., 2024; Yu and Lee, 2021). However, this situation underscores the importance of awareness and education.</w:t>
      </w:r>
    </w:p>
    <w:p w14:paraId="52EAF68A" w14:textId="36123D04" w:rsidR="009A03E2" w:rsidRDefault="009A03E2" w:rsidP="00AB5C1C">
      <w:pPr>
        <w:spacing w:line="360" w:lineRule="auto"/>
        <w:jc w:val="both"/>
      </w:pPr>
    </w:p>
    <w:p w14:paraId="601F7C3A" w14:textId="7CF14A3C" w:rsidR="00400C50" w:rsidRDefault="00400C50" w:rsidP="00141986">
      <w:pPr>
        <w:spacing w:line="360" w:lineRule="auto"/>
        <w:jc w:val="both"/>
      </w:pPr>
      <w:r w:rsidRPr="00400C50">
        <w:t xml:space="preserve">Inequality arises from a multifaceted range of influences (Garden, 2021; Galbraith, 2016), with class systems standing out as particularly significant aspect (Piff, Kraus and Keltner, 2018; </w:t>
      </w:r>
      <w:r w:rsidRPr="00400C50">
        <w:lastRenderedPageBreak/>
        <w:t xml:space="preserve">Southgate and Keister, 2021; Jodhka, Rehbein and Souza, 2017). These systems exemplify a type of social stratification (Davis and Moore, 1945; Cancian, 1976; Weber, 1991), which classifies individuals according to factors such as income, employment, education and social status (Jodhka, Rehbein and Souza, 2017; Davis and Moore, 1945; Cancian, 1976; Weber, 1991). Although caste systems tend to exhibit greater rigidity (Hoff, 2016; Satyanarayanan and Lee, 2023), class systems are, in general, more adaptable; this promotes social mobility (Southgate and Keister, 2021; Jodhka, Rehbein and Souza, 2017; Weber, 1991). This suggests that individuals have capacity to ascend or descend within social hierarchy (Southgate and Keister, 2021; Weber, 1991); however, this mobility is often contingent upon variety of external circumstances. These systems generally encompass several primary categories, often known as lower, middle and upper classes (Piff, Kraus and Keltner, 2018; Southgate and Keister, 2021; Jodhka, Rehbein and Souza, 2017; Weber, 1922). Furthermore, there are additional subdivisions present within each group (Jodhka, Rehbein and Souza, 2017; Piff, Kraus and Keltner, 2018; Southgate and Keister, 2021; Weber, 1922). The influence of class systems reaches into access to resources, power and privilege—this significantly impacts an individual's opportunities and overall quality of life (Weber, 1922; Southgate and Keister, 2021). Class systems, however, differ across globe (Weber, 1922; Southgate and Keister, 2021) because they are shaped by distinct economic, cultural and political contexts (Weber, 1922; Southgate and Keister, 2021; Piff, Kraus and Keltner, 2018). The United Kingdom, for instance, traditionally displays a rigid class structure that is deeply rooted in aristocracy (Schultz, 2022; Bryant, 2017), featuring clearly delineated classes such as upper, middle and working class (Schultz, 2022; BBC, 2013; Friedman and Laurison, 2020). Although social mobility (in certain contexts) has witnessed an uptick, class distinctions—especially those rooted in wealth, education and occupation—persist quite markedly. This persistence is evident in various studies (Schultz, 2022; Friedman and Laurison, 2020), because they illuminate the ongoing disparities. Thus, while some progress has been achieved, the foundational structures that reinforce class divisions continue to wield their influence. The United States, generally characterized by a more fluid class structure, underscores the potential for social mobility (Heath, A. and Li, Y., 2023; Warner, Meeker and Eells, 2019; Weber, 2018). However, socioeconomic class still exerts considerable influence, manifesting clear divisions among upper, middle, working and underclasses—heavily shaped by income and educational attainment (Heath, A. and Li, Y., 2023; Weber, 2018). In contrast, India, recognized for its </w:t>
      </w:r>
      <w:r w:rsidRPr="00400C50">
        <w:lastRenderedPageBreak/>
        <w:t>caste system (Ambedkar, 2017; O'Malley, 1932:2023; West-Rudner, 2022), has historically maintained rigidity, but is currently undergoing transformation due to modernization and legal reforms (Ambedkar, 2017; O'Malley, 1932:2023). Although caste system continues to retain social significance (particularly in rural regions (O'Malley, 1932:2023; West-Rudner, 2022), class distinctions founded on income and occupation are, however, becoming more prominent in urban environments (Ambedkar, 2017; O'Malley, 1932:2023; West-Rudner, 2022). Japan, which historically featured a class structure embedded in feudal systems (Sugimoto, 2020; Scalapino, 2023), is now regarded as relatively egalitarian (Sugimoto, 2020; Scalapino, 2023). Social stratification in Japan is currently shaped by education and occupation (Sugimoto, 2020; Scalapino, 2023); but economic inequalities and challenges faced by middle class are becoming increasingly noticeable (Sugimoto, 2020). Scandinavian nations, such as Sweden (and Norway), are often recognized for their high levels of social mobility and minimal income disparity (Wiborg and Hansen, 2018; Dribe, et al., 2024), which is frequently attributed to their comprehensive welfare systems (and a strong emphasis on egalitarian values (Dribe, et al., 2024)). These societies exhibit less rigid class distinctions, placing a higher priority on collective welfare (Wiborg and Hansen, 2018).Conversely (in numerous African countries), ethnic or tribal connections play significant roles in social stratification: Du Toit (2019), Fraenkel (2018), Thomson (2022). Access to resources—political authority and social privileges—can frequently be affected by one's tribal (or ethnic) group status (Thomson, 2022). Certain groups, however, often encounter marginalization (Du Toit, 2019), Fraenkel (2018) and Thomson (2022) because of these affiliations.</w:t>
      </w:r>
    </w:p>
    <w:p w14:paraId="365111DB" w14:textId="06D2CD6D" w:rsidR="006E2941" w:rsidRDefault="006E2941" w:rsidP="00141986">
      <w:pPr>
        <w:spacing w:line="360" w:lineRule="auto"/>
        <w:jc w:val="both"/>
      </w:pPr>
      <w:r>
        <w:t xml:space="preserve"> </w:t>
      </w:r>
    </w:p>
    <w:p w14:paraId="60F7AEEC" w14:textId="2E69A79F" w:rsidR="00141986" w:rsidRPr="000D7D6A" w:rsidRDefault="00180CD3" w:rsidP="005500D1">
      <w:pPr>
        <w:spacing w:line="360" w:lineRule="auto"/>
        <w:jc w:val="both"/>
        <w:rPr>
          <w:color w:val="000000"/>
        </w:rPr>
      </w:pPr>
      <w:r w:rsidRPr="00180CD3">
        <w:t xml:space="preserve">One of the most prominent indications of differences in class is economic inequality (Piff, Kraus and Keltner, 2018; Homan, Brown and King, 2021). People from better socioeconomic groups often receive a lot of assets (Homan, Brown, and King, 2021). This wealth can be used to pay for good living, healthcare, and schooling (Homan, Brown, and King, 2021). For example, families from a higher-class home may be able to afford private schools (Reeves, 2017), which can help their children get into good colleges and find good jobs (Reeves, 2017). Low-income families, on the other hand, may rely on public schools that aren't properly supported (Jenkins Robinson, and Beach, 2023), where a lack of resources can affect students' academic success and, in turn, their job chances (Jenkins Robinson, and Beach, 2023; García and Weiss, 2017). </w:t>
      </w:r>
      <w:r w:rsidR="00FD340E" w:rsidRPr="00FD340E">
        <w:t xml:space="preserve">According to Pierre Bourdieu's work (1983–84), people from higher </w:t>
      </w:r>
      <w:r w:rsidR="00FD340E" w:rsidRPr="00FD340E">
        <w:lastRenderedPageBreak/>
        <w:t>socioeconomic groups receive wealth that can be used to get better things like schooling, health care, and housing. Bourdieu looked into how advantages and income can be passed down from one family to the next (Bourdieu, 1983–84; Branson and Miller, 2020; Atkinson, 2011). He said economic capital could be changed into cultural and social capital (Bourdieu, 1983–84; Branson and Miller, 2020; Atkinson, 2011). People from wealthy families can get better educational and social tools this way (Branson and Miller, 2020; Bourdieu, 1983–84), which keeps class differences and social injustices going over time (Bourdieu, 1983–84; Branson and Miller, 2020; Atkinson, 2011).</w:t>
      </w:r>
    </w:p>
    <w:p w14:paraId="2A1305F9" w14:textId="77777777" w:rsidR="002E63B2" w:rsidRDefault="00FD340E" w:rsidP="005500D1">
      <w:pPr>
        <w:spacing w:line="360" w:lineRule="auto"/>
        <w:jc w:val="both"/>
      </w:pPr>
      <w:r w:rsidRPr="00FD340E">
        <w:t xml:space="preserve">Another important component of the class structure is employment disparity (Adkins, Cooper, and Konings, 2021). Higher social classes often work in professions like law, medicine, or finance that provide stability, prestige, and high salaries (Adkins, Cooper, and Konings, 2021; Garth and Sterling, 2018). On the other hand, employment with lower pay, fewer benefits, and less job stability is more common among working-class people (Adkins, Cooper, and Konings, 2021; Garth and Sterling, 2018). Additionally, because the gig economy offers flexible work that disproportionately draws lower-income people (Woodcock and Graham, 2020), who frequently lack the stability associated with traditional employment, it has exacerbated class-based inequality (Woodcock and Graham, 2020; Radosław, Visvizi and Skrzek-Lubasińska, 2021). This separation restricts upward social mobility and feeds the poverty cycle (Dolber et al., 2021; Major and Machin, 2018). The idea of employment inequality, in which members of higher social classes have more prominent and secure occupations, has been studied by Karl Marx (Engels and Marx, 1848), Max Weber (1991), and Pierre Bourdieu (Bourdieu, 1983-84). Marx believed that the class structure inside capitalism was the source of employment inequality (Engels and Marx, 1867: 1996; Engels and Marx, 1848). He maintained that the bourgeoisie, who possess the means of production, and the proletariat, who sell their labour, are the two classes into which society is divided according to control over those means (Engels and Marx, 1867: 1996; Engels and Marx, 1848). Marx argues that this divide results in employment inequality, with the proletariat left with lower-paid, less secure labour while the bourgeoisie hold high-status, secure, and well-paid occupations (Engels and Marx, 1867: 1996; Engels and Marx, 1848). Due to inadequate pay and lack of recognition, this exploitation causes alienation, which makes workers feel cut off from their labour (Engels and Marx, 1867: 1996; Engels and Marx, 1848). </w:t>
      </w:r>
      <w:r w:rsidR="002E63B2" w:rsidRPr="002E63B2">
        <w:t xml:space="preserve">According to Marx, division between classes is fuelled by this disparity and can only be addressed by tearing down capitalist systems in order to establish a </w:t>
      </w:r>
      <w:r w:rsidR="002E63B2" w:rsidRPr="002E63B2">
        <w:lastRenderedPageBreak/>
        <w:t xml:space="preserve">more equitable society (Engels and Marx, 1867: 1996). Max Weber, on the other hand, studied social stratification and highlighted the ways in which power, position, and financial resources affect class (Weber, 1864-1920: 1947). He pointed out that social class distinctions might be strengthened by the nature of work and occupational status (Weber, 1864-1920: 1947). According to Weber, power relations and social standing also contribute to inequality by affecting people's prospects in life and employment (Weber, 1864-1920: 1947). </w:t>
      </w:r>
    </w:p>
    <w:p w14:paraId="55D5DE6D" w14:textId="77777777" w:rsidR="002E63B2" w:rsidRDefault="002E63B2" w:rsidP="00EE66A6">
      <w:pPr>
        <w:spacing w:line="360" w:lineRule="auto"/>
        <w:jc w:val="both"/>
        <w:rPr>
          <w:color w:val="000000"/>
        </w:rPr>
      </w:pPr>
      <w:r w:rsidRPr="002E63B2">
        <w:t xml:space="preserve">Disparities in market position are often the root cause of employment inequality (Platt, 2019). People with greater education, skills, and financial resources tend to have access to better-paying, stable jobs (Platt, 2019; Thébaud and Charles, 2018), while those with less education face financial difficulties and fewer opportunities. Employment inequality is influenced by a person's social status or prestige because certain jobs are more prestigious regardless of compensation (Platt, 2019; Kabeer, 2021; Thébaud and Charles, 2018). This frequently leads to status-based discrimination that prevents people from obtaining particular positions. Despite being built for efficiency (Weber, 2023), bureaucratic organisations frequently favour those in privileged positions (Weber, 2023; Suzuki and Hur, 2019), limiting opportunities for others to advance (Suzuki and Hur, 2019; Weber, 2023). As a result, power dynamics in these organisations can perpetuate inequality (Weber, 2023; Suzuki and Hur, 2019). According to Pierre Bourdieu, different types of capital, particularly cultural capital, often dictate a person's place in the class system, influencing their ability to get important jobs and sustaining class disparity (Bourdieu, 1983-84; Branson and Miller, 2020). Understanding how class disparity is perpetuated via behaviour, knowledge, and lifestyle is made possible by Bourdieu's idea of cultural capital (Bourdieu, 1983-84; Branson and Miller, 2020). In line with social indicators of high culture, middle- and upper-class families, for instance, often expose their kids to cultural experiences like literature, music, and art (Bourdieu, 1983-84; Kallunki, 2023). These encounters reinforce social exclusion for people who are not exposed to them by fostering habits and preferences that are valued in professional and educational contexts (Bourdieu, 1983-84; Kallunki, 2023). </w:t>
      </w:r>
      <w:r w:rsidRPr="002E63B2">
        <w:rPr>
          <w:color w:val="000000"/>
        </w:rPr>
        <w:t xml:space="preserve">Working-class people may thus encounter discrimination because of their speech, attire, or mannerisms, which reinforces stereotypes and restricts their social acceptability in higher socioeconomic groups (Goffman, 1963; Becker, 1963). Becker, 1963; Goffman, 1963 A unique viewpoint on inequality is provided by Foucault's examination of institutions and power (Foucault, 1988; Masquelier, 2018). They maintained that power is ingrained in society's core structures and is not only confined to a small number of people or </w:t>
      </w:r>
      <w:r w:rsidRPr="002E63B2">
        <w:rPr>
          <w:color w:val="000000"/>
        </w:rPr>
        <w:lastRenderedPageBreak/>
        <w:t>organisations (Foucault, 1988; Masquelier, 2018). According to Foucault, power is exercised via discourses, practices, and institutions that shape social norms, behaviour, and knowledge (Foucault, 1988; Masquelier, 2018; Goffman, 1963; Becker, 1963). Power, according to Foucault, is not just a force that suppresses; it also develops and delivers results by opening up channels of resistance (Foucault, 1988; Masquelier, 2018). Even if institutions enforce inequality, they also provide people and organisations a platform to question prevailing structures and practices (Amis et al., 2018; McLaren, 2023). Institutions facilitate the formation of activist networks or unions, which may be used to confront unjust behaviours (De Castro Leal, Strohmayer, and Krüger, 2021; Anderson, 2018). The concept of disciplinary authority (Foucault, 1926-1984: 1977; Masquelier, 2018) is a key component of Foucault's analysis, whereby establishments such as asylums, schools, hospitals, and prisons impose rules and control conduct (Foucault, 1926-1984: 1977). People are shaped by these institutions into submissive bodies that fit social norms (Foucault, 1926-1984:1977; Masquelier, 2018). They quietly manipulate people's attitudes and behaviours via normalisation and surveillance techniques, which reinforce inequality by excluding those who don't fit in with the norm (Durkheim, 1938; Foucault, 1926-1984:1977; Masquelier, 2018).</w:t>
      </w:r>
    </w:p>
    <w:p w14:paraId="6AEAC766" w14:textId="6712C329" w:rsidR="00143353" w:rsidRDefault="00DB4822" w:rsidP="00EE66A6">
      <w:pPr>
        <w:spacing w:line="360" w:lineRule="auto"/>
        <w:jc w:val="both"/>
      </w:pPr>
      <w:r w:rsidRPr="00EE66A6">
        <w:rPr>
          <w:color w:val="000000"/>
        </w:rPr>
        <w:t xml:space="preserve"> </w:t>
      </w:r>
      <w:r w:rsidRPr="00EE66A6">
        <w:t xml:space="preserve"> </w:t>
      </w:r>
    </w:p>
    <w:p w14:paraId="779CC366" w14:textId="1CBB3663" w:rsidR="00E310BD" w:rsidRDefault="00143353" w:rsidP="00EE66A6">
      <w:pPr>
        <w:spacing w:line="360" w:lineRule="auto"/>
        <w:jc w:val="both"/>
      </w:pPr>
      <w:r>
        <w:t xml:space="preserve"> </w:t>
      </w:r>
      <w:r w:rsidR="00C31C8E" w:rsidRPr="00EE66A6">
        <w:t>The COVID-19 pandemic highlighted and deepened class inequalities across numerous facets of life</w:t>
      </w:r>
      <w:r w:rsidR="00EE66A6" w:rsidRPr="00EE66A6">
        <w:t xml:space="preserve"> (Adams-Prassl, </w:t>
      </w:r>
      <w:r w:rsidR="00EE66A6" w:rsidRPr="00EE66A6">
        <w:rPr>
          <w:i/>
          <w:iCs/>
        </w:rPr>
        <w:t xml:space="preserve">et al, </w:t>
      </w:r>
      <w:r w:rsidR="00EE66A6" w:rsidRPr="00EE66A6">
        <w:t>2020</w:t>
      </w:r>
      <w:r w:rsidR="0003135D">
        <w:t>a</w:t>
      </w:r>
      <w:r w:rsidR="00EE66A6" w:rsidRPr="00EE66A6">
        <w:t xml:space="preserve">; Adam, Miller and Waters, 2020; Blundell, </w:t>
      </w:r>
      <w:r w:rsidR="00EE66A6" w:rsidRPr="00EE66A6">
        <w:rPr>
          <w:i/>
          <w:iCs/>
        </w:rPr>
        <w:t>et al,</w:t>
      </w:r>
      <w:r w:rsidR="00EE66A6" w:rsidRPr="00EE66A6">
        <w:t xml:space="preserve"> 2020)</w:t>
      </w:r>
      <w:r w:rsidR="00C31C8E" w:rsidRPr="00EE66A6">
        <w:t xml:space="preserve">, from health </w:t>
      </w:r>
      <w:r w:rsidR="00EE66A6" w:rsidRPr="00EE66A6">
        <w:t xml:space="preserve">(Blundell, </w:t>
      </w:r>
      <w:r w:rsidR="00EE66A6" w:rsidRPr="00EE66A6">
        <w:rPr>
          <w:i/>
          <w:iCs/>
        </w:rPr>
        <w:t>et al,</w:t>
      </w:r>
      <w:r w:rsidR="00EE66A6" w:rsidRPr="00EE66A6">
        <w:t xml:space="preserve"> 2020)</w:t>
      </w:r>
      <w:r w:rsidR="00C31C8E" w:rsidRPr="00EE66A6">
        <w:t xml:space="preserve"> employment </w:t>
      </w:r>
      <w:r w:rsidR="00EE66A6" w:rsidRPr="00EE66A6">
        <w:t>(Adam, Miller and Waters, 2020)</w:t>
      </w:r>
      <w:r>
        <w:t xml:space="preserve"> and</w:t>
      </w:r>
      <w:r w:rsidR="00C31C8E" w:rsidRPr="00EE66A6">
        <w:t xml:space="preserve"> housing </w:t>
      </w:r>
      <w:r w:rsidR="00EE66A6" w:rsidRPr="00EE66A6">
        <w:t xml:space="preserve">(Blundell, </w:t>
      </w:r>
      <w:r w:rsidR="00EE66A6" w:rsidRPr="00EE66A6">
        <w:rPr>
          <w:i/>
          <w:iCs/>
        </w:rPr>
        <w:t>et al,</w:t>
      </w:r>
      <w:r w:rsidR="00EE66A6" w:rsidRPr="00EE66A6">
        <w:t xml:space="preserve"> 2020)</w:t>
      </w:r>
      <w:r>
        <w:t xml:space="preserve">. </w:t>
      </w:r>
      <w:r w:rsidR="00C31C8E" w:rsidRPr="00C31C8E">
        <w:t>The vulnerability of essential workers</w:t>
      </w:r>
      <w:r w:rsidR="001215A6">
        <w:t xml:space="preserve"> </w:t>
      </w:r>
      <w:r w:rsidR="00C31C8E" w:rsidRPr="00C31C8E">
        <w:t xml:space="preserve">such as </w:t>
      </w:r>
      <w:r w:rsidR="00C31C8E" w:rsidRPr="00EE66A6">
        <w:t>healthcare workers, delivery drivers, retail staff, and cleaners</w:t>
      </w:r>
      <w:r w:rsidR="00EE66A6" w:rsidRPr="00EE66A6">
        <w:t xml:space="preserve"> </w:t>
      </w:r>
      <w:r w:rsidR="00C31C8E" w:rsidRPr="00EE66A6">
        <w:t>was stark</w:t>
      </w:r>
      <w:r w:rsidR="00EE66A6" w:rsidRPr="00EE66A6">
        <w:t xml:space="preserve"> (Blundell, </w:t>
      </w:r>
      <w:r w:rsidR="00EE66A6" w:rsidRPr="00EE66A6">
        <w:rPr>
          <w:i/>
          <w:iCs/>
        </w:rPr>
        <w:t>et al,</w:t>
      </w:r>
      <w:r w:rsidR="00EE66A6" w:rsidRPr="00EE66A6">
        <w:t xml:space="preserve"> 2020; Stark, 2020)</w:t>
      </w:r>
      <w:r w:rsidR="00C31C8E" w:rsidRPr="00EE66A6">
        <w:t>. Many of these individuals, who typically earn lower wages, were required to continue working in person</w:t>
      </w:r>
      <w:r w:rsidR="00EE66A6" w:rsidRPr="00EE66A6">
        <w:t xml:space="preserve"> (Blundell, </w:t>
      </w:r>
      <w:r w:rsidR="00EE66A6" w:rsidRPr="00EE66A6">
        <w:rPr>
          <w:i/>
          <w:iCs/>
        </w:rPr>
        <w:t>et al,</w:t>
      </w:r>
      <w:r w:rsidR="00EE66A6" w:rsidRPr="00EE66A6">
        <w:t xml:space="preserve"> 2020; Stark, 2020; Adams-Prassl, </w:t>
      </w:r>
      <w:r w:rsidR="00EE66A6" w:rsidRPr="00EE66A6">
        <w:rPr>
          <w:i/>
          <w:iCs/>
        </w:rPr>
        <w:t xml:space="preserve">et al, </w:t>
      </w:r>
      <w:r w:rsidR="00EE66A6" w:rsidRPr="00EE66A6">
        <w:t>2020</w:t>
      </w:r>
      <w:r w:rsidR="0003135D">
        <w:t>a</w:t>
      </w:r>
      <w:r w:rsidR="00EE66A6" w:rsidRPr="00EE66A6">
        <w:t>)</w:t>
      </w:r>
      <w:r w:rsidR="00C31C8E" w:rsidRPr="00EE66A6">
        <w:t xml:space="preserve">, increasing their exposure to the </w:t>
      </w:r>
      <w:r w:rsidR="00C31C8E" w:rsidRPr="005E3A1E">
        <w:t>virus</w:t>
      </w:r>
      <w:r w:rsidR="00EE66A6" w:rsidRPr="005E3A1E">
        <w:t xml:space="preserve"> (Stark, 2020; Adams-Prassl, </w:t>
      </w:r>
      <w:r w:rsidR="00EE66A6" w:rsidRPr="005E3A1E">
        <w:rPr>
          <w:i/>
          <w:iCs/>
        </w:rPr>
        <w:t xml:space="preserve">et al, </w:t>
      </w:r>
      <w:r w:rsidR="00EE66A6" w:rsidRPr="005E3A1E">
        <w:t>2020</w:t>
      </w:r>
      <w:r w:rsidR="0003135D">
        <w:t>a</w:t>
      </w:r>
      <w:r w:rsidR="00EE66A6" w:rsidRPr="005E3A1E">
        <w:t>)</w:t>
      </w:r>
      <w:r w:rsidR="00C31C8E" w:rsidRPr="005E3A1E">
        <w:t xml:space="preserve">. Unlike workers in white-collar </w:t>
      </w:r>
      <w:r w:rsidR="005E3A1E" w:rsidRPr="005E3A1E">
        <w:t>job</w:t>
      </w:r>
      <w:r w:rsidR="005E3A1E">
        <w:t>s</w:t>
      </w:r>
      <w:r w:rsidR="005E3A1E" w:rsidRPr="005E3A1E">
        <w:t xml:space="preserve"> </w:t>
      </w:r>
      <w:r w:rsidR="00C31C8E" w:rsidRPr="005E3A1E">
        <w:t>they could</w:t>
      </w:r>
      <w:r w:rsidR="001215A6" w:rsidRPr="005E3A1E">
        <w:t xml:space="preserve"> not</w:t>
      </w:r>
      <w:r w:rsidR="00C31C8E" w:rsidRPr="005E3A1E">
        <w:t xml:space="preserve"> transition to remote work</w:t>
      </w:r>
      <w:r w:rsidR="00EE66A6" w:rsidRPr="005E3A1E">
        <w:t xml:space="preserve"> (Adams-Prassl, </w:t>
      </w:r>
      <w:r w:rsidR="00EE66A6" w:rsidRPr="005E3A1E">
        <w:rPr>
          <w:i/>
          <w:iCs/>
        </w:rPr>
        <w:t xml:space="preserve">et al, </w:t>
      </w:r>
      <w:r w:rsidR="00EE66A6" w:rsidRPr="005E3A1E">
        <w:t>2020</w:t>
      </w:r>
      <w:r w:rsidR="0003135D">
        <w:t>a</w:t>
      </w:r>
      <w:r w:rsidR="00EE66A6" w:rsidRPr="005E3A1E">
        <w:t>)</w:t>
      </w:r>
      <w:r w:rsidR="00C31C8E" w:rsidRPr="005E3A1E">
        <w:t>, making their risk of infection considerably higher</w:t>
      </w:r>
      <w:r w:rsidR="005E3A1E" w:rsidRPr="005E3A1E">
        <w:t xml:space="preserve"> (Adams-Prassl, </w:t>
      </w:r>
      <w:r w:rsidR="005E3A1E" w:rsidRPr="005E3A1E">
        <w:rPr>
          <w:i/>
          <w:iCs/>
        </w:rPr>
        <w:t xml:space="preserve">et al, </w:t>
      </w:r>
      <w:r w:rsidR="005E3A1E" w:rsidRPr="005E3A1E">
        <w:t>2020</w:t>
      </w:r>
      <w:r w:rsidR="0003135D">
        <w:t>a</w:t>
      </w:r>
      <w:r w:rsidR="005E3A1E" w:rsidRPr="005E3A1E">
        <w:t>; Stark, 2020)</w:t>
      </w:r>
      <w:r w:rsidR="00C31C8E" w:rsidRPr="005E3A1E">
        <w:t xml:space="preserve">. For example, </w:t>
      </w:r>
      <w:r w:rsidR="001049EE" w:rsidRPr="005E3A1E">
        <w:t xml:space="preserve">supermarket </w:t>
      </w:r>
      <w:r w:rsidR="005E3A1E" w:rsidRPr="005E3A1E">
        <w:t>employ</w:t>
      </w:r>
      <w:r>
        <w:t>ees</w:t>
      </w:r>
      <w:r w:rsidR="005E3A1E" w:rsidRPr="005E3A1E">
        <w:t xml:space="preserve"> (Stark, 2020; Blundell, </w:t>
      </w:r>
      <w:r w:rsidR="005E3A1E" w:rsidRPr="005E3A1E">
        <w:rPr>
          <w:i/>
          <w:iCs/>
        </w:rPr>
        <w:t>et al,</w:t>
      </w:r>
      <w:r w:rsidR="005E3A1E" w:rsidRPr="005E3A1E">
        <w:t xml:space="preserve"> 2020)</w:t>
      </w:r>
      <w:r w:rsidR="00C31C8E" w:rsidRPr="005E3A1E">
        <w:t>, risk exposure with little choice to opt out due to financial pressures</w:t>
      </w:r>
      <w:r w:rsidR="005E3A1E" w:rsidRPr="005E3A1E">
        <w:t xml:space="preserve"> (</w:t>
      </w:r>
      <w:r w:rsidR="005E3A1E" w:rsidRPr="00EE66A6">
        <w:t xml:space="preserve">Blundell, </w:t>
      </w:r>
      <w:r w:rsidR="005E3A1E" w:rsidRPr="00EE66A6">
        <w:rPr>
          <w:i/>
          <w:iCs/>
        </w:rPr>
        <w:t>et al,</w:t>
      </w:r>
      <w:r w:rsidR="005E3A1E" w:rsidRPr="00EE66A6">
        <w:t xml:space="preserve"> 2020</w:t>
      </w:r>
      <w:r w:rsidR="005E3A1E">
        <w:t xml:space="preserve">; </w:t>
      </w:r>
      <w:r w:rsidR="005E3A1E" w:rsidRPr="00EE66A6">
        <w:t>Stark, 2020</w:t>
      </w:r>
      <w:r w:rsidR="005E3A1E">
        <w:t>)</w:t>
      </w:r>
      <w:r w:rsidR="00C31C8E" w:rsidRPr="00C31C8E">
        <w:t>.</w:t>
      </w:r>
      <w:r w:rsidR="001049EE">
        <w:t xml:space="preserve"> </w:t>
      </w:r>
      <w:r w:rsidR="00C31C8E" w:rsidRPr="00C31C8E">
        <w:t xml:space="preserve">This disparity extended beyond workplace risk to </w:t>
      </w:r>
      <w:r w:rsidR="00C31C8E" w:rsidRPr="005E3A1E">
        <w:t>healthcare access and quality</w:t>
      </w:r>
      <w:r w:rsidR="005E3A1E" w:rsidRPr="005E3A1E">
        <w:t xml:space="preserve"> (Blundell</w:t>
      </w:r>
      <w:r w:rsidR="005E3A1E" w:rsidRPr="00EE66A6">
        <w:t xml:space="preserve">, </w:t>
      </w:r>
      <w:r w:rsidR="005E3A1E" w:rsidRPr="00EE66A6">
        <w:rPr>
          <w:i/>
          <w:iCs/>
        </w:rPr>
        <w:t>et al,</w:t>
      </w:r>
      <w:r w:rsidR="005E3A1E" w:rsidRPr="00EE66A6">
        <w:t xml:space="preserve"> 2020</w:t>
      </w:r>
      <w:r w:rsidR="005E3A1E">
        <w:t xml:space="preserve">; </w:t>
      </w:r>
      <w:r w:rsidR="005E3A1E" w:rsidRPr="005E3A1E">
        <w:t xml:space="preserve">Adams-Prassl, </w:t>
      </w:r>
      <w:r w:rsidR="005E3A1E" w:rsidRPr="005E3A1E">
        <w:rPr>
          <w:i/>
          <w:iCs/>
        </w:rPr>
        <w:t xml:space="preserve">et al, </w:t>
      </w:r>
      <w:r w:rsidR="005E3A1E" w:rsidRPr="005E3A1E">
        <w:t>2020</w:t>
      </w:r>
      <w:r w:rsidR="0003135D">
        <w:t>a)</w:t>
      </w:r>
      <w:r>
        <w:t>.</w:t>
      </w:r>
      <w:r w:rsidR="00C31C8E" w:rsidRPr="00C31C8E">
        <w:t xml:space="preserve"> Socio</w:t>
      </w:r>
      <w:r w:rsidR="00C31C8E" w:rsidRPr="00A73AD8">
        <w:t>-economically disadvantaged communities</w:t>
      </w:r>
      <w:r w:rsidR="005E3A1E" w:rsidRPr="00A73AD8">
        <w:t xml:space="preserve"> (United Nation, 2020)</w:t>
      </w:r>
      <w:r w:rsidR="00C31C8E" w:rsidRPr="00A73AD8">
        <w:t>, w</w:t>
      </w:r>
      <w:r w:rsidR="00BA5C1D" w:rsidRPr="00A73AD8">
        <w:t>h</w:t>
      </w:r>
      <w:r w:rsidR="00C31C8E" w:rsidRPr="00A73AD8">
        <w:t>ere essential workers commonly live, often have underfunded hospitals</w:t>
      </w:r>
      <w:r w:rsidR="00A73AD8" w:rsidRPr="00A73AD8">
        <w:t xml:space="preserve"> (Bambra, </w:t>
      </w:r>
      <w:r w:rsidR="00A73AD8" w:rsidRPr="00A73AD8">
        <w:rPr>
          <w:i/>
          <w:iCs/>
        </w:rPr>
        <w:t xml:space="preserve">et al, </w:t>
      </w:r>
      <w:r w:rsidR="00A73AD8" w:rsidRPr="00A73AD8">
        <w:t>2020)</w:t>
      </w:r>
      <w:r>
        <w:t>,</w:t>
      </w:r>
      <w:r w:rsidR="005E3A1E" w:rsidRPr="00A73AD8">
        <w:t xml:space="preserve"> </w:t>
      </w:r>
      <w:r w:rsidR="00C31C8E" w:rsidRPr="00A73AD8">
        <w:lastRenderedPageBreak/>
        <w:t>fewer healthcare facilities</w:t>
      </w:r>
      <w:r w:rsidR="00A73AD8" w:rsidRPr="00A73AD8">
        <w:t xml:space="preserve"> (Bambra, </w:t>
      </w:r>
      <w:r w:rsidR="00A73AD8" w:rsidRPr="00A73AD8">
        <w:rPr>
          <w:i/>
          <w:iCs/>
        </w:rPr>
        <w:t xml:space="preserve">et al, </w:t>
      </w:r>
      <w:r w:rsidR="00A73AD8" w:rsidRPr="00A73AD8">
        <w:t>2020)</w:t>
      </w:r>
      <w:r w:rsidR="00C31C8E" w:rsidRPr="00A73AD8">
        <w:t>, and limited access to preventive care</w:t>
      </w:r>
      <w:r w:rsidR="00414B18" w:rsidRPr="00A73AD8">
        <w:t xml:space="preserve"> (Prakash-Narain, Sodani and Kant, 2021</w:t>
      </w:r>
      <w:r w:rsidR="00A73AD8" w:rsidRPr="00A73AD8">
        <w:t xml:space="preserve">; Bambra, </w:t>
      </w:r>
      <w:r w:rsidR="00A73AD8" w:rsidRPr="00A73AD8">
        <w:rPr>
          <w:i/>
          <w:iCs/>
        </w:rPr>
        <w:t xml:space="preserve">et al, </w:t>
      </w:r>
      <w:r w:rsidR="00A73AD8" w:rsidRPr="00A73AD8">
        <w:t>2020</w:t>
      </w:r>
      <w:r w:rsidR="00414B18" w:rsidRPr="00A73AD8">
        <w:t>)</w:t>
      </w:r>
      <w:r w:rsidR="00C31C8E" w:rsidRPr="00A73AD8">
        <w:t>. This limited their ability to receive timely treatment</w:t>
      </w:r>
      <w:r w:rsidR="00A73AD8" w:rsidRPr="00A73AD8">
        <w:t xml:space="preserve"> (Bambra, </w:t>
      </w:r>
      <w:r w:rsidR="00A73AD8" w:rsidRPr="00A73AD8">
        <w:rPr>
          <w:i/>
          <w:iCs/>
        </w:rPr>
        <w:t xml:space="preserve">et al, </w:t>
      </w:r>
      <w:r w:rsidR="00A73AD8" w:rsidRPr="00A73AD8">
        <w:t>2020)</w:t>
      </w:r>
      <w:r w:rsidR="00C31C8E" w:rsidRPr="00A73AD8">
        <w:t>, exacerbating health inequalities</w:t>
      </w:r>
      <w:r w:rsidR="00726F10" w:rsidRPr="00A73AD8">
        <w:t xml:space="preserve"> (Prakash-Narain, Sodani and Kant, 2021</w:t>
      </w:r>
      <w:r w:rsidR="00A73AD8" w:rsidRPr="00A73AD8">
        <w:t xml:space="preserve">; Bambra, </w:t>
      </w:r>
      <w:r w:rsidR="00A73AD8" w:rsidRPr="00A73AD8">
        <w:rPr>
          <w:i/>
          <w:iCs/>
        </w:rPr>
        <w:t xml:space="preserve">et al, </w:t>
      </w:r>
      <w:r w:rsidR="00A73AD8" w:rsidRPr="00A73AD8">
        <w:t>2020</w:t>
      </w:r>
      <w:r w:rsidR="00726F10" w:rsidRPr="00A73AD8">
        <w:t>)</w:t>
      </w:r>
      <w:r w:rsidR="00C31C8E" w:rsidRPr="00A73AD8">
        <w:t>.</w:t>
      </w:r>
      <w:r w:rsidR="00C31C8E" w:rsidRPr="00C31C8E">
        <w:t xml:space="preserve"> </w:t>
      </w:r>
      <w:r w:rsidR="00F2434E" w:rsidRPr="00F2434E">
        <w:t>research conducted in the United Kingdom revealed that mortality rates associated with COVID-19 were substantially elevated in socioeconomically disadvantaged areas</w:t>
      </w:r>
      <w:r w:rsidR="00F2434E">
        <w:t xml:space="preserve"> </w:t>
      </w:r>
      <w:r w:rsidR="00726F10" w:rsidRPr="00726F10">
        <w:t>(Albani,</w:t>
      </w:r>
      <w:r w:rsidR="00726F10" w:rsidRPr="00726F10">
        <w:rPr>
          <w:i/>
          <w:iCs/>
        </w:rPr>
        <w:t xml:space="preserve"> et</w:t>
      </w:r>
      <w:r w:rsidR="00726F10">
        <w:rPr>
          <w:i/>
          <w:iCs/>
        </w:rPr>
        <w:t xml:space="preserve"> </w:t>
      </w:r>
      <w:r w:rsidR="00726F10" w:rsidRPr="00726F10">
        <w:rPr>
          <w:i/>
          <w:iCs/>
        </w:rPr>
        <w:t>al,</w:t>
      </w:r>
      <w:r w:rsidR="00726F10" w:rsidRPr="00726F10">
        <w:t xml:space="preserve"> 2022)</w:t>
      </w:r>
      <w:r w:rsidR="00C31C8E" w:rsidRPr="00726F10">
        <w:t>.</w:t>
      </w:r>
      <w:r w:rsidR="00C31C8E" w:rsidRPr="00C31C8E">
        <w:t xml:space="preserve"> </w:t>
      </w:r>
      <w:r w:rsidR="00C31C8E" w:rsidRPr="00A73AD8">
        <w:t>Additionally, many individuals from lower socio-economic backgrounds had pre-existing health conditions</w:t>
      </w:r>
      <w:r w:rsidR="00A73AD8" w:rsidRPr="00A73AD8">
        <w:t xml:space="preserve"> (Albani,</w:t>
      </w:r>
      <w:r w:rsidR="00A73AD8" w:rsidRPr="00A73AD8">
        <w:rPr>
          <w:i/>
          <w:iCs/>
        </w:rPr>
        <w:t xml:space="preserve"> et al,</w:t>
      </w:r>
      <w:r w:rsidR="00A73AD8" w:rsidRPr="00A73AD8">
        <w:t xml:space="preserve"> 2022; Bambra, Lynch and Smith, 2020)</w:t>
      </w:r>
      <w:r w:rsidR="00C31C8E" w:rsidRPr="00A73AD8">
        <w:t>, often linked to structural issues like poor housing</w:t>
      </w:r>
      <w:r w:rsidR="00A73AD8" w:rsidRPr="00A73AD8">
        <w:t xml:space="preserve"> (Bambra, Lynch and Smith, 2020)</w:t>
      </w:r>
      <w:r w:rsidR="00C31C8E" w:rsidRPr="00A73AD8">
        <w:t>, limited access to nutritious food</w:t>
      </w:r>
      <w:r w:rsidR="00A73AD8" w:rsidRPr="00A73AD8">
        <w:t xml:space="preserve"> (Bambra, Lynch and Smith, 2020)</w:t>
      </w:r>
      <w:r w:rsidR="00C31C8E" w:rsidRPr="00A73AD8">
        <w:t>, and higher levels of pollution</w:t>
      </w:r>
      <w:r w:rsidR="00A73AD8" w:rsidRPr="00A73AD8">
        <w:t xml:space="preserve"> (Bambra, Lynch and Smith, 2020)</w:t>
      </w:r>
      <w:r w:rsidR="00BA5C1D" w:rsidRPr="00A73AD8">
        <w:t xml:space="preserve">, </w:t>
      </w:r>
      <w:r w:rsidR="00C31C8E" w:rsidRPr="00A73AD8">
        <w:t>all factors that increased vulnerability to severe COVID-19 symptoms</w:t>
      </w:r>
      <w:r w:rsidR="00A73AD8" w:rsidRPr="00A73AD8">
        <w:t xml:space="preserve"> (Bambra, Lynch and Smith, 2020)</w:t>
      </w:r>
      <w:r w:rsidR="00C31C8E" w:rsidRPr="00A73AD8">
        <w:t>.</w:t>
      </w:r>
      <w:r w:rsidR="00DB4822" w:rsidRPr="00A73AD8">
        <w:t xml:space="preserve"> </w:t>
      </w:r>
      <w:r w:rsidR="00C31C8E" w:rsidRPr="00A73AD8">
        <w:t>Housing conditions further worsened the impact on lower-income communities</w:t>
      </w:r>
      <w:r w:rsidR="00A73AD8" w:rsidRPr="00A73AD8">
        <w:t xml:space="preserve"> (Bambra, Lynch and Smith, 2020; Albani,</w:t>
      </w:r>
      <w:r w:rsidR="00A73AD8" w:rsidRPr="00A73AD8">
        <w:rPr>
          <w:i/>
          <w:iCs/>
        </w:rPr>
        <w:t xml:space="preserve"> et al,</w:t>
      </w:r>
      <w:r w:rsidR="00A73AD8" w:rsidRPr="00A73AD8">
        <w:t xml:space="preserve"> 2022</w:t>
      </w:r>
      <w:r w:rsidR="0083732D">
        <w:t xml:space="preserve">; Brandily, </w:t>
      </w:r>
      <w:r w:rsidR="0083732D">
        <w:rPr>
          <w:i/>
          <w:iCs/>
        </w:rPr>
        <w:t>et al,</w:t>
      </w:r>
      <w:r w:rsidR="0083732D">
        <w:t xml:space="preserve"> 2021</w:t>
      </w:r>
      <w:r w:rsidR="00A73AD8" w:rsidRPr="00A73AD8">
        <w:t>)</w:t>
      </w:r>
      <w:r w:rsidR="00C31C8E" w:rsidRPr="00A73AD8">
        <w:t>. People in cramped or multi-generational homes found it difficult to self-isolate</w:t>
      </w:r>
      <w:r w:rsidR="00A73AD8" w:rsidRPr="00A73AD8">
        <w:t xml:space="preserve"> (Bambra</w:t>
      </w:r>
      <w:r w:rsidR="00A73AD8" w:rsidRPr="002720FD">
        <w:t>,</w:t>
      </w:r>
      <w:r w:rsidR="00A73AD8">
        <w:t xml:space="preserve"> </w:t>
      </w:r>
      <w:r w:rsidR="00A73AD8" w:rsidRPr="002720FD">
        <w:t>Lynch</w:t>
      </w:r>
      <w:r w:rsidR="00A73AD8">
        <w:t xml:space="preserve"> and</w:t>
      </w:r>
      <w:r w:rsidR="00A73AD8" w:rsidRPr="002720FD">
        <w:t> Smith</w:t>
      </w:r>
      <w:r w:rsidR="00A73AD8">
        <w:t xml:space="preserve">, 2020; </w:t>
      </w:r>
      <w:r w:rsidR="00A73AD8" w:rsidRPr="00726F10">
        <w:t>Albani,</w:t>
      </w:r>
      <w:r w:rsidR="00A73AD8" w:rsidRPr="00726F10">
        <w:rPr>
          <w:i/>
          <w:iCs/>
        </w:rPr>
        <w:t xml:space="preserve"> et</w:t>
      </w:r>
      <w:r w:rsidR="00A73AD8">
        <w:rPr>
          <w:i/>
          <w:iCs/>
        </w:rPr>
        <w:t xml:space="preserve"> </w:t>
      </w:r>
      <w:r w:rsidR="00A73AD8" w:rsidRPr="00726F10">
        <w:rPr>
          <w:i/>
          <w:iCs/>
        </w:rPr>
        <w:t>al,</w:t>
      </w:r>
      <w:r w:rsidR="00A73AD8" w:rsidRPr="00726F10">
        <w:t xml:space="preserve"> 2022</w:t>
      </w:r>
      <w:r w:rsidR="0083732D">
        <w:t xml:space="preserve">; Brandily, </w:t>
      </w:r>
      <w:r w:rsidR="0083732D">
        <w:rPr>
          <w:i/>
          <w:iCs/>
        </w:rPr>
        <w:t>et al,</w:t>
      </w:r>
      <w:r w:rsidR="0083732D">
        <w:t xml:space="preserve"> 2021</w:t>
      </w:r>
      <w:r w:rsidR="00A73AD8">
        <w:t>)</w:t>
      </w:r>
      <w:r w:rsidR="00C31C8E" w:rsidRPr="00C31C8E">
        <w:t xml:space="preserve">, increasing the likelihood of spreading </w:t>
      </w:r>
      <w:r w:rsidR="00C31C8E" w:rsidRPr="0083732D">
        <w:t>the virus within families</w:t>
      </w:r>
      <w:r w:rsidR="00A73AD8" w:rsidRPr="0083732D">
        <w:t xml:space="preserve"> (Bambra</w:t>
      </w:r>
      <w:r w:rsidR="00A73AD8" w:rsidRPr="002720FD">
        <w:t>,</w:t>
      </w:r>
      <w:r w:rsidR="00A73AD8">
        <w:t xml:space="preserve"> </w:t>
      </w:r>
      <w:r w:rsidR="00A73AD8" w:rsidRPr="002720FD">
        <w:t>Lynch</w:t>
      </w:r>
      <w:r w:rsidR="00A73AD8">
        <w:t xml:space="preserve"> and</w:t>
      </w:r>
      <w:r w:rsidR="00A73AD8" w:rsidRPr="002720FD">
        <w:t> Smith</w:t>
      </w:r>
      <w:r w:rsidR="00A73AD8">
        <w:t>, 2020</w:t>
      </w:r>
      <w:r w:rsidR="0083732D">
        <w:t xml:space="preserve">; Brandily, </w:t>
      </w:r>
      <w:r w:rsidR="0083732D">
        <w:rPr>
          <w:i/>
          <w:iCs/>
        </w:rPr>
        <w:t>et al,</w:t>
      </w:r>
      <w:r w:rsidR="0083732D">
        <w:t xml:space="preserve"> 2021</w:t>
      </w:r>
      <w:r w:rsidR="00A73AD8">
        <w:t>)</w:t>
      </w:r>
      <w:r w:rsidR="00C31C8E" w:rsidRPr="00C31C8E">
        <w:t xml:space="preserve">. Higher-income households, on the other hand, had more space and resources to implement isolation measures if a family </w:t>
      </w:r>
      <w:r w:rsidR="00C31C8E" w:rsidRPr="0083732D">
        <w:t>member became infected</w:t>
      </w:r>
      <w:r w:rsidR="00A73AD8" w:rsidRPr="0083732D">
        <w:t xml:space="preserve"> (</w:t>
      </w:r>
      <w:r w:rsidR="00A73AD8" w:rsidRPr="002720FD">
        <w:t>Bambra,</w:t>
      </w:r>
      <w:r w:rsidR="00A73AD8">
        <w:t xml:space="preserve"> </w:t>
      </w:r>
      <w:r w:rsidR="00A73AD8" w:rsidRPr="002720FD">
        <w:t>Lynch</w:t>
      </w:r>
      <w:r w:rsidR="00A73AD8">
        <w:t xml:space="preserve"> and</w:t>
      </w:r>
      <w:r w:rsidR="00A73AD8" w:rsidRPr="002720FD">
        <w:t> Smith</w:t>
      </w:r>
      <w:r w:rsidR="00A73AD8">
        <w:t xml:space="preserve">, 2020; </w:t>
      </w:r>
      <w:r w:rsidR="00A73AD8" w:rsidRPr="00726F10">
        <w:t>Albani,</w:t>
      </w:r>
      <w:r w:rsidR="00A73AD8" w:rsidRPr="00726F10">
        <w:rPr>
          <w:i/>
          <w:iCs/>
        </w:rPr>
        <w:t xml:space="preserve"> et</w:t>
      </w:r>
      <w:r w:rsidR="00A73AD8">
        <w:rPr>
          <w:i/>
          <w:iCs/>
        </w:rPr>
        <w:t xml:space="preserve"> </w:t>
      </w:r>
      <w:r w:rsidR="00A73AD8" w:rsidRPr="00726F10">
        <w:rPr>
          <w:i/>
          <w:iCs/>
        </w:rPr>
        <w:t>al,</w:t>
      </w:r>
      <w:r w:rsidR="00A73AD8" w:rsidRPr="00726F10">
        <w:t xml:space="preserve"> 2022</w:t>
      </w:r>
      <w:r w:rsidR="00A73AD8">
        <w:t>)</w:t>
      </w:r>
      <w:r w:rsidR="00C31C8E" w:rsidRPr="00C31C8E">
        <w:t xml:space="preserve">. For example, in New York City, the boroughs with the highest infection rates were those where </w:t>
      </w:r>
      <w:r w:rsidR="00C31C8E" w:rsidRPr="00F87231">
        <w:t>overcrowding was most severe</w:t>
      </w:r>
      <w:r w:rsidR="0083732D">
        <w:t xml:space="preserve"> (</w:t>
      </w:r>
      <w:r w:rsidR="00F87231">
        <w:t>Hamidi and Hamidi, 2021)</w:t>
      </w:r>
      <w:r w:rsidR="00C31C8E" w:rsidRPr="00C31C8E">
        <w:t>.</w:t>
      </w:r>
      <w:r w:rsidR="00DB4822">
        <w:t xml:space="preserve"> </w:t>
      </w:r>
      <w:r w:rsidR="00C31C8E" w:rsidRPr="00C31C8E">
        <w:t xml:space="preserve">The pandemic underscored how socio-economic </w:t>
      </w:r>
      <w:r w:rsidR="00C31C8E" w:rsidRPr="00A73AD8">
        <w:t>status shapes health</w:t>
      </w:r>
      <w:r w:rsidR="00A73AD8" w:rsidRPr="00A73AD8">
        <w:t xml:space="preserve"> (Bambra, </w:t>
      </w:r>
      <w:r w:rsidR="00A73AD8" w:rsidRPr="00A73AD8">
        <w:rPr>
          <w:i/>
          <w:iCs/>
        </w:rPr>
        <w:t xml:space="preserve">et al, </w:t>
      </w:r>
      <w:r w:rsidR="00A73AD8" w:rsidRPr="00A73AD8">
        <w:t>2020</w:t>
      </w:r>
      <w:r w:rsidR="0083732D">
        <w:t xml:space="preserve">; Brandily, </w:t>
      </w:r>
      <w:r w:rsidR="0083732D">
        <w:rPr>
          <w:i/>
          <w:iCs/>
        </w:rPr>
        <w:t>et al,</w:t>
      </w:r>
      <w:r w:rsidR="0083732D">
        <w:t xml:space="preserve"> 2021</w:t>
      </w:r>
      <w:r w:rsidR="00A73AD8" w:rsidRPr="00A73AD8">
        <w:t>)</w:t>
      </w:r>
      <w:r w:rsidR="00C31C8E" w:rsidRPr="00A73AD8">
        <w:t>, safety</w:t>
      </w:r>
      <w:r w:rsidR="00A73AD8" w:rsidRPr="00A73AD8">
        <w:t xml:space="preserve"> (Albani,</w:t>
      </w:r>
      <w:r w:rsidR="00A73AD8" w:rsidRPr="00A73AD8">
        <w:rPr>
          <w:i/>
          <w:iCs/>
        </w:rPr>
        <w:t xml:space="preserve"> et al,</w:t>
      </w:r>
      <w:r w:rsidR="00A73AD8" w:rsidRPr="00A73AD8">
        <w:t xml:space="preserve"> 2022</w:t>
      </w:r>
      <w:r w:rsidR="0083732D">
        <w:t xml:space="preserve">; Brandily, </w:t>
      </w:r>
      <w:r w:rsidR="0083732D">
        <w:rPr>
          <w:i/>
          <w:iCs/>
        </w:rPr>
        <w:t>et al,</w:t>
      </w:r>
      <w:r w:rsidR="0083732D">
        <w:t xml:space="preserve"> 2021</w:t>
      </w:r>
      <w:r w:rsidR="00A73AD8" w:rsidRPr="00A73AD8">
        <w:t>)</w:t>
      </w:r>
      <w:r w:rsidR="00C31C8E" w:rsidRPr="00A73AD8">
        <w:t>, and access to resources during a crisis</w:t>
      </w:r>
      <w:r w:rsidR="00A73AD8" w:rsidRPr="00A73AD8">
        <w:t xml:space="preserve"> (</w:t>
      </w:r>
      <w:r w:rsidR="0083732D">
        <w:t xml:space="preserve">Brandily, </w:t>
      </w:r>
      <w:r w:rsidR="0083732D">
        <w:rPr>
          <w:i/>
          <w:iCs/>
        </w:rPr>
        <w:t>et al,</w:t>
      </w:r>
      <w:r w:rsidR="0083732D">
        <w:t xml:space="preserve"> 2021; </w:t>
      </w:r>
      <w:r w:rsidR="00A73AD8" w:rsidRPr="00A73AD8">
        <w:t>Bambra, Lynch and Smith, 2020; Albani,</w:t>
      </w:r>
      <w:r w:rsidR="00A73AD8" w:rsidRPr="00A73AD8">
        <w:rPr>
          <w:i/>
          <w:iCs/>
        </w:rPr>
        <w:t xml:space="preserve"> et al,</w:t>
      </w:r>
      <w:r w:rsidR="00A73AD8" w:rsidRPr="00A73AD8">
        <w:t xml:space="preserve"> 2022)</w:t>
      </w:r>
      <w:r w:rsidR="00C31C8E" w:rsidRPr="00A73AD8">
        <w:t>, revealing systemic inequalities that extend far beyond COVID-19</w:t>
      </w:r>
      <w:r w:rsidR="00A73AD8" w:rsidRPr="00A73AD8">
        <w:t xml:space="preserve"> (Bambra, Lynch and Smith, 2020; Bambra, </w:t>
      </w:r>
      <w:r w:rsidR="00A73AD8" w:rsidRPr="00A73AD8">
        <w:rPr>
          <w:i/>
          <w:iCs/>
        </w:rPr>
        <w:t xml:space="preserve">et al, </w:t>
      </w:r>
      <w:r w:rsidR="00A73AD8" w:rsidRPr="00A73AD8">
        <w:t>2020; Albani,</w:t>
      </w:r>
      <w:r w:rsidR="00A73AD8" w:rsidRPr="00A73AD8">
        <w:rPr>
          <w:i/>
          <w:iCs/>
        </w:rPr>
        <w:t xml:space="preserve"> et al,</w:t>
      </w:r>
      <w:r w:rsidR="00A73AD8" w:rsidRPr="00A73AD8">
        <w:t xml:space="preserve"> 2022; Adam, Miller and Waters, 2020</w:t>
      </w:r>
      <w:r w:rsidR="0083732D">
        <w:t xml:space="preserve">; Brandily, </w:t>
      </w:r>
      <w:r w:rsidR="0083732D">
        <w:rPr>
          <w:i/>
          <w:iCs/>
        </w:rPr>
        <w:t>et al,</w:t>
      </w:r>
      <w:r w:rsidR="0083732D">
        <w:t xml:space="preserve"> 2021</w:t>
      </w:r>
      <w:r w:rsidR="00A73AD8" w:rsidRPr="00A73AD8">
        <w:t>)</w:t>
      </w:r>
      <w:r w:rsidR="00C31C8E" w:rsidRPr="00A73AD8">
        <w:t xml:space="preserve"> and demonstrating the need for more equitable support systems in public health</w:t>
      </w:r>
      <w:r w:rsidR="00A73AD8" w:rsidRPr="00A73AD8">
        <w:t xml:space="preserve"> (Bambra, </w:t>
      </w:r>
      <w:r w:rsidR="00A73AD8" w:rsidRPr="00A73AD8">
        <w:rPr>
          <w:i/>
          <w:iCs/>
        </w:rPr>
        <w:t xml:space="preserve">et al, </w:t>
      </w:r>
      <w:r w:rsidR="00A73AD8" w:rsidRPr="00A73AD8">
        <w:t>2020; Albani,</w:t>
      </w:r>
      <w:r w:rsidR="00A73AD8" w:rsidRPr="00A73AD8">
        <w:rPr>
          <w:i/>
          <w:iCs/>
        </w:rPr>
        <w:t xml:space="preserve"> et al,</w:t>
      </w:r>
      <w:r w:rsidR="00A73AD8" w:rsidRPr="00A73AD8">
        <w:t xml:space="preserve"> 2022)</w:t>
      </w:r>
      <w:r w:rsidR="00C31C8E" w:rsidRPr="00A73AD8">
        <w:t>, employment rights</w:t>
      </w:r>
      <w:r w:rsidR="00A73AD8" w:rsidRPr="00A73AD8">
        <w:t xml:space="preserve"> (Albani,</w:t>
      </w:r>
      <w:r w:rsidR="00A73AD8" w:rsidRPr="00A73AD8">
        <w:rPr>
          <w:i/>
          <w:iCs/>
        </w:rPr>
        <w:t xml:space="preserve"> et al,</w:t>
      </w:r>
      <w:r w:rsidR="00A73AD8" w:rsidRPr="00A73AD8">
        <w:t xml:space="preserve"> 2022; Adam, Miller and Waters, 2020)</w:t>
      </w:r>
      <w:r w:rsidR="00C31C8E" w:rsidRPr="00A73AD8">
        <w:t>, and social infrastructure</w:t>
      </w:r>
      <w:r w:rsidR="00A73AD8" w:rsidRPr="00A73AD8">
        <w:t xml:space="preserve"> (Bambra, Lynch and Smith, 2020; Albani,</w:t>
      </w:r>
      <w:r w:rsidR="00A73AD8" w:rsidRPr="00A73AD8">
        <w:rPr>
          <w:i/>
          <w:iCs/>
        </w:rPr>
        <w:t xml:space="preserve"> et al,</w:t>
      </w:r>
      <w:r w:rsidR="00A73AD8" w:rsidRPr="00A73AD8">
        <w:t xml:space="preserve"> 2022)</w:t>
      </w:r>
      <w:r w:rsidR="00C31C8E" w:rsidRPr="00A73AD8">
        <w:t>.</w:t>
      </w:r>
    </w:p>
    <w:p w14:paraId="72E73650" w14:textId="67DF6A33" w:rsidR="00E310BD" w:rsidRPr="00E310BD" w:rsidRDefault="00E310BD" w:rsidP="00E310BD">
      <w:pPr>
        <w:pStyle w:val="NormalWeb"/>
        <w:spacing w:line="360" w:lineRule="auto"/>
        <w:jc w:val="both"/>
      </w:pPr>
      <w:r>
        <w:rPr>
          <w:color w:val="000000"/>
        </w:rPr>
        <w:t xml:space="preserve"> </w:t>
      </w:r>
      <w:r w:rsidR="004A6C51" w:rsidRPr="004A6C51">
        <w:rPr>
          <w:color w:val="000000"/>
        </w:rPr>
        <w:t xml:space="preserve">Throughout the coronavirus pandemic, the UK government introduced </w:t>
      </w:r>
      <w:r w:rsidRPr="004A6C51">
        <w:rPr>
          <w:color w:val="000000"/>
        </w:rPr>
        <w:t>several</w:t>
      </w:r>
      <w:r w:rsidRPr="00E310BD">
        <w:rPr>
          <w:color w:val="000000"/>
        </w:rPr>
        <w:t xml:space="preserve"> key pieces of legislation and regulations to </w:t>
      </w:r>
      <w:r w:rsidRPr="00A95C89">
        <w:rPr>
          <w:color w:val="000000"/>
        </w:rPr>
        <w:t>manage public health and safety</w:t>
      </w:r>
      <w:r w:rsidR="00342E56" w:rsidRPr="00A95C89">
        <w:rPr>
          <w:color w:val="000000"/>
        </w:rPr>
        <w:t xml:space="preserve"> (</w:t>
      </w:r>
      <w:r w:rsidR="00342E56" w:rsidRPr="00A95C89">
        <w:t>Frowde</w:t>
      </w:r>
      <w:r w:rsidR="00342E56" w:rsidRPr="00C111DE">
        <w:t xml:space="preserve">, Dove </w:t>
      </w:r>
      <w:r w:rsidR="00342E56">
        <w:t>and</w:t>
      </w:r>
      <w:r w:rsidR="00342E56" w:rsidRPr="00C111DE">
        <w:t xml:space="preserve"> Laurie, </w:t>
      </w:r>
      <w:r w:rsidR="00342E56">
        <w:t xml:space="preserve">2020; </w:t>
      </w:r>
      <w:r w:rsidR="00342E56" w:rsidRPr="00C111DE">
        <w:t>Brown, 2020</w:t>
      </w:r>
      <w:r w:rsidR="00342E56">
        <w:t>)</w:t>
      </w:r>
      <w:r w:rsidRPr="00E310BD">
        <w:rPr>
          <w:color w:val="000000"/>
        </w:rPr>
        <w:t xml:space="preserve">, control </w:t>
      </w:r>
      <w:r w:rsidRPr="00A95C89">
        <w:rPr>
          <w:color w:val="000000"/>
        </w:rPr>
        <w:t>the spread of the virus</w:t>
      </w:r>
      <w:r w:rsidR="00342E56" w:rsidRPr="00A95C89">
        <w:rPr>
          <w:color w:val="000000"/>
        </w:rPr>
        <w:t xml:space="preserve"> (</w:t>
      </w:r>
      <w:r w:rsidR="00342E56" w:rsidRPr="00A95C89">
        <w:t>Frowde, Dove and Laurie, 2020; Brown, 2020)</w:t>
      </w:r>
      <w:r w:rsidRPr="00A95C89">
        <w:rPr>
          <w:color w:val="000000"/>
        </w:rPr>
        <w:t>, and support the economy</w:t>
      </w:r>
      <w:r w:rsidR="009B52E3" w:rsidRPr="00A95C89">
        <w:rPr>
          <w:color w:val="000000"/>
        </w:rPr>
        <w:t xml:space="preserve"> (</w:t>
      </w:r>
      <w:r w:rsidR="009B52E3" w:rsidRPr="0064560D">
        <w:t>Steytler, 2022</w:t>
      </w:r>
      <w:r w:rsidR="009B52E3">
        <w:t xml:space="preserve">; </w:t>
      </w:r>
      <w:r w:rsidR="009B52E3" w:rsidRPr="0064560D">
        <w:t>Gore</w:t>
      </w:r>
      <w:r w:rsidR="009B52E3">
        <w:t xml:space="preserve">, </w:t>
      </w:r>
      <w:r w:rsidR="009B52E3">
        <w:rPr>
          <w:i/>
          <w:iCs/>
        </w:rPr>
        <w:t xml:space="preserve">et al, </w:t>
      </w:r>
      <w:r w:rsidR="009B52E3">
        <w:t>2021</w:t>
      </w:r>
      <w:r w:rsidR="00342E56">
        <w:t xml:space="preserve">; </w:t>
      </w:r>
      <w:r w:rsidR="00342E56" w:rsidRPr="00C111DE">
        <w:t>Brown, 2020</w:t>
      </w:r>
      <w:r w:rsidR="009B52E3">
        <w:t>)</w:t>
      </w:r>
      <w:r w:rsidRPr="00E310BD">
        <w:rPr>
          <w:color w:val="000000"/>
        </w:rPr>
        <w:t xml:space="preserve">. </w:t>
      </w:r>
      <w:r w:rsidR="003D3BDF" w:rsidRPr="00063660">
        <w:t>Evans</w:t>
      </w:r>
      <w:r w:rsidR="003D3BDF">
        <w:t xml:space="preserve"> </w:t>
      </w:r>
      <w:r w:rsidR="003D3BDF" w:rsidRPr="00063660">
        <w:t>and Wyatt,</w:t>
      </w:r>
      <w:r w:rsidR="003D3BDF">
        <w:t xml:space="preserve"> </w:t>
      </w:r>
      <w:r w:rsidR="003D3BDF">
        <w:lastRenderedPageBreak/>
        <w:t>(</w:t>
      </w:r>
      <w:r w:rsidR="003D3BDF" w:rsidRPr="00063660">
        <w:t>2024</w:t>
      </w:r>
      <w:r w:rsidR="003D3BDF">
        <w:t xml:space="preserve">) suggests that </w:t>
      </w:r>
      <w:r w:rsidRPr="00E310BD">
        <w:rPr>
          <w:color w:val="000000"/>
        </w:rPr>
        <w:t xml:space="preserve">The </w:t>
      </w:r>
      <w:r w:rsidRPr="00F33B1A">
        <w:rPr>
          <w:color w:val="000000"/>
        </w:rPr>
        <w:t xml:space="preserve">Coronavirus Act </w:t>
      </w:r>
      <w:r w:rsidR="00BA5C1D" w:rsidRPr="00F33B1A">
        <w:rPr>
          <w:color w:val="000000"/>
        </w:rPr>
        <w:t>(</w:t>
      </w:r>
      <w:r w:rsidRPr="00F33B1A">
        <w:rPr>
          <w:color w:val="000000"/>
        </w:rPr>
        <w:t>2020</w:t>
      </w:r>
      <w:r w:rsidR="00BA5C1D" w:rsidRPr="00F33B1A">
        <w:rPr>
          <w:color w:val="000000"/>
        </w:rPr>
        <w:t>)</w:t>
      </w:r>
      <w:r w:rsidRPr="00F33B1A">
        <w:rPr>
          <w:color w:val="000000"/>
        </w:rPr>
        <w:t xml:space="preserve"> deepened</w:t>
      </w:r>
      <w:r w:rsidRPr="00E310BD">
        <w:rPr>
          <w:color w:val="000000"/>
        </w:rPr>
        <w:t xml:space="preserve"> class-based inequalities in </w:t>
      </w:r>
      <w:r w:rsidRPr="00A95C89">
        <w:rPr>
          <w:color w:val="000000"/>
        </w:rPr>
        <w:t>the UK</w:t>
      </w:r>
      <w:r w:rsidRPr="00E310BD">
        <w:rPr>
          <w:color w:val="000000"/>
        </w:rPr>
        <w:t xml:space="preserve">, exposing stark socioeconomic divides in how different groups </w:t>
      </w:r>
      <w:r w:rsidRPr="00A95C89">
        <w:rPr>
          <w:color w:val="000000"/>
        </w:rPr>
        <w:t>experienced the pandemic</w:t>
      </w:r>
      <w:r w:rsidR="003D3BDF" w:rsidRPr="00A95C89">
        <w:rPr>
          <w:color w:val="000000"/>
        </w:rPr>
        <w:t xml:space="preserve"> (</w:t>
      </w:r>
      <w:r w:rsidR="003D3BDF" w:rsidRPr="00A95C89">
        <w:t>Evans and Wyatt, 2024)</w:t>
      </w:r>
      <w:r w:rsidRPr="00A95C89">
        <w:rPr>
          <w:color w:val="000000"/>
        </w:rPr>
        <w:t xml:space="preserve">. The </w:t>
      </w:r>
      <w:r w:rsidR="00BA5C1D" w:rsidRPr="00A95C89">
        <w:rPr>
          <w:color w:val="000000"/>
        </w:rPr>
        <w:t>a</w:t>
      </w:r>
      <w:r w:rsidRPr="00A95C89">
        <w:rPr>
          <w:color w:val="000000"/>
        </w:rPr>
        <w:t>ct allowed temporary shifts in healthcare, such as prioritizing COVID-19 cases over routine treatments</w:t>
      </w:r>
      <w:r w:rsidR="00A95C89" w:rsidRPr="00A95C89">
        <w:rPr>
          <w:color w:val="000000"/>
        </w:rPr>
        <w:t xml:space="preserve"> (Department of Health and Social Care,</w:t>
      </w:r>
      <w:r w:rsidR="00A95C89">
        <w:rPr>
          <w:color w:val="000000"/>
        </w:rPr>
        <w:t xml:space="preserve"> </w:t>
      </w:r>
      <w:r w:rsidR="00A95C89" w:rsidRPr="00A95C89">
        <w:rPr>
          <w:color w:val="000000"/>
        </w:rPr>
        <w:t>2020</w:t>
      </w:r>
      <w:r w:rsidR="00A95C89">
        <w:rPr>
          <w:color w:val="000000"/>
        </w:rPr>
        <w:t>)</w:t>
      </w:r>
      <w:r w:rsidRPr="00E310BD">
        <w:rPr>
          <w:color w:val="000000"/>
        </w:rPr>
        <w:t xml:space="preserve">, which disproportionately affected lower-income communities with limited healthcare access and higher rates </w:t>
      </w:r>
      <w:r w:rsidRPr="00305EBF">
        <w:rPr>
          <w:color w:val="000000"/>
        </w:rPr>
        <w:t>of pre-existing conditions</w:t>
      </w:r>
      <w:r w:rsidR="00A95C89" w:rsidRPr="00305EBF">
        <w:rPr>
          <w:color w:val="000000"/>
        </w:rPr>
        <w:t xml:space="preserve"> (</w:t>
      </w:r>
      <w:r w:rsidR="00A95C89" w:rsidRPr="00A95C89">
        <w:t>Evans and Wyatt, 2024</w:t>
      </w:r>
      <w:r w:rsidR="0003135D">
        <w:t>; Spencer,</w:t>
      </w:r>
      <w:r w:rsidR="0003135D">
        <w:rPr>
          <w:i/>
          <w:iCs/>
        </w:rPr>
        <w:t xml:space="preserve"> et al, </w:t>
      </w:r>
      <w:r w:rsidR="0003135D">
        <w:t>2022</w:t>
      </w:r>
      <w:r w:rsidR="00A95C89">
        <w:t>)</w:t>
      </w:r>
      <w:r w:rsidRPr="00E310BD">
        <w:rPr>
          <w:color w:val="000000"/>
        </w:rPr>
        <w:t xml:space="preserve">. Key workers in sectors like health, retail, </w:t>
      </w:r>
      <w:r w:rsidRPr="00305EBF">
        <w:rPr>
          <w:color w:val="000000"/>
        </w:rPr>
        <w:t>and public transport, often from working-class backgrounds</w:t>
      </w:r>
      <w:r w:rsidR="00305EBF" w:rsidRPr="00305EBF">
        <w:rPr>
          <w:color w:val="000000"/>
        </w:rPr>
        <w:t xml:space="preserve"> (</w:t>
      </w:r>
      <w:r w:rsidR="00305EBF" w:rsidRPr="00CE45ED">
        <w:t>Ofori, 2021</w:t>
      </w:r>
      <w:r w:rsidR="00305EBF" w:rsidRPr="00305EBF">
        <w:t>)</w:t>
      </w:r>
      <w:r w:rsidRPr="00305EBF">
        <w:rPr>
          <w:color w:val="000000"/>
        </w:rPr>
        <w:t>, faced higher COVID-19 exposure</w:t>
      </w:r>
      <w:r w:rsidR="0003135D" w:rsidRPr="00305EBF">
        <w:rPr>
          <w:color w:val="000000"/>
        </w:rPr>
        <w:t xml:space="preserve"> (</w:t>
      </w:r>
      <w:r w:rsidR="0003135D">
        <w:t>Spencer,</w:t>
      </w:r>
      <w:r w:rsidR="0003135D">
        <w:rPr>
          <w:i/>
          <w:iCs/>
        </w:rPr>
        <w:t xml:space="preserve"> et al, </w:t>
      </w:r>
      <w:r w:rsidR="0003135D">
        <w:t>2022</w:t>
      </w:r>
      <w:r w:rsidR="00305EBF">
        <w:t xml:space="preserve">; </w:t>
      </w:r>
      <w:r w:rsidR="00305EBF" w:rsidRPr="00CE45ED">
        <w:t>Ofori, 2021</w:t>
      </w:r>
      <w:r w:rsidR="0003135D">
        <w:t>)</w:t>
      </w:r>
      <w:r w:rsidRPr="00E310BD">
        <w:rPr>
          <w:color w:val="000000"/>
        </w:rPr>
        <w:t xml:space="preserve">, while </w:t>
      </w:r>
      <w:r w:rsidRPr="00305EBF">
        <w:rPr>
          <w:color w:val="000000"/>
        </w:rPr>
        <w:t>furloughs and job losses hit industries like hospitality and retail hard</w:t>
      </w:r>
      <w:r w:rsidR="0003135D" w:rsidRPr="00305EBF">
        <w:rPr>
          <w:color w:val="000000"/>
        </w:rPr>
        <w:t xml:space="preserve"> (</w:t>
      </w:r>
      <w:r w:rsidR="0003135D" w:rsidRPr="00305EBF">
        <w:t xml:space="preserve">Adams-Prassl, </w:t>
      </w:r>
      <w:r w:rsidR="0003135D" w:rsidRPr="00F33B1A">
        <w:rPr>
          <w:i/>
          <w:iCs/>
        </w:rPr>
        <w:t>et al</w:t>
      </w:r>
      <w:r w:rsidR="0003135D" w:rsidRPr="00F33B1A">
        <w:t>, 2020b</w:t>
      </w:r>
      <w:r w:rsidR="00F868E2" w:rsidRPr="00F33B1A">
        <w:t>; Machin, 2021</w:t>
      </w:r>
      <w:r w:rsidR="0003135D" w:rsidRPr="00F33B1A">
        <w:t>)</w:t>
      </w:r>
      <w:r w:rsidRPr="00F33B1A">
        <w:rPr>
          <w:color w:val="000000"/>
        </w:rPr>
        <w:t>, destabilizing economic security for many in lower-income brackets</w:t>
      </w:r>
      <w:r w:rsidR="00305EBF" w:rsidRPr="00F33B1A">
        <w:rPr>
          <w:color w:val="000000"/>
        </w:rPr>
        <w:t xml:space="preserve"> (</w:t>
      </w:r>
      <w:r w:rsidR="00305EBF" w:rsidRPr="00305EBF">
        <w:rPr>
          <w:color w:val="000000"/>
        </w:rPr>
        <w:t>Adams-Prassl, et al, 2020b</w:t>
      </w:r>
      <w:r w:rsidR="00F868E2">
        <w:rPr>
          <w:color w:val="000000"/>
        </w:rPr>
        <w:t xml:space="preserve">; </w:t>
      </w:r>
      <w:r w:rsidR="00F868E2" w:rsidRPr="001F078C">
        <w:t>Machin,</w:t>
      </w:r>
      <w:r w:rsidR="00F868E2">
        <w:t xml:space="preserve"> </w:t>
      </w:r>
      <w:r w:rsidR="00F868E2" w:rsidRPr="001F078C">
        <w:t>2021</w:t>
      </w:r>
      <w:r w:rsidR="00305EBF">
        <w:rPr>
          <w:color w:val="000000"/>
        </w:rPr>
        <w:t>)</w:t>
      </w:r>
      <w:r w:rsidRPr="00E310BD">
        <w:rPr>
          <w:color w:val="000000"/>
        </w:rPr>
        <w:t>. In contrast, middle</w:t>
      </w:r>
      <w:r w:rsidR="00425055">
        <w:rPr>
          <w:color w:val="000000"/>
        </w:rPr>
        <w:t xml:space="preserve"> class</w:t>
      </w:r>
      <w:r w:rsidRPr="00E310BD">
        <w:rPr>
          <w:color w:val="000000"/>
        </w:rPr>
        <w:t xml:space="preserve"> and </w:t>
      </w:r>
      <w:r w:rsidR="00425055" w:rsidRPr="00305EBF">
        <w:rPr>
          <w:color w:val="000000"/>
        </w:rPr>
        <w:t>aristocratic</w:t>
      </w:r>
      <w:r w:rsidRPr="00305EBF">
        <w:rPr>
          <w:color w:val="000000"/>
        </w:rPr>
        <w:t xml:space="preserve"> workers were more </w:t>
      </w:r>
      <w:r w:rsidR="00425055" w:rsidRPr="00305EBF">
        <w:rPr>
          <w:color w:val="000000"/>
        </w:rPr>
        <w:t>prone</w:t>
      </w:r>
      <w:r w:rsidRPr="00305EBF">
        <w:rPr>
          <w:color w:val="000000"/>
        </w:rPr>
        <w:t xml:space="preserve"> to retain jobs with remote work options, widening the gap in </w:t>
      </w:r>
      <w:r w:rsidRPr="00F33B1A">
        <w:rPr>
          <w:color w:val="000000"/>
        </w:rPr>
        <w:t>economic resilience</w:t>
      </w:r>
      <w:r w:rsidR="00305EBF" w:rsidRPr="00F33B1A">
        <w:rPr>
          <w:color w:val="000000"/>
        </w:rPr>
        <w:t xml:space="preserve"> (</w:t>
      </w:r>
      <w:r w:rsidR="00305EBF" w:rsidRPr="00F33B1A">
        <w:t xml:space="preserve">Adams-Prassl, </w:t>
      </w:r>
      <w:r w:rsidR="00305EBF" w:rsidRPr="00F33B1A">
        <w:rPr>
          <w:i/>
          <w:iCs/>
        </w:rPr>
        <w:t>et al</w:t>
      </w:r>
      <w:r w:rsidR="00305EBF" w:rsidRPr="00F33B1A">
        <w:t>, 2020b</w:t>
      </w:r>
      <w:r w:rsidR="00F868E2" w:rsidRPr="00F33B1A">
        <w:t>; Papadakis</w:t>
      </w:r>
      <w:r w:rsidR="00F868E2" w:rsidRPr="00F33B1A">
        <w:rPr>
          <w:i/>
          <w:iCs/>
        </w:rPr>
        <w:t>, et al,</w:t>
      </w:r>
      <w:r w:rsidR="00F868E2" w:rsidRPr="00F33B1A">
        <w:t xml:space="preserve"> 2022</w:t>
      </w:r>
      <w:r w:rsidR="00305EBF" w:rsidRPr="00F33B1A">
        <w:t>)</w:t>
      </w:r>
      <w:r w:rsidRPr="00F33B1A">
        <w:rPr>
          <w:color w:val="000000"/>
        </w:rPr>
        <w:t xml:space="preserve">. </w:t>
      </w:r>
      <w:r w:rsidR="00BA5C1D" w:rsidRPr="00F33B1A">
        <w:rPr>
          <w:color w:val="000000"/>
        </w:rPr>
        <w:t>T</w:t>
      </w:r>
      <w:r w:rsidRPr="00F33B1A">
        <w:rPr>
          <w:color w:val="000000"/>
        </w:rPr>
        <w:t xml:space="preserve">he </w:t>
      </w:r>
      <w:r w:rsidR="00143353">
        <w:rPr>
          <w:color w:val="000000"/>
        </w:rPr>
        <w:t>C</w:t>
      </w:r>
      <w:r w:rsidR="00BA5C1D" w:rsidRPr="00F33B1A">
        <w:rPr>
          <w:color w:val="000000"/>
        </w:rPr>
        <w:t xml:space="preserve">oronavirus </w:t>
      </w:r>
      <w:r w:rsidR="00143353">
        <w:rPr>
          <w:color w:val="000000"/>
        </w:rPr>
        <w:t>A</w:t>
      </w:r>
      <w:r w:rsidRPr="00F33B1A">
        <w:rPr>
          <w:color w:val="000000"/>
        </w:rPr>
        <w:t>ct</w:t>
      </w:r>
      <w:r w:rsidR="00BA5C1D" w:rsidRPr="00F33B1A">
        <w:rPr>
          <w:color w:val="000000"/>
        </w:rPr>
        <w:t xml:space="preserve"> (2020)</w:t>
      </w:r>
      <w:r w:rsidRPr="00F33B1A">
        <w:rPr>
          <w:color w:val="000000"/>
        </w:rPr>
        <w:t xml:space="preserve"> </w:t>
      </w:r>
      <w:r w:rsidR="00143353">
        <w:rPr>
          <w:color w:val="000000"/>
        </w:rPr>
        <w:t xml:space="preserve">also </w:t>
      </w:r>
      <w:r w:rsidRPr="00F33B1A">
        <w:rPr>
          <w:color w:val="000000"/>
        </w:rPr>
        <w:t>provided</w:t>
      </w:r>
      <w:r w:rsidRPr="00E310BD">
        <w:rPr>
          <w:color w:val="000000"/>
        </w:rPr>
        <w:t xml:space="preserve"> temporary renter </w:t>
      </w:r>
      <w:r w:rsidR="00BA5C1D" w:rsidRPr="00E310BD">
        <w:rPr>
          <w:color w:val="000000"/>
        </w:rPr>
        <w:t>protections</w:t>
      </w:r>
      <w:r w:rsidR="00F868E2">
        <w:rPr>
          <w:color w:val="000000"/>
        </w:rPr>
        <w:t xml:space="preserve"> (</w:t>
      </w:r>
      <w:r w:rsidR="00F868E2" w:rsidRPr="001F078C">
        <w:t>Machin, 2021</w:t>
      </w:r>
      <w:r w:rsidR="00F868E2">
        <w:t>)</w:t>
      </w:r>
      <w:r w:rsidR="00BA5C1D" w:rsidRPr="00E310BD">
        <w:rPr>
          <w:color w:val="000000"/>
        </w:rPr>
        <w:t>;</w:t>
      </w:r>
      <w:r w:rsidRPr="00E310BD">
        <w:rPr>
          <w:color w:val="000000"/>
        </w:rPr>
        <w:t xml:space="preserve"> </w:t>
      </w:r>
      <w:r w:rsidR="00BA5C1D">
        <w:rPr>
          <w:color w:val="000000"/>
        </w:rPr>
        <w:t>however, the act</w:t>
      </w:r>
      <w:r w:rsidRPr="00E310BD">
        <w:rPr>
          <w:color w:val="000000"/>
        </w:rPr>
        <w:t xml:space="preserve"> did not address issues like </w:t>
      </w:r>
      <w:r w:rsidRPr="00305EBF">
        <w:rPr>
          <w:color w:val="000000"/>
        </w:rPr>
        <w:t>overcrowded housing</w:t>
      </w:r>
      <w:r w:rsidR="00305EBF" w:rsidRPr="00305EBF">
        <w:rPr>
          <w:color w:val="000000"/>
        </w:rPr>
        <w:t xml:space="preserve"> (</w:t>
      </w:r>
      <w:r w:rsidR="00305EBF" w:rsidRPr="00305EBF">
        <w:t>Bambra, Lynch and Smith, 2020; Albani,</w:t>
      </w:r>
      <w:r w:rsidR="00305EBF" w:rsidRPr="00305EBF">
        <w:rPr>
          <w:i/>
          <w:iCs/>
        </w:rPr>
        <w:t xml:space="preserve"> et al,</w:t>
      </w:r>
      <w:r w:rsidR="00305EBF" w:rsidRPr="00305EBF">
        <w:t xml:space="preserve"> 2022; Brandily, </w:t>
      </w:r>
      <w:r w:rsidR="00305EBF" w:rsidRPr="00305EBF">
        <w:rPr>
          <w:i/>
          <w:iCs/>
        </w:rPr>
        <w:t>et al,</w:t>
      </w:r>
      <w:r w:rsidR="00305EBF" w:rsidRPr="00305EBF">
        <w:t xml:space="preserve"> 2021</w:t>
      </w:r>
      <w:r w:rsidR="00F868E2">
        <w:t xml:space="preserve">; </w:t>
      </w:r>
      <w:r w:rsidR="00F868E2" w:rsidRPr="001F078C">
        <w:t>Machin, 2021</w:t>
      </w:r>
      <w:r w:rsidR="00305EBF" w:rsidRPr="00305EBF">
        <w:t>)</w:t>
      </w:r>
      <w:r w:rsidRPr="00305EBF">
        <w:rPr>
          <w:color w:val="000000"/>
        </w:rPr>
        <w:t>, common in lower-income areas, which heightened COVID-19 risks and highlighted disparities in living conditions</w:t>
      </w:r>
      <w:r w:rsidR="00305EBF" w:rsidRPr="00305EBF">
        <w:rPr>
          <w:color w:val="000000"/>
        </w:rPr>
        <w:t xml:space="preserve"> (</w:t>
      </w:r>
      <w:r w:rsidR="00305EBF" w:rsidRPr="00305EBF">
        <w:t>Bambra, Lynch and Smith, 2020; Albani,</w:t>
      </w:r>
      <w:r w:rsidR="00305EBF" w:rsidRPr="00305EBF">
        <w:rPr>
          <w:i/>
          <w:iCs/>
        </w:rPr>
        <w:t xml:space="preserve"> et al,</w:t>
      </w:r>
      <w:r w:rsidR="00305EBF" w:rsidRPr="00305EBF">
        <w:t xml:space="preserve"> 2022; Brandily, </w:t>
      </w:r>
      <w:r w:rsidR="00305EBF" w:rsidRPr="00305EBF">
        <w:rPr>
          <w:i/>
          <w:iCs/>
        </w:rPr>
        <w:t>et al,</w:t>
      </w:r>
      <w:r w:rsidR="00305EBF" w:rsidRPr="00305EBF">
        <w:t xml:space="preserve"> 2021)</w:t>
      </w:r>
      <w:r w:rsidRPr="00305EBF">
        <w:rPr>
          <w:color w:val="000000"/>
        </w:rPr>
        <w:t>.</w:t>
      </w:r>
    </w:p>
    <w:p w14:paraId="5D829F75" w14:textId="536F111D" w:rsidR="005A562B" w:rsidRPr="005A562B" w:rsidRDefault="005A562B" w:rsidP="005A562B">
      <w:pPr>
        <w:spacing w:line="360" w:lineRule="auto"/>
        <w:jc w:val="both"/>
      </w:pPr>
      <w:r>
        <w:t xml:space="preserve"> </w:t>
      </w:r>
      <w:r w:rsidR="00931196" w:rsidRPr="00931196">
        <w:t>In conclusion, class inequality remains a pervasive issue that not only restricts economic opportunities but also shapes individuals' life chances and social experiences</w:t>
      </w:r>
      <w:r w:rsidRPr="005A562B">
        <w:t xml:space="preserve"> (Piff, Kraus and Keltner, 2018; Southgate and Keister 2021; </w:t>
      </w:r>
      <w:r w:rsidRPr="005A562B">
        <w:rPr>
          <w:rFonts w:eastAsiaTheme="majorEastAsia"/>
        </w:rPr>
        <w:t>Jodhka</w:t>
      </w:r>
      <w:r w:rsidRPr="005A562B">
        <w:t>, </w:t>
      </w:r>
      <w:hyperlink r:id="rId11" w:history="1">
        <w:r w:rsidRPr="005A562B">
          <w:rPr>
            <w:rStyle w:val="Hyperlink"/>
            <w:rFonts w:eastAsiaTheme="majorEastAsia"/>
            <w:color w:val="auto"/>
            <w:u w:val="none"/>
          </w:rPr>
          <w:t>Rehbein</w:t>
        </w:r>
      </w:hyperlink>
      <w:r w:rsidRPr="005A562B">
        <w:t xml:space="preserve"> and</w:t>
      </w:r>
      <w:r w:rsidRPr="005A562B">
        <w:rPr>
          <w:rFonts w:eastAsiaTheme="majorEastAsia"/>
        </w:rPr>
        <w:t xml:space="preserve"> Souza, 2017)</w:t>
      </w:r>
      <w:r w:rsidR="00931196" w:rsidRPr="00931196">
        <w:t>. The entrenched nature of the class system, reinforced by institutional practices and cultural norms, perpetuates a cycle of disadvantage for those in lower socio-economic positions</w:t>
      </w:r>
      <w:r w:rsidRPr="005A562B">
        <w:t xml:space="preserve"> (Piff, Kraus and Keltner, 2018; Southgate and Keister 2021; </w:t>
      </w:r>
      <w:r w:rsidRPr="005A562B">
        <w:rPr>
          <w:rFonts w:eastAsiaTheme="majorEastAsia"/>
        </w:rPr>
        <w:t>Jodhka</w:t>
      </w:r>
      <w:r w:rsidRPr="005A562B">
        <w:t>, </w:t>
      </w:r>
      <w:hyperlink r:id="rId12" w:history="1">
        <w:r w:rsidRPr="005A562B">
          <w:rPr>
            <w:rStyle w:val="Hyperlink"/>
            <w:rFonts w:eastAsiaTheme="majorEastAsia"/>
            <w:color w:val="auto"/>
            <w:u w:val="none"/>
          </w:rPr>
          <w:t>Rehbein</w:t>
        </w:r>
      </w:hyperlink>
      <w:r w:rsidRPr="005A562B">
        <w:t xml:space="preserve"> and</w:t>
      </w:r>
      <w:r w:rsidRPr="005A562B">
        <w:rPr>
          <w:rFonts w:eastAsiaTheme="majorEastAsia"/>
        </w:rPr>
        <w:t xml:space="preserve"> </w:t>
      </w:r>
      <w:r w:rsidRPr="004A6C51">
        <w:rPr>
          <w:rFonts w:eastAsiaTheme="majorEastAsia"/>
        </w:rPr>
        <w:t>Souza, 2017)</w:t>
      </w:r>
      <w:r w:rsidRPr="004A6C51">
        <w:t xml:space="preserve">. </w:t>
      </w:r>
      <w:r w:rsidR="004A6C51" w:rsidRPr="004A6C51">
        <w:t xml:space="preserve">The coronavirus pandemic has vividly exposed and deepened class disparities. </w:t>
      </w:r>
      <w:r w:rsidRPr="005A562B">
        <w:t xml:space="preserve">(Adams-Prassl, </w:t>
      </w:r>
      <w:r w:rsidRPr="005A562B">
        <w:rPr>
          <w:i/>
          <w:iCs/>
        </w:rPr>
        <w:t xml:space="preserve">et al, </w:t>
      </w:r>
      <w:r w:rsidRPr="005A562B">
        <w:t xml:space="preserve">2020a; Adam, Miller and Waters, 2020; Blundell, </w:t>
      </w:r>
      <w:r w:rsidRPr="005A562B">
        <w:rPr>
          <w:i/>
          <w:iCs/>
        </w:rPr>
        <w:t>et al,</w:t>
      </w:r>
      <w:r w:rsidRPr="005A562B">
        <w:t xml:space="preserve"> 2020), revealing deep-seated structural disparities that permeate modern society (Adams</w:t>
      </w:r>
      <w:r w:rsidRPr="00EE66A6">
        <w:t xml:space="preserve">-Prassl, </w:t>
      </w:r>
      <w:r w:rsidRPr="00EE66A6">
        <w:rPr>
          <w:i/>
          <w:iCs/>
        </w:rPr>
        <w:t xml:space="preserve">et al, </w:t>
      </w:r>
      <w:r w:rsidRPr="00EE66A6">
        <w:t>2020</w:t>
      </w:r>
      <w:r>
        <w:t>a</w:t>
      </w:r>
      <w:r w:rsidRPr="00EE66A6">
        <w:t>; Adam, Miller </w:t>
      </w:r>
      <w:r w:rsidRPr="003C4453">
        <w:t xml:space="preserve">and Waters, 2020; Blundell, </w:t>
      </w:r>
      <w:r w:rsidRPr="003C4453">
        <w:rPr>
          <w:i/>
          <w:iCs/>
        </w:rPr>
        <w:t>et al,</w:t>
      </w:r>
      <w:r w:rsidRPr="003C4453">
        <w:t xml:space="preserve"> 2020)</w:t>
      </w:r>
      <w:r w:rsidRPr="005A562B">
        <w:t>. While the virus itself does not discriminate, the social, economic, and health impacts of the pandemic have disproportionately affected lower-income and working-class communities</w:t>
      </w:r>
      <w:r w:rsidR="003C4453" w:rsidRPr="003C4453">
        <w:t xml:space="preserve"> (</w:t>
      </w:r>
      <w:r w:rsidR="003C4453" w:rsidRPr="001F0449">
        <w:t xml:space="preserve">Woodcock </w:t>
      </w:r>
      <w:r w:rsidR="003C4453" w:rsidRPr="003C4453">
        <w:t xml:space="preserve">and </w:t>
      </w:r>
      <w:r w:rsidR="003C4453" w:rsidRPr="001F0449">
        <w:t>Graham</w:t>
      </w:r>
      <w:r w:rsidR="003C4453" w:rsidRPr="003C4453">
        <w:t>, 2020; Bambra, Lynch and</w:t>
      </w:r>
      <w:r w:rsidR="003C4453" w:rsidRPr="00A73AD8">
        <w:t> Smith</w:t>
      </w:r>
      <w:r w:rsidR="003C4453" w:rsidRPr="003C4453">
        <w:t>, 2020; Albani,</w:t>
      </w:r>
      <w:r w:rsidR="003C4453" w:rsidRPr="003C4453">
        <w:rPr>
          <w:i/>
          <w:iCs/>
        </w:rPr>
        <w:t xml:space="preserve"> et al,</w:t>
      </w:r>
      <w:r w:rsidR="003C4453" w:rsidRPr="003C4453">
        <w:t xml:space="preserve"> 2022; Brandily, </w:t>
      </w:r>
      <w:r w:rsidR="003C4453" w:rsidRPr="003C4453">
        <w:rPr>
          <w:i/>
          <w:iCs/>
        </w:rPr>
        <w:t>et al,</w:t>
      </w:r>
      <w:r w:rsidR="003C4453" w:rsidRPr="003C4453">
        <w:t xml:space="preserve"> 2021)</w:t>
      </w:r>
      <w:r w:rsidRPr="005A562B">
        <w:t xml:space="preserve">. The immediate economic </w:t>
      </w:r>
      <w:r w:rsidRPr="00E15DC6">
        <w:t xml:space="preserve">hardships, such as </w:t>
      </w:r>
      <w:r w:rsidR="004A6C51" w:rsidRPr="00E15DC6">
        <w:t>unemployment</w:t>
      </w:r>
      <w:r w:rsidRPr="005A562B">
        <w:t>,</w:t>
      </w:r>
      <w:r w:rsidR="004A6C51">
        <w:t xml:space="preserve"> </w:t>
      </w:r>
      <w:r w:rsidR="004A6C51" w:rsidRPr="00E15DC6">
        <w:t>unstable</w:t>
      </w:r>
      <w:r w:rsidRPr="00E15DC6">
        <w:t xml:space="preserve"> </w:t>
      </w:r>
      <w:r w:rsidR="00E15DC6" w:rsidRPr="00E15DC6">
        <w:t>career</w:t>
      </w:r>
      <w:r w:rsidRPr="00E15DC6">
        <w:t xml:space="preserve"> security,</w:t>
      </w:r>
      <w:r w:rsidRPr="005A562B">
        <w:t xml:space="preserve"> and limited access to </w:t>
      </w:r>
      <w:r w:rsidRPr="005A562B">
        <w:lastRenderedPageBreak/>
        <w:t>resources, were felt more acutely by those in lower socioeconomic classes</w:t>
      </w:r>
      <w:r w:rsidR="003C4453" w:rsidRPr="003C4453">
        <w:t xml:space="preserve"> (</w:t>
      </w:r>
      <w:r w:rsidR="003C4453" w:rsidRPr="001F0449">
        <w:t xml:space="preserve">Woodcock </w:t>
      </w:r>
      <w:r w:rsidR="003C4453" w:rsidRPr="003C4453">
        <w:t xml:space="preserve">and </w:t>
      </w:r>
      <w:r w:rsidR="003C4453" w:rsidRPr="001F0449">
        <w:t>Graham</w:t>
      </w:r>
      <w:r w:rsidR="003C4453" w:rsidRPr="003C4453">
        <w:t>, 2020; Bambra, Lynch and Smith, 2020; Albani,</w:t>
      </w:r>
      <w:r w:rsidR="003C4453" w:rsidRPr="003C4453">
        <w:rPr>
          <w:i/>
          <w:iCs/>
        </w:rPr>
        <w:t xml:space="preserve"> et al,</w:t>
      </w:r>
      <w:r w:rsidR="003C4453" w:rsidRPr="003C4453">
        <w:t xml:space="preserve"> 2022; Brandily, </w:t>
      </w:r>
      <w:r w:rsidR="003C4453" w:rsidRPr="003C4453">
        <w:rPr>
          <w:i/>
          <w:iCs/>
        </w:rPr>
        <w:t>et al,</w:t>
      </w:r>
      <w:r w:rsidR="003C4453" w:rsidRPr="003C4453">
        <w:t xml:space="preserve"> 2021)</w:t>
      </w:r>
      <w:r w:rsidRPr="005A562B">
        <w:t>. Meanwhile, remote work options and financial stability largely benefited middle and upper-class individuals, widening the divide</w:t>
      </w:r>
      <w:r w:rsidR="003C4453" w:rsidRPr="003C4453">
        <w:t xml:space="preserve"> (Adams-Prassl, </w:t>
      </w:r>
      <w:r w:rsidR="003C4453" w:rsidRPr="003C4453">
        <w:rPr>
          <w:i/>
          <w:iCs/>
        </w:rPr>
        <w:t xml:space="preserve">et al, </w:t>
      </w:r>
      <w:r w:rsidR="003C4453" w:rsidRPr="003C4453">
        <w:t>2020a; Stark, 2020)</w:t>
      </w:r>
      <w:r w:rsidRPr="005A562B">
        <w:t>.</w:t>
      </w:r>
    </w:p>
    <w:p w14:paraId="772C3E4A" w14:textId="090E319D" w:rsidR="005A562B" w:rsidRDefault="005A562B" w:rsidP="005A562B">
      <w:pPr>
        <w:spacing w:line="360" w:lineRule="auto"/>
        <w:jc w:val="both"/>
      </w:pPr>
      <w:r w:rsidRPr="005A562B">
        <w:t>Healthcare access during the pandemic further underscored these inequalities</w:t>
      </w:r>
      <w:r w:rsidR="003C4453" w:rsidRPr="003C4453">
        <w:t xml:space="preserve"> (Blundell, </w:t>
      </w:r>
      <w:r w:rsidR="003C4453" w:rsidRPr="003C4453">
        <w:rPr>
          <w:i/>
          <w:iCs/>
        </w:rPr>
        <w:t>et al,</w:t>
      </w:r>
      <w:r w:rsidR="003C4453" w:rsidRPr="003C4453">
        <w:t xml:space="preserve"> 2020; Adams-Prassl, </w:t>
      </w:r>
      <w:r w:rsidR="003C4453" w:rsidRPr="003C4453">
        <w:rPr>
          <w:i/>
          <w:iCs/>
        </w:rPr>
        <w:t xml:space="preserve">et al, </w:t>
      </w:r>
      <w:r w:rsidR="003C4453" w:rsidRPr="003C4453">
        <w:t>2020a)</w:t>
      </w:r>
      <w:r w:rsidRPr="005A562B">
        <w:t>. Working-class individuals, often in essential but undervalued roles, faced higher exposure to the virus with limited protections</w:t>
      </w:r>
      <w:r w:rsidR="003C4453" w:rsidRPr="003C4453">
        <w:t xml:space="preserve"> (Blundell</w:t>
      </w:r>
      <w:r w:rsidR="003C4453" w:rsidRPr="00EE66A6">
        <w:t xml:space="preserve">, </w:t>
      </w:r>
      <w:r w:rsidR="003C4453" w:rsidRPr="00EE66A6">
        <w:rPr>
          <w:i/>
          <w:iCs/>
        </w:rPr>
        <w:t>et al,</w:t>
      </w:r>
      <w:r w:rsidR="003C4453" w:rsidRPr="00EE66A6">
        <w:t xml:space="preserve"> 2020</w:t>
      </w:r>
      <w:r w:rsidR="003C4453">
        <w:t xml:space="preserve">; </w:t>
      </w:r>
      <w:r w:rsidR="003C4453" w:rsidRPr="005E3A1E">
        <w:t xml:space="preserve">Adams-Prassl, </w:t>
      </w:r>
      <w:r w:rsidR="003C4453" w:rsidRPr="005E3A1E">
        <w:rPr>
          <w:i/>
          <w:iCs/>
        </w:rPr>
        <w:t xml:space="preserve">et al, </w:t>
      </w:r>
      <w:r w:rsidR="003C4453" w:rsidRPr="005E3A1E">
        <w:t>2020</w:t>
      </w:r>
      <w:r w:rsidR="003C4453">
        <w:t>a)</w:t>
      </w:r>
      <w:r w:rsidRPr="005A562B">
        <w:t>, while wealthier groups could afford better healthcare</w:t>
      </w:r>
      <w:r w:rsidR="003C4453">
        <w:t xml:space="preserve"> and </w:t>
      </w:r>
      <w:r w:rsidRPr="005A562B">
        <w:t>safer working environments</w:t>
      </w:r>
      <w:r w:rsidR="003C4453" w:rsidRPr="003C4453">
        <w:t xml:space="preserve"> (Adams-Prassl, </w:t>
      </w:r>
      <w:r w:rsidR="003C4453" w:rsidRPr="003C4453">
        <w:rPr>
          <w:i/>
          <w:iCs/>
        </w:rPr>
        <w:t>et al</w:t>
      </w:r>
      <w:r w:rsidR="003C4453" w:rsidRPr="003C4453">
        <w:t>, 2020b; Papadakis</w:t>
      </w:r>
      <w:r w:rsidR="003C4453" w:rsidRPr="003C4453">
        <w:rPr>
          <w:i/>
          <w:iCs/>
        </w:rPr>
        <w:t>, et al,</w:t>
      </w:r>
      <w:r w:rsidR="003C4453" w:rsidRPr="003C4453">
        <w:t xml:space="preserve"> 2022)</w:t>
      </w:r>
      <w:r w:rsidRPr="005A562B">
        <w:t>. </w:t>
      </w:r>
      <w:r w:rsidRPr="003C4453">
        <w:t>COVID-19 not only magnified existing inequalities but also deepened them, highlighting the need for systemic changes</w:t>
      </w:r>
      <w:r w:rsidR="003C4453" w:rsidRPr="003C4453">
        <w:t xml:space="preserve"> (Adams-Prassl, </w:t>
      </w:r>
      <w:r w:rsidR="003C4453" w:rsidRPr="003C4453">
        <w:rPr>
          <w:i/>
          <w:iCs/>
        </w:rPr>
        <w:t xml:space="preserve">et al, </w:t>
      </w:r>
      <w:r w:rsidR="003C4453" w:rsidRPr="003C4453">
        <w:t xml:space="preserve">2020a; Adam, Miller and Waters, 2020; Blundell, </w:t>
      </w:r>
      <w:r w:rsidR="003C4453" w:rsidRPr="003C4453">
        <w:rPr>
          <w:i/>
          <w:iCs/>
        </w:rPr>
        <w:t>et al,</w:t>
      </w:r>
      <w:r w:rsidR="003C4453" w:rsidRPr="003C4453">
        <w:t xml:space="preserve"> 2020)</w:t>
      </w:r>
      <w:r w:rsidRPr="003C4453">
        <w:t>. The pandemic has underscored the importance of policies focused on economic and healthcare reforms that address these class disparities</w:t>
      </w:r>
      <w:r w:rsidR="003C4453" w:rsidRPr="003C4453">
        <w:t xml:space="preserve"> (Frowde, Dove and Laurie, 2020; Brown, 2020; Adams-Prassl, </w:t>
      </w:r>
      <w:r w:rsidR="003C4453" w:rsidRPr="003C4453">
        <w:rPr>
          <w:i/>
          <w:iCs/>
        </w:rPr>
        <w:t xml:space="preserve">et al, </w:t>
      </w:r>
      <w:r w:rsidR="003C4453" w:rsidRPr="003C4453">
        <w:t xml:space="preserve">2020a; Adam, Miller and Waters, 2020; Blundell, </w:t>
      </w:r>
      <w:r w:rsidR="003C4453" w:rsidRPr="003C4453">
        <w:rPr>
          <w:i/>
          <w:iCs/>
        </w:rPr>
        <w:t>et al,</w:t>
      </w:r>
      <w:r w:rsidR="003C4453" w:rsidRPr="003C4453">
        <w:t xml:space="preserve"> 2020)</w:t>
      </w:r>
      <w:r w:rsidRPr="003C4453">
        <w:t>, ensuring that society can better protect and support its most vulnerable members in the face of future crises</w:t>
      </w:r>
      <w:r w:rsidR="003C4453" w:rsidRPr="003C4453">
        <w:t xml:space="preserve"> (Adams-Prassl, </w:t>
      </w:r>
      <w:r w:rsidR="003C4453" w:rsidRPr="003C4453">
        <w:rPr>
          <w:i/>
          <w:iCs/>
        </w:rPr>
        <w:t xml:space="preserve">et al, </w:t>
      </w:r>
      <w:r w:rsidR="003C4453" w:rsidRPr="003C4453">
        <w:t xml:space="preserve">2020a; Adam, Miller and Waters, 2020; Blundell, </w:t>
      </w:r>
      <w:r w:rsidR="003C4453" w:rsidRPr="003C4453">
        <w:rPr>
          <w:i/>
          <w:iCs/>
        </w:rPr>
        <w:t>et al,</w:t>
      </w:r>
      <w:r w:rsidR="003C4453" w:rsidRPr="003C4453">
        <w:t xml:space="preserve"> 2020)</w:t>
      </w:r>
      <w:r w:rsidRPr="003C4453">
        <w:t>.</w:t>
      </w:r>
    </w:p>
    <w:p w14:paraId="7FF730DA" w14:textId="491A27C3" w:rsidR="00993E21" w:rsidRDefault="00993E21">
      <w:r>
        <w:br w:type="page"/>
      </w:r>
    </w:p>
    <w:p w14:paraId="538B4A2C" w14:textId="77777777" w:rsidR="00993E21" w:rsidRPr="00993E21" w:rsidRDefault="00993E21" w:rsidP="00993E21">
      <w:pPr>
        <w:spacing w:line="360" w:lineRule="auto"/>
        <w:ind w:hanging="720"/>
      </w:pPr>
      <w:r w:rsidRPr="00993E21">
        <w:lastRenderedPageBreak/>
        <w:t xml:space="preserve">Adam, S., Miller, H. and Waters, T. (2020), ‘ Income protection for the self-employed and employees during the coronavirus crisis’, Institute for Fiscal Studies (IFS), Briefing Note no. BN277 </w:t>
      </w:r>
      <w:hyperlink r:id="rId13" w:history="1">
        <w:r w:rsidRPr="00993E21">
          <w:rPr>
            <w:rStyle w:val="Hyperlink"/>
          </w:rPr>
          <w:t>https://www.ifs.org.uk/publications/14786</w:t>
        </w:r>
      </w:hyperlink>
      <w:r w:rsidRPr="00993E21">
        <w:t xml:space="preserve"> [Assessed on 10th November 2024].</w:t>
      </w:r>
    </w:p>
    <w:p w14:paraId="21A95912" w14:textId="77777777" w:rsidR="00993E21" w:rsidRPr="00993E21" w:rsidRDefault="00993E21" w:rsidP="00993E21">
      <w:pPr>
        <w:spacing w:line="360" w:lineRule="auto"/>
        <w:ind w:hanging="720"/>
      </w:pPr>
      <w:r w:rsidRPr="00993E21">
        <w:t>Adams-Prassl, A., Boneva, T., Golin, M. and Rauh, C. (2020a), ‘ Inequality in the impact of the coronavirus shock: new survey evidence for the UK’ </w:t>
      </w:r>
      <w:hyperlink r:id="rId14" w:history="1">
        <w:r w:rsidRPr="00993E21">
          <w:rPr>
            <w:rStyle w:val="Hyperlink"/>
          </w:rPr>
          <w:t>https://filecloud.socsci.ox.ac.uk/ui/core/index.html?mode=single&amp;path=/SHARED/sarah.morrish/ZlcmPEeorjMd2o51</w:t>
        </w:r>
      </w:hyperlink>
      <w:r w:rsidRPr="00993E21">
        <w:t xml:space="preserve"> [Assessed on 10</w:t>
      </w:r>
      <w:r w:rsidRPr="00993E21">
        <w:rPr>
          <w:vertAlign w:val="superscript"/>
        </w:rPr>
        <w:t>th</w:t>
      </w:r>
      <w:r w:rsidRPr="00993E21">
        <w:t xml:space="preserve"> November 2024]. </w:t>
      </w:r>
    </w:p>
    <w:p w14:paraId="78CACE45" w14:textId="77777777" w:rsidR="00993E21" w:rsidRPr="00993E21" w:rsidRDefault="00993E21" w:rsidP="00993E21">
      <w:pPr>
        <w:spacing w:line="360" w:lineRule="auto"/>
        <w:ind w:hanging="720"/>
      </w:pPr>
      <w:r w:rsidRPr="00993E21">
        <w:t>Adams-Prassl, A., Boneva, T., Golin, M. and Rauh, C. (2020b), Furloughing</w:t>
      </w:r>
      <w:hyperlink r:id="rId15" w:anchor="fisc12242-note-1001" w:history="1">
        <w:r w:rsidRPr="00993E21">
          <w:rPr>
            <w:rStyle w:val="Hyperlink"/>
          </w:rPr>
          <w:t>*</w:t>
        </w:r>
      </w:hyperlink>
      <w:r w:rsidRPr="00993E21">
        <w:t>. Fiscal Studies, 41: 591-622. </w:t>
      </w:r>
      <w:hyperlink r:id="rId16" w:history="1">
        <w:r w:rsidRPr="00993E21">
          <w:rPr>
            <w:rStyle w:val="Hyperlink"/>
          </w:rPr>
          <w:t>https://doi.org/10.1111/1475-5890.12242</w:t>
        </w:r>
      </w:hyperlink>
    </w:p>
    <w:p w14:paraId="282C20DD" w14:textId="77777777" w:rsidR="00993E21" w:rsidRDefault="00993E21" w:rsidP="00993E21">
      <w:pPr>
        <w:spacing w:line="360" w:lineRule="auto"/>
        <w:ind w:hanging="720"/>
        <w:rPr>
          <w:color w:val="000000"/>
        </w:rPr>
      </w:pPr>
      <w:r w:rsidRPr="00993E21">
        <w:t>Adkins, L., Cooper, M., and Konings, M. (2021). Class in the 21st century: Asset inflation and the new logic of inequality. </w:t>
      </w:r>
      <w:r w:rsidRPr="00993E21">
        <w:rPr>
          <w:i/>
          <w:iCs/>
        </w:rPr>
        <w:t>Environment and Planning A: Economy and Space</w:t>
      </w:r>
      <w:r w:rsidRPr="00993E21">
        <w:t>, </w:t>
      </w:r>
      <w:r w:rsidRPr="00993E21">
        <w:rPr>
          <w:i/>
          <w:iCs/>
        </w:rPr>
        <w:t>53</w:t>
      </w:r>
      <w:r w:rsidRPr="00993E21">
        <w:t>(3), 548-572. </w:t>
      </w:r>
      <w:hyperlink r:id="rId17" w:history="1">
        <w:r w:rsidRPr="00993E21">
          <w:rPr>
            <w:rStyle w:val="Hyperlink"/>
          </w:rPr>
          <w:t>https://doi.org/10.1177/0308518X19873673</w:t>
        </w:r>
      </w:hyperlink>
      <w:r w:rsidRPr="00993E21">
        <w:t xml:space="preserve"> [Assessed on 08tyh November 2024]. </w:t>
      </w:r>
      <w:r w:rsidRPr="00993E21">
        <w:rPr>
          <w:color w:val="000000"/>
        </w:rPr>
        <w:t xml:space="preserve">Age UK, (2022). What is The Equality Act. Available at: </w:t>
      </w:r>
      <w:hyperlink r:id="rId18" w:anchor=":~:text=The%20Equality%20Act%20is%20a,Age" w:history="1">
        <w:r w:rsidRPr="00993E21">
          <w:rPr>
            <w:rStyle w:val="Hyperlink"/>
          </w:rPr>
          <w:t>https://www.ageuk.org.uk/information-advice/work-learning/discrimination-rights/the-equality-act/ - :~:text=The Equality Act is a,Age</w:t>
        </w:r>
      </w:hyperlink>
      <w:r w:rsidRPr="00993E21">
        <w:rPr>
          <w:color w:val="000000"/>
        </w:rPr>
        <w:t xml:space="preserve"> [Assessed on 03 November 2024]. </w:t>
      </w:r>
    </w:p>
    <w:p w14:paraId="382966A9" w14:textId="60F4BE0F" w:rsidR="00993E21" w:rsidRPr="00993E21" w:rsidRDefault="00993E21" w:rsidP="00993E21">
      <w:pPr>
        <w:spacing w:line="360" w:lineRule="auto"/>
        <w:ind w:hanging="720"/>
      </w:pPr>
      <w:r w:rsidRPr="00993E21">
        <w:t xml:space="preserve">Albani V, Welsh CE, Brown H, Matthews FE, Bambra C (2022). Explaining the deprivation gap in COVID-19 mortality rates: A decomposition analysis of geographical inequalities in England. Soc Sci Med. </w:t>
      </w:r>
      <w:hyperlink r:id="rId19" w:history="1">
        <w:r w:rsidRPr="00993E21">
          <w:rPr>
            <w:rStyle w:val="Hyperlink"/>
          </w:rPr>
          <w:t>https://www.sciencedirect.com/science/article/pii/S0277953622006256</w:t>
        </w:r>
      </w:hyperlink>
      <w:r w:rsidRPr="00993E21">
        <w:t xml:space="preserve"> [Assessed on 10</w:t>
      </w:r>
      <w:r w:rsidRPr="00993E21">
        <w:rPr>
          <w:vertAlign w:val="superscript"/>
        </w:rPr>
        <w:t>th</w:t>
      </w:r>
      <w:r w:rsidRPr="00993E21">
        <w:t xml:space="preserve"> November 2024].  </w:t>
      </w:r>
    </w:p>
    <w:p w14:paraId="784C65B5" w14:textId="77777777" w:rsidR="00993E21" w:rsidRDefault="00993E21" w:rsidP="00993E21">
      <w:pPr>
        <w:spacing w:line="360" w:lineRule="auto"/>
        <w:ind w:hanging="720"/>
        <w:rPr>
          <w:rFonts w:eastAsiaTheme="majorEastAsia"/>
        </w:rPr>
      </w:pPr>
      <w:r w:rsidRPr="00993E21">
        <w:rPr>
          <w:rFonts w:eastAsiaTheme="majorEastAsia"/>
        </w:rPr>
        <w:t>Ambedkar</w:t>
      </w:r>
      <w:r w:rsidRPr="00993E21">
        <w:t xml:space="preserve">, B, R. (2017). </w:t>
      </w:r>
      <w:r w:rsidRPr="00993E21">
        <w:rPr>
          <w:rFonts w:eastAsiaTheme="majorEastAsia"/>
        </w:rPr>
        <w:t>Castes in India: Their Mechanism, Genesis and Development</w:t>
      </w:r>
      <w:r w:rsidRPr="00993E21">
        <w:t xml:space="preserve">. The Indian Antiquary: Bombay. </w:t>
      </w:r>
      <w:r w:rsidRPr="00993E21">
        <w:rPr>
          <w:rFonts w:eastAsiaTheme="majorEastAsia"/>
        </w:rPr>
        <w:t> </w:t>
      </w:r>
    </w:p>
    <w:p w14:paraId="2CC1C2E3" w14:textId="7FAF047F" w:rsidR="00993E21" w:rsidRPr="00993E21" w:rsidRDefault="00993E21" w:rsidP="00993E21">
      <w:pPr>
        <w:spacing w:line="360" w:lineRule="auto"/>
        <w:ind w:hanging="720"/>
        <w:rPr>
          <w:rFonts w:eastAsiaTheme="majorEastAsia"/>
        </w:rPr>
      </w:pPr>
      <w:r w:rsidRPr="00993E21">
        <w:t>Amis, J. M., Munir, K. A., Lawrence, T. B., Hirsch, P., and McGahan, A. (2018). Inequality,</w:t>
      </w:r>
    </w:p>
    <w:p w14:paraId="46073E03" w14:textId="77777777" w:rsidR="00993E21" w:rsidRDefault="00993E21" w:rsidP="00993E21">
      <w:pPr>
        <w:spacing w:line="360" w:lineRule="auto"/>
        <w:ind w:left="720" w:hanging="720"/>
      </w:pPr>
      <w:r w:rsidRPr="00993E21">
        <w:t>Institutions and Organizations. Organization Studies, 39(9), 1131-1152.</w:t>
      </w:r>
    </w:p>
    <w:p w14:paraId="7ED633BC" w14:textId="77777777" w:rsidR="00A274DF" w:rsidRDefault="00993E21" w:rsidP="00A274DF">
      <w:pPr>
        <w:spacing w:line="360" w:lineRule="auto"/>
        <w:ind w:left="720" w:hanging="720"/>
      </w:pPr>
      <w:hyperlink r:id="rId20" w:history="1">
        <w:r w:rsidRPr="004719E0">
          <w:rPr>
            <w:rStyle w:val="Hyperlink"/>
          </w:rPr>
          <w:t>https://doi.org/10.1177/0170840618792596</w:t>
        </w:r>
      </w:hyperlink>
      <w:r>
        <w:t xml:space="preserve"> [Assessed on 15th November 2024].</w:t>
      </w:r>
    </w:p>
    <w:p w14:paraId="399F75A2" w14:textId="7A8BBC0A" w:rsidR="00993E21" w:rsidRDefault="00993E21" w:rsidP="00A274DF">
      <w:pPr>
        <w:spacing w:line="360" w:lineRule="auto"/>
        <w:ind w:hanging="720"/>
      </w:pPr>
      <w:r w:rsidRPr="00993E21">
        <w:t>Anderson, R. K. (2018). Toward Thick Responsiveness: Engaging Identity-Based Student</w:t>
      </w:r>
    </w:p>
    <w:p w14:paraId="5B02BC29" w14:textId="77777777" w:rsidR="00993E21" w:rsidRDefault="00993E21" w:rsidP="00A274DF">
      <w:pPr>
        <w:spacing w:line="360" w:lineRule="auto"/>
        <w:ind w:left="720" w:hanging="720"/>
      </w:pPr>
      <w:r w:rsidRPr="00993E21">
        <w:t>Protest Movements. </w:t>
      </w:r>
      <w:r w:rsidRPr="00993E21">
        <w:rPr>
          <w:i/>
          <w:iCs/>
        </w:rPr>
        <w:t>The Journal of Higher Education</w:t>
      </w:r>
      <w:r w:rsidRPr="00993E21">
        <w:t>, </w:t>
      </w:r>
      <w:r w:rsidRPr="00993E21">
        <w:rPr>
          <w:i/>
          <w:iCs/>
        </w:rPr>
        <w:t>90</w:t>
      </w:r>
      <w:r w:rsidRPr="00993E21">
        <w:t>(3), 402–426.</w:t>
      </w:r>
    </w:p>
    <w:p w14:paraId="1F1C4AB4" w14:textId="4CE096A4" w:rsidR="00993E21" w:rsidRPr="00993E21" w:rsidRDefault="00993E21" w:rsidP="00A274DF">
      <w:pPr>
        <w:spacing w:line="360" w:lineRule="auto"/>
        <w:ind w:left="720" w:hanging="720"/>
      </w:pPr>
      <w:hyperlink r:id="rId21" w:history="1">
        <w:r w:rsidRPr="004719E0">
          <w:rPr>
            <w:rStyle w:val="Hyperlink"/>
          </w:rPr>
          <w:t>https://doi.org/10.1080/00221546.2018.1512803</w:t>
        </w:r>
      </w:hyperlink>
      <w:r w:rsidRPr="00993E21">
        <w:t xml:space="preserve"> [Assessed on 09th November 2024].</w:t>
      </w:r>
    </w:p>
    <w:p w14:paraId="1B6A9CE1" w14:textId="77777777" w:rsidR="00993E21" w:rsidRPr="00993E21" w:rsidRDefault="00993E21" w:rsidP="00993E21">
      <w:pPr>
        <w:spacing w:line="360" w:lineRule="auto"/>
        <w:ind w:hanging="720"/>
      </w:pPr>
      <w:r w:rsidRPr="00993E21">
        <w:t>Atkinson, W. (2011). From sociological fictions to social fictions: Some Bourdieusian reflections on the concepts of “institutional habitus” and “family habitus”. </w:t>
      </w:r>
      <w:r w:rsidRPr="00993E21">
        <w:rPr>
          <w:i/>
          <w:iCs/>
        </w:rPr>
        <w:t>British Journal of Sociology of Education, 32</w:t>
      </w:r>
      <w:r w:rsidRPr="00993E21">
        <w:t>(3), 331–347. </w:t>
      </w:r>
      <w:hyperlink r:id="rId22" w:history="1">
        <w:r w:rsidRPr="00993E21">
          <w:rPr>
            <w:rStyle w:val="Hyperlink"/>
          </w:rPr>
          <w:t>https://doi.org/10.1080/01425692.2011.559337</w:t>
        </w:r>
      </w:hyperlink>
      <w:r w:rsidRPr="00993E21">
        <w:t xml:space="preserve"> [Assessed on 08th November 2024]. </w:t>
      </w:r>
    </w:p>
    <w:p w14:paraId="64113422" w14:textId="77777777" w:rsidR="00993E21" w:rsidRPr="00993E21" w:rsidRDefault="00993E21" w:rsidP="00993E21">
      <w:pPr>
        <w:spacing w:line="360" w:lineRule="auto"/>
        <w:ind w:hanging="720"/>
      </w:pPr>
      <w:r w:rsidRPr="00993E21">
        <w:lastRenderedPageBreak/>
        <w:t xml:space="preserve">Bambra C., Riordan R., Ford J., Matthews F. (2020). The COVID-19 pandemic and health inequalities. J. Epidemiol. Community. 4:964–968. </w:t>
      </w:r>
      <w:hyperlink r:id="rId23" w:history="1">
        <w:r w:rsidRPr="00993E21">
          <w:rPr>
            <w:rStyle w:val="Hyperlink"/>
          </w:rPr>
          <w:t>https://jech.bmj.com/content/74/11/964</w:t>
        </w:r>
      </w:hyperlink>
      <w:r w:rsidRPr="00993E21">
        <w:t xml:space="preserve"> [Assessed on 10</w:t>
      </w:r>
      <w:r w:rsidRPr="00993E21">
        <w:rPr>
          <w:vertAlign w:val="superscript"/>
        </w:rPr>
        <w:t>th</w:t>
      </w:r>
      <w:r w:rsidRPr="00993E21">
        <w:t xml:space="preserve"> November 2024]. </w:t>
      </w:r>
    </w:p>
    <w:p w14:paraId="0309F8BD" w14:textId="77777777" w:rsidR="00993E21" w:rsidRPr="00993E21" w:rsidRDefault="00993E21" w:rsidP="00993E21">
      <w:pPr>
        <w:spacing w:line="360" w:lineRule="auto"/>
        <w:ind w:hanging="720"/>
      </w:pPr>
      <w:r w:rsidRPr="00993E21">
        <w:t>Bambra, C, Lynch, J, and Smith, K, E (2020). The Unequal Pandemic: COVID-19 and Health Inequalities. Bristol: Policy Press.</w:t>
      </w:r>
    </w:p>
    <w:p w14:paraId="30980BDB" w14:textId="77777777" w:rsidR="00993E21" w:rsidRPr="00993E21" w:rsidRDefault="00993E21" w:rsidP="00993E21">
      <w:pPr>
        <w:spacing w:line="360" w:lineRule="auto"/>
        <w:ind w:hanging="720"/>
        <w:jc w:val="both"/>
      </w:pPr>
      <w:r w:rsidRPr="00993E21">
        <w:t xml:space="preserve">BBC, (2013). Huge survey reveals seven social classes in UK. Available at: </w:t>
      </w:r>
      <w:hyperlink r:id="rId24" w:history="1">
        <w:r w:rsidRPr="00993E21">
          <w:rPr>
            <w:rStyle w:val="Hyperlink"/>
          </w:rPr>
          <w:t>https://www.bbc.co.uk/news/uk-22007058</w:t>
        </w:r>
      </w:hyperlink>
      <w:r w:rsidRPr="00993E21">
        <w:t xml:space="preserve"> [Assessed on 07</w:t>
      </w:r>
      <w:r w:rsidRPr="00993E21">
        <w:rPr>
          <w:vertAlign w:val="superscript"/>
        </w:rPr>
        <w:t>th</w:t>
      </w:r>
      <w:r w:rsidRPr="00993E21">
        <w:t xml:space="preserve"> November 2024]. </w:t>
      </w:r>
    </w:p>
    <w:p w14:paraId="22ED55F2" w14:textId="77777777" w:rsidR="00993E21" w:rsidRDefault="00993E21" w:rsidP="00993E21">
      <w:pPr>
        <w:spacing w:line="360" w:lineRule="auto"/>
        <w:ind w:hanging="720"/>
      </w:pPr>
      <w:r w:rsidRPr="00993E21">
        <w:t xml:space="preserve">BBC, (2015). Who, What, Why: What is the Gini Coefficient? Available at: </w:t>
      </w:r>
      <w:hyperlink r:id="rId25" w:history="1">
        <w:r w:rsidRPr="00993E21">
          <w:rPr>
            <w:rStyle w:val="Hyperlink"/>
          </w:rPr>
          <w:t>https://www.bbc.co.uk/news/blogs-magazine-monitor-31847943</w:t>
        </w:r>
      </w:hyperlink>
      <w:r w:rsidRPr="00993E21">
        <w:t xml:space="preserve"> [Assessed on 02 November 2024]. </w:t>
      </w:r>
    </w:p>
    <w:p w14:paraId="5B843709" w14:textId="06B9DA03" w:rsidR="00993E21" w:rsidRPr="00993E21" w:rsidRDefault="00993E21" w:rsidP="00993E21">
      <w:pPr>
        <w:spacing w:line="360" w:lineRule="auto"/>
        <w:ind w:hanging="720"/>
      </w:pPr>
      <w:r w:rsidRPr="00993E21">
        <w:t xml:space="preserve">Becker, H. (1963) Outsiders; studies in the sociology of deviance. London: Free Press of Glencoe. </w:t>
      </w:r>
    </w:p>
    <w:p w14:paraId="7A40311A" w14:textId="77777777" w:rsidR="00993E21" w:rsidRPr="00993E21" w:rsidRDefault="00993E21" w:rsidP="00993E21">
      <w:pPr>
        <w:spacing w:line="360" w:lineRule="auto"/>
        <w:ind w:hanging="720"/>
      </w:pPr>
      <w:r w:rsidRPr="00993E21">
        <w:t>Blundell, R., Costa Dias, M., Joyce, R. and Xu, X. (2020), COVID-19 and Inequalities</w:t>
      </w:r>
      <w:hyperlink r:id="rId26" w:anchor="fisc12232-note-0101" w:history="1">
        <w:r w:rsidRPr="00993E21">
          <w:rPr>
            <w:rStyle w:val="Hyperlink"/>
          </w:rPr>
          <w:t>*</w:t>
        </w:r>
      </w:hyperlink>
      <w:r w:rsidRPr="00993E21">
        <w:t>. Fiscal Studies, 41: 291-319. </w:t>
      </w:r>
      <w:hyperlink r:id="rId27" w:history="1">
        <w:r w:rsidRPr="00993E21">
          <w:rPr>
            <w:rStyle w:val="Hyperlink"/>
          </w:rPr>
          <w:t>https://doi.org/10.1111/1475-5890.12232</w:t>
        </w:r>
      </w:hyperlink>
      <w:r w:rsidRPr="00993E21">
        <w:t xml:space="preserve"> [Assessed on 10th November 2024].</w:t>
      </w:r>
    </w:p>
    <w:p w14:paraId="0BA8B4AD" w14:textId="77777777" w:rsidR="00993E21" w:rsidRPr="00993E21" w:rsidRDefault="00993E21" w:rsidP="00993E21">
      <w:pPr>
        <w:spacing w:line="360" w:lineRule="auto"/>
        <w:ind w:hanging="720"/>
      </w:pPr>
      <w:r w:rsidRPr="00993E21">
        <w:rPr>
          <w:rFonts w:eastAsiaTheme="majorEastAsia"/>
        </w:rPr>
        <w:t>Bourdieu</w:t>
      </w:r>
      <w:r w:rsidRPr="00993E21">
        <w:t xml:space="preserve">, P (1983-84). </w:t>
      </w:r>
      <w:r w:rsidRPr="00993E21">
        <w:rPr>
          <w:rFonts w:eastAsiaTheme="majorEastAsia"/>
        </w:rPr>
        <w:t xml:space="preserve">Forms of Capital: General Sociology, </w:t>
      </w:r>
      <w:r w:rsidRPr="00993E21">
        <w:t>(</w:t>
      </w:r>
      <w:r w:rsidRPr="00993E21">
        <w:rPr>
          <w:rFonts w:eastAsiaTheme="majorEastAsia"/>
        </w:rPr>
        <w:t>3</w:t>
      </w:r>
      <w:r w:rsidRPr="00993E21">
        <w:t>)</w:t>
      </w:r>
      <w:r w:rsidRPr="00993E21">
        <w:rPr>
          <w:rFonts w:eastAsiaTheme="majorEastAsia"/>
        </w:rPr>
        <w:t xml:space="preserve"> Lectures at the Collège de France</w:t>
      </w:r>
      <w:r w:rsidRPr="00993E21">
        <w:t>. Polity Press: Cambridge.</w:t>
      </w:r>
    </w:p>
    <w:p w14:paraId="6227F87C" w14:textId="77777777" w:rsidR="00993E21" w:rsidRPr="00993E21" w:rsidRDefault="00993E21" w:rsidP="00993E21">
      <w:pPr>
        <w:spacing w:line="360" w:lineRule="auto"/>
        <w:ind w:hanging="720"/>
      </w:pPr>
      <w:r w:rsidRPr="00993E21">
        <w:t xml:space="preserve">Brandily, P, Brébion, C, Briole, S, and Khoury, L., (2021) A poorly understood disease? The impact of COVID-19 on the income gradient in mortality over the course of the pandemic, </w:t>
      </w:r>
      <w:r w:rsidRPr="00993E21">
        <w:rPr>
          <w:i/>
          <w:iCs/>
        </w:rPr>
        <w:t>European Economic Review,</w:t>
      </w:r>
      <w:r w:rsidRPr="00993E21">
        <w:t xml:space="preserve"> (40), 0014-2921, </w:t>
      </w:r>
      <w:hyperlink r:id="rId28" w:history="1">
        <w:r w:rsidRPr="00993E21">
          <w:rPr>
            <w:rStyle w:val="Hyperlink"/>
          </w:rPr>
          <w:t>https://www.sciencedirect.com/science/article/pii/S0014292121002257</w:t>
        </w:r>
      </w:hyperlink>
      <w:r w:rsidRPr="00993E21">
        <w:t xml:space="preserve"> [Assessed on 10th November 2024]. </w:t>
      </w:r>
    </w:p>
    <w:p w14:paraId="32748A42" w14:textId="77777777" w:rsidR="00993E21" w:rsidRPr="00993E21" w:rsidRDefault="00993E21" w:rsidP="00993E21">
      <w:pPr>
        <w:spacing w:line="360" w:lineRule="auto"/>
        <w:ind w:hanging="720"/>
        <w:rPr>
          <w:i/>
          <w:iCs/>
        </w:rPr>
      </w:pPr>
      <w:r w:rsidRPr="00993E21">
        <w:rPr>
          <w:rFonts w:eastAsiaTheme="majorEastAsia"/>
        </w:rPr>
        <w:t>Branson</w:t>
      </w:r>
      <w:r w:rsidRPr="00993E21">
        <w:t>, J., and</w:t>
      </w:r>
      <w:r w:rsidRPr="00993E21">
        <w:rPr>
          <w:rFonts w:eastAsiaTheme="majorEastAsia"/>
        </w:rPr>
        <w:t xml:space="preserve"> Miller</w:t>
      </w:r>
      <w:r w:rsidRPr="00993E21">
        <w:t xml:space="preserve">, D (2020). Social Theory, </w:t>
      </w:r>
      <w:r w:rsidRPr="00993E21">
        <w:rPr>
          <w:i/>
          <w:iCs/>
        </w:rPr>
        <w:t xml:space="preserve">Pierre Bourdieu. </w:t>
      </w:r>
      <w:r w:rsidRPr="00993E21">
        <w:t>Routledge: London.</w:t>
      </w:r>
      <w:r w:rsidRPr="00993E21">
        <w:rPr>
          <w:i/>
          <w:iCs/>
        </w:rPr>
        <w:t xml:space="preserve"> </w:t>
      </w:r>
    </w:p>
    <w:p w14:paraId="3BE8DE51" w14:textId="77777777" w:rsidR="00993E21" w:rsidRPr="00993E21" w:rsidRDefault="00993E21" w:rsidP="00993E21">
      <w:pPr>
        <w:spacing w:line="360" w:lineRule="auto"/>
        <w:ind w:hanging="720"/>
      </w:pPr>
      <w:r w:rsidRPr="00993E21">
        <w:t xml:space="preserve"> Brown, J. (2020), “</w:t>
      </w:r>
      <w:r w:rsidRPr="00993E21">
        <w:rPr>
          <w:i/>
          <w:iCs/>
        </w:rPr>
        <w:t>Coronavirus: the lockdown laws</w:t>
      </w:r>
      <w:r w:rsidRPr="00993E21">
        <w:t xml:space="preserve">”, briefing paper, House of Commons Library, Vol. 8875 available at: </w:t>
      </w:r>
      <w:hyperlink r:id="rId29" w:history="1">
        <w:r w:rsidRPr="00993E21">
          <w:rPr>
            <w:rStyle w:val="Hyperlink"/>
          </w:rPr>
          <w:t>https://commonslibrary.parliament.uk/research-briefings/cbp-8875/</w:t>
        </w:r>
      </w:hyperlink>
      <w:r w:rsidRPr="00993E21">
        <w:t xml:space="preserve"> [Assessed on 12</w:t>
      </w:r>
      <w:r w:rsidRPr="00993E21">
        <w:rPr>
          <w:vertAlign w:val="superscript"/>
        </w:rPr>
        <w:t>th</w:t>
      </w:r>
      <w:r w:rsidRPr="00993E21">
        <w:t xml:space="preserve"> November 2024].</w:t>
      </w:r>
    </w:p>
    <w:p w14:paraId="6FA5A92E" w14:textId="77777777" w:rsidR="00993E21" w:rsidRPr="00993E21" w:rsidRDefault="00993E21" w:rsidP="00993E21">
      <w:pPr>
        <w:spacing w:line="360" w:lineRule="auto"/>
        <w:ind w:hanging="720"/>
      </w:pPr>
      <w:r w:rsidRPr="00993E21">
        <w:t xml:space="preserve">Bryant, C (2017). </w:t>
      </w:r>
      <w:r w:rsidRPr="00993E21">
        <w:rPr>
          <w:rFonts w:eastAsiaTheme="majorEastAsia"/>
        </w:rPr>
        <w:t>Entitled: A Critical History of the British Aristocrac</w:t>
      </w:r>
      <w:r w:rsidRPr="00993E21">
        <w:t xml:space="preserve">. Doubleday: New York. </w:t>
      </w:r>
    </w:p>
    <w:p w14:paraId="41584F29" w14:textId="77777777" w:rsidR="00993E21" w:rsidRPr="00993E21" w:rsidRDefault="00993E21" w:rsidP="00993E21">
      <w:pPr>
        <w:spacing w:line="360" w:lineRule="auto"/>
        <w:ind w:hanging="720"/>
      </w:pPr>
      <w:r w:rsidRPr="00993E21">
        <w:t xml:space="preserve">Butler, M (2015). </w:t>
      </w:r>
      <w:r w:rsidRPr="00993E21">
        <w:rPr>
          <w:rFonts w:eastAsiaTheme="majorEastAsia"/>
        </w:rPr>
        <w:t xml:space="preserve">Equality and Anti-Discrimination Law: The Equality Act 2010 and Other Anti-Discrimination Protections. </w:t>
      </w:r>
      <w:r w:rsidRPr="00993E21">
        <w:t xml:space="preserve">Spiramus Press: London. </w:t>
      </w:r>
    </w:p>
    <w:p w14:paraId="73E19EB3" w14:textId="77777777" w:rsidR="00993E21" w:rsidRPr="00993E21" w:rsidRDefault="00993E21" w:rsidP="00993E21">
      <w:pPr>
        <w:spacing w:line="360" w:lineRule="auto"/>
        <w:ind w:hanging="720"/>
      </w:pPr>
      <w:r w:rsidRPr="00993E21">
        <w:t>Cancian, F (1976). Social Stratification. </w:t>
      </w:r>
      <w:r w:rsidRPr="00993E21">
        <w:rPr>
          <w:i/>
          <w:iCs/>
        </w:rPr>
        <w:t>Annual Review of Anthropology</w:t>
      </w:r>
      <w:r w:rsidRPr="00993E21">
        <w:t>, </w:t>
      </w:r>
      <w:r w:rsidRPr="00993E21">
        <w:rPr>
          <w:i/>
          <w:iCs/>
        </w:rPr>
        <w:t>5</w:t>
      </w:r>
      <w:r w:rsidRPr="00993E21">
        <w:t xml:space="preserve">, 227–248. </w:t>
      </w:r>
      <w:hyperlink r:id="rId30" w:history="1">
        <w:r w:rsidRPr="00993E21">
          <w:rPr>
            <w:rStyle w:val="Hyperlink"/>
          </w:rPr>
          <w:t>http://www.jstor.org/stable/2949312</w:t>
        </w:r>
      </w:hyperlink>
      <w:r w:rsidRPr="00993E21">
        <w:t xml:space="preserve"> [Assessed on 07</w:t>
      </w:r>
      <w:r w:rsidRPr="00993E21">
        <w:rPr>
          <w:vertAlign w:val="superscript"/>
        </w:rPr>
        <w:t>th</w:t>
      </w:r>
      <w:r w:rsidRPr="00993E21">
        <w:t xml:space="preserve"> November 2024].</w:t>
      </w:r>
    </w:p>
    <w:p w14:paraId="31922BD2" w14:textId="77777777" w:rsidR="00993E21" w:rsidRPr="00993E21" w:rsidRDefault="00993E21" w:rsidP="00993E21">
      <w:pPr>
        <w:spacing w:line="360" w:lineRule="auto"/>
        <w:ind w:hanging="720"/>
      </w:pPr>
      <w:r w:rsidRPr="00993E21">
        <w:t xml:space="preserve">Davis, K., and Moore, W. E. (1945). Some Principles of Stratification. American Sociological Review, 10, 242-249. </w:t>
      </w:r>
      <w:hyperlink r:id="rId31" w:history="1">
        <w:r w:rsidRPr="00993E21">
          <w:rPr>
            <w:rStyle w:val="Hyperlink"/>
          </w:rPr>
          <w:t>https://doi.org/10.2307/2085643</w:t>
        </w:r>
      </w:hyperlink>
      <w:r w:rsidRPr="00993E21">
        <w:t xml:space="preserve"> [Assessed on 07th November 2024]. </w:t>
      </w:r>
    </w:p>
    <w:p w14:paraId="51449C0A" w14:textId="77777777" w:rsidR="00993E21" w:rsidRDefault="00993E21" w:rsidP="00993E21">
      <w:pPr>
        <w:spacing w:line="360" w:lineRule="auto"/>
        <w:ind w:left="720" w:hanging="720"/>
      </w:pPr>
      <w:r w:rsidRPr="00993E21">
        <w:lastRenderedPageBreak/>
        <w:t>De Castro Leal, D., Strohmayer, A., and Krüger. M., (2021). On Activism and Academia:</w:t>
      </w:r>
    </w:p>
    <w:p w14:paraId="7AA75C61" w14:textId="77777777" w:rsidR="00993E21" w:rsidRDefault="00993E21" w:rsidP="00993E21">
      <w:pPr>
        <w:spacing w:line="360" w:lineRule="auto"/>
        <w:ind w:left="720" w:hanging="720"/>
      </w:pPr>
      <w:r w:rsidRPr="00993E21">
        <w:t>Reflecting Together and Sharing Experiences Among Critical Friends. In Proceedings of the</w:t>
      </w:r>
    </w:p>
    <w:p w14:paraId="653DFCD1" w14:textId="77777777" w:rsidR="00993E21" w:rsidRDefault="00993E21" w:rsidP="00993E21">
      <w:pPr>
        <w:spacing w:line="360" w:lineRule="auto"/>
        <w:ind w:left="720" w:hanging="720"/>
      </w:pPr>
      <w:r w:rsidRPr="00993E21">
        <w:t>2021 CHI Conference on Human Factors in Computing Systems (CHI '21). Association for</w:t>
      </w:r>
    </w:p>
    <w:p w14:paraId="1710F59B" w14:textId="77777777" w:rsidR="00993E21" w:rsidRDefault="00993E21" w:rsidP="00993E21">
      <w:pPr>
        <w:spacing w:line="360" w:lineRule="auto"/>
        <w:ind w:left="720" w:hanging="720"/>
      </w:pPr>
      <w:r w:rsidRPr="00993E21">
        <w:t>Computing Machinery, New York, NY, USA, Article 303, 1–18.</w:t>
      </w:r>
    </w:p>
    <w:p w14:paraId="4FA7D541" w14:textId="123040BD" w:rsidR="00993E21" w:rsidRPr="00993E21" w:rsidRDefault="00993E21" w:rsidP="00993E21">
      <w:pPr>
        <w:spacing w:line="360" w:lineRule="auto"/>
        <w:ind w:left="720" w:hanging="720"/>
      </w:pPr>
      <w:hyperlink r:id="rId32" w:history="1">
        <w:r w:rsidRPr="004719E0">
          <w:rPr>
            <w:rStyle w:val="Hyperlink"/>
          </w:rPr>
          <w:t>https://doi.org/10.1145/3411764.3445263</w:t>
        </w:r>
      </w:hyperlink>
      <w:r w:rsidRPr="00993E21">
        <w:t xml:space="preserve"> [Assessed on 09th November 2024].</w:t>
      </w:r>
    </w:p>
    <w:p w14:paraId="74AD00C4" w14:textId="77777777" w:rsidR="00993E21" w:rsidRPr="00993E21" w:rsidRDefault="00993E21" w:rsidP="00993E21">
      <w:pPr>
        <w:spacing w:line="360" w:lineRule="auto"/>
        <w:ind w:hanging="720"/>
      </w:pPr>
      <w:r w:rsidRPr="00993E21">
        <w:t xml:space="preserve">Department of Economic and Social Affairs (2020). World Social Report 2020, Inequality in a Rapidly Changing World. Available at: </w:t>
      </w:r>
      <w:hyperlink r:id="rId33" w:history="1">
        <w:r w:rsidRPr="00993E21">
          <w:rPr>
            <w:rStyle w:val="Hyperlink"/>
          </w:rPr>
          <w:t>https://www.un.org/development/desa/dspd/wp-content/uploads/sites/22/2020/02/World-Social-Report2020-FullReport.pdf</w:t>
        </w:r>
      </w:hyperlink>
      <w:r w:rsidRPr="00993E21">
        <w:t xml:space="preserve"> [Assessed on 02 November 2024]. </w:t>
      </w:r>
    </w:p>
    <w:p w14:paraId="63B2AD73" w14:textId="77777777" w:rsidR="00993E21" w:rsidRDefault="00993E21" w:rsidP="00993E21">
      <w:pPr>
        <w:spacing w:line="360" w:lineRule="auto"/>
        <w:ind w:hanging="720"/>
      </w:pPr>
      <w:r w:rsidRPr="00993E21">
        <w:t xml:space="preserve">Department of Health and Social Care, (2020). Coronavirus bill: summary of impacts. Available at: </w:t>
      </w:r>
      <w:hyperlink r:id="rId34" w:history="1">
        <w:r w:rsidRPr="00993E21">
          <w:rPr>
            <w:rStyle w:val="Hyperlink"/>
          </w:rPr>
          <w:t>https://www.gov.uk/government/publications/coronavirus-bill-summary-of-impacts/coronavirus-bill-summary-of-impacts</w:t>
        </w:r>
      </w:hyperlink>
      <w:r w:rsidRPr="00993E21">
        <w:t xml:space="preserve"> [Assessed on 12</w:t>
      </w:r>
      <w:r w:rsidRPr="00993E21">
        <w:rPr>
          <w:vertAlign w:val="superscript"/>
        </w:rPr>
        <w:t>th</w:t>
      </w:r>
      <w:r w:rsidRPr="00993E21">
        <w:t xml:space="preserve"> November 2024]. </w:t>
      </w:r>
    </w:p>
    <w:p w14:paraId="18252DE5" w14:textId="5EAB10DC" w:rsidR="00993E21" w:rsidRPr="00993E21" w:rsidRDefault="00993E21" w:rsidP="00993E21">
      <w:pPr>
        <w:spacing w:line="360" w:lineRule="auto"/>
        <w:ind w:hanging="720"/>
      </w:pPr>
      <w:r w:rsidRPr="00993E21">
        <w:rPr>
          <w:i/>
          <w:iCs/>
          <w:color w:val="000000"/>
        </w:rPr>
        <w:t>Disability Discrimination Act 1995</w:t>
      </w:r>
      <w:r w:rsidRPr="00993E21">
        <w:rPr>
          <w:color w:val="000000"/>
        </w:rPr>
        <w:t xml:space="preserve">: Charles III. Chapter (50). Part 1. London: The Stationary Office. Available ta: </w:t>
      </w:r>
      <w:hyperlink r:id="rId35" w:history="1">
        <w:r w:rsidRPr="00993E21">
          <w:rPr>
            <w:rStyle w:val="Hyperlink"/>
          </w:rPr>
          <w:t>https://www.legislation.gov.uk/ukpga/1995/50/contents</w:t>
        </w:r>
      </w:hyperlink>
      <w:r w:rsidRPr="00993E21">
        <w:rPr>
          <w:color w:val="000000"/>
        </w:rPr>
        <w:t xml:space="preserve"> [Assessed on 07th November 2024]. </w:t>
      </w:r>
    </w:p>
    <w:p w14:paraId="655E5C3E" w14:textId="77777777" w:rsidR="00993E21" w:rsidRPr="00993E21" w:rsidRDefault="00993E21" w:rsidP="00993E21">
      <w:pPr>
        <w:spacing w:line="360" w:lineRule="auto"/>
        <w:ind w:hanging="720"/>
      </w:pPr>
      <w:r w:rsidRPr="00993E21">
        <w:t xml:space="preserve">Dolber, B, Rodino-Colocino, M, Kumanyika, C and Wolfson, T., (2021). The Gig Economy: Workers and Media in the Age of Convergence. Routledge: London. </w:t>
      </w:r>
    </w:p>
    <w:p w14:paraId="70059D3F" w14:textId="77777777" w:rsidR="00993E21" w:rsidRPr="00993E21" w:rsidRDefault="00993E21" w:rsidP="00993E21">
      <w:pPr>
        <w:spacing w:line="360" w:lineRule="auto"/>
        <w:ind w:hanging="720"/>
      </w:pPr>
      <w:r w:rsidRPr="00993E21">
        <w:t>Dribe, M., Tegunimataka, A., Nilsson, T., Tegunimataka, A., Dribe, M., &amp; Nilsson, T. (2024). </w:t>
      </w:r>
      <w:r w:rsidRPr="00993E21">
        <w:rPr>
          <w:i/>
          <w:iCs/>
        </w:rPr>
        <w:t>Urban Lives: An Industrial City and Its People During the Twentieth Century</w:t>
      </w:r>
      <w:r w:rsidRPr="00993E21">
        <w:t xml:space="preserve">. University Press: Oxford. </w:t>
      </w:r>
    </w:p>
    <w:p w14:paraId="226E7B37" w14:textId="77777777" w:rsidR="00993E21" w:rsidRPr="00993E21" w:rsidRDefault="00993E21" w:rsidP="00993E21">
      <w:pPr>
        <w:spacing w:line="360" w:lineRule="auto"/>
        <w:ind w:hanging="720"/>
      </w:pPr>
      <w:r w:rsidRPr="00993E21">
        <w:t>D</w:t>
      </w:r>
      <w:r w:rsidRPr="00993E21">
        <w:rPr>
          <w:rFonts w:eastAsiaTheme="majorEastAsia"/>
        </w:rPr>
        <w:t>u Toit</w:t>
      </w:r>
      <w:r w:rsidRPr="00993E21">
        <w:t xml:space="preserve">, B, M (2019). </w:t>
      </w:r>
      <w:r w:rsidRPr="00993E21">
        <w:rPr>
          <w:rFonts w:eastAsiaTheme="majorEastAsia"/>
        </w:rPr>
        <w:t>Ethnicity In Modern Afric</w:t>
      </w:r>
      <w:r w:rsidRPr="00993E21">
        <w:t>a. Routledge: London.</w:t>
      </w:r>
    </w:p>
    <w:p w14:paraId="0379B417" w14:textId="77777777" w:rsidR="00993E21" w:rsidRPr="00993E21" w:rsidRDefault="00993E21" w:rsidP="00993E21">
      <w:pPr>
        <w:spacing w:line="360" w:lineRule="auto"/>
        <w:ind w:hanging="720"/>
      </w:pPr>
      <w:r w:rsidRPr="00993E21">
        <w:t>Durkheim, E.</w:t>
      </w:r>
      <w:r w:rsidRPr="00993E21">
        <w:rPr>
          <w:rFonts w:eastAsiaTheme="majorEastAsia"/>
        </w:rPr>
        <w:t> </w:t>
      </w:r>
      <w:r w:rsidRPr="00993E21">
        <w:t>(1938).</w:t>
      </w:r>
      <w:r w:rsidRPr="00993E21">
        <w:rPr>
          <w:rFonts w:eastAsiaTheme="majorEastAsia"/>
        </w:rPr>
        <w:t> </w:t>
      </w:r>
      <w:r w:rsidRPr="00993E21">
        <w:t>The rules of sociological method (8th ed.). London: Routledge.</w:t>
      </w:r>
    </w:p>
    <w:p w14:paraId="6EFE984A" w14:textId="77777777" w:rsidR="00993E21" w:rsidRPr="00993E21" w:rsidRDefault="00993E21" w:rsidP="00993E21">
      <w:pPr>
        <w:spacing w:line="360" w:lineRule="auto"/>
        <w:ind w:hanging="720"/>
      </w:pPr>
      <w:r w:rsidRPr="00993E21">
        <w:t>Engels, F and Marx, K. (1867: 1996). Das Kapital. Regnery Publishing: Washington.D.C.</w:t>
      </w:r>
    </w:p>
    <w:p w14:paraId="38254917" w14:textId="77777777" w:rsidR="00993E21" w:rsidRPr="00993E21" w:rsidRDefault="00993E21" w:rsidP="00993E21">
      <w:pPr>
        <w:spacing w:line="360" w:lineRule="auto"/>
        <w:ind w:hanging="720"/>
      </w:pPr>
      <w:r w:rsidRPr="00993E21">
        <w:t>Engels, F., and Marx, K. (1848). The communist manifesto. London; J E Burghard.</w:t>
      </w:r>
    </w:p>
    <w:p w14:paraId="0971DB17" w14:textId="77777777" w:rsidR="00993E21" w:rsidRPr="00993E21" w:rsidRDefault="00993E21" w:rsidP="00993E21">
      <w:pPr>
        <w:spacing w:line="360" w:lineRule="auto"/>
        <w:ind w:hanging="720"/>
      </w:pPr>
      <w:r w:rsidRPr="00993E21">
        <w:t xml:space="preserve">Equality and Human Rights Commission (EHRC) (2016). Sexual orientation discrimination. Available at: </w:t>
      </w:r>
      <w:hyperlink r:id="rId36" w:anchor=":~:text=The%20Equality%20Act%202010%20says,known%20as%20discrimination%20by%20perception)" w:history="1">
        <w:r w:rsidRPr="00993E21">
          <w:rPr>
            <w:rStyle w:val="Hyperlink"/>
          </w:rPr>
          <w:t>https://www.equalityhumanrights.com/equality/equality-act-2010/your-rights-under-equality-act-2010/sexual-orientation-discrimination - :~:text=The Equality Act 2010 says,known as discrimination by perception)</w:t>
        </w:r>
      </w:hyperlink>
      <w:r w:rsidRPr="00993E21">
        <w:t xml:space="preserve"> [Assessed on 15</w:t>
      </w:r>
      <w:r w:rsidRPr="00993E21">
        <w:rPr>
          <w:vertAlign w:val="superscript"/>
        </w:rPr>
        <w:t>th</w:t>
      </w:r>
      <w:r w:rsidRPr="00993E21">
        <w:t xml:space="preserve"> November 2024]. </w:t>
      </w:r>
    </w:p>
    <w:p w14:paraId="6FEEABC3" w14:textId="77777777" w:rsidR="00993E21" w:rsidRPr="00993E21" w:rsidRDefault="00993E21" w:rsidP="00993E21">
      <w:pPr>
        <w:spacing w:line="360" w:lineRule="auto"/>
        <w:ind w:hanging="720"/>
      </w:pPr>
      <w:r w:rsidRPr="00993E21">
        <w:t xml:space="preserve">Equality and Human Rights Commission (EHRC) (2020a). Disability Discrimination. Available at: </w:t>
      </w:r>
      <w:hyperlink r:id="rId37" w:anchor=":~:text=The%20Equality%20Act%202010%20says,known%20as%20discrimination%20by%20association)" w:history="1">
        <w:r w:rsidRPr="00993E21">
          <w:rPr>
            <w:rStyle w:val="Hyperlink"/>
          </w:rPr>
          <w:t>https://www.equalityhumanrights.com/equality/equality-act-2010/your-rights-under-equality-act-2010/disability-discrimination - :~:text=The Equality Act 2010 says,known as discrimination by association)</w:t>
        </w:r>
      </w:hyperlink>
      <w:r w:rsidRPr="00993E21">
        <w:t xml:space="preserve"> [Assessed on 15</w:t>
      </w:r>
      <w:r w:rsidRPr="00993E21">
        <w:rPr>
          <w:vertAlign w:val="superscript"/>
        </w:rPr>
        <w:t>th</w:t>
      </w:r>
      <w:r w:rsidRPr="00993E21">
        <w:t xml:space="preserve"> November 2024]. </w:t>
      </w:r>
    </w:p>
    <w:p w14:paraId="324050B3" w14:textId="77777777" w:rsidR="00993E21" w:rsidRPr="00993E21" w:rsidRDefault="00993E21" w:rsidP="00993E21">
      <w:pPr>
        <w:spacing w:line="360" w:lineRule="auto"/>
        <w:ind w:hanging="720"/>
      </w:pPr>
      <w:r w:rsidRPr="00993E21">
        <w:lastRenderedPageBreak/>
        <w:t xml:space="preserve">Equality and Human Rights Commission (EHRC) (2020b). Race Discrimination. Available at: </w:t>
      </w:r>
      <w:hyperlink r:id="rId38" w:anchor=":~:text=The%20Equality%20Act%202010%20says,same%20as%20your%20current%20nationality." w:history="1">
        <w:r w:rsidRPr="00993E21">
          <w:rPr>
            <w:rStyle w:val="Hyperlink"/>
          </w:rPr>
          <w:t>https://www.equalityhumanrights.com/equality/equality-act-2010/your-rights-under-equality-act-2010/race-discrimination - :~:text=The Equality Act 2010 says,same as your current nationality.</w:t>
        </w:r>
      </w:hyperlink>
      <w:r w:rsidRPr="00993E21">
        <w:t xml:space="preserve"> [Assessed on 15</w:t>
      </w:r>
      <w:r w:rsidRPr="00993E21">
        <w:rPr>
          <w:vertAlign w:val="superscript"/>
        </w:rPr>
        <w:t>th</w:t>
      </w:r>
      <w:r w:rsidRPr="00993E21">
        <w:t xml:space="preserve"> November 2024]. </w:t>
      </w:r>
    </w:p>
    <w:p w14:paraId="6864BC6A" w14:textId="77777777" w:rsidR="00993E21" w:rsidRPr="00993E21" w:rsidRDefault="00993E21" w:rsidP="00993E21">
      <w:pPr>
        <w:spacing w:line="360" w:lineRule="auto"/>
        <w:ind w:hanging="720"/>
      </w:pPr>
      <w:r w:rsidRPr="00993E21">
        <w:t xml:space="preserve">Equality and Human Rights Commission (EHRC) (2023a). Gender Reassignment Discrimination. Available at: </w:t>
      </w:r>
      <w:hyperlink r:id="rId39" w:anchor=":~:text=In%20the%20Equality%20Act%2C%20gender,sex%20to%20your%20preferred%20gender." w:history="1">
        <w:r w:rsidRPr="00993E21">
          <w:rPr>
            <w:rStyle w:val="Hyperlink"/>
          </w:rPr>
          <w:t>https://www.equalityhumanrights.com/equality/equality-act-2010/your-rights-under-equality-act-2010/gender-reassignment-discrimination - :~:text=In the Equality Act, gender,sex to your preferred gender.</w:t>
        </w:r>
      </w:hyperlink>
      <w:r w:rsidRPr="00993E21">
        <w:t xml:space="preserve"> [Assessed on 15</w:t>
      </w:r>
      <w:r w:rsidRPr="00993E21">
        <w:rPr>
          <w:vertAlign w:val="superscript"/>
        </w:rPr>
        <w:t>th</w:t>
      </w:r>
      <w:r w:rsidRPr="00993E21">
        <w:t xml:space="preserve"> November 2024]. </w:t>
      </w:r>
    </w:p>
    <w:p w14:paraId="7B9D2318" w14:textId="77777777" w:rsidR="00993E21" w:rsidRPr="00993E21" w:rsidRDefault="00993E21" w:rsidP="00993E21">
      <w:pPr>
        <w:spacing w:line="360" w:lineRule="auto"/>
        <w:ind w:hanging="720"/>
      </w:pPr>
      <w:r w:rsidRPr="00993E21">
        <w:t xml:space="preserve">Equality and Human Rights Commission (EHRC) (2023b). Marriage and civil partnership discrimination. Available at: </w:t>
      </w:r>
      <w:hyperlink r:id="rId40" w:anchor=":~:text=The%20Equality%20Act%20says%20you,single" w:history="1">
        <w:r w:rsidRPr="00993E21">
          <w:rPr>
            <w:rStyle w:val="Hyperlink"/>
          </w:rPr>
          <w:t>https://www.equalityhumanrights.com/equality/equality-act-2010/your-rights-under-equality-act-2010/marriage-and-civil-partnership - :~:text=The Equality Act says you,single</w:t>
        </w:r>
      </w:hyperlink>
      <w:r w:rsidRPr="00993E21">
        <w:t xml:space="preserve"> [Assessed on 15</w:t>
      </w:r>
      <w:r w:rsidRPr="00993E21">
        <w:rPr>
          <w:vertAlign w:val="superscript"/>
        </w:rPr>
        <w:t>th</w:t>
      </w:r>
      <w:r w:rsidRPr="00993E21">
        <w:t xml:space="preserve"> November 2024]. </w:t>
      </w:r>
    </w:p>
    <w:p w14:paraId="5B998CBF" w14:textId="77777777" w:rsidR="00993E21" w:rsidRDefault="00993E21" w:rsidP="00993E21">
      <w:pPr>
        <w:spacing w:line="360" w:lineRule="auto"/>
        <w:ind w:hanging="720"/>
      </w:pPr>
      <w:r w:rsidRPr="00993E21">
        <w:t xml:space="preserve">Equality and Human Rights Commission (EHRC) (2023c). Religion or belief discrimination. Available at: </w:t>
      </w:r>
      <w:hyperlink r:id="rId41" w:anchor=":~:text=The%20Equality%20Act%202010%20says,known%20as%20discrimination%20by%20perception)" w:history="1">
        <w:r w:rsidRPr="00993E21">
          <w:rPr>
            <w:rStyle w:val="Hyperlink"/>
          </w:rPr>
          <w:t>https://www.equalityhumanrights.com/equality/equality-act-2010/your-rights-under-equality-act-2010/religion-or-belief-discrimination - :~:text=The Equality Act 2010 says,known as discrimination by perception)</w:t>
        </w:r>
      </w:hyperlink>
      <w:r w:rsidRPr="00993E21">
        <w:t xml:space="preserve"> [Assessed on 15</w:t>
      </w:r>
      <w:r w:rsidRPr="00993E21">
        <w:rPr>
          <w:vertAlign w:val="superscript"/>
        </w:rPr>
        <w:t>th</w:t>
      </w:r>
      <w:r w:rsidRPr="00993E21">
        <w:t xml:space="preserve"> November 2024]. </w:t>
      </w:r>
    </w:p>
    <w:p w14:paraId="12E27ACC" w14:textId="39C87E14" w:rsidR="00993E21" w:rsidRPr="00993E21" w:rsidRDefault="00993E21" w:rsidP="00993E21">
      <w:pPr>
        <w:spacing w:line="360" w:lineRule="auto"/>
        <w:ind w:hanging="720"/>
      </w:pPr>
      <w:r w:rsidRPr="00993E21">
        <w:rPr>
          <w:color w:val="000000"/>
        </w:rPr>
        <w:t xml:space="preserve">Equality and Human Rights Commission, (2021) Protected Characteristics. Available at: </w:t>
      </w:r>
      <w:hyperlink r:id="rId42" w:history="1">
        <w:r w:rsidRPr="00993E21">
          <w:rPr>
            <w:rStyle w:val="Hyperlink"/>
          </w:rPr>
          <w:t>https://www.equalityhumanrights.com/equality/equality-act-2010/protected-characteristics</w:t>
        </w:r>
      </w:hyperlink>
      <w:r w:rsidRPr="00993E21">
        <w:rPr>
          <w:color w:val="000000"/>
        </w:rPr>
        <w:t xml:space="preserve"> [Assessed on 03 November 2024]. </w:t>
      </w:r>
    </w:p>
    <w:p w14:paraId="158DA59A" w14:textId="77777777" w:rsidR="00993E21" w:rsidRPr="00993E21" w:rsidRDefault="00993E21" w:rsidP="00993E21">
      <w:pPr>
        <w:spacing w:line="360" w:lineRule="auto"/>
        <w:ind w:hanging="720"/>
      </w:pPr>
      <w:r w:rsidRPr="00993E21">
        <w:t>Evans, S. and Wyatt, M. (2024), "Work-Life Balance and Social Class", Wilkinson, K. and Woolnough, H. (Ed.) </w:t>
      </w:r>
      <w:r w:rsidRPr="00993E21">
        <w:rPr>
          <w:i/>
          <w:iCs/>
        </w:rPr>
        <w:t>Work-Life Inclusion: Broadening Perspectives Across the Life-Course</w:t>
      </w:r>
      <w:r w:rsidRPr="00993E21">
        <w:t>, Emerald Publishing Limited, Leeds, pp. 11-25. </w:t>
      </w:r>
      <w:hyperlink r:id="rId43" w:tooltip="DOI: https://doi.org/10.1108/978-1-80382-219-820241002" w:history="1">
        <w:r w:rsidRPr="00993E21">
          <w:rPr>
            <w:rStyle w:val="Hyperlink"/>
          </w:rPr>
          <w:t>https://doi.org/10.1108/978-1-80382-219-820241002</w:t>
        </w:r>
      </w:hyperlink>
      <w:r w:rsidRPr="00993E21">
        <w:t xml:space="preserve"> [Assessed on 12</w:t>
      </w:r>
      <w:r w:rsidRPr="00993E21">
        <w:rPr>
          <w:vertAlign w:val="superscript"/>
        </w:rPr>
        <w:t>th</w:t>
      </w:r>
      <w:r w:rsidRPr="00993E21">
        <w:t xml:space="preserve"> November 2024].</w:t>
      </w:r>
    </w:p>
    <w:p w14:paraId="7616AEFA" w14:textId="77777777" w:rsidR="00993E21" w:rsidRPr="00993E21" w:rsidRDefault="00993E21" w:rsidP="00993E21">
      <w:pPr>
        <w:spacing w:line="360" w:lineRule="auto"/>
        <w:ind w:hanging="720"/>
      </w:pPr>
      <w:r w:rsidRPr="00993E21">
        <w:t xml:space="preserve">Farquharson, C., McNally, S. and Tahir, I. (2022), ‘Education Inequalities’, IFS Deaton Review of Inequalities. Available at: </w:t>
      </w:r>
      <w:hyperlink r:id="rId44" w:history="1">
        <w:r w:rsidRPr="00993E21">
          <w:rPr>
            <w:rStyle w:val="Hyperlink"/>
          </w:rPr>
          <w:t>https://ifs.org.uk/inequality/wp-content/uploads/2022/08/Education-inequalities.pdf</w:t>
        </w:r>
      </w:hyperlink>
      <w:r w:rsidRPr="00993E21">
        <w:t xml:space="preserve"> [Assessed on 02 November 2024].</w:t>
      </w:r>
    </w:p>
    <w:p w14:paraId="51B9FC72" w14:textId="77777777" w:rsidR="00993E21" w:rsidRDefault="00993E21" w:rsidP="00993E21">
      <w:pPr>
        <w:spacing w:line="360" w:lineRule="auto"/>
        <w:ind w:hanging="720"/>
        <w:jc w:val="both"/>
      </w:pPr>
      <w:r w:rsidRPr="00993E21">
        <w:t>Feast, P., Hand, J., and Chamberlain, J. M. (2015). Enigmas of the Equality Act 2010-"Three uneasy pieces". </w:t>
      </w:r>
      <w:r w:rsidRPr="00993E21">
        <w:rPr>
          <w:i/>
          <w:iCs/>
        </w:rPr>
        <w:t>Cogent Social Sciences</w:t>
      </w:r>
      <w:r w:rsidRPr="00993E21">
        <w:t>, </w:t>
      </w:r>
      <w:r w:rsidRPr="00993E21">
        <w:rPr>
          <w:i/>
          <w:iCs/>
        </w:rPr>
        <w:t>1</w:t>
      </w:r>
      <w:r w:rsidRPr="00993E21">
        <w:t xml:space="preserve">(1), 1–9. </w:t>
      </w:r>
      <w:hyperlink r:id="rId45" w:history="1">
        <w:r w:rsidRPr="00993E21">
          <w:rPr>
            <w:rStyle w:val="Hyperlink"/>
          </w:rPr>
          <w:t>https://doi.org/10.1080/23311886.2015.1123085</w:t>
        </w:r>
      </w:hyperlink>
      <w:r w:rsidRPr="00993E21">
        <w:t xml:space="preserve"> [Assessed om 07th November 2024].</w:t>
      </w:r>
    </w:p>
    <w:p w14:paraId="41BEF773" w14:textId="3783AE14" w:rsidR="00993E21" w:rsidRPr="00993E21" w:rsidRDefault="00993E21" w:rsidP="00993E21">
      <w:pPr>
        <w:spacing w:line="360" w:lineRule="auto"/>
        <w:ind w:hanging="720"/>
        <w:jc w:val="both"/>
      </w:pPr>
      <w:r w:rsidRPr="00993E21">
        <w:t>Foucault, M. (1988). Power Knowledge. New York: Random House.</w:t>
      </w:r>
    </w:p>
    <w:p w14:paraId="5627BC29" w14:textId="77777777" w:rsidR="00993E21" w:rsidRPr="00993E21" w:rsidRDefault="00993E21" w:rsidP="00993E21">
      <w:pPr>
        <w:spacing w:line="360" w:lineRule="auto"/>
        <w:ind w:hanging="720"/>
      </w:pPr>
      <w:r w:rsidRPr="00993E21">
        <w:t xml:space="preserve">Foucault, M., 1926-1984. (1977). Discipline and punish: the birth of the prison. New York: Pantheon Books. </w:t>
      </w:r>
    </w:p>
    <w:p w14:paraId="4D6A5260" w14:textId="77777777" w:rsidR="00993E21" w:rsidRPr="00993E21" w:rsidRDefault="00993E21" w:rsidP="00993E21">
      <w:pPr>
        <w:spacing w:line="360" w:lineRule="auto"/>
        <w:ind w:hanging="720"/>
      </w:pPr>
      <w:r w:rsidRPr="00993E21">
        <w:lastRenderedPageBreak/>
        <w:t xml:space="preserve">Fraenkel, M (2018). Tribe and Class in Monrovia </w:t>
      </w:r>
      <w:r w:rsidRPr="00993E21">
        <w:rPr>
          <w:i/>
          <w:iCs/>
        </w:rPr>
        <w:t xml:space="preserve">(African Ethnographic Studies of the 20th </w:t>
      </w:r>
      <w:r w:rsidRPr="00993E21">
        <w:rPr>
          <w:rFonts w:eastAsiaTheme="majorEastAsia"/>
        </w:rPr>
        <w:t>Century Book 29)</w:t>
      </w:r>
      <w:r w:rsidRPr="00993E21">
        <w:t xml:space="preserve">. Routledge: London. </w:t>
      </w:r>
    </w:p>
    <w:p w14:paraId="02E712C8" w14:textId="77777777" w:rsidR="00993E21" w:rsidRPr="00993E21" w:rsidRDefault="00993E21" w:rsidP="00993E21">
      <w:pPr>
        <w:spacing w:line="360" w:lineRule="auto"/>
        <w:ind w:hanging="720"/>
      </w:pPr>
      <w:r w:rsidRPr="00993E21">
        <w:t>Friedman, S. (2020). The Class Ceiling: Why it Pays to be Privileged</w:t>
      </w:r>
    </w:p>
    <w:p w14:paraId="75C83754" w14:textId="77777777" w:rsidR="00993E21" w:rsidRPr="00993E21" w:rsidRDefault="00993E21" w:rsidP="00993E21">
      <w:pPr>
        <w:spacing w:line="360" w:lineRule="auto"/>
        <w:ind w:hanging="720"/>
      </w:pPr>
      <w:r w:rsidRPr="00993E21">
        <w:t>Friedman, S., and Laurison, D (2020). The Class Ceiling: Why it Pays to be Privileged, </w:t>
      </w:r>
      <w:r w:rsidRPr="00993E21">
        <w:rPr>
          <w:i/>
          <w:iCs/>
        </w:rPr>
        <w:t>Social Forces</w:t>
      </w:r>
      <w:r w:rsidRPr="00993E21">
        <w:t>, Vol 99, (1), Page E5, </w:t>
      </w:r>
      <w:hyperlink r:id="rId46" w:history="1">
        <w:r w:rsidRPr="00993E21">
          <w:rPr>
            <w:rStyle w:val="Hyperlink"/>
          </w:rPr>
          <w:t>https://doi.org/10.1093/sf/soz170</w:t>
        </w:r>
      </w:hyperlink>
      <w:r w:rsidRPr="00993E21">
        <w:t xml:space="preserve"> [Assessed on 07</w:t>
      </w:r>
      <w:r w:rsidRPr="00993E21">
        <w:rPr>
          <w:vertAlign w:val="superscript"/>
        </w:rPr>
        <w:t>th</w:t>
      </w:r>
      <w:r w:rsidRPr="00993E21">
        <w:t xml:space="preserve"> November 2024]. </w:t>
      </w:r>
    </w:p>
    <w:p w14:paraId="1CFF85F6" w14:textId="77777777" w:rsidR="00993E21" w:rsidRPr="00993E21" w:rsidRDefault="00993E21" w:rsidP="00993E21">
      <w:pPr>
        <w:spacing w:line="360" w:lineRule="auto"/>
        <w:ind w:hanging="720"/>
      </w:pPr>
      <w:r w:rsidRPr="00993E21">
        <w:t>Frowde, R., Dove, E.S. and Laurie, G.T (2020). Fail to Prepare and you Prepare to Fail: The Human Rights Consequences of the UK Government’s Inaction during the COVID-19 Pandemic.</w:t>
      </w:r>
      <w:r w:rsidRPr="00993E21">
        <w:rPr>
          <w:i/>
          <w:iCs/>
        </w:rPr>
        <w:t>ABR</w:t>
      </w:r>
      <w:r w:rsidRPr="00993E21">
        <w:t> </w:t>
      </w:r>
      <w:r w:rsidRPr="00993E21">
        <w:rPr>
          <w:b/>
          <w:bCs/>
        </w:rPr>
        <w:t>12</w:t>
      </w:r>
      <w:r w:rsidRPr="00993E21">
        <w:t xml:space="preserve">, 459–480. </w:t>
      </w:r>
      <w:hyperlink r:id="rId47" w:history="1">
        <w:r w:rsidRPr="00993E21">
          <w:rPr>
            <w:rStyle w:val="Hyperlink"/>
          </w:rPr>
          <w:t>https://doi.org/10.1007/s41649-020-00151-1</w:t>
        </w:r>
      </w:hyperlink>
      <w:r w:rsidRPr="00993E21">
        <w:t xml:space="preserve"> [Assessed on 12</w:t>
      </w:r>
      <w:r w:rsidRPr="00993E21">
        <w:rPr>
          <w:vertAlign w:val="superscript"/>
        </w:rPr>
        <w:t>th</w:t>
      </w:r>
      <w:r w:rsidRPr="00993E21">
        <w:t xml:space="preserve"> November 2024]. </w:t>
      </w:r>
    </w:p>
    <w:p w14:paraId="11C2DCC0" w14:textId="77777777" w:rsidR="00993E21" w:rsidRPr="00993E21" w:rsidRDefault="00993E21" w:rsidP="00993E21">
      <w:pPr>
        <w:spacing w:line="360" w:lineRule="auto"/>
        <w:ind w:hanging="720"/>
      </w:pPr>
      <w:r w:rsidRPr="00993E21">
        <w:t xml:space="preserve">Galbraith, J, K (2016). Inequality What Everyone Needs to Know. Oxford University Press: Oxford. </w:t>
      </w:r>
    </w:p>
    <w:p w14:paraId="7B9B75EE" w14:textId="77777777" w:rsidR="00993E21" w:rsidRPr="00993E21" w:rsidRDefault="00993E21" w:rsidP="00993E21">
      <w:pPr>
        <w:spacing w:line="360" w:lineRule="auto"/>
        <w:ind w:hanging="720"/>
      </w:pPr>
      <w:r w:rsidRPr="00993E21">
        <w:rPr>
          <w:rFonts w:eastAsiaTheme="majorEastAsia"/>
        </w:rPr>
        <w:t>García</w:t>
      </w:r>
      <w:r w:rsidRPr="00993E21">
        <w:t>, E</w:t>
      </w:r>
      <w:r w:rsidRPr="00993E21">
        <w:rPr>
          <w:rFonts w:eastAsiaTheme="majorEastAsia"/>
        </w:rPr>
        <w:t> </w:t>
      </w:r>
      <w:r w:rsidRPr="00993E21">
        <w:t>and</w:t>
      </w:r>
      <w:r w:rsidRPr="00993E21">
        <w:rPr>
          <w:rFonts w:eastAsiaTheme="majorEastAsia"/>
        </w:rPr>
        <w:t> Weiss</w:t>
      </w:r>
      <w:r w:rsidRPr="00993E21">
        <w:t xml:space="preserve">, E (2017). </w:t>
      </w:r>
      <w:r w:rsidRPr="00993E21">
        <w:rPr>
          <w:rFonts w:eastAsiaTheme="majorEastAsia"/>
        </w:rPr>
        <w:t>Education inequalities at the school starting gateGaps, trends, and strategies to address them</w:t>
      </w:r>
      <w:r w:rsidRPr="00993E21">
        <w:t xml:space="preserve">. </w:t>
      </w:r>
      <w:r w:rsidRPr="00993E21">
        <w:rPr>
          <w:i/>
          <w:iCs/>
        </w:rPr>
        <w:t xml:space="preserve">Economic Policy Institute. </w:t>
      </w:r>
      <w:r w:rsidRPr="00993E21">
        <w:t xml:space="preserve">Available at: </w:t>
      </w:r>
      <w:hyperlink r:id="rId48" w:history="1">
        <w:r w:rsidRPr="00993E21">
          <w:rPr>
            <w:rStyle w:val="Hyperlink"/>
          </w:rPr>
          <w:t>https://www.epi.org/publication/education-inequalities-at-the-school-starting-gate/</w:t>
        </w:r>
      </w:hyperlink>
      <w:r w:rsidRPr="00993E21">
        <w:t xml:space="preserve"> [Assessed on 08</w:t>
      </w:r>
      <w:r w:rsidRPr="00993E21">
        <w:rPr>
          <w:vertAlign w:val="superscript"/>
        </w:rPr>
        <w:t>th</w:t>
      </w:r>
      <w:r w:rsidRPr="00993E21">
        <w:t xml:space="preserve"> November 2024]. </w:t>
      </w:r>
    </w:p>
    <w:p w14:paraId="160836E8" w14:textId="0201C454" w:rsidR="00993E21" w:rsidRPr="00993E21" w:rsidRDefault="00993E21" w:rsidP="00993E21">
      <w:pPr>
        <w:spacing w:line="360" w:lineRule="auto"/>
        <w:ind w:hanging="720"/>
      </w:pPr>
      <w:r w:rsidRPr="00993E21">
        <w:t>Garden, R. (2021). Unmasking Inequality in Our Pandemic Narratives. </w:t>
      </w:r>
      <w:r w:rsidRPr="00993E21">
        <w:rPr>
          <w:i/>
          <w:iCs/>
        </w:rPr>
        <w:t>Literature and Medicine</w:t>
      </w:r>
      <w:r w:rsidRPr="00993E21">
        <w:t>, </w:t>
      </w:r>
      <w:r w:rsidRPr="00993E21">
        <w:rPr>
          <w:i/>
          <w:iCs/>
        </w:rPr>
        <w:t>39</w:t>
      </w:r>
      <w:r w:rsidRPr="00993E21">
        <w:t xml:space="preserve">(2), 219–226. </w:t>
      </w:r>
      <w:hyperlink r:id="rId49" w:history="1">
        <w:r w:rsidRPr="00993E21">
          <w:rPr>
            <w:rStyle w:val="Hyperlink"/>
          </w:rPr>
          <w:t>https://doi.org/10.1353/lm.2021.0021</w:t>
        </w:r>
      </w:hyperlink>
      <w:r w:rsidRPr="00993E21">
        <w:t xml:space="preserve"> [Assessed on 07th November 2024].</w:t>
      </w:r>
    </w:p>
    <w:p w14:paraId="542F171B" w14:textId="77777777" w:rsidR="00993E21" w:rsidRPr="00993E21" w:rsidRDefault="00993E21" w:rsidP="00993E21">
      <w:pPr>
        <w:spacing w:line="360" w:lineRule="auto"/>
        <w:ind w:hanging="720"/>
      </w:pPr>
      <w:r w:rsidRPr="00993E21">
        <w:t>Gardner, J (2018). Equality for the few:</w:t>
      </w:r>
      <w:r w:rsidRPr="00993E21">
        <w:br/>
        <w:t xml:space="preserve">A critical analysis of the Equality Act 2010 (U.K) from the perspective of gender equality in the workplace. Available at: </w:t>
      </w:r>
      <w:hyperlink r:id="rId50" w:history="1">
        <w:r w:rsidRPr="00993E21">
          <w:rPr>
            <w:rStyle w:val="Hyperlink"/>
          </w:rPr>
          <w:t>https://www.diva-portal.org/smash/get/diva2:1268845/FULLTEXT01.pdf</w:t>
        </w:r>
      </w:hyperlink>
      <w:r w:rsidRPr="00993E21">
        <w:t xml:space="preserve"> [Assessed on 07th November 2024]. </w:t>
      </w:r>
    </w:p>
    <w:p w14:paraId="2D9642D2" w14:textId="77777777" w:rsidR="00993E21" w:rsidRPr="00993E21" w:rsidRDefault="00993E21" w:rsidP="00993E21">
      <w:pPr>
        <w:spacing w:line="360" w:lineRule="auto"/>
        <w:ind w:hanging="720"/>
      </w:pPr>
      <w:r w:rsidRPr="00993E21">
        <w:t xml:space="preserve">Garth, B, G and Sterling, J. (2018). Diversity, Hierarchy, and Fit in Legal Careers: Insights from Fifteen Years of Qualitative Interviews. Available at: </w:t>
      </w:r>
      <w:hyperlink r:id="rId51" w:history="1">
        <w:r w:rsidRPr="00993E21">
          <w:rPr>
            <w:rStyle w:val="Hyperlink"/>
          </w:rPr>
          <w:t>https://heinonline.org/HOL/LandingPage?handle=hein.journals/geojlege31&amp;div=8&amp;id=&amp;page=</w:t>
        </w:r>
      </w:hyperlink>
      <w:r w:rsidRPr="00993E21">
        <w:t xml:space="preserve"> [Assessed on 08</w:t>
      </w:r>
      <w:r w:rsidRPr="00993E21">
        <w:rPr>
          <w:vertAlign w:val="superscript"/>
        </w:rPr>
        <w:t>th</w:t>
      </w:r>
      <w:r w:rsidRPr="00993E21">
        <w:t xml:space="preserve"> November 2024]. </w:t>
      </w:r>
    </w:p>
    <w:p w14:paraId="1D4511A2" w14:textId="77777777" w:rsidR="00993E21" w:rsidRDefault="00993E21" w:rsidP="00993E21">
      <w:pPr>
        <w:spacing w:line="360" w:lineRule="auto"/>
        <w:ind w:hanging="720"/>
      </w:pPr>
      <w:r w:rsidRPr="00993E21">
        <w:t>Goffman, E. (1963). Stigma: Notes on the Management of Spoiled Identity. New York: Simon &amp; Schuster.</w:t>
      </w:r>
    </w:p>
    <w:p w14:paraId="065BDC0B" w14:textId="07FD58D1" w:rsidR="00993E21" w:rsidRPr="00993E21" w:rsidRDefault="00993E21" w:rsidP="00993E21">
      <w:pPr>
        <w:spacing w:line="360" w:lineRule="auto"/>
        <w:ind w:hanging="720"/>
      </w:pPr>
      <w:r w:rsidRPr="00993E21">
        <w:t xml:space="preserve">Gore, T., Bimpson, E., Dobson, j., and Parkes, S (2021) Local Government Resposes to the Covid-19 Pandemic in the UK: A Thematic Review. Centre for Regional Economic and Social Research, Sheffield Hallam University. Available at: </w:t>
      </w:r>
      <w:hyperlink r:id="rId52" w:history="1">
        <w:r w:rsidRPr="00993E21">
          <w:rPr>
            <w:rStyle w:val="Hyperlink"/>
          </w:rPr>
          <w:t>https://shura.shu.ac.uk/29300/1/local-government-responses-to-COVID.pdf</w:t>
        </w:r>
      </w:hyperlink>
      <w:r w:rsidRPr="00993E21">
        <w:t xml:space="preserve"> [Assessed on 12</w:t>
      </w:r>
      <w:r w:rsidRPr="00993E21">
        <w:rPr>
          <w:vertAlign w:val="superscript"/>
        </w:rPr>
        <w:t>th</w:t>
      </w:r>
      <w:r w:rsidRPr="00993E21">
        <w:t xml:space="preserve"> November 2024].  </w:t>
      </w:r>
    </w:p>
    <w:p w14:paraId="0D1544BA" w14:textId="77777777" w:rsidR="00993E21" w:rsidRPr="00993E21" w:rsidRDefault="00993E21" w:rsidP="00993E21">
      <w:pPr>
        <w:spacing w:line="360" w:lineRule="auto"/>
        <w:ind w:hanging="720"/>
      </w:pPr>
      <w:r w:rsidRPr="00993E21">
        <w:lastRenderedPageBreak/>
        <w:t xml:space="preserve">Hamidi, S, and Hamidi, I (2021). Subway Ridership, Crowding, or Population Density: Determinants of COVID-19 Infection Rates in New York City, </w:t>
      </w:r>
      <w:r w:rsidRPr="00993E21">
        <w:rPr>
          <w:i/>
          <w:iCs/>
        </w:rPr>
        <w:t>American Journal of Preventive Medicine,</w:t>
      </w:r>
      <w:r w:rsidRPr="00993E21">
        <w:t xml:space="preserve"> (60), Issue 5, Pp, 614-620.</w:t>
      </w:r>
    </w:p>
    <w:p w14:paraId="03FA45ED" w14:textId="77777777" w:rsidR="00993E21" w:rsidRPr="00993E21" w:rsidRDefault="00993E21" w:rsidP="00993E21">
      <w:pPr>
        <w:spacing w:line="360" w:lineRule="auto"/>
        <w:ind w:hanging="720"/>
      </w:pPr>
      <w:r w:rsidRPr="00993E21">
        <w:t xml:space="preserve">Heath, A, and Li, Y (2023). Social Mobility. Polity Press: Cambrisge. </w:t>
      </w:r>
    </w:p>
    <w:p w14:paraId="33594AF9" w14:textId="356FCD9A" w:rsidR="00993E21" w:rsidRPr="00993E21" w:rsidRDefault="00993E21" w:rsidP="00993E21">
      <w:pPr>
        <w:spacing w:line="360" w:lineRule="auto"/>
        <w:ind w:hanging="720"/>
      </w:pPr>
      <w:r w:rsidRPr="00993E21">
        <w:t xml:space="preserve">Hoff, K. (2016). Caste System. </w:t>
      </w:r>
      <w:r w:rsidRPr="00993E21">
        <w:rPr>
          <w:i/>
          <w:iCs/>
        </w:rPr>
        <w:t>World Bank Policy Research Working Paper</w:t>
      </w:r>
      <w:r w:rsidRPr="00993E21">
        <w:t xml:space="preserve"> 7929, Available at:  </w:t>
      </w:r>
      <w:hyperlink r:id="rId53" w:tgtFrame="_blank" w:history="1">
        <w:r w:rsidRPr="00993E21">
          <w:rPr>
            <w:rStyle w:val="Hyperlink"/>
          </w:rPr>
          <w:t>https://ssrn.com/abstract=2890712</w:t>
        </w:r>
      </w:hyperlink>
      <w:r w:rsidRPr="00993E21">
        <w:t xml:space="preserve"> [Assessed on 07</w:t>
      </w:r>
      <w:r w:rsidRPr="00993E21">
        <w:rPr>
          <w:vertAlign w:val="superscript"/>
        </w:rPr>
        <w:t>th</w:t>
      </w:r>
      <w:r w:rsidRPr="00993E21">
        <w:t xml:space="preserve"> November 2024].</w:t>
      </w:r>
    </w:p>
    <w:p w14:paraId="039DFCF1" w14:textId="77777777" w:rsidR="00993E21" w:rsidRPr="00993E21" w:rsidRDefault="00993E21" w:rsidP="00993E21">
      <w:pPr>
        <w:spacing w:line="360" w:lineRule="auto"/>
        <w:ind w:hanging="720"/>
      </w:pPr>
      <w:r w:rsidRPr="00993E21">
        <w:t>Homan, P., Brown, T. H., and King, B. (2021). Structural Intersectionality as a New Direction for Health Disparities Research. </w:t>
      </w:r>
      <w:r w:rsidRPr="00993E21">
        <w:rPr>
          <w:i/>
          <w:iCs/>
        </w:rPr>
        <w:t>Journal of Health and Social Behavior</w:t>
      </w:r>
      <w:r w:rsidRPr="00993E21">
        <w:t>, </w:t>
      </w:r>
      <w:r w:rsidRPr="00993E21">
        <w:rPr>
          <w:i/>
          <w:iCs/>
        </w:rPr>
        <w:t>62</w:t>
      </w:r>
      <w:r w:rsidRPr="00993E21">
        <w:t>(3), 350-370. </w:t>
      </w:r>
      <w:hyperlink r:id="rId54" w:history="1">
        <w:r w:rsidRPr="00993E21">
          <w:rPr>
            <w:rStyle w:val="Hyperlink"/>
          </w:rPr>
          <w:t>https://doi.org/10.1177/00221465211032947</w:t>
        </w:r>
      </w:hyperlink>
    </w:p>
    <w:p w14:paraId="5EFD4BCB" w14:textId="77777777" w:rsidR="00993E21" w:rsidRPr="00993E21" w:rsidRDefault="00993E21" w:rsidP="00993E21">
      <w:pPr>
        <w:spacing w:line="360" w:lineRule="auto"/>
        <w:ind w:hanging="720"/>
      </w:pPr>
      <w:hyperlink r:id="rId55" w:history="1">
        <w:r w:rsidRPr="00993E21">
          <w:rPr>
            <w:rStyle w:val="Hyperlink"/>
          </w:rPr>
          <w:t>https://doi.org/10.1016/j.amepre.2020.11.016</w:t>
        </w:r>
      </w:hyperlink>
      <w:r w:rsidRPr="00993E21">
        <w:t xml:space="preserve"> [Assessed 10th November 2024]. </w:t>
      </w:r>
    </w:p>
    <w:p w14:paraId="365184F6" w14:textId="77777777" w:rsidR="00993E21" w:rsidRPr="00993E21" w:rsidRDefault="00993E21" w:rsidP="00993E21">
      <w:pPr>
        <w:spacing w:line="360" w:lineRule="auto"/>
        <w:ind w:hanging="720"/>
      </w:pPr>
      <w:r w:rsidRPr="00993E21">
        <w:t>Hussain, Z., Rizvi, L. J., and Sheikh, H. (2022). The Equality Act (2010)-pre- and post-pandemic historic development on equality and discrimination issues for employers: review of literature. </w:t>
      </w:r>
      <w:r w:rsidRPr="00993E21">
        <w:rPr>
          <w:i/>
          <w:iCs/>
        </w:rPr>
        <w:t>International Journal of Law and Management</w:t>
      </w:r>
      <w:r w:rsidRPr="00993E21">
        <w:t>, </w:t>
      </w:r>
      <w:r w:rsidRPr="00993E21">
        <w:rPr>
          <w:i/>
          <w:iCs/>
        </w:rPr>
        <w:t>64</w:t>
      </w:r>
      <w:r w:rsidRPr="00993E21">
        <w:t xml:space="preserve">(2), 168–183. </w:t>
      </w:r>
      <w:hyperlink r:id="rId56" w:history="1">
        <w:r w:rsidRPr="00993E21">
          <w:rPr>
            <w:rStyle w:val="Hyperlink"/>
          </w:rPr>
          <w:t>https://doi.org/10.1108/IJLMA-03-2021-0067</w:t>
        </w:r>
      </w:hyperlink>
      <w:r w:rsidRPr="00993E21">
        <w:t xml:space="preserve"> [Assessed on 7th November 2024].</w:t>
      </w:r>
    </w:p>
    <w:p w14:paraId="78F13602" w14:textId="77777777" w:rsidR="00993E21" w:rsidRDefault="00993E21" w:rsidP="00993E21">
      <w:pPr>
        <w:spacing w:line="360" w:lineRule="auto"/>
        <w:ind w:left="720" w:hanging="720"/>
      </w:pPr>
      <w:r w:rsidRPr="00993E21">
        <w:t>Ishimaru, A. M. (2019). Just Schools: Building Equitable Collaborations with Families and</w:t>
      </w:r>
    </w:p>
    <w:p w14:paraId="70669F84" w14:textId="512E5149" w:rsidR="00993E21" w:rsidRPr="00993E21" w:rsidRDefault="00993E21" w:rsidP="00993E21">
      <w:pPr>
        <w:spacing w:line="360" w:lineRule="auto"/>
        <w:ind w:left="720" w:hanging="720"/>
      </w:pPr>
      <w:r w:rsidRPr="00993E21">
        <w:t>Communities. United States: Teachers College Press.</w:t>
      </w:r>
    </w:p>
    <w:p w14:paraId="2C02761A" w14:textId="77777777" w:rsidR="00993E21" w:rsidRPr="00993E21" w:rsidRDefault="00993E21" w:rsidP="00993E21">
      <w:pPr>
        <w:spacing w:line="360" w:lineRule="auto"/>
        <w:ind w:hanging="720"/>
      </w:pPr>
      <w:r w:rsidRPr="00993E21">
        <w:t xml:space="preserve">Jenkins Robinson, K and Beach, S. (2023) School Funding Opportunity Gaps and How They Harm Our Students. Available at: </w:t>
      </w:r>
      <w:hyperlink r:id="rId57" w:history="1">
        <w:r w:rsidRPr="00993E21">
          <w:rPr>
            <w:rStyle w:val="Hyperlink"/>
          </w:rPr>
          <w:t>https://www.law.virginia.edu/sites/default/files/documents/school-funding-opportunity-gaps-aug24.pdf</w:t>
        </w:r>
      </w:hyperlink>
      <w:r w:rsidRPr="00993E21">
        <w:t xml:space="preserve"> [Assessed on 08th November 2024]. </w:t>
      </w:r>
    </w:p>
    <w:p w14:paraId="7579938A" w14:textId="77777777" w:rsidR="00993E21" w:rsidRPr="00993E21" w:rsidRDefault="00993E21" w:rsidP="00993E21">
      <w:pPr>
        <w:spacing w:line="360" w:lineRule="auto"/>
        <w:ind w:hanging="720"/>
        <w:rPr>
          <w:rFonts w:eastAsiaTheme="majorEastAsia"/>
        </w:rPr>
      </w:pPr>
      <w:r w:rsidRPr="00993E21">
        <w:rPr>
          <w:rFonts w:eastAsiaTheme="majorEastAsia"/>
        </w:rPr>
        <w:t>Jodhka</w:t>
      </w:r>
      <w:r w:rsidRPr="00993E21">
        <w:t>, S, S, </w:t>
      </w:r>
      <w:hyperlink r:id="rId58" w:history="1">
        <w:r w:rsidRPr="00993E21">
          <w:rPr>
            <w:rStyle w:val="Hyperlink"/>
            <w:rFonts w:eastAsiaTheme="majorEastAsia"/>
          </w:rPr>
          <w:t>Rehbein</w:t>
        </w:r>
      </w:hyperlink>
      <w:r w:rsidRPr="00993E21">
        <w:t>, M, and</w:t>
      </w:r>
      <w:r w:rsidRPr="00993E21">
        <w:rPr>
          <w:rFonts w:eastAsiaTheme="majorEastAsia"/>
        </w:rPr>
        <w:t xml:space="preserve"> Souza, J (2017). </w:t>
      </w:r>
      <w:r w:rsidRPr="00993E21">
        <w:t>Inequality in Capitalist Societies</w:t>
      </w:r>
      <w:r w:rsidRPr="00993E21">
        <w:rPr>
          <w:rFonts w:eastAsiaTheme="majorEastAsia"/>
        </w:rPr>
        <w:t xml:space="preserve">. Routledge: London. </w:t>
      </w:r>
    </w:p>
    <w:p w14:paraId="541E1C01" w14:textId="77777777" w:rsidR="00993E21" w:rsidRPr="00993E21" w:rsidRDefault="00993E21" w:rsidP="00993E21">
      <w:pPr>
        <w:spacing w:line="360" w:lineRule="auto"/>
        <w:ind w:hanging="720"/>
      </w:pPr>
      <w:r w:rsidRPr="00993E21">
        <w:t xml:space="preserve">Joseph Round Tree Foundation (2024). Changing the Narrative on Wealth Inequality. Available at: </w:t>
      </w:r>
      <w:hyperlink r:id="rId59" w:history="1">
        <w:r w:rsidRPr="00993E21">
          <w:rPr>
            <w:rStyle w:val="Hyperlink"/>
          </w:rPr>
          <w:t>https://www.jrf.org.uk/narrative-change/changing-the-narrative-on-wealth-inequality</w:t>
        </w:r>
      </w:hyperlink>
      <w:r w:rsidRPr="00993E21">
        <w:t xml:space="preserve"> [Assessed on 02 November 2024].</w:t>
      </w:r>
    </w:p>
    <w:p w14:paraId="22252A68" w14:textId="77777777" w:rsidR="00993E21" w:rsidRPr="00993E21" w:rsidRDefault="00993E21" w:rsidP="00993E21">
      <w:pPr>
        <w:spacing w:line="360" w:lineRule="auto"/>
        <w:ind w:hanging="720"/>
      </w:pPr>
      <w:r w:rsidRPr="00993E21">
        <w:t>Kabeer, N (2021). Gender Equality, Inclusive Growth, and Labour Markets. London: Routledge.</w:t>
      </w:r>
    </w:p>
    <w:p w14:paraId="06D89BAC" w14:textId="77777777" w:rsidR="00993E21" w:rsidRPr="00993E21" w:rsidRDefault="00993E21" w:rsidP="00993E21">
      <w:pPr>
        <w:spacing w:line="360" w:lineRule="auto"/>
        <w:ind w:hanging="720"/>
      </w:pPr>
      <w:r w:rsidRPr="00993E21">
        <w:t>Kallunki, K (2023). Social and cultural mobility: rising to the middle class and cultural practices in contemporary Finland, </w:t>
      </w:r>
      <w:r w:rsidRPr="00993E21">
        <w:rPr>
          <w:i/>
          <w:iCs/>
        </w:rPr>
        <w:t>European Sociological Review</w:t>
      </w:r>
      <w:r w:rsidRPr="00993E21">
        <w:t>, Volume 39, Issue 4, Pp 569–585, </w:t>
      </w:r>
      <w:hyperlink r:id="rId60" w:history="1">
        <w:r w:rsidRPr="00993E21">
          <w:rPr>
            <w:rStyle w:val="Hyperlink"/>
          </w:rPr>
          <w:t>https://doi.org/10.1093/esr/jcac049</w:t>
        </w:r>
      </w:hyperlink>
      <w:r w:rsidRPr="00993E21">
        <w:t xml:space="preserve"> [Assessed on 08th November 2024].</w:t>
      </w:r>
    </w:p>
    <w:p w14:paraId="3ED8B854" w14:textId="77777777" w:rsidR="00993E21" w:rsidRPr="00993E21" w:rsidRDefault="00993E21" w:rsidP="00993E21">
      <w:pPr>
        <w:spacing w:line="360" w:lineRule="auto"/>
        <w:ind w:hanging="720"/>
      </w:pPr>
      <w:r w:rsidRPr="00993E21">
        <w:t xml:space="preserve">Koh, S, Y. (2020). Inequality. Available at: </w:t>
      </w:r>
      <w:hyperlink r:id="rId61" w:history="1">
        <w:r w:rsidRPr="00993E21">
          <w:rPr>
            <w:rStyle w:val="Hyperlink"/>
          </w:rPr>
          <w:t>https://www.researchgate.net/publication/333102148_Inequality</w:t>
        </w:r>
      </w:hyperlink>
      <w:r w:rsidRPr="00993E21">
        <w:t xml:space="preserve"> [Assessed on 02 November 2024].</w:t>
      </w:r>
    </w:p>
    <w:p w14:paraId="1B2433C0" w14:textId="77777777" w:rsidR="00993E21" w:rsidRPr="00993E21" w:rsidRDefault="00993E21" w:rsidP="00993E21">
      <w:pPr>
        <w:spacing w:line="360" w:lineRule="auto"/>
        <w:ind w:hanging="720"/>
      </w:pPr>
      <w:r w:rsidRPr="00993E21">
        <w:lastRenderedPageBreak/>
        <w:t>Lockwood, G., Henderson, C., and Thornicroft, G. (2012). The Equality Act 2010 and mental health.</w:t>
      </w:r>
      <w:r w:rsidRPr="00993E21">
        <w:rPr>
          <w:rFonts w:eastAsiaTheme="majorEastAsia"/>
        </w:rPr>
        <w:t> </w:t>
      </w:r>
      <w:r w:rsidRPr="00993E21">
        <w:t>British Journal of Psychiatry,</w:t>
      </w:r>
      <w:r w:rsidRPr="00993E21">
        <w:rPr>
          <w:rFonts w:eastAsiaTheme="majorEastAsia"/>
        </w:rPr>
        <w:t> </w:t>
      </w:r>
      <w:r w:rsidRPr="00993E21">
        <w:t xml:space="preserve">200(3), 182–183. </w:t>
      </w:r>
      <w:hyperlink r:id="rId62" w:history="1">
        <w:r w:rsidRPr="00993E21">
          <w:rPr>
            <w:rStyle w:val="Hyperlink"/>
          </w:rPr>
          <w:t>https://doi.org/10.1192/bjp.bp.111.097790</w:t>
        </w:r>
      </w:hyperlink>
    </w:p>
    <w:p w14:paraId="56E2204B" w14:textId="77777777" w:rsidR="00993E21" w:rsidRPr="00993E21" w:rsidRDefault="00993E21" w:rsidP="00993E21">
      <w:pPr>
        <w:spacing w:line="360" w:lineRule="auto"/>
        <w:ind w:hanging="720"/>
      </w:pPr>
      <w:r w:rsidRPr="00993E21">
        <w:t>Machin, R. (2021). COVID-19 and the temporary transformation of the UK social security system. </w:t>
      </w:r>
      <w:r w:rsidRPr="00993E21">
        <w:rPr>
          <w:i/>
          <w:iCs/>
        </w:rPr>
        <w:t>Critical Social Policy</w:t>
      </w:r>
      <w:r w:rsidRPr="00993E21">
        <w:t>, </w:t>
      </w:r>
      <w:r w:rsidRPr="00993E21">
        <w:rPr>
          <w:i/>
          <w:iCs/>
        </w:rPr>
        <w:t>41</w:t>
      </w:r>
      <w:r w:rsidRPr="00993E21">
        <w:t>(4), 651-662. </w:t>
      </w:r>
      <w:hyperlink r:id="rId63" w:history="1">
        <w:r w:rsidRPr="00993E21">
          <w:rPr>
            <w:rStyle w:val="Hyperlink"/>
          </w:rPr>
          <w:t>https://doi.org/10.1177/0261018320986793</w:t>
        </w:r>
      </w:hyperlink>
      <w:r w:rsidRPr="00993E21">
        <w:t xml:space="preserve"> [Assessed on 12</w:t>
      </w:r>
      <w:r w:rsidRPr="00993E21">
        <w:rPr>
          <w:vertAlign w:val="superscript"/>
        </w:rPr>
        <w:t>th</w:t>
      </w:r>
      <w:r w:rsidRPr="00993E21">
        <w:t xml:space="preserve"> November 2024]. </w:t>
      </w:r>
    </w:p>
    <w:p w14:paraId="4DA1A649" w14:textId="77777777" w:rsidR="00993E21" w:rsidRDefault="00993E21" w:rsidP="00993E21">
      <w:pPr>
        <w:spacing w:line="360" w:lineRule="auto"/>
        <w:ind w:hanging="720"/>
      </w:pPr>
      <w:r w:rsidRPr="00993E21">
        <w:rPr>
          <w:rFonts w:eastAsiaTheme="majorEastAsia"/>
        </w:rPr>
        <w:t>Major</w:t>
      </w:r>
      <w:r w:rsidRPr="00993E21">
        <w:t>, L, E</w:t>
      </w:r>
      <w:r w:rsidRPr="00993E21">
        <w:rPr>
          <w:rFonts w:eastAsiaTheme="majorEastAsia"/>
        </w:rPr>
        <w:t> </w:t>
      </w:r>
      <w:r w:rsidRPr="00993E21">
        <w:t xml:space="preserve">and </w:t>
      </w:r>
      <w:r w:rsidRPr="00993E21">
        <w:rPr>
          <w:rFonts w:eastAsiaTheme="majorEastAsia"/>
        </w:rPr>
        <w:t>Machin</w:t>
      </w:r>
      <w:r w:rsidRPr="00993E21">
        <w:t>. S</w:t>
      </w:r>
      <w:r w:rsidRPr="00993E21">
        <w:rPr>
          <w:rFonts w:eastAsiaTheme="majorEastAsia"/>
        </w:rPr>
        <w:t> </w:t>
      </w:r>
      <w:r w:rsidRPr="00993E21">
        <w:t xml:space="preserve">(2018). </w:t>
      </w:r>
      <w:r w:rsidRPr="00993E21">
        <w:rPr>
          <w:rFonts w:eastAsiaTheme="majorEastAsia"/>
        </w:rPr>
        <w:t>Social Mobility: And Its Enemies</w:t>
      </w:r>
      <w:r w:rsidRPr="00993E21">
        <w:t>. Pelican: New Orleans.</w:t>
      </w:r>
    </w:p>
    <w:p w14:paraId="593A5746" w14:textId="78E03D6E" w:rsidR="00993E21" w:rsidRPr="00993E21" w:rsidRDefault="00993E21" w:rsidP="00993E21">
      <w:pPr>
        <w:spacing w:line="360" w:lineRule="auto"/>
        <w:ind w:hanging="720"/>
      </w:pPr>
      <w:r w:rsidRPr="00993E21">
        <w:t>Masquelier, C. (2018) ‘Bourdieu, Foucault and the politics of precarity’, </w:t>
      </w:r>
      <w:r w:rsidRPr="00993E21">
        <w:rPr>
          <w:i/>
          <w:iCs/>
        </w:rPr>
        <w:t>Distinktion: Journal</w:t>
      </w:r>
    </w:p>
    <w:p w14:paraId="64C72F0D" w14:textId="77777777" w:rsidR="00993E21" w:rsidRDefault="00993E21" w:rsidP="00993E21">
      <w:pPr>
        <w:spacing w:line="360" w:lineRule="auto"/>
        <w:ind w:left="720" w:hanging="720"/>
      </w:pPr>
      <w:r w:rsidRPr="00993E21">
        <w:rPr>
          <w:i/>
          <w:iCs/>
        </w:rPr>
        <w:t>of Social Theory</w:t>
      </w:r>
      <w:r w:rsidRPr="00993E21">
        <w:t>, 20(2), pp. 135–155.</w:t>
      </w:r>
    </w:p>
    <w:p w14:paraId="1270959F" w14:textId="336B25C6" w:rsidR="00993E21" w:rsidRPr="00993E21" w:rsidRDefault="00993E21" w:rsidP="00993E21">
      <w:pPr>
        <w:spacing w:line="360" w:lineRule="auto"/>
        <w:ind w:hanging="720"/>
      </w:pPr>
      <w:hyperlink r:id="rId64" w:history="1">
        <w:r w:rsidRPr="004719E0">
          <w:rPr>
            <w:rStyle w:val="Hyperlink"/>
          </w:rPr>
          <w:t>https://www.tandfonline.com/doi/abs/10.1080/1600910X.2018.1549999?casa_token=JkPuiAaptAAAAAA:fT3JF1CLMRRm0yThj1ur2I7J3I9TrMQ4SAN7mk74cHBmYH_UFeRTykUPzC0f3VqtcLWbmLrjQco</w:t>
        </w:r>
      </w:hyperlink>
      <w:r w:rsidRPr="00993E21">
        <w:t xml:space="preserve"> [Assessed on 08</w:t>
      </w:r>
      <w:r w:rsidRPr="00993E21">
        <w:rPr>
          <w:vertAlign w:val="superscript"/>
        </w:rPr>
        <w:t>th</w:t>
      </w:r>
      <w:r w:rsidRPr="00993E21">
        <w:t xml:space="preserve"> November 2024].</w:t>
      </w:r>
    </w:p>
    <w:p w14:paraId="0428A385" w14:textId="77777777" w:rsidR="00993E21" w:rsidRPr="00993E21" w:rsidRDefault="00993E21" w:rsidP="00993E21">
      <w:pPr>
        <w:spacing w:line="360" w:lineRule="auto"/>
        <w:ind w:hanging="720"/>
      </w:pPr>
      <w:r w:rsidRPr="00993E21">
        <w:t xml:space="preserve">Maternity Action (2024). Pregnancy Discrimination. Available at: </w:t>
      </w:r>
      <w:hyperlink r:id="rId65" w:anchor="Pregnancy_discrimination" w:history="1">
        <w:r w:rsidRPr="00993E21">
          <w:rPr>
            <w:rStyle w:val="Hyperlink"/>
          </w:rPr>
          <w:t>https://maternityaction.org.uk/advice/pregnancy-discrimination/ - Pregnancy_discrimination</w:t>
        </w:r>
      </w:hyperlink>
      <w:r w:rsidRPr="00993E21">
        <w:t xml:space="preserve"> [Assessed on 15</w:t>
      </w:r>
      <w:r w:rsidRPr="00993E21">
        <w:rPr>
          <w:vertAlign w:val="superscript"/>
        </w:rPr>
        <w:t>th</w:t>
      </w:r>
      <w:r w:rsidRPr="00993E21">
        <w:t xml:space="preserve"> November 2024]. </w:t>
      </w:r>
    </w:p>
    <w:p w14:paraId="2615E5FB" w14:textId="542C6852" w:rsidR="00993E21" w:rsidRPr="00993E21" w:rsidRDefault="00993E21" w:rsidP="00993E21">
      <w:pPr>
        <w:spacing w:line="360" w:lineRule="auto"/>
        <w:ind w:hanging="720"/>
      </w:pPr>
      <w:r w:rsidRPr="00993E21">
        <w:t xml:space="preserve">Mcknight, A., (2019). Understanding The Relationship Between Poverty, Inequality and Growth: A Review of Existing Evidence. Available at: </w:t>
      </w:r>
      <w:hyperlink r:id="rId66" w:history="1">
        <w:r w:rsidRPr="00993E21">
          <w:rPr>
            <w:rStyle w:val="Hyperlink"/>
          </w:rPr>
          <w:t>https://sticerd.lse.ac.uk/dps/case/cp/casepaper216.pdf</w:t>
        </w:r>
      </w:hyperlink>
      <w:r w:rsidRPr="00993E21">
        <w:t xml:space="preserve"> [Assessed on 02 November 2024].</w:t>
      </w:r>
    </w:p>
    <w:p w14:paraId="31249EA8" w14:textId="77777777" w:rsidR="00993E21" w:rsidRPr="00993E21" w:rsidRDefault="00993E21" w:rsidP="00993E21">
      <w:pPr>
        <w:spacing w:line="360" w:lineRule="auto"/>
        <w:ind w:left="720" w:hanging="720"/>
      </w:pPr>
      <w:r w:rsidRPr="00993E21">
        <w:t xml:space="preserve">McLaren, P (2023) Critical Pedagogy: A Look at the Major Concepts. London: Routledge. </w:t>
      </w:r>
    </w:p>
    <w:p w14:paraId="64E77004" w14:textId="2A06A428" w:rsidR="00993E21" w:rsidRPr="00993E21" w:rsidRDefault="00993E21" w:rsidP="00993E21">
      <w:pPr>
        <w:spacing w:line="360" w:lineRule="auto"/>
        <w:ind w:hanging="720"/>
      </w:pPr>
      <w:r w:rsidRPr="00993E21">
        <w:t xml:space="preserve">Neidhöfer, G., Ciaschi, M., Gasparini, L, and Serrano, J., (2023) </w:t>
      </w:r>
      <w:r w:rsidRPr="00993E21">
        <w:rPr>
          <w:rFonts w:eastAsiaTheme="majorEastAsia"/>
        </w:rPr>
        <w:t>Social</w:t>
      </w:r>
      <w:r w:rsidRPr="00993E21">
        <w:t xml:space="preserve"> Mobility and Economic Development.</w:t>
      </w:r>
      <w:r w:rsidRPr="00993E21">
        <w:rPr>
          <w:rFonts w:eastAsiaTheme="majorEastAsia"/>
        </w:rPr>
        <w:t> </w:t>
      </w:r>
      <w:r w:rsidRPr="00993E21">
        <w:t>Journal of Economic Growth</w:t>
      </w:r>
      <w:r w:rsidRPr="00993E21">
        <w:rPr>
          <w:rFonts w:eastAsiaTheme="majorEastAsia"/>
        </w:rPr>
        <w:t> (</w:t>
      </w:r>
      <w:r w:rsidRPr="00993E21">
        <w:t xml:space="preserve">29), pp, 327–359. Available at: </w:t>
      </w:r>
      <w:hyperlink r:id="rId67" w:history="1">
        <w:r w:rsidRPr="00993E21">
          <w:rPr>
            <w:rStyle w:val="Hyperlink"/>
          </w:rPr>
          <w:t>https://doi.org/10.1007/s10887-023-09234-8</w:t>
        </w:r>
      </w:hyperlink>
      <w:r w:rsidRPr="00993E21">
        <w:t xml:space="preserve"> [Assessed on 02 November 2024]. </w:t>
      </w:r>
    </w:p>
    <w:p w14:paraId="1DC13341" w14:textId="77777777" w:rsidR="00993E21" w:rsidRPr="00993E21" w:rsidRDefault="00993E21" w:rsidP="00993E21">
      <w:pPr>
        <w:spacing w:line="360" w:lineRule="auto"/>
        <w:ind w:hanging="720"/>
      </w:pPr>
      <w:r w:rsidRPr="00993E21">
        <w:t xml:space="preserve">O'Malley, L.S.S. (1932:2023). Indian Caste Customs. Routledge: London. </w:t>
      </w:r>
    </w:p>
    <w:p w14:paraId="6BC4F78D" w14:textId="77777777" w:rsidR="00993E21" w:rsidRDefault="00993E21" w:rsidP="00993E21">
      <w:pPr>
        <w:spacing w:line="360" w:lineRule="auto"/>
        <w:ind w:hanging="720"/>
      </w:pPr>
      <w:r w:rsidRPr="00993E21">
        <w:t xml:space="preserve">Office of national statistic (ONS), (2022). The Gini Coefficient. Available at: </w:t>
      </w:r>
      <w:hyperlink r:id="rId68" w:anchor=":~:text=The%20Gini%20coefficient%20is%20a,share%20of%20total%20household%20income." w:history="1">
        <w:r w:rsidRPr="00993E21">
          <w:rPr>
            <w:rStyle w:val="Hyperlink"/>
          </w:rPr>
          <w:t>https://www.ons.gov.uk/peoplepopulationandcommunity/birthsdeathsandmarriages/families/methodologies/theginicoefficient - :~:text=The Gini coefficient is a,share of total household income.</w:t>
        </w:r>
      </w:hyperlink>
      <w:r w:rsidRPr="00993E21">
        <w:t xml:space="preserve"> [Assessed on 02 November 2024]. </w:t>
      </w:r>
    </w:p>
    <w:p w14:paraId="12277517" w14:textId="7D09A44E" w:rsidR="00993E21" w:rsidRDefault="00993E21" w:rsidP="00993E21">
      <w:pPr>
        <w:spacing w:line="360" w:lineRule="auto"/>
        <w:ind w:hanging="720"/>
      </w:pPr>
      <w:r w:rsidRPr="00993E21">
        <w:t xml:space="preserve">Office of the High Commissioner of Human Rights (OHCHR) (2023) Inequality, Social Protection and The Right to Development. Study By the Expert Mechanism on The Right to Development. Available at: </w:t>
      </w:r>
      <w:hyperlink r:id="rId69" w:history="1">
        <w:r w:rsidRPr="00993E21">
          <w:rPr>
            <w:rStyle w:val="Hyperlink"/>
          </w:rPr>
          <w:t>https://www.ohchr.org/sites/default/files/documents/issues/development/emd/session7/A_HRC_EMRTD_7_CRP.4.pdf</w:t>
        </w:r>
      </w:hyperlink>
      <w:r w:rsidRPr="00993E21">
        <w:t xml:space="preserve"> [Assessed on 02 November 2024].</w:t>
      </w:r>
    </w:p>
    <w:p w14:paraId="28AAA25A" w14:textId="77777777" w:rsidR="00993E21" w:rsidRDefault="00993E21" w:rsidP="00993E21">
      <w:pPr>
        <w:spacing w:line="360" w:lineRule="auto"/>
        <w:ind w:hanging="720"/>
      </w:pPr>
      <w:r w:rsidRPr="00993E21">
        <w:lastRenderedPageBreak/>
        <w:t xml:space="preserve">Ofori, F. N. K. (2021). Reflecting on the Impact of Covid-19 Pandemic on Businesses, Minority Groups and Their Implications for Socio-Economic Wellbeing in Britain. Archives of Business Research, 9(3). 183-197. </w:t>
      </w:r>
      <w:hyperlink r:id="rId70" w:history="1">
        <w:r w:rsidRPr="00993E21">
          <w:rPr>
            <w:rStyle w:val="Hyperlink"/>
          </w:rPr>
          <w:t>https://www.researchgate.net/profile/Felix-Ofori/publication/350441381_Reflecting_on_the_Impact_of_Covid-19_Pandemic_on_Businesses_Minority_Groups_and_Their_Implications_for_Socio-Economic_Wellbeing_in_Britain/links/605f7523299bf17367729c7b/Reflecting-on-the-Impact-of-Covid-19-Pandemic-on-Businesses-Minority-Groups-and-Their-Implications-for-Socio-Economic-Wellbeing-in-Britain.pdf</w:t>
        </w:r>
      </w:hyperlink>
      <w:r w:rsidRPr="00993E21">
        <w:t xml:space="preserve"> [Assessed on 12</w:t>
      </w:r>
      <w:r w:rsidRPr="00993E21">
        <w:rPr>
          <w:vertAlign w:val="superscript"/>
        </w:rPr>
        <w:t>th</w:t>
      </w:r>
      <w:r w:rsidRPr="00993E21">
        <w:t xml:space="preserve"> November 2024]. </w:t>
      </w:r>
    </w:p>
    <w:p w14:paraId="3AE87D86" w14:textId="04681999" w:rsidR="00993E21" w:rsidRPr="00993E21" w:rsidRDefault="00993E21" w:rsidP="00993E21">
      <w:pPr>
        <w:spacing w:line="360" w:lineRule="auto"/>
        <w:ind w:hanging="720"/>
      </w:pPr>
      <w:r w:rsidRPr="00993E21">
        <w:t xml:space="preserve">Papadakis, N., Drakaki, M., Saridaki, S., Amanaki, E., Dimari, G. (2022). Educational capital/ level and its association with precarious work and social vulnerability among youth, in EU and Greece, </w:t>
      </w:r>
      <w:r w:rsidRPr="00993E21">
        <w:rPr>
          <w:i/>
          <w:iCs/>
        </w:rPr>
        <w:t>International Journal of Educational Research,</w:t>
      </w:r>
      <w:r w:rsidRPr="00993E21">
        <w:t xml:space="preserve"> (112), Available at: </w:t>
      </w:r>
      <w:hyperlink r:id="rId71" w:history="1">
        <w:r w:rsidRPr="00993E21">
          <w:rPr>
            <w:rStyle w:val="Hyperlink"/>
          </w:rPr>
          <w:t>https://www.sciencedirect.com/science/article/pii/S0883035521001907?casa_token=3gulKT_3eZIAAAAA:wfJECNdn9g5YQ0ocW9eVbQsMf95l9uMEvcHddtzRqm5rj11hNoL6CfAmnWG6L2sdz1kwUBbkZg</w:t>
        </w:r>
      </w:hyperlink>
      <w:r w:rsidRPr="00993E21">
        <w:t xml:space="preserve"> [Assessed on 12</w:t>
      </w:r>
      <w:r w:rsidRPr="00993E21">
        <w:rPr>
          <w:vertAlign w:val="superscript"/>
        </w:rPr>
        <w:t>th</w:t>
      </w:r>
      <w:r w:rsidRPr="00993E21">
        <w:t xml:space="preserve"> November 2024]. </w:t>
      </w:r>
    </w:p>
    <w:p w14:paraId="04246084" w14:textId="77777777" w:rsidR="00993E21" w:rsidRPr="00993E21" w:rsidRDefault="00993E21" w:rsidP="00993E21">
      <w:pPr>
        <w:spacing w:line="360" w:lineRule="auto"/>
        <w:ind w:hanging="720"/>
      </w:pPr>
      <w:r w:rsidRPr="00993E21">
        <w:t xml:space="preserve">Piff, P, K, Kraus, M, W., and Keltner, D., (2018) Chapter Two - Unpacking the Inequality Paradox: The Psychological Roots of Inequality and Social Class, </w:t>
      </w:r>
      <w:r w:rsidRPr="00993E21">
        <w:rPr>
          <w:i/>
          <w:iCs/>
        </w:rPr>
        <w:t xml:space="preserve">Advances in Experimental Social Psychology: </w:t>
      </w:r>
      <w:r w:rsidRPr="00993E21">
        <w:t xml:space="preserve">Academic Press, (57), Pp 53-124, </w:t>
      </w:r>
      <w:hyperlink r:id="rId72" w:history="1">
        <w:r w:rsidRPr="00993E21">
          <w:rPr>
            <w:rStyle w:val="Hyperlink"/>
          </w:rPr>
          <w:t>https://doi.org/10.1016/bs.aesp.2017.10.002</w:t>
        </w:r>
      </w:hyperlink>
      <w:r w:rsidRPr="00993E21">
        <w:t xml:space="preserve"> [Assessed on 07th November 2024]. </w:t>
      </w:r>
    </w:p>
    <w:p w14:paraId="02974B79" w14:textId="77777777" w:rsidR="00993E21" w:rsidRPr="00993E21" w:rsidRDefault="00993E21" w:rsidP="00993E21">
      <w:pPr>
        <w:spacing w:line="360" w:lineRule="auto"/>
        <w:ind w:hanging="720"/>
      </w:pPr>
      <w:r w:rsidRPr="00993E21">
        <w:t>Platt, L. (2019). Understanding Inequalities: Stratification and Difference. United Kingdom: Polity Press.</w:t>
      </w:r>
    </w:p>
    <w:p w14:paraId="2B2B5C38" w14:textId="77777777" w:rsidR="00993E21" w:rsidRDefault="00993E21" w:rsidP="00993E21">
      <w:pPr>
        <w:spacing w:line="360" w:lineRule="auto"/>
        <w:ind w:hanging="720"/>
      </w:pPr>
      <w:r w:rsidRPr="00993E21">
        <w:t>Prakash Narain J, Sodani PR, and Kant L. (2021). COVID-19 Pandemic: Lessons for the Health Systems. </w:t>
      </w:r>
      <w:r w:rsidRPr="00993E21">
        <w:rPr>
          <w:i/>
          <w:iCs/>
        </w:rPr>
        <w:t>Journal of Health Management</w:t>
      </w:r>
      <w:r w:rsidRPr="00993E21">
        <w:t>. 23(1):74-84. doi:</w:t>
      </w:r>
      <w:hyperlink r:id="rId73" w:history="1">
        <w:r w:rsidRPr="00993E21">
          <w:rPr>
            <w:rStyle w:val="Hyperlink"/>
          </w:rPr>
          <w:t>10.1177/0972063421994982</w:t>
        </w:r>
      </w:hyperlink>
      <w:r w:rsidRPr="00993E21">
        <w:t xml:space="preserve"> [Assessed on 10</w:t>
      </w:r>
      <w:r w:rsidRPr="00993E21">
        <w:rPr>
          <w:vertAlign w:val="superscript"/>
        </w:rPr>
        <w:t>th</w:t>
      </w:r>
      <w:r w:rsidRPr="00993E21">
        <w:t xml:space="preserve"> November 2024]. </w:t>
      </w:r>
    </w:p>
    <w:p w14:paraId="79A296BA" w14:textId="77777777" w:rsidR="00993E21" w:rsidRDefault="00993E21" w:rsidP="00993E21">
      <w:pPr>
        <w:spacing w:line="360" w:lineRule="auto"/>
        <w:ind w:hanging="720"/>
        <w:rPr>
          <w:color w:val="000000"/>
        </w:rPr>
      </w:pPr>
      <w:r w:rsidRPr="00993E21">
        <w:rPr>
          <w:i/>
          <w:iCs/>
          <w:color w:val="000000"/>
        </w:rPr>
        <w:t xml:space="preserve">Race Relations Act 1976: </w:t>
      </w:r>
      <w:r w:rsidRPr="00993E21">
        <w:rPr>
          <w:color w:val="000000"/>
        </w:rPr>
        <w:t xml:space="preserve">Charles III. Chapter (74). Part 1. London: The Stationary Office. Available at: </w:t>
      </w:r>
      <w:hyperlink r:id="rId74" w:history="1">
        <w:r w:rsidRPr="00993E21">
          <w:rPr>
            <w:rStyle w:val="Hyperlink"/>
          </w:rPr>
          <w:t>https://www.legislation.gov.uk/ukpga/1976/74/enacted</w:t>
        </w:r>
      </w:hyperlink>
      <w:r w:rsidRPr="00993E21">
        <w:rPr>
          <w:color w:val="000000"/>
        </w:rPr>
        <w:t xml:space="preserve"> [Assessed on 07th November 2024]. </w:t>
      </w:r>
    </w:p>
    <w:p w14:paraId="67BB508E" w14:textId="207312BD" w:rsidR="00993E21" w:rsidRPr="00993E21" w:rsidRDefault="00993E21" w:rsidP="00993E21">
      <w:pPr>
        <w:spacing w:line="360" w:lineRule="auto"/>
        <w:ind w:hanging="720"/>
      </w:pPr>
      <w:r w:rsidRPr="00993E21">
        <w:t>Radosław, M, Visvizi, A and Skrzek-Lubasińska, M. (2021). "The Gig Economy: Current Issues, the Debate, and the New Avenues of Research" </w:t>
      </w:r>
      <w:r w:rsidRPr="00993E21">
        <w:rPr>
          <w:i/>
          <w:iCs/>
        </w:rPr>
        <w:t>Sustainability</w:t>
      </w:r>
      <w:r w:rsidRPr="00993E21">
        <w:t xml:space="preserve"> 13, no. 9: 5023. </w:t>
      </w:r>
      <w:hyperlink r:id="rId75" w:history="1">
        <w:r w:rsidRPr="00993E21">
          <w:rPr>
            <w:rStyle w:val="Hyperlink"/>
          </w:rPr>
          <w:t>https://doi.org/10.3390/su13095023</w:t>
        </w:r>
      </w:hyperlink>
      <w:r w:rsidRPr="00993E21">
        <w:t xml:space="preserve"> [Assessed on 08th November 2024]. </w:t>
      </w:r>
    </w:p>
    <w:p w14:paraId="180E42BC" w14:textId="77777777" w:rsidR="00993E21" w:rsidRPr="00993E21" w:rsidRDefault="00993E21" w:rsidP="00993E21">
      <w:pPr>
        <w:spacing w:line="360" w:lineRule="auto"/>
        <w:ind w:hanging="720"/>
      </w:pPr>
      <w:r w:rsidRPr="00993E21">
        <w:t>Reeves, R, V (2017). Dream Hoarders: How the American Upper Middle Class Is Leaving Everyone Else in the Dust, Why That Is a Problem, and What to Do About It. (AudioBook). Blackstone Audio, Inc: Ashland, Oregon.</w:t>
      </w:r>
    </w:p>
    <w:p w14:paraId="7622F664" w14:textId="77777777" w:rsidR="00993E21" w:rsidRPr="00993E21" w:rsidRDefault="00993E21" w:rsidP="00993E21">
      <w:pPr>
        <w:spacing w:line="360" w:lineRule="auto"/>
        <w:ind w:hanging="720"/>
      </w:pPr>
      <w:r w:rsidRPr="00993E21">
        <w:lastRenderedPageBreak/>
        <w:t>Satyanarayanan, K., and Lee, J. G. (Eds.). (2023). </w:t>
      </w:r>
      <w:r w:rsidRPr="00993E21">
        <w:rPr>
          <w:i/>
          <w:iCs/>
        </w:rPr>
        <w:t>Concealing caste: passing and personhood in Dalit literature</w:t>
      </w:r>
      <w:r w:rsidRPr="00993E21">
        <w:t xml:space="preserve"> (First edition.). Oxford University Press: Oxford. Available at: </w:t>
      </w:r>
      <w:hyperlink r:id="rId76" w:history="1">
        <w:r w:rsidRPr="00993E21">
          <w:rPr>
            <w:rStyle w:val="Hyperlink"/>
          </w:rPr>
          <w:t>https://doi.org/10.1093/oso/9780192865243.001.0001</w:t>
        </w:r>
      </w:hyperlink>
      <w:r w:rsidRPr="00993E21">
        <w:t xml:space="preserve"> [Assessed on 07</w:t>
      </w:r>
      <w:r w:rsidRPr="00993E21">
        <w:rPr>
          <w:vertAlign w:val="superscript"/>
        </w:rPr>
        <w:t>th</w:t>
      </w:r>
      <w:r w:rsidRPr="00993E21">
        <w:t xml:space="preserve"> November 2024]. </w:t>
      </w:r>
    </w:p>
    <w:p w14:paraId="36536133" w14:textId="77777777" w:rsidR="00993E21" w:rsidRPr="00993E21" w:rsidRDefault="00993E21" w:rsidP="00993E21">
      <w:pPr>
        <w:spacing w:line="360" w:lineRule="auto"/>
        <w:ind w:hanging="720"/>
      </w:pPr>
      <w:r w:rsidRPr="00993E21">
        <w:rPr>
          <w:rFonts w:eastAsiaTheme="majorEastAsia"/>
        </w:rPr>
        <w:t>Scalapino</w:t>
      </w:r>
      <w:r w:rsidRPr="00993E21">
        <w:t xml:space="preserve">, R, A (2023). </w:t>
      </w:r>
      <w:r w:rsidRPr="00993E21">
        <w:rPr>
          <w:rFonts w:eastAsiaTheme="majorEastAsia"/>
        </w:rPr>
        <w:t>Democracy and the Party Movement in Prewar Japan: The Failure of the First Attempt</w:t>
      </w:r>
      <w:r w:rsidRPr="00993E21">
        <w:t xml:space="preserve">. University of California Press: Los Angeles. </w:t>
      </w:r>
    </w:p>
    <w:p w14:paraId="37C4B992" w14:textId="77777777" w:rsidR="00993E21" w:rsidRPr="00993E21" w:rsidRDefault="00993E21" w:rsidP="00993E21">
      <w:pPr>
        <w:spacing w:line="360" w:lineRule="auto"/>
        <w:ind w:hanging="720"/>
      </w:pPr>
      <w:r w:rsidRPr="00993E21">
        <w:t xml:space="preserve">Scholarly Community Encyclopaedia (SCE), (2024) Inequality. Available at: </w:t>
      </w:r>
      <w:hyperlink r:id="rId77" w:history="1">
        <w:r w:rsidRPr="00993E21">
          <w:rPr>
            <w:rStyle w:val="Hyperlink"/>
          </w:rPr>
          <w:t>https://encyclopedia.pub/entry/54089</w:t>
        </w:r>
      </w:hyperlink>
      <w:r w:rsidRPr="00993E21">
        <w:t xml:space="preserve"> [Assessed on 03 November 2024].</w:t>
      </w:r>
    </w:p>
    <w:p w14:paraId="62A25D46" w14:textId="77777777" w:rsidR="00993E21" w:rsidRDefault="00993E21" w:rsidP="00993E21">
      <w:pPr>
        <w:spacing w:line="360" w:lineRule="auto"/>
        <w:ind w:hanging="720"/>
      </w:pPr>
      <w:r w:rsidRPr="00993E21">
        <w:t xml:space="preserve">Schultz, N (2022). Did the Pandemic Teach Us Something New about Class? Routledge: London. </w:t>
      </w:r>
    </w:p>
    <w:p w14:paraId="57B06C64" w14:textId="77777777" w:rsidR="00993E21" w:rsidRDefault="00993E21" w:rsidP="00993E21">
      <w:pPr>
        <w:spacing w:line="360" w:lineRule="auto"/>
        <w:ind w:hanging="720"/>
      </w:pPr>
      <w:r w:rsidRPr="00993E21">
        <w:rPr>
          <w:i/>
          <w:iCs/>
          <w:color w:val="000000"/>
        </w:rPr>
        <w:t>Sex Discrimination Act 1975</w:t>
      </w:r>
      <w:r w:rsidRPr="00993E21">
        <w:rPr>
          <w:color w:val="000000"/>
        </w:rPr>
        <w:t xml:space="preserve">: Charles III. Chapter (65). Part 1. London: Available at: </w:t>
      </w:r>
      <w:hyperlink r:id="rId78" w:history="1">
        <w:r w:rsidRPr="00993E21">
          <w:rPr>
            <w:rStyle w:val="Hyperlink"/>
          </w:rPr>
          <w:t>https://www.legislation.gov.uk/ukpga/1975/65/enacted</w:t>
        </w:r>
      </w:hyperlink>
      <w:r w:rsidRPr="00993E21">
        <w:rPr>
          <w:color w:val="000000"/>
        </w:rPr>
        <w:t xml:space="preserve"> [Assessed on 07th November 2024]. </w:t>
      </w:r>
      <w:r w:rsidRPr="00993E21">
        <w:rPr>
          <w:i/>
          <w:iCs/>
        </w:rPr>
        <w:t>Social Forces.</w:t>
      </w:r>
      <w:r w:rsidRPr="00993E21">
        <w:t xml:space="preserve"> </w:t>
      </w:r>
    </w:p>
    <w:p w14:paraId="1AFFE796" w14:textId="7ADC9FDE" w:rsidR="00993E21" w:rsidRPr="00993E21" w:rsidRDefault="00993E21" w:rsidP="00993E21">
      <w:pPr>
        <w:spacing w:line="360" w:lineRule="auto"/>
        <w:ind w:hanging="720"/>
      </w:pPr>
      <w:r w:rsidRPr="00993E21">
        <w:t>Social Mobility and Child Poverty Commission (2016). The Social Mobility Index. Available at:</w:t>
      </w:r>
      <w:hyperlink r:id="rId79" w:history="1">
        <w:r w:rsidRPr="004719E0">
          <w:rPr>
            <w:rStyle w:val="Hyperlink"/>
          </w:rPr>
          <w:t>https://assets.publishing.service.gov.uk/media/5a806f1e40f0b623026937c1/Social_Mobility_Index.pdf</w:t>
        </w:r>
      </w:hyperlink>
      <w:r w:rsidRPr="00993E21">
        <w:t xml:space="preserve"> [Assessed 02 November 2024]. </w:t>
      </w:r>
    </w:p>
    <w:p w14:paraId="66642D45" w14:textId="77777777" w:rsidR="00993E21" w:rsidRPr="00993E21" w:rsidRDefault="00993E21" w:rsidP="00993E21">
      <w:pPr>
        <w:spacing w:line="360" w:lineRule="auto"/>
        <w:ind w:hanging="720"/>
      </w:pPr>
      <w:r w:rsidRPr="00993E21">
        <w:t xml:space="preserve">Social Mobility Commission (2023). Overview: The Social Mobility Index. Available at: </w:t>
      </w:r>
      <w:hyperlink r:id="rId80" w:history="1">
        <w:r w:rsidRPr="00993E21">
          <w:rPr>
            <w:rStyle w:val="Hyperlink"/>
          </w:rPr>
          <w:t>https://www.gov.uk/government/publications/social-mobility-index/overview-the-social-mobility-index</w:t>
        </w:r>
      </w:hyperlink>
      <w:r w:rsidRPr="00993E21">
        <w:t xml:space="preserve"> [Assessed on 02 November 2024]. </w:t>
      </w:r>
    </w:p>
    <w:p w14:paraId="2C29B0B8" w14:textId="77777777" w:rsidR="00993E21" w:rsidRPr="00993E21" w:rsidRDefault="00993E21" w:rsidP="00993E21">
      <w:pPr>
        <w:spacing w:line="360" w:lineRule="auto"/>
        <w:ind w:hanging="720"/>
      </w:pPr>
      <w:r w:rsidRPr="00993E21">
        <w:t xml:space="preserve">Southgate, D, E, and Keister, L, A., (2021) Inequality: A Contemporary Approach to Race, Class, and Gender. Cambridge University Press: Cambridge. </w:t>
      </w:r>
    </w:p>
    <w:p w14:paraId="61A142C5" w14:textId="77777777" w:rsidR="00993E21" w:rsidRDefault="00993E21" w:rsidP="00993E21">
      <w:pPr>
        <w:spacing w:line="360" w:lineRule="auto"/>
        <w:ind w:hanging="720"/>
      </w:pPr>
      <w:r w:rsidRPr="00993E21">
        <w:t xml:space="preserve">Spencer, S., Hedden, L., Vaughan, C., Gard Marshall, E., Lukewich, J., Asghari, S., Gill, P., Buote, R., Meredith, L., Moritz, L., Ryan, D., Mathews, M. (2022). ‘It Was Horrible for That Community, But Not for The Way We Had Imagined’: A Qualitative Study of Family Physicians’ Experiences of Caring for Communities Experiencing Marginalisation During COVID-19. SSM - </w:t>
      </w:r>
      <w:r w:rsidRPr="00993E21">
        <w:rPr>
          <w:i/>
          <w:iCs/>
        </w:rPr>
        <w:t>Qualitative Research in Health</w:t>
      </w:r>
      <w:r w:rsidRPr="00993E21">
        <w:t xml:space="preserve">, (2). Available at: </w:t>
      </w:r>
      <w:hyperlink r:id="rId81" w:history="1">
        <w:r w:rsidRPr="00993E21">
          <w:rPr>
            <w:rStyle w:val="Hyperlink"/>
          </w:rPr>
          <w:t>https://www.sciencedirect.com/science/article/pii/S266732152200138X</w:t>
        </w:r>
      </w:hyperlink>
      <w:r w:rsidRPr="00993E21">
        <w:t xml:space="preserve"> [Assessed on 12</w:t>
      </w:r>
      <w:r w:rsidRPr="00993E21">
        <w:rPr>
          <w:vertAlign w:val="superscript"/>
        </w:rPr>
        <w:t>th</w:t>
      </w:r>
      <w:r w:rsidRPr="00993E21">
        <w:t xml:space="preserve"> November 2024]. </w:t>
      </w:r>
    </w:p>
    <w:p w14:paraId="1FC770F7" w14:textId="4C869224" w:rsidR="00993E21" w:rsidRDefault="00993E21" w:rsidP="00993E21">
      <w:pPr>
        <w:spacing w:line="360" w:lineRule="auto"/>
        <w:ind w:hanging="720"/>
      </w:pPr>
      <w:r w:rsidRPr="00993E21">
        <w:t>Stark, B (2020). Inequality, COVID-19, and Human Rights: Whose Lives Matter? 27 ILSA J.</w:t>
      </w:r>
    </w:p>
    <w:p w14:paraId="2A5364F8" w14:textId="77777777" w:rsidR="00993E21" w:rsidRDefault="00993E21" w:rsidP="00993E21">
      <w:pPr>
        <w:spacing w:line="360" w:lineRule="auto"/>
        <w:ind w:left="720" w:hanging="720"/>
      </w:pPr>
      <w:r w:rsidRPr="00993E21">
        <w:t>Int'l &amp; Comp. L. 251. Available at:</w:t>
      </w:r>
    </w:p>
    <w:p w14:paraId="73288BE6" w14:textId="77777777" w:rsidR="00993E21" w:rsidRDefault="00993E21" w:rsidP="00993E21">
      <w:pPr>
        <w:spacing w:line="360" w:lineRule="auto"/>
        <w:ind w:left="720" w:hanging="720"/>
      </w:pPr>
      <w:hyperlink r:id="rId82" w:history="1">
        <w:r w:rsidRPr="004719E0">
          <w:rPr>
            <w:rStyle w:val="Hyperlink"/>
          </w:rPr>
          <w:t>https://heinonline.org/HOL/LandingPage?handle=hein.journals/ilsaic27&amp;div=17&amp;id=&amp;pag=</w:t>
        </w:r>
      </w:hyperlink>
    </w:p>
    <w:p w14:paraId="3BD45F65" w14:textId="236BA1BD" w:rsidR="00993E21" w:rsidRPr="00993E21" w:rsidRDefault="00993E21" w:rsidP="00993E21">
      <w:pPr>
        <w:spacing w:line="360" w:lineRule="auto"/>
        <w:ind w:left="720" w:hanging="720"/>
      </w:pPr>
      <w:r w:rsidRPr="00993E21">
        <w:t>[Assessed on 10</w:t>
      </w:r>
      <w:r w:rsidRPr="00993E21">
        <w:rPr>
          <w:vertAlign w:val="superscript"/>
        </w:rPr>
        <w:t>th</w:t>
      </w:r>
      <w:r w:rsidRPr="00993E21">
        <w:t xml:space="preserve"> November 2024]. </w:t>
      </w:r>
    </w:p>
    <w:p w14:paraId="5D5C762A" w14:textId="77777777" w:rsidR="00993E21" w:rsidRPr="00993E21" w:rsidRDefault="00993E21" w:rsidP="00993E21">
      <w:pPr>
        <w:spacing w:line="360" w:lineRule="auto"/>
        <w:ind w:hanging="720"/>
      </w:pPr>
      <w:r w:rsidRPr="00993E21">
        <w:t>Steytler, N (2022). Comparative Federalism and Covid-19. Combating The Pandemic. Oxon: Routledge.</w:t>
      </w:r>
    </w:p>
    <w:p w14:paraId="3F2E063F" w14:textId="77777777" w:rsidR="00993E21" w:rsidRPr="00993E21" w:rsidRDefault="00993E21" w:rsidP="00993E21">
      <w:pPr>
        <w:spacing w:line="360" w:lineRule="auto"/>
        <w:ind w:hanging="720"/>
      </w:pPr>
      <w:r w:rsidRPr="00993E21">
        <w:rPr>
          <w:rFonts w:eastAsiaTheme="majorEastAsia"/>
        </w:rPr>
        <w:lastRenderedPageBreak/>
        <w:t>Sugimoto</w:t>
      </w:r>
      <w:r w:rsidRPr="00993E21">
        <w:t xml:space="preserve">, Y (2020). </w:t>
      </w:r>
      <w:r w:rsidRPr="00993E21">
        <w:rPr>
          <w:rFonts w:eastAsiaTheme="majorEastAsia"/>
        </w:rPr>
        <w:t>An Introduction to Japanese Society</w:t>
      </w:r>
      <w:r w:rsidRPr="00993E21">
        <w:t xml:space="preserve">. Cambridge University Press: Cambridge. </w:t>
      </w:r>
    </w:p>
    <w:p w14:paraId="2C7DD49C" w14:textId="77777777" w:rsidR="00993E21" w:rsidRDefault="00993E21" w:rsidP="00993E21">
      <w:pPr>
        <w:spacing w:line="360" w:lineRule="auto"/>
        <w:ind w:hanging="720"/>
      </w:pPr>
      <w:r w:rsidRPr="00993E21">
        <w:t>Suzuki, K., and Hur, H. (2019). Bureaucratic structures and organizational commitment: findings from a comparative study of 20 European countries. </w:t>
      </w:r>
      <w:r w:rsidRPr="00993E21">
        <w:rPr>
          <w:i/>
          <w:iCs/>
        </w:rPr>
        <w:t>Public Management Review</w:t>
      </w:r>
      <w:r w:rsidRPr="00993E21">
        <w:t>, </w:t>
      </w:r>
      <w:r w:rsidRPr="00993E21">
        <w:rPr>
          <w:i/>
          <w:iCs/>
        </w:rPr>
        <w:t>22</w:t>
      </w:r>
      <w:r w:rsidRPr="00993E21">
        <w:t xml:space="preserve">(6), 877–907. </w:t>
      </w:r>
      <w:hyperlink r:id="rId83" w:history="1">
        <w:r w:rsidRPr="00993E21">
          <w:rPr>
            <w:rStyle w:val="Hyperlink"/>
          </w:rPr>
          <w:t>https://doi.org/10.1080/14719037.2019.1619813</w:t>
        </w:r>
      </w:hyperlink>
      <w:r w:rsidRPr="00993E21">
        <w:t xml:space="preserve"> [Assessed on 08th November 2024].</w:t>
      </w:r>
    </w:p>
    <w:p w14:paraId="69B9FFB7" w14:textId="77777777" w:rsidR="00993E21" w:rsidRDefault="00993E21" w:rsidP="00993E21">
      <w:pPr>
        <w:spacing w:line="360" w:lineRule="auto"/>
        <w:ind w:hanging="720"/>
      </w:pPr>
      <w:r w:rsidRPr="00993E21">
        <w:rPr>
          <w:i/>
          <w:iCs/>
          <w:color w:val="000000"/>
        </w:rPr>
        <w:t>The Coronavirus Act 2020:</w:t>
      </w:r>
      <w:r w:rsidRPr="00993E21">
        <w:rPr>
          <w:color w:val="000000"/>
        </w:rPr>
        <w:t xml:space="preserve"> Charles III. Chapter (7). Part 1. London: The Stationary Office. Available at: </w:t>
      </w:r>
      <w:hyperlink r:id="rId84" w:history="1">
        <w:r w:rsidRPr="00993E21">
          <w:rPr>
            <w:rStyle w:val="Hyperlink"/>
          </w:rPr>
          <w:t>https://www.legislation.gov.uk/ukpga/2020/7/contents</w:t>
        </w:r>
      </w:hyperlink>
      <w:r w:rsidRPr="00993E21">
        <w:rPr>
          <w:color w:val="000000"/>
        </w:rPr>
        <w:t xml:space="preserve"> [Assessed on 12</w:t>
      </w:r>
      <w:r w:rsidRPr="00993E21">
        <w:rPr>
          <w:color w:val="000000"/>
          <w:vertAlign w:val="superscript"/>
        </w:rPr>
        <w:t>th</w:t>
      </w:r>
      <w:r w:rsidRPr="00993E21">
        <w:rPr>
          <w:color w:val="000000"/>
        </w:rPr>
        <w:t xml:space="preserve"> November 2024]. </w:t>
      </w:r>
      <w:r w:rsidRPr="00993E21">
        <w:t xml:space="preserve"> </w:t>
      </w:r>
    </w:p>
    <w:p w14:paraId="489EFB9B" w14:textId="5510347A" w:rsidR="00993E21" w:rsidRPr="00993E21" w:rsidRDefault="00993E21" w:rsidP="00993E21">
      <w:pPr>
        <w:spacing w:line="360" w:lineRule="auto"/>
        <w:ind w:hanging="720"/>
      </w:pPr>
      <w:r w:rsidRPr="00993E21">
        <w:rPr>
          <w:i/>
          <w:iCs/>
        </w:rPr>
        <w:t>The Equality Act 2010</w:t>
      </w:r>
      <w:r w:rsidRPr="00993E21">
        <w:rPr>
          <w:color w:val="000000"/>
        </w:rPr>
        <w:t xml:space="preserve">: Charles III. </w:t>
      </w:r>
      <w:r w:rsidRPr="00993E21">
        <w:rPr>
          <w:i/>
          <w:iCs/>
          <w:color w:val="000000"/>
        </w:rPr>
        <w:t xml:space="preserve">Chapter </w:t>
      </w:r>
      <w:r w:rsidRPr="00993E21">
        <w:rPr>
          <w:color w:val="000000"/>
        </w:rPr>
        <w:t>(</w:t>
      </w:r>
      <w:r w:rsidRPr="00993E21">
        <w:rPr>
          <w:i/>
          <w:iCs/>
          <w:color w:val="000000"/>
        </w:rPr>
        <w:t>1</w:t>
      </w:r>
      <w:r w:rsidRPr="00993E21">
        <w:rPr>
          <w:color w:val="000000"/>
        </w:rPr>
        <w:t xml:space="preserve">). Part 2. London: The Stationary Office. Available at: </w:t>
      </w:r>
      <w:hyperlink r:id="rId85" w:history="1">
        <w:r w:rsidRPr="00993E21">
          <w:rPr>
            <w:rStyle w:val="Hyperlink"/>
          </w:rPr>
          <w:t>https://www.legislation.gov.uk/ukpga/2010/15/part/2</w:t>
        </w:r>
      </w:hyperlink>
      <w:r w:rsidRPr="00993E21">
        <w:rPr>
          <w:color w:val="000000"/>
        </w:rPr>
        <w:t xml:space="preserve"> [Assessed on 03 November 2024]. </w:t>
      </w:r>
    </w:p>
    <w:p w14:paraId="16273A9C" w14:textId="77777777" w:rsidR="00993E21" w:rsidRPr="00993E21" w:rsidRDefault="00993E21" w:rsidP="00993E21">
      <w:pPr>
        <w:spacing w:line="360" w:lineRule="auto"/>
        <w:ind w:hanging="720"/>
      </w:pPr>
      <w:r w:rsidRPr="00993E21">
        <w:t xml:space="preserve">The World Health Organisation (WHO), (2024). Gender Inequality Index (GII). Available at: </w:t>
      </w:r>
      <w:hyperlink r:id="rId86" w:anchor=":~:text=The%20gender%20inequality%20index%20(GII,the%20GII%20indicate%20worse%20achievements." w:history="1">
        <w:r w:rsidRPr="00993E21">
          <w:rPr>
            <w:rStyle w:val="Hyperlink"/>
          </w:rPr>
          <w:t>https://www.who.int/data/nutrition/nlis/info/gender-inequality-index-(gii) - :~:text=The gender inequality index (GII,the GII indicate worse achievements.</w:t>
        </w:r>
      </w:hyperlink>
      <w:r w:rsidRPr="00993E21">
        <w:t xml:space="preserve"> [Assessed on 02 November 2024]. </w:t>
      </w:r>
    </w:p>
    <w:p w14:paraId="7A002937" w14:textId="77777777" w:rsidR="00993E21" w:rsidRPr="00993E21" w:rsidRDefault="00993E21" w:rsidP="00993E21">
      <w:pPr>
        <w:spacing w:line="360" w:lineRule="auto"/>
        <w:ind w:hanging="720"/>
      </w:pPr>
      <w:r w:rsidRPr="00993E21">
        <w:t xml:space="preserve">The World Inequality Lab (2022). World Inequality |Report 2022. Available at: </w:t>
      </w:r>
      <w:hyperlink r:id="rId87" w:history="1">
        <w:r w:rsidRPr="00993E21">
          <w:rPr>
            <w:rStyle w:val="Hyperlink"/>
          </w:rPr>
          <w:t>https://wir2022.wid.world/www-site/uploads/2021/12/WorldInequalityReport2022_Full_Report.pdf</w:t>
        </w:r>
      </w:hyperlink>
      <w:r w:rsidRPr="00993E21">
        <w:t xml:space="preserve"> [Assessed on 02 November 2024].</w:t>
      </w:r>
    </w:p>
    <w:p w14:paraId="733A2C2C" w14:textId="77777777" w:rsidR="00993E21" w:rsidRPr="00993E21" w:rsidRDefault="00993E21" w:rsidP="00993E21">
      <w:pPr>
        <w:spacing w:line="360" w:lineRule="auto"/>
        <w:ind w:hanging="720"/>
      </w:pPr>
      <w:r w:rsidRPr="00993E21">
        <w:t>Thébaud, S, and Charles, M (2018). "Segregation, Stereotypes, and STEM" </w:t>
      </w:r>
      <w:r w:rsidRPr="00993E21">
        <w:rPr>
          <w:i/>
          <w:iCs/>
        </w:rPr>
        <w:t>Social Sciences</w:t>
      </w:r>
      <w:r w:rsidRPr="00993E21">
        <w:t xml:space="preserve"> 7, no. 7: 111. </w:t>
      </w:r>
      <w:hyperlink r:id="rId88" w:history="1">
        <w:r w:rsidRPr="00993E21">
          <w:rPr>
            <w:rStyle w:val="Hyperlink"/>
          </w:rPr>
          <w:t>https://doi.org/10.3390/socsci7070111</w:t>
        </w:r>
      </w:hyperlink>
      <w:r w:rsidRPr="00993E21">
        <w:t xml:space="preserve"> [Assessed on 08th November 2024]. </w:t>
      </w:r>
    </w:p>
    <w:p w14:paraId="19BD844E" w14:textId="77777777" w:rsidR="00993E21" w:rsidRPr="00993E21" w:rsidRDefault="00993E21" w:rsidP="00993E21">
      <w:pPr>
        <w:spacing w:line="360" w:lineRule="auto"/>
        <w:ind w:hanging="720"/>
      </w:pPr>
      <w:r w:rsidRPr="00993E21">
        <w:rPr>
          <w:rFonts w:eastAsiaTheme="majorEastAsia"/>
        </w:rPr>
        <w:t>Thomson</w:t>
      </w:r>
      <w:r w:rsidRPr="00993E21">
        <w:t xml:space="preserve">, A (2022). An Introduction to African Politics. Routledge: London. </w:t>
      </w:r>
    </w:p>
    <w:p w14:paraId="1689629B" w14:textId="77777777" w:rsidR="00993E21" w:rsidRPr="00993E21" w:rsidRDefault="00993E21" w:rsidP="00993E21">
      <w:pPr>
        <w:spacing w:line="360" w:lineRule="auto"/>
        <w:ind w:hanging="720"/>
      </w:pPr>
      <w:r w:rsidRPr="00993E21">
        <w:t xml:space="preserve">United Nation (2023) Sustainable Development Goals: 10, Reduced Inequality. Available at: </w:t>
      </w:r>
      <w:hyperlink r:id="rId89" w:history="1">
        <w:r w:rsidRPr="00993E21">
          <w:rPr>
            <w:rStyle w:val="Hyperlink"/>
          </w:rPr>
          <w:t>https://www.un.org/sustainabledevelopment/inequality/</w:t>
        </w:r>
      </w:hyperlink>
      <w:r w:rsidRPr="00993E21">
        <w:t xml:space="preserve"> [Assessed on 02 November 2024]. </w:t>
      </w:r>
    </w:p>
    <w:p w14:paraId="2F98859D" w14:textId="77777777" w:rsidR="00993E21" w:rsidRPr="00993E21" w:rsidRDefault="00993E21" w:rsidP="00993E21">
      <w:pPr>
        <w:spacing w:line="360" w:lineRule="auto"/>
        <w:ind w:hanging="720"/>
      </w:pPr>
      <w:r w:rsidRPr="00993E21">
        <w:t xml:space="preserve">United Nations (2024). Inequality – Bridging the Divide. Available at: </w:t>
      </w:r>
      <w:hyperlink r:id="rId90" w:history="1">
        <w:r w:rsidRPr="00993E21">
          <w:rPr>
            <w:rStyle w:val="Hyperlink"/>
          </w:rPr>
          <w:t>https://www.un.org/en/un75/inequality-bridging-divide</w:t>
        </w:r>
      </w:hyperlink>
      <w:r w:rsidRPr="00993E21">
        <w:t xml:space="preserve"> [Assessed on 02 November 2024].</w:t>
      </w:r>
    </w:p>
    <w:p w14:paraId="094A9F72" w14:textId="77777777" w:rsidR="00993E21" w:rsidRPr="00993E21" w:rsidRDefault="00993E21" w:rsidP="00993E21">
      <w:pPr>
        <w:spacing w:line="360" w:lineRule="auto"/>
        <w:ind w:hanging="720"/>
      </w:pPr>
      <w:r w:rsidRPr="00993E21">
        <w:t xml:space="preserve">United Nations Development Programme (UNDP) (2024). GENDER INEQUALITY INDEX (GII). Available at: </w:t>
      </w:r>
      <w:hyperlink r:id="rId91" w:anchor="/indicies/GII" w:history="1">
        <w:r w:rsidRPr="00993E21">
          <w:rPr>
            <w:rStyle w:val="Hyperlink"/>
          </w:rPr>
          <w:t>https://hdr.undp.org/data-center/thematic-composite-indices/gender-inequality-index - /indicies/GII</w:t>
        </w:r>
      </w:hyperlink>
      <w:r w:rsidRPr="00993E21">
        <w:t xml:space="preserve"> [Assessed on 02 November 2024].</w:t>
      </w:r>
    </w:p>
    <w:p w14:paraId="0ED38FDD" w14:textId="77777777" w:rsidR="00993E21" w:rsidRPr="00993E21" w:rsidRDefault="00993E21" w:rsidP="00993E21">
      <w:pPr>
        <w:spacing w:line="360" w:lineRule="auto"/>
        <w:ind w:hanging="720"/>
      </w:pPr>
      <w:r w:rsidRPr="00993E21">
        <w:t>United Nations. (2020). </w:t>
      </w:r>
      <w:r w:rsidRPr="00993E21">
        <w:rPr>
          <w:i/>
          <w:iCs/>
        </w:rPr>
        <w:t>UN working to ensure vulnerable groups not left behind in COVID-19 response</w:t>
      </w:r>
      <w:r w:rsidRPr="00993E21">
        <w:t>. </w:t>
      </w:r>
      <w:hyperlink r:id="rId92" w:history="1">
        <w:r w:rsidRPr="00993E21">
          <w:rPr>
            <w:rStyle w:val="Hyperlink"/>
          </w:rPr>
          <w:t>https://www.un.org/en/un-coronavirus-communications-team/un-working-ensure-vulnerable-groups-not-left-behind-covid-19</w:t>
        </w:r>
      </w:hyperlink>
      <w:r w:rsidRPr="00993E21">
        <w:t xml:space="preserve"> [Assessed on 10th November 2024]. </w:t>
      </w:r>
    </w:p>
    <w:p w14:paraId="6542D4A5" w14:textId="77777777" w:rsidR="00993E21" w:rsidRPr="00993E21" w:rsidRDefault="00993E21" w:rsidP="00993E21">
      <w:pPr>
        <w:spacing w:line="360" w:lineRule="auto"/>
        <w:ind w:hanging="720"/>
      </w:pPr>
      <w:r w:rsidRPr="00993E21">
        <w:t xml:space="preserve">Warner, L, W, Meeker, M, Eells, K., (2019). Social Class in America. Routledge: London. </w:t>
      </w:r>
    </w:p>
    <w:p w14:paraId="4FE4A318" w14:textId="77777777" w:rsidR="00993E21" w:rsidRPr="00993E21" w:rsidRDefault="00993E21" w:rsidP="00993E21">
      <w:pPr>
        <w:spacing w:line="360" w:lineRule="auto"/>
        <w:ind w:hanging="720"/>
      </w:pPr>
      <w:r w:rsidRPr="00993E21">
        <w:lastRenderedPageBreak/>
        <w:t>Weber Max. [1922] 1946. “Class, Status, Party.” Pp. 180–95 in </w:t>
      </w:r>
      <w:r w:rsidRPr="00993E21">
        <w:rPr>
          <w:i/>
          <w:iCs/>
        </w:rPr>
        <w:t>From Max Weber: Essays in Sociology</w:t>
      </w:r>
      <w:r w:rsidRPr="00993E21">
        <w:t>, edited by Gerth H. H., Mills C. W. Reprint, New York: Oxford University Press.</w:t>
      </w:r>
    </w:p>
    <w:p w14:paraId="1151B1CE" w14:textId="77777777" w:rsidR="00993E21" w:rsidRPr="00993E21" w:rsidRDefault="00993E21" w:rsidP="00993E21">
      <w:pPr>
        <w:spacing w:line="360" w:lineRule="auto"/>
        <w:ind w:hanging="720"/>
      </w:pPr>
      <w:r w:rsidRPr="00993E21">
        <w:t xml:space="preserve">Weber, B., (2018). </w:t>
      </w:r>
      <w:r w:rsidRPr="00993E21">
        <w:rPr>
          <w:rFonts w:eastAsiaTheme="majorEastAsia"/>
        </w:rPr>
        <w:t>Class War, USA: Dispatches from Workers' Struggles in American History</w:t>
      </w:r>
      <w:r w:rsidRPr="00993E21">
        <w:t xml:space="preserve">. Haymarket Books: Chicago. </w:t>
      </w:r>
    </w:p>
    <w:p w14:paraId="061ED666" w14:textId="77777777" w:rsidR="00993E21" w:rsidRPr="00993E21" w:rsidRDefault="00993E21" w:rsidP="00993E21">
      <w:pPr>
        <w:spacing w:line="360" w:lineRule="auto"/>
        <w:ind w:hanging="720"/>
      </w:pPr>
      <w:r w:rsidRPr="00993E21">
        <w:t>Weber, M (2023) Bureaucracy. London: Routledge.</w:t>
      </w:r>
    </w:p>
    <w:p w14:paraId="6813C11F" w14:textId="77777777" w:rsidR="00993E21" w:rsidRPr="00993E21" w:rsidRDefault="00993E21" w:rsidP="00993E21">
      <w:pPr>
        <w:spacing w:line="360" w:lineRule="auto"/>
        <w:ind w:hanging="720"/>
      </w:pPr>
      <w:r w:rsidRPr="00993E21">
        <w:t>Weber, M, 1864-1920. (1947) The theory of social and economic organization. New York: London: Free Press; Collier Macmillan.</w:t>
      </w:r>
    </w:p>
    <w:p w14:paraId="58E4B9B2" w14:textId="040A9DEC" w:rsidR="00993E21" w:rsidRPr="00993E21" w:rsidRDefault="00993E21" w:rsidP="00993E21">
      <w:pPr>
        <w:spacing w:line="360" w:lineRule="auto"/>
        <w:ind w:hanging="720"/>
      </w:pPr>
      <w:r w:rsidRPr="00993E21">
        <w:t>Weber, M. (1991). The Nature of Social Action. In Runciman, W.G. (Ed.), Weber: Selections in Translation (p. 7). Cambridge University Press.</w:t>
      </w:r>
    </w:p>
    <w:p w14:paraId="59B4D008" w14:textId="77777777" w:rsidR="00993E21" w:rsidRPr="00993E21" w:rsidRDefault="00993E21" w:rsidP="00993E21">
      <w:pPr>
        <w:spacing w:line="360" w:lineRule="auto"/>
        <w:ind w:hanging="720"/>
      </w:pPr>
      <w:r w:rsidRPr="00993E21">
        <w:t>Weber, M. (2001). The protestant ethic and the spirit of capitalism. Routledge.</w:t>
      </w:r>
    </w:p>
    <w:p w14:paraId="089DB21B" w14:textId="77777777" w:rsidR="00993E21" w:rsidRPr="00993E21" w:rsidRDefault="00993E21" w:rsidP="00993E21">
      <w:pPr>
        <w:spacing w:line="360" w:lineRule="auto"/>
        <w:ind w:hanging="720"/>
      </w:pPr>
      <w:r w:rsidRPr="00993E21">
        <w:t xml:space="preserve">West-Rudner, D. (2022). Caste and Capitalism in Colonial India: The Nattukottai Chettiars. University of California Press: Los Angeles. </w:t>
      </w:r>
    </w:p>
    <w:p w14:paraId="24C65834" w14:textId="77777777" w:rsidR="00993E21" w:rsidRPr="00993E21" w:rsidRDefault="00993E21" w:rsidP="00993E21">
      <w:pPr>
        <w:spacing w:line="360" w:lineRule="auto"/>
        <w:ind w:hanging="720"/>
      </w:pPr>
      <w:r w:rsidRPr="00993E21">
        <w:t xml:space="preserve">Wiborg, O, N, And Hansen, M, N (2018) The Scandinavian model during increasing inequality: Recent trends in educational attainment, earnings and wealth among Norwegian siblings, Research in Social Stratification and Mobility, (56)Pp, 53-63, </w:t>
      </w:r>
      <w:hyperlink r:id="rId93" w:history="1">
        <w:r w:rsidRPr="00993E21">
          <w:rPr>
            <w:rStyle w:val="Hyperlink"/>
          </w:rPr>
          <w:t>https://doi.org/10.1016/j.rssm.2018.06.006</w:t>
        </w:r>
      </w:hyperlink>
      <w:r w:rsidRPr="00993E21">
        <w:t xml:space="preserve"> [Assessed on 07</w:t>
      </w:r>
      <w:r w:rsidRPr="00993E21">
        <w:rPr>
          <w:vertAlign w:val="superscript"/>
        </w:rPr>
        <w:t>th</w:t>
      </w:r>
      <w:r w:rsidRPr="00993E21">
        <w:t xml:space="preserve"> November 2024]. </w:t>
      </w:r>
    </w:p>
    <w:p w14:paraId="192AFEA3" w14:textId="77777777" w:rsidR="00993E21" w:rsidRDefault="00993E21" w:rsidP="00993E21">
      <w:pPr>
        <w:spacing w:line="360" w:lineRule="auto"/>
        <w:ind w:hanging="720"/>
      </w:pPr>
      <w:r w:rsidRPr="00993E21">
        <w:t xml:space="preserve">Woodcock, J and Graham, M (2020). The Gig Economy a Critical Introduction Polity Press: Cambridge. </w:t>
      </w:r>
    </w:p>
    <w:p w14:paraId="1CFCDBF7" w14:textId="77777777" w:rsidR="00993E21" w:rsidRDefault="00993E21" w:rsidP="00993E21">
      <w:pPr>
        <w:spacing w:line="360" w:lineRule="auto"/>
        <w:ind w:hanging="720"/>
      </w:pPr>
      <w:r w:rsidRPr="00993E21">
        <w:t xml:space="preserve">World Population Review (2024). Explain the Gini Coefficient. Available at: </w:t>
      </w:r>
      <w:hyperlink r:id="rId94" w:history="1">
        <w:r w:rsidRPr="00993E21">
          <w:rPr>
            <w:rStyle w:val="Hyperlink"/>
          </w:rPr>
          <w:t>https://worldpopulationreview.com/country-rankings/gini-coefficient-by-country</w:t>
        </w:r>
      </w:hyperlink>
      <w:r w:rsidRPr="00993E21">
        <w:t xml:space="preserve"> [Assessed on 02 November 2024].  </w:t>
      </w:r>
    </w:p>
    <w:p w14:paraId="239E3D3D" w14:textId="77777777" w:rsidR="00993E21" w:rsidRDefault="00993E21" w:rsidP="00993E21">
      <w:pPr>
        <w:spacing w:line="360" w:lineRule="auto"/>
        <w:ind w:hanging="720"/>
      </w:pPr>
      <w:r w:rsidRPr="00993E21">
        <w:t>Yu, H. H. (2024). Reporting Workplace Discrimination: An Exploratory Analysis of Bystander Behavior. </w:t>
      </w:r>
      <w:r w:rsidRPr="00993E21">
        <w:rPr>
          <w:i/>
          <w:iCs/>
        </w:rPr>
        <w:t>Review of Public Personnel Administration</w:t>
      </w:r>
      <w:r w:rsidRPr="00993E21">
        <w:t>, </w:t>
      </w:r>
      <w:r w:rsidRPr="00993E21">
        <w:rPr>
          <w:i/>
          <w:iCs/>
        </w:rPr>
        <w:t>44</w:t>
      </w:r>
      <w:r w:rsidRPr="00993E21">
        <w:t>(3), 453-471. </w:t>
      </w:r>
      <w:hyperlink r:id="rId95" w:history="1">
        <w:r w:rsidRPr="00993E21">
          <w:rPr>
            <w:rStyle w:val="Hyperlink"/>
          </w:rPr>
          <w:t>https://doi.org/10.1177/0734371X221149164</w:t>
        </w:r>
      </w:hyperlink>
      <w:r w:rsidRPr="00993E21">
        <w:t xml:space="preserve"> [Assessed on 07th November 2024]</w:t>
      </w:r>
      <w:r>
        <w:t>.</w:t>
      </w:r>
    </w:p>
    <w:p w14:paraId="6ECE7C39" w14:textId="0902C434" w:rsidR="008E136B" w:rsidRPr="008E136B" w:rsidRDefault="00993E21" w:rsidP="00993E21">
      <w:pPr>
        <w:spacing w:line="360" w:lineRule="auto"/>
        <w:ind w:hanging="720"/>
      </w:pPr>
      <w:r w:rsidRPr="00993E21">
        <w:t>Yu, H. H., and Lee, D. (2021). Women and Public Organization: An Examination of Mentorship and Its Effect on Reporting Workplace Discrimination. </w:t>
      </w:r>
      <w:r w:rsidRPr="00993E21">
        <w:rPr>
          <w:i/>
          <w:iCs/>
        </w:rPr>
        <w:t>Review of Public Personnel Administration</w:t>
      </w:r>
      <w:r w:rsidRPr="00993E21">
        <w:t>, </w:t>
      </w:r>
      <w:r w:rsidRPr="00993E21">
        <w:rPr>
          <w:i/>
          <w:iCs/>
        </w:rPr>
        <w:t>41</w:t>
      </w:r>
      <w:r w:rsidRPr="00993E21">
        <w:t>(2), 274-293. </w:t>
      </w:r>
      <w:hyperlink r:id="rId96" w:history="1">
        <w:r w:rsidRPr="00993E21">
          <w:rPr>
            <w:rStyle w:val="Hyperlink"/>
          </w:rPr>
          <w:t>https://doi.org/10.1177/0734371X19880578</w:t>
        </w:r>
      </w:hyperlink>
      <w:r w:rsidRPr="00993E21">
        <w:t xml:space="preserve"> [Assessed on 07th November 2024].</w:t>
      </w:r>
    </w:p>
    <w:sectPr w:rsidR="008E136B" w:rsidRPr="008E136B">
      <w:headerReference w:type="default" r:id="rI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9D6CC" w14:textId="77777777" w:rsidR="006D0A7B" w:rsidRDefault="006D0A7B" w:rsidP="00583B2D">
      <w:r>
        <w:separator/>
      </w:r>
    </w:p>
  </w:endnote>
  <w:endnote w:type="continuationSeparator" w:id="0">
    <w:p w14:paraId="19E8293B" w14:textId="77777777" w:rsidR="006D0A7B" w:rsidRDefault="006D0A7B" w:rsidP="0058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673E79" w14:textId="77777777" w:rsidR="006D0A7B" w:rsidRDefault="006D0A7B" w:rsidP="00583B2D">
      <w:r>
        <w:separator/>
      </w:r>
    </w:p>
  </w:footnote>
  <w:footnote w:type="continuationSeparator" w:id="0">
    <w:p w14:paraId="61C0C993" w14:textId="77777777" w:rsidR="006D0A7B" w:rsidRDefault="006D0A7B" w:rsidP="00583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34D28" w14:textId="04F5B743" w:rsidR="00583B2D" w:rsidRPr="00583B2D" w:rsidRDefault="00583B2D" w:rsidP="00583B2D">
    <w:pPr>
      <w:spacing w:line="276" w:lineRule="auto"/>
      <w:jc w:val="center"/>
    </w:pPr>
    <w:r w:rsidRPr="00583B2D">
      <w:t>ECED7009, Assessment 1</w:t>
    </w:r>
  </w:p>
  <w:p w14:paraId="49429D14" w14:textId="551FE7B2" w:rsidR="00583B2D" w:rsidRPr="00583B2D" w:rsidRDefault="00583B2D" w:rsidP="00583B2D">
    <w:pPr>
      <w:spacing w:line="276" w:lineRule="auto"/>
      <w:jc w:val="center"/>
    </w:pPr>
    <w:r w:rsidRPr="00583B2D">
      <w:t>Jessica Rowe, 2108311</w:t>
    </w:r>
  </w:p>
  <w:p w14:paraId="710DF8EF" w14:textId="4B4A9F5F" w:rsidR="00583B2D" w:rsidRDefault="00583B2D" w:rsidP="00EC561E">
    <w:pPr>
      <w:spacing w:line="276" w:lineRule="auto"/>
      <w:jc w:val="center"/>
    </w:pPr>
    <w:r w:rsidRPr="00583B2D">
      <w:t>Critically reflect upon what constitutes inequality</w:t>
    </w:r>
    <w:r>
      <w:t>,</w:t>
    </w:r>
  </w:p>
  <w:p w14:paraId="681B305E" w14:textId="6DDA76D7" w:rsidR="00583B2D" w:rsidRPr="00583B2D" w:rsidRDefault="00583B2D" w:rsidP="00583B2D">
    <w:pPr>
      <w:spacing w:line="276" w:lineRule="auto"/>
      <w:jc w:val="center"/>
    </w:pPr>
    <w:r w:rsidRPr="00583B2D">
      <w:t>consider examples to underpin your response.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2A5152"/>
    <w:multiLevelType w:val="multilevel"/>
    <w:tmpl w:val="DEBC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A1BF1"/>
    <w:multiLevelType w:val="multilevel"/>
    <w:tmpl w:val="2142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A53F4"/>
    <w:multiLevelType w:val="multilevel"/>
    <w:tmpl w:val="F2262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B1A2C"/>
    <w:multiLevelType w:val="multilevel"/>
    <w:tmpl w:val="93084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2B5B69"/>
    <w:multiLevelType w:val="multilevel"/>
    <w:tmpl w:val="21B0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406AE8"/>
    <w:multiLevelType w:val="multilevel"/>
    <w:tmpl w:val="05C0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DF0E86"/>
    <w:multiLevelType w:val="multilevel"/>
    <w:tmpl w:val="AE18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61D1C"/>
    <w:multiLevelType w:val="multilevel"/>
    <w:tmpl w:val="C9985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8C67A7"/>
    <w:multiLevelType w:val="multilevel"/>
    <w:tmpl w:val="966C1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463FB8"/>
    <w:multiLevelType w:val="multilevel"/>
    <w:tmpl w:val="8DEE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D94ABF"/>
    <w:multiLevelType w:val="multilevel"/>
    <w:tmpl w:val="9AAEB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791E06"/>
    <w:multiLevelType w:val="multilevel"/>
    <w:tmpl w:val="E5FC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167144"/>
    <w:multiLevelType w:val="multilevel"/>
    <w:tmpl w:val="2144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021640"/>
    <w:multiLevelType w:val="hybridMultilevel"/>
    <w:tmpl w:val="84DEAE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05697D"/>
    <w:multiLevelType w:val="multilevel"/>
    <w:tmpl w:val="3AA88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878978">
    <w:abstractNumId w:val="8"/>
  </w:num>
  <w:num w:numId="2" w16cid:durableId="1824201129">
    <w:abstractNumId w:val="7"/>
  </w:num>
  <w:num w:numId="3" w16cid:durableId="934287753">
    <w:abstractNumId w:val="12"/>
  </w:num>
  <w:num w:numId="4" w16cid:durableId="1624463733">
    <w:abstractNumId w:val="10"/>
  </w:num>
  <w:num w:numId="5" w16cid:durableId="1467351911">
    <w:abstractNumId w:val="6"/>
  </w:num>
  <w:num w:numId="6" w16cid:durableId="1158764564">
    <w:abstractNumId w:val="4"/>
  </w:num>
  <w:num w:numId="7" w16cid:durableId="677923018">
    <w:abstractNumId w:val="9"/>
  </w:num>
  <w:num w:numId="8" w16cid:durableId="1223491840">
    <w:abstractNumId w:val="11"/>
  </w:num>
  <w:num w:numId="9" w16cid:durableId="1593127799">
    <w:abstractNumId w:val="2"/>
  </w:num>
  <w:num w:numId="10" w16cid:durableId="321203641">
    <w:abstractNumId w:val="1"/>
  </w:num>
  <w:num w:numId="11" w16cid:durableId="1280842804">
    <w:abstractNumId w:val="14"/>
  </w:num>
  <w:num w:numId="12" w16cid:durableId="1879735397">
    <w:abstractNumId w:val="13"/>
  </w:num>
  <w:num w:numId="13" w16cid:durableId="482503547">
    <w:abstractNumId w:val="5"/>
  </w:num>
  <w:num w:numId="14" w16cid:durableId="1426339237">
    <w:abstractNumId w:val="0"/>
  </w:num>
  <w:num w:numId="15" w16cid:durableId="1050113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36B"/>
    <w:rsid w:val="00000284"/>
    <w:rsid w:val="000013ED"/>
    <w:rsid w:val="000032BD"/>
    <w:rsid w:val="0000368E"/>
    <w:rsid w:val="00006EEA"/>
    <w:rsid w:val="000116AF"/>
    <w:rsid w:val="000214F0"/>
    <w:rsid w:val="0003135D"/>
    <w:rsid w:val="000631E5"/>
    <w:rsid w:val="000704E2"/>
    <w:rsid w:val="0007546C"/>
    <w:rsid w:val="000B739F"/>
    <w:rsid w:val="000D75DE"/>
    <w:rsid w:val="000D7D6A"/>
    <w:rsid w:val="000E39B4"/>
    <w:rsid w:val="000E3C7F"/>
    <w:rsid w:val="001049EE"/>
    <w:rsid w:val="00107DBD"/>
    <w:rsid w:val="0011759A"/>
    <w:rsid w:val="001215A6"/>
    <w:rsid w:val="001257EE"/>
    <w:rsid w:val="00141986"/>
    <w:rsid w:val="00143353"/>
    <w:rsid w:val="00150E46"/>
    <w:rsid w:val="001516B9"/>
    <w:rsid w:val="0017583B"/>
    <w:rsid w:val="00180CD3"/>
    <w:rsid w:val="00186536"/>
    <w:rsid w:val="0019731E"/>
    <w:rsid w:val="001A64CF"/>
    <w:rsid w:val="001B6887"/>
    <w:rsid w:val="001D1A68"/>
    <w:rsid w:val="00210417"/>
    <w:rsid w:val="00213C4C"/>
    <w:rsid w:val="002208EA"/>
    <w:rsid w:val="002225B4"/>
    <w:rsid w:val="002300A4"/>
    <w:rsid w:val="0027680F"/>
    <w:rsid w:val="002A0F3E"/>
    <w:rsid w:val="002A7870"/>
    <w:rsid w:val="002B1164"/>
    <w:rsid w:val="002E63B2"/>
    <w:rsid w:val="002F321B"/>
    <w:rsid w:val="00305EBF"/>
    <w:rsid w:val="003103B5"/>
    <w:rsid w:val="0032281B"/>
    <w:rsid w:val="00323D0D"/>
    <w:rsid w:val="003417F7"/>
    <w:rsid w:val="00342E56"/>
    <w:rsid w:val="00371D5F"/>
    <w:rsid w:val="00382D52"/>
    <w:rsid w:val="003A6709"/>
    <w:rsid w:val="003C4453"/>
    <w:rsid w:val="003D3BDF"/>
    <w:rsid w:val="003F198F"/>
    <w:rsid w:val="00400C50"/>
    <w:rsid w:val="00414B18"/>
    <w:rsid w:val="00425055"/>
    <w:rsid w:val="0042506F"/>
    <w:rsid w:val="004458FE"/>
    <w:rsid w:val="00480147"/>
    <w:rsid w:val="004A6C51"/>
    <w:rsid w:val="004C1F89"/>
    <w:rsid w:val="004D1E5B"/>
    <w:rsid w:val="00515264"/>
    <w:rsid w:val="00516178"/>
    <w:rsid w:val="00525326"/>
    <w:rsid w:val="00541216"/>
    <w:rsid w:val="005500D1"/>
    <w:rsid w:val="005622A6"/>
    <w:rsid w:val="00583B2D"/>
    <w:rsid w:val="00595E81"/>
    <w:rsid w:val="005A562B"/>
    <w:rsid w:val="005B6E89"/>
    <w:rsid w:val="005D240C"/>
    <w:rsid w:val="005E08E7"/>
    <w:rsid w:val="005E3A1E"/>
    <w:rsid w:val="00615990"/>
    <w:rsid w:val="0067783B"/>
    <w:rsid w:val="00697C31"/>
    <w:rsid w:val="006B22C3"/>
    <w:rsid w:val="006C64CB"/>
    <w:rsid w:val="006D0A7B"/>
    <w:rsid w:val="006D4CF5"/>
    <w:rsid w:val="006E2941"/>
    <w:rsid w:val="006F058F"/>
    <w:rsid w:val="006F05F0"/>
    <w:rsid w:val="006F7FE6"/>
    <w:rsid w:val="00726F10"/>
    <w:rsid w:val="007350BF"/>
    <w:rsid w:val="00741E17"/>
    <w:rsid w:val="007B5AB7"/>
    <w:rsid w:val="00801806"/>
    <w:rsid w:val="008106A4"/>
    <w:rsid w:val="0083732D"/>
    <w:rsid w:val="008409B1"/>
    <w:rsid w:val="00877061"/>
    <w:rsid w:val="008A6AC7"/>
    <w:rsid w:val="008C0639"/>
    <w:rsid w:val="008C1364"/>
    <w:rsid w:val="008C32AE"/>
    <w:rsid w:val="008D4128"/>
    <w:rsid w:val="008D5823"/>
    <w:rsid w:val="008E136B"/>
    <w:rsid w:val="008E212F"/>
    <w:rsid w:val="008F3E76"/>
    <w:rsid w:val="008F67FA"/>
    <w:rsid w:val="00913630"/>
    <w:rsid w:val="00931196"/>
    <w:rsid w:val="00936702"/>
    <w:rsid w:val="0096487A"/>
    <w:rsid w:val="00965888"/>
    <w:rsid w:val="009912D7"/>
    <w:rsid w:val="00991A6A"/>
    <w:rsid w:val="00993E21"/>
    <w:rsid w:val="0099582E"/>
    <w:rsid w:val="009A03E2"/>
    <w:rsid w:val="009B52E3"/>
    <w:rsid w:val="009D5980"/>
    <w:rsid w:val="009F04A8"/>
    <w:rsid w:val="00A01EA1"/>
    <w:rsid w:val="00A106BC"/>
    <w:rsid w:val="00A14478"/>
    <w:rsid w:val="00A1763E"/>
    <w:rsid w:val="00A22DF7"/>
    <w:rsid w:val="00A274DF"/>
    <w:rsid w:val="00A40DBE"/>
    <w:rsid w:val="00A54314"/>
    <w:rsid w:val="00A66703"/>
    <w:rsid w:val="00A73AD8"/>
    <w:rsid w:val="00A846D1"/>
    <w:rsid w:val="00A95C89"/>
    <w:rsid w:val="00AB5C1C"/>
    <w:rsid w:val="00AD509A"/>
    <w:rsid w:val="00AD55AE"/>
    <w:rsid w:val="00B008C0"/>
    <w:rsid w:val="00B01F96"/>
    <w:rsid w:val="00B07CAA"/>
    <w:rsid w:val="00B2467C"/>
    <w:rsid w:val="00B61D2A"/>
    <w:rsid w:val="00B63AD5"/>
    <w:rsid w:val="00B65415"/>
    <w:rsid w:val="00BA5C1D"/>
    <w:rsid w:val="00BF2158"/>
    <w:rsid w:val="00BF4CAD"/>
    <w:rsid w:val="00C071DE"/>
    <w:rsid w:val="00C1420F"/>
    <w:rsid w:val="00C20ECA"/>
    <w:rsid w:val="00C31C8E"/>
    <w:rsid w:val="00C32EFD"/>
    <w:rsid w:val="00C45507"/>
    <w:rsid w:val="00C76103"/>
    <w:rsid w:val="00CD5A30"/>
    <w:rsid w:val="00CF2750"/>
    <w:rsid w:val="00D14271"/>
    <w:rsid w:val="00D20FE3"/>
    <w:rsid w:val="00D240D4"/>
    <w:rsid w:val="00D438A1"/>
    <w:rsid w:val="00D51A21"/>
    <w:rsid w:val="00D55592"/>
    <w:rsid w:val="00D6023A"/>
    <w:rsid w:val="00D73109"/>
    <w:rsid w:val="00D92803"/>
    <w:rsid w:val="00DA2086"/>
    <w:rsid w:val="00DB4822"/>
    <w:rsid w:val="00DD0E77"/>
    <w:rsid w:val="00DD49E5"/>
    <w:rsid w:val="00DF7315"/>
    <w:rsid w:val="00E005C3"/>
    <w:rsid w:val="00E13DE1"/>
    <w:rsid w:val="00E15DC6"/>
    <w:rsid w:val="00E20FDF"/>
    <w:rsid w:val="00E310BD"/>
    <w:rsid w:val="00E31C19"/>
    <w:rsid w:val="00E31D72"/>
    <w:rsid w:val="00E33414"/>
    <w:rsid w:val="00E41D81"/>
    <w:rsid w:val="00E47B69"/>
    <w:rsid w:val="00E8013D"/>
    <w:rsid w:val="00E8305F"/>
    <w:rsid w:val="00E864BA"/>
    <w:rsid w:val="00EA100F"/>
    <w:rsid w:val="00EA79FD"/>
    <w:rsid w:val="00EC1DC8"/>
    <w:rsid w:val="00EC561E"/>
    <w:rsid w:val="00ED2D92"/>
    <w:rsid w:val="00EE66A6"/>
    <w:rsid w:val="00F1319D"/>
    <w:rsid w:val="00F2434E"/>
    <w:rsid w:val="00F33B1A"/>
    <w:rsid w:val="00F43606"/>
    <w:rsid w:val="00F46A2F"/>
    <w:rsid w:val="00F62294"/>
    <w:rsid w:val="00F65CC6"/>
    <w:rsid w:val="00F7544D"/>
    <w:rsid w:val="00F868E2"/>
    <w:rsid w:val="00F87231"/>
    <w:rsid w:val="00FA2D00"/>
    <w:rsid w:val="00FB225F"/>
    <w:rsid w:val="00FB28C0"/>
    <w:rsid w:val="00FB65C0"/>
    <w:rsid w:val="00FC6234"/>
    <w:rsid w:val="00FD2B69"/>
    <w:rsid w:val="00FD3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8D25"/>
  <w15:chartTrackingRefBased/>
  <w15:docId w15:val="{1A9352F4-A547-8F47-ABB8-06B3DCBC8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14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8E13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13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E13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3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3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3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3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3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3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3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3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E13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3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3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36B"/>
    <w:rPr>
      <w:rFonts w:eastAsiaTheme="majorEastAsia" w:cstheme="majorBidi"/>
      <w:color w:val="272727" w:themeColor="text1" w:themeTint="D8"/>
    </w:rPr>
  </w:style>
  <w:style w:type="paragraph" w:styleId="Title">
    <w:name w:val="Title"/>
    <w:basedOn w:val="Normal"/>
    <w:next w:val="Normal"/>
    <w:link w:val="TitleChar"/>
    <w:uiPriority w:val="10"/>
    <w:qFormat/>
    <w:rsid w:val="008E136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36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36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E136B"/>
    <w:rPr>
      <w:i/>
      <w:iCs/>
      <w:color w:val="404040" w:themeColor="text1" w:themeTint="BF"/>
    </w:rPr>
  </w:style>
  <w:style w:type="paragraph" w:styleId="ListParagraph">
    <w:name w:val="List Paragraph"/>
    <w:basedOn w:val="Normal"/>
    <w:uiPriority w:val="34"/>
    <w:qFormat/>
    <w:rsid w:val="008E136B"/>
    <w:pPr>
      <w:ind w:left="720"/>
      <w:contextualSpacing/>
    </w:pPr>
  </w:style>
  <w:style w:type="character" w:styleId="IntenseEmphasis">
    <w:name w:val="Intense Emphasis"/>
    <w:basedOn w:val="DefaultParagraphFont"/>
    <w:uiPriority w:val="21"/>
    <w:qFormat/>
    <w:rsid w:val="008E136B"/>
    <w:rPr>
      <w:i/>
      <w:iCs/>
      <w:color w:val="0F4761" w:themeColor="accent1" w:themeShade="BF"/>
    </w:rPr>
  </w:style>
  <w:style w:type="paragraph" w:styleId="IntenseQuote">
    <w:name w:val="Intense Quote"/>
    <w:basedOn w:val="Normal"/>
    <w:next w:val="Normal"/>
    <w:link w:val="IntenseQuoteChar"/>
    <w:uiPriority w:val="30"/>
    <w:qFormat/>
    <w:rsid w:val="008E1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36B"/>
    <w:rPr>
      <w:i/>
      <w:iCs/>
      <w:color w:val="0F4761" w:themeColor="accent1" w:themeShade="BF"/>
    </w:rPr>
  </w:style>
  <w:style w:type="character" w:styleId="IntenseReference">
    <w:name w:val="Intense Reference"/>
    <w:basedOn w:val="DefaultParagraphFont"/>
    <w:uiPriority w:val="32"/>
    <w:qFormat/>
    <w:rsid w:val="008E136B"/>
    <w:rPr>
      <w:b/>
      <w:bCs/>
      <w:smallCaps/>
      <w:color w:val="0F4761" w:themeColor="accent1" w:themeShade="BF"/>
      <w:spacing w:val="5"/>
    </w:rPr>
  </w:style>
  <w:style w:type="character" w:styleId="Strong">
    <w:name w:val="Strong"/>
    <w:basedOn w:val="DefaultParagraphFont"/>
    <w:uiPriority w:val="22"/>
    <w:qFormat/>
    <w:rsid w:val="008E136B"/>
    <w:rPr>
      <w:b/>
      <w:bCs/>
    </w:rPr>
  </w:style>
  <w:style w:type="paragraph" w:styleId="NormalWeb">
    <w:name w:val="Normal (Web)"/>
    <w:basedOn w:val="Normal"/>
    <w:uiPriority w:val="99"/>
    <w:unhideWhenUsed/>
    <w:rsid w:val="008E136B"/>
    <w:pPr>
      <w:spacing w:before="100" w:beforeAutospacing="1" w:after="100" w:afterAutospacing="1"/>
    </w:pPr>
  </w:style>
  <w:style w:type="paragraph" w:styleId="Header">
    <w:name w:val="header"/>
    <w:basedOn w:val="Normal"/>
    <w:link w:val="HeaderChar"/>
    <w:uiPriority w:val="99"/>
    <w:unhideWhenUsed/>
    <w:rsid w:val="00583B2D"/>
    <w:pPr>
      <w:tabs>
        <w:tab w:val="center" w:pos="4513"/>
        <w:tab w:val="right" w:pos="9026"/>
      </w:tabs>
    </w:pPr>
  </w:style>
  <w:style w:type="character" w:customStyle="1" w:styleId="HeaderChar">
    <w:name w:val="Header Char"/>
    <w:basedOn w:val="DefaultParagraphFont"/>
    <w:link w:val="Header"/>
    <w:uiPriority w:val="99"/>
    <w:rsid w:val="00583B2D"/>
  </w:style>
  <w:style w:type="paragraph" w:styleId="Footer">
    <w:name w:val="footer"/>
    <w:basedOn w:val="Normal"/>
    <w:link w:val="FooterChar"/>
    <w:uiPriority w:val="99"/>
    <w:unhideWhenUsed/>
    <w:rsid w:val="00583B2D"/>
    <w:pPr>
      <w:tabs>
        <w:tab w:val="center" w:pos="4513"/>
        <w:tab w:val="right" w:pos="9026"/>
      </w:tabs>
    </w:pPr>
  </w:style>
  <w:style w:type="character" w:customStyle="1" w:styleId="FooterChar">
    <w:name w:val="Footer Char"/>
    <w:basedOn w:val="DefaultParagraphFont"/>
    <w:link w:val="Footer"/>
    <w:uiPriority w:val="99"/>
    <w:rsid w:val="00583B2D"/>
  </w:style>
  <w:style w:type="character" w:customStyle="1" w:styleId="apple-converted-space">
    <w:name w:val="apple-converted-space"/>
    <w:basedOn w:val="DefaultParagraphFont"/>
    <w:rsid w:val="00583B2D"/>
  </w:style>
  <w:style w:type="character" w:styleId="Emphasis">
    <w:name w:val="Emphasis"/>
    <w:basedOn w:val="DefaultParagraphFont"/>
    <w:uiPriority w:val="20"/>
    <w:qFormat/>
    <w:rsid w:val="00480147"/>
    <w:rPr>
      <w:i/>
      <w:iCs/>
    </w:rPr>
  </w:style>
  <w:style w:type="character" w:customStyle="1" w:styleId="overflow-hidden">
    <w:name w:val="overflow-hidden"/>
    <w:basedOn w:val="DefaultParagraphFont"/>
    <w:rsid w:val="00A106BC"/>
  </w:style>
  <w:style w:type="paragraph" w:styleId="z-TopofForm">
    <w:name w:val="HTML Top of Form"/>
    <w:basedOn w:val="Normal"/>
    <w:next w:val="Normal"/>
    <w:link w:val="z-TopofFormChar"/>
    <w:hidden/>
    <w:uiPriority w:val="99"/>
    <w:semiHidden/>
    <w:unhideWhenUsed/>
    <w:rsid w:val="00A106B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106BC"/>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A106BC"/>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A106B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106BC"/>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2300A4"/>
    <w:rPr>
      <w:color w:val="467886" w:themeColor="hyperlink"/>
      <w:u w:val="single"/>
    </w:rPr>
  </w:style>
  <w:style w:type="character" w:styleId="UnresolvedMention">
    <w:name w:val="Unresolved Mention"/>
    <w:basedOn w:val="DefaultParagraphFont"/>
    <w:uiPriority w:val="99"/>
    <w:semiHidden/>
    <w:unhideWhenUsed/>
    <w:rsid w:val="00006EEA"/>
    <w:rPr>
      <w:color w:val="605E5C"/>
      <w:shd w:val="clear" w:color="auto" w:fill="E1DFDD"/>
    </w:rPr>
  </w:style>
  <w:style w:type="character" w:styleId="FollowedHyperlink">
    <w:name w:val="FollowedHyperlink"/>
    <w:basedOn w:val="DefaultParagraphFont"/>
    <w:uiPriority w:val="99"/>
    <w:semiHidden/>
    <w:unhideWhenUsed/>
    <w:rsid w:val="00993E2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373739">
      <w:bodyDiv w:val="1"/>
      <w:marLeft w:val="0"/>
      <w:marRight w:val="0"/>
      <w:marTop w:val="0"/>
      <w:marBottom w:val="0"/>
      <w:divBdr>
        <w:top w:val="none" w:sz="0" w:space="0" w:color="auto"/>
        <w:left w:val="none" w:sz="0" w:space="0" w:color="auto"/>
        <w:bottom w:val="none" w:sz="0" w:space="0" w:color="auto"/>
        <w:right w:val="none" w:sz="0" w:space="0" w:color="auto"/>
      </w:divBdr>
    </w:div>
    <w:div w:id="183440084">
      <w:bodyDiv w:val="1"/>
      <w:marLeft w:val="0"/>
      <w:marRight w:val="0"/>
      <w:marTop w:val="0"/>
      <w:marBottom w:val="0"/>
      <w:divBdr>
        <w:top w:val="none" w:sz="0" w:space="0" w:color="auto"/>
        <w:left w:val="none" w:sz="0" w:space="0" w:color="auto"/>
        <w:bottom w:val="none" w:sz="0" w:space="0" w:color="auto"/>
        <w:right w:val="none" w:sz="0" w:space="0" w:color="auto"/>
      </w:divBdr>
    </w:div>
    <w:div w:id="212548781">
      <w:bodyDiv w:val="1"/>
      <w:marLeft w:val="0"/>
      <w:marRight w:val="0"/>
      <w:marTop w:val="0"/>
      <w:marBottom w:val="0"/>
      <w:divBdr>
        <w:top w:val="none" w:sz="0" w:space="0" w:color="auto"/>
        <w:left w:val="none" w:sz="0" w:space="0" w:color="auto"/>
        <w:bottom w:val="none" w:sz="0" w:space="0" w:color="auto"/>
        <w:right w:val="none" w:sz="0" w:space="0" w:color="auto"/>
      </w:divBdr>
      <w:divsChild>
        <w:div w:id="1783449402">
          <w:marLeft w:val="0"/>
          <w:marRight w:val="0"/>
          <w:marTop w:val="0"/>
          <w:marBottom w:val="0"/>
          <w:divBdr>
            <w:top w:val="none" w:sz="0" w:space="0" w:color="auto"/>
            <w:left w:val="none" w:sz="0" w:space="0" w:color="auto"/>
            <w:bottom w:val="none" w:sz="0" w:space="0" w:color="auto"/>
            <w:right w:val="none" w:sz="0" w:space="0" w:color="auto"/>
          </w:divBdr>
          <w:divsChild>
            <w:div w:id="917514646">
              <w:marLeft w:val="0"/>
              <w:marRight w:val="0"/>
              <w:marTop w:val="0"/>
              <w:marBottom w:val="0"/>
              <w:divBdr>
                <w:top w:val="none" w:sz="0" w:space="0" w:color="auto"/>
                <w:left w:val="none" w:sz="0" w:space="0" w:color="auto"/>
                <w:bottom w:val="none" w:sz="0" w:space="0" w:color="auto"/>
                <w:right w:val="none" w:sz="0" w:space="0" w:color="auto"/>
              </w:divBdr>
              <w:divsChild>
                <w:div w:id="1460764028">
                  <w:marLeft w:val="0"/>
                  <w:marRight w:val="0"/>
                  <w:marTop w:val="0"/>
                  <w:marBottom w:val="0"/>
                  <w:divBdr>
                    <w:top w:val="none" w:sz="0" w:space="0" w:color="auto"/>
                    <w:left w:val="none" w:sz="0" w:space="0" w:color="auto"/>
                    <w:bottom w:val="none" w:sz="0" w:space="0" w:color="auto"/>
                    <w:right w:val="none" w:sz="0" w:space="0" w:color="auto"/>
                  </w:divBdr>
                  <w:divsChild>
                    <w:div w:id="64339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766890">
      <w:bodyDiv w:val="1"/>
      <w:marLeft w:val="0"/>
      <w:marRight w:val="0"/>
      <w:marTop w:val="0"/>
      <w:marBottom w:val="0"/>
      <w:divBdr>
        <w:top w:val="none" w:sz="0" w:space="0" w:color="auto"/>
        <w:left w:val="none" w:sz="0" w:space="0" w:color="auto"/>
        <w:bottom w:val="none" w:sz="0" w:space="0" w:color="auto"/>
        <w:right w:val="none" w:sz="0" w:space="0" w:color="auto"/>
      </w:divBdr>
    </w:div>
    <w:div w:id="344404874">
      <w:bodyDiv w:val="1"/>
      <w:marLeft w:val="0"/>
      <w:marRight w:val="0"/>
      <w:marTop w:val="0"/>
      <w:marBottom w:val="0"/>
      <w:divBdr>
        <w:top w:val="none" w:sz="0" w:space="0" w:color="auto"/>
        <w:left w:val="none" w:sz="0" w:space="0" w:color="auto"/>
        <w:bottom w:val="none" w:sz="0" w:space="0" w:color="auto"/>
        <w:right w:val="none" w:sz="0" w:space="0" w:color="auto"/>
      </w:divBdr>
    </w:div>
    <w:div w:id="351304015">
      <w:bodyDiv w:val="1"/>
      <w:marLeft w:val="0"/>
      <w:marRight w:val="0"/>
      <w:marTop w:val="0"/>
      <w:marBottom w:val="0"/>
      <w:divBdr>
        <w:top w:val="none" w:sz="0" w:space="0" w:color="auto"/>
        <w:left w:val="none" w:sz="0" w:space="0" w:color="auto"/>
        <w:bottom w:val="none" w:sz="0" w:space="0" w:color="auto"/>
        <w:right w:val="none" w:sz="0" w:space="0" w:color="auto"/>
      </w:divBdr>
    </w:div>
    <w:div w:id="380599692">
      <w:bodyDiv w:val="1"/>
      <w:marLeft w:val="0"/>
      <w:marRight w:val="0"/>
      <w:marTop w:val="0"/>
      <w:marBottom w:val="0"/>
      <w:divBdr>
        <w:top w:val="none" w:sz="0" w:space="0" w:color="auto"/>
        <w:left w:val="none" w:sz="0" w:space="0" w:color="auto"/>
        <w:bottom w:val="none" w:sz="0" w:space="0" w:color="auto"/>
        <w:right w:val="none" w:sz="0" w:space="0" w:color="auto"/>
      </w:divBdr>
    </w:div>
    <w:div w:id="418453676">
      <w:bodyDiv w:val="1"/>
      <w:marLeft w:val="0"/>
      <w:marRight w:val="0"/>
      <w:marTop w:val="0"/>
      <w:marBottom w:val="0"/>
      <w:divBdr>
        <w:top w:val="none" w:sz="0" w:space="0" w:color="auto"/>
        <w:left w:val="none" w:sz="0" w:space="0" w:color="auto"/>
        <w:bottom w:val="none" w:sz="0" w:space="0" w:color="auto"/>
        <w:right w:val="none" w:sz="0" w:space="0" w:color="auto"/>
      </w:divBdr>
      <w:divsChild>
        <w:div w:id="1240094760">
          <w:marLeft w:val="0"/>
          <w:marRight w:val="0"/>
          <w:marTop w:val="0"/>
          <w:marBottom w:val="0"/>
          <w:divBdr>
            <w:top w:val="none" w:sz="0" w:space="0" w:color="auto"/>
            <w:left w:val="none" w:sz="0" w:space="0" w:color="auto"/>
            <w:bottom w:val="none" w:sz="0" w:space="0" w:color="auto"/>
            <w:right w:val="none" w:sz="0" w:space="0" w:color="auto"/>
          </w:divBdr>
          <w:divsChild>
            <w:div w:id="861624685">
              <w:marLeft w:val="0"/>
              <w:marRight w:val="0"/>
              <w:marTop w:val="0"/>
              <w:marBottom w:val="0"/>
              <w:divBdr>
                <w:top w:val="none" w:sz="0" w:space="0" w:color="auto"/>
                <w:left w:val="none" w:sz="0" w:space="0" w:color="auto"/>
                <w:bottom w:val="none" w:sz="0" w:space="0" w:color="auto"/>
                <w:right w:val="none" w:sz="0" w:space="0" w:color="auto"/>
              </w:divBdr>
              <w:divsChild>
                <w:div w:id="1573733345">
                  <w:marLeft w:val="0"/>
                  <w:marRight w:val="0"/>
                  <w:marTop w:val="0"/>
                  <w:marBottom w:val="0"/>
                  <w:divBdr>
                    <w:top w:val="none" w:sz="0" w:space="0" w:color="auto"/>
                    <w:left w:val="none" w:sz="0" w:space="0" w:color="auto"/>
                    <w:bottom w:val="none" w:sz="0" w:space="0" w:color="auto"/>
                    <w:right w:val="none" w:sz="0" w:space="0" w:color="auto"/>
                  </w:divBdr>
                  <w:divsChild>
                    <w:div w:id="100246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104598">
      <w:bodyDiv w:val="1"/>
      <w:marLeft w:val="0"/>
      <w:marRight w:val="0"/>
      <w:marTop w:val="0"/>
      <w:marBottom w:val="0"/>
      <w:divBdr>
        <w:top w:val="none" w:sz="0" w:space="0" w:color="auto"/>
        <w:left w:val="none" w:sz="0" w:space="0" w:color="auto"/>
        <w:bottom w:val="none" w:sz="0" w:space="0" w:color="auto"/>
        <w:right w:val="none" w:sz="0" w:space="0" w:color="auto"/>
      </w:divBdr>
      <w:divsChild>
        <w:div w:id="110713302">
          <w:marLeft w:val="0"/>
          <w:marRight w:val="0"/>
          <w:marTop w:val="0"/>
          <w:marBottom w:val="0"/>
          <w:divBdr>
            <w:top w:val="none" w:sz="0" w:space="0" w:color="auto"/>
            <w:left w:val="none" w:sz="0" w:space="0" w:color="auto"/>
            <w:bottom w:val="none" w:sz="0" w:space="0" w:color="auto"/>
            <w:right w:val="none" w:sz="0" w:space="0" w:color="auto"/>
          </w:divBdr>
          <w:divsChild>
            <w:div w:id="1323849084">
              <w:marLeft w:val="0"/>
              <w:marRight w:val="0"/>
              <w:marTop w:val="0"/>
              <w:marBottom w:val="0"/>
              <w:divBdr>
                <w:top w:val="none" w:sz="0" w:space="0" w:color="auto"/>
                <w:left w:val="none" w:sz="0" w:space="0" w:color="auto"/>
                <w:bottom w:val="none" w:sz="0" w:space="0" w:color="auto"/>
                <w:right w:val="none" w:sz="0" w:space="0" w:color="auto"/>
              </w:divBdr>
              <w:divsChild>
                <w:div w:id="1308903291">
                  <w:marLeft w:val="0"/>
                  <w:marRight w:val="0"/>
                  <w:marTop w:val="0"/>
                  <w:marBottom w:val="0"/>
                  <w:divBdr>
                    <w:top w:val="none" w:sz="0" w:space="0" w:color="auto"/>
                    <w:left w:val="none" w:sz="0" w:space="0" w:color="auto"/>
                    <w:bottom w:val="none" w:sz="0" w:space="0" w:color="auto"/>
                    <w:right w:val="none" w:sz="0" w:space="0" w:color="auto"/>
                  </w:divBdr>
                  <w:divsChild>
                    <w:div w:id="1507548826">
                      <w:marLeft w:val="0"/>
                      <w:marRight w:val="0"/>
                      <w:marTop w:val="0"/>
                      <w:marBottom w:val="0"/>
                      <w:divBdr>
                        <w:top w:val="none" w:sz="0" w:space="0" w:color="auto"/>
                        <w:left w:val="none" w:sz="0" w:space="0" w:color="auto"/>
                        <w:bottom w:val="none" w:sz="0" w:space="0" w:color="auto"/>
                        <w:right w:val="none" w:sz="0" w:space="0" w:color="auto"/>
                      </w:divBdr>
                      <w:divsChild>
                        <w:div w:id="1685981761">
                          <w:marLeft w:val="0"/>
                          <w:marRight w:val="0"/>
                          <w:marTop w:val="0"/>
                          <w:marBottom w:val="0"/>
                          <w:divBdr>
                            <w:top w:val="none" w:sz="0" w:space="0" w:color="auto"/>
                            <w:left w:val="none" w:sz="0" w:space="0" w:color="auto"/>
                            <w:bottom w:val="none" w:sz="0" w:space="0" w:color="auto"/>
                            <w:right w:val="none" w:sz="0" w:space="0" w:color="auto"/>
                          </w:divBdr>
                          <w:divsChild>
                            <w:div w:id="17371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3985319">
      <w:bodyDiv w:val="1"/>
      <w:marLeft w:val="0"/>
      <w:marRight w:val="0"/>
      <w:marTop w:val="0"/>
      <w:marBottom w:val="0"/>
      <w:divBdr>
        <w:top w:val="none" w:sz="0" w:space="0" w:color="auto"/>
        <w:left w:val="none" w:sz="0" w:space="0" w:color="auto"/>
        <w:bottom w:val="none" w:sz="0" w:space="0" w:color="auto"/>
        <w:right w:val="none" w:sz="0" w:space="0" w:color="auto"/>
      </w:divBdr>
    </w:div>
    <w:div w:id="455218774">
      <w:bodyDiv w:val="1"/>
      <w:marLeft w:val="0"/>
      <w:marRight w:val="0"/>
      <w:marTop w:val="0"/>
      <w:marBottom w:val="0"/>
      <w:divBdr>
        <w:top w:val="none" w:sz="0" w:space="0" w:color="auto"/>
        <w:left w:val="none" w:sz="0" w:space="0" w:color="auto"/>
        <w:bottom w:val="none" w:sz="0" w:space="0" w:color="auto"/>
        <w:right w:val="none" w:sz="0" w:space="0" w:color="auto"/>
      </w:divBdr>
    </w:div>
    <w:div w:id="475293838">
      <w:bodyDiv w:val="1"/>
      <w:marLeft w:val="0"/>
      <w:marRight w:val="0"/>
      <w:marTop w:val="0"/>
      <w:marBottom w:val="0"/>
      <w:divBdr>
        <w:top w:val="none" w:sz="0" w:space="0" w:color="auto"/>
        <w:left w:val="none" w:sz="0" w:space="0" w:color="auto"/>
        <w:bottom w:val="none" w:sz="0" w:space="0" w:color="auto"/>
        <w:right w:val="none" w:sz="0" w:space="0" w:color="auto"/>
      </w:divBdr>
      <w:divsChild>
        <w:div w:id="384763296">
          <w:marLeft w:val="0"/>
          <w:marRight w:val="0"/>
          <w:marTop w:val="0"/>
          <w:marBottom w:val="0"/>
          <w:divBdr>
            <w:top w:val="none" w:sz="0" w:space="0" w:color="auto"/>
            <w:left w:val="none" w:sz="0" w:space="0" w:color="auto"/>
            <w:bottom w:val="none" w:sz="0" w:space="0" w:color="auto"/>
            <w:right w:val="none" w:sz="0" w:space="0" w:color="auto"/>
          </w:divBdr>
          <w:divsChild>
            <w:div w:id="1636911954">
              <w:marLeft w:val="0"/>
              <w:marRight w:val="0"/>
              <w:marTop w:val="0"/>
              <w:marBottom w:val="0"/>
              <w:divBdr>
                <w:top w:val="none" w:sz="0" w:space="0" w:color="auto"/>
                <w:left w:val="none" w:sz="0" w:space="0" w:color="auto"/>
                <w:bottom w:val="none" w:sz="0" w:space="0" w:color="auto"/>
                <w:right w:val="none" w:sz="0" w:space="0" w:color="auto"/>
              </w:divBdr>
              <w:divsChild>
                <w:div w:id="842352170">
                  <w:marLeft w:val="0"/>
                  <w:marRight w:val="0"/>
                  <w:marTop w:val="0"/>
                  <w:marBottom w:val="0"/>
                  <w:divBdr>
                    <w:top w:val="none" w:sz="0" w:space="0" w:color="auto"/>
                    <w:left w:val="none" w:sz="0" w:space="0" w:color="auto"/>
                    <w:bottom w:val="none" w:sz="0" w:space="0" w:color="auto"/>
                    <w:right w:val="none" w:sz="0" w:space="0" w:color="auto"/>
                  </w:divBdr>
                  <w:divsChild>
                    <w:div w:id="1510948963">
                      <w:marLeft w:val="0"/>
                      <w:marRight w:val="0"/>
                      <w:marTop w:val="0"/>
                      <w:marBottom w:val="0"/>
                      <w:divBdr>
                        <w:top w:val="none" w:sz="0" w:space="0" w:color="auto"/>
                        <w:left w:val="none" w:sz="0" w:space="0" w:color="auto"/>
                        <w:bottom w:val="none" w:sz="0" w:space="0" w:color="auto"/>
                        <w:right w:val="none" w:sz="0" w:space="0" w:color="auto"/>
                      </w:divBdr>
                      <w:divsChild>
                        <w:div w:id="1691908874">
                          <w:marLeft w:val="0"/>
                          <w:marRight w:val="0"/>
                          <w:marTop w:val="0"/>
                          <w:marBottom w:val="0"/>
                          <w:divBdr>
                            <w:top w:val="none" w:sz="0" w:space="0" w:color="auto"/>
                            <w:left w:val="none" w:sz="0" w:space="0" w:color="auto"/>
                            <w:bottom w:val="none" w:sz="0" w:space="0" w:color="auto"/>
                            <w:right w:val="none" w:sz="0" w:space="0" w:color="auto"/>
                          </w:divBdr>
                          <w:divsChild>
                            <w:div w:id="930240674">
                              <w:marLeft w:val="0"/>
                              <w:marRight w:val="0"/>
                              <w:marTop w:val="0"/>
                              <w:marBottom w:val="0"/>
                              <w:divBdr>
                                <w:top w:val="none" w:sz="0" w:space="0" w:color="auto"/>
                                <w:left w:val="none" w:sz="0" w:space="0" w:color="auto"/>
                                <w:bottom w:val="none" w:sz="0" w:space="0" w:color="auto"/>
                                <w:right w:val="none" w:sz="0" w:space="0" w:color="auto"/>
                              </w:divBdr>
                              <w:divsChild>
                                <w:div w:id="1661034798">
                                  <w:marLeft w:val="0"/>
                                  <w:marRight w:val="0"/>
                                  <w:marTop w:val="0"/>
                                  <w:marBottom w:val="0"/>
                                  <w:divBdr>
                                    <w:top w:val="none" w:sz="0" w:space="0" w:color="auto"/>
                                    <w:left w:val="none" w:sz="0" w:space="0" w:color="auto"/>
                                    <w:bottom w:val="none" w:sz="0" w:space="0" w:color="auto"/>
                                    <w:right w:val="none" w:sz="0" w:space="0" w:color="auto"/>
                                  </w:divBdr>
                                  <w:divsChild>
                                    <w:div w:id="18357459">
                                      <w:marLeft w:val="0"/>
                                      <w:marRight w:val="0"/>
                                      <w:marTop w:val="0"/>
                                      <w:marBottom w:val="0"/>
                                      <w:divBdr>
                                        <w:top w:val="none" w:sz="0" w:space="0" w:color="auto"/>
                                        <w:left w:val="none" w:sz="0" w:space="0" w:color="auto"/>
                                        <w:bottom w:val="none" w:sz="0" w:space="0" w:color="auto"/>
                                        <w:right w:val="none" w:sz="0" w:space="0" w:color="auto"/>
                                      </w:divBdr>
                                      <w:divsChild>
                                        <w:div w:id="553348804">
                                          <w:marLeft w:val="0"/>
                                          <w:marRight w:val="0"/>
                                          <w:marTop w:val="0"/>
                                          <w:marBottom w:val="0"/>
                                          <w:divBdr>
                                            <w:top w:val="none" w:sz="0" w:space="0" w:color="auto"/>
                                            <w:left w:val="none" w:sz="0" w:space="0" w:color="auto"/>
                                            <w:bottom w:val="none" w:sz="0" w:space="0" w:color="auto"/>
                                            <w:right w:val="none" w:sz="0" w:space="0" w:color="auto"/>
                                          </w:divBdr>
                                          <w:divsChild>
                                            <w:div w:id="1001855996">
                                              <w:marLeft w:val="0"/>
                                              <w:marRight w:val="0"/>
                                              <w:marTop w:val="0"/>
                                              <w:marBottom w:val="0"/>
                                              <w:divBdr>
                                                <w:top w:val="none" w:sz="0" w:space="0" w:color="auto"/>
                                                <w:left w:val="none" w:sz="0" w:space="0" w:color="auto"/>
                                                <w:bottom w:val="none" w:sz="0" w:space="0" w:color="auto"/>
                                                <w:right w:val="none" w:sz="0" w:space="0" w:color="auto"/>
                                              </w:divBdr>
                                              <w:divsChild>
                                                <w:div w:id="1883010555">
                                                  <w:marLeft w:val="0"/>
                                                  <w:marRight w:val="0"/>
                                                  <w:marTop w:val="0"/>
                                                  <w:marBottom w:val="0"/>
                                                  <w:divBdr>
                                                    <w:top w:val="none" w:sz="0" w:space="0" w:color="auto"/>
                                                    <w:left w:val="none" w:sz="0" w:space="0" w:color="auto"/>
                                                    <w:bottom w:val="none" w:sz="0" w:space="0" w:color="auto"/>
                                                    <w:right w:val="none" w:sz="0" w:space="0" w:color="auto"/>
                                                  </w:divBdr>
                                                  <w:divsChild>
                                                    <w:div w:id="1094936136">
                                                      <w:marLeft w:val="0"/>
                                                      <w:marRight w:val="0"/>
                                                      <w:marTop w:val="0"/>
                                                      <w:marBottom w:val="0"/>
                                                      <w:divBdr>
                                                        <w:top w:val="none" w:sz="0" w:space="0" w:color="auto"/>
                                                        <w:left w:val="none" w:sz="0" w:space="0" w:color="auto"/>
                                                        <w:bottom w:val="none" w:sz="0" w:space="0" w:color="auto"/>
                                                        <w:right w:val="none" w:sz="0" w:space="0" w:color="auto"/>
                                                      </w:divBdr>
                                                      <w:divsChild>
                                                        <w:div w:id="24473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7295503">
          <w:marLeft w:val="0"/>
          <w:marRight w:val="0"/>
          <w:marTop w:val="0"/>
          <w:marBottom w:val="0"/>
          <w:divBdr>
            <w:top w:val="none" w:sz="0" w:space="0" w:color="auto"/>
            <w:left w:val="none" w:sz="0" w:space="0" w:color="auto"/>
            <w:bottom w:val="none" w:sz="0" w:space="0" w:color="auto"/>
            <w:right w:val="none" w:sz="0" w:space="0" w:color="auto"/>
          </w:divBdr>
          <w:divsChild>
            <w:div w:id="1439376857">
              <w:marLeft w:val="0"/>
              <w:marRight w:val="0"/>
              <w:marTop w:val="0"/>
              <w:marBottom w:val="0"/>
              <w:divBdr>
                <w:top w:val="none" w:sz="0" w:space="0" w:color="auto"/>
                <w:left w:val="none" w:sz="0" w:space="0" w:color="auto"/>
                <w:bottom w:val="none" w:sz="0" w:space="0" w:color="auto"/>
                <w:right w:val="none" w:sz="0" w:space="0" w:color="auto"/>
              </w:divBdr>
              <w:divsChild>
                <w:div w:id="1215433514">
                  <w:marLeft w:val="0"/>
                  <w:marRight w:val="0"/>
                  <w:marTop w:val="0"/>
                  <w:marBottom w:val="0"/>
                  <w:divBdr>
                    <w:top w:val="none" w:sz="0" w:space="0" w:color="auto"/>
                    <w:left w:val="none" w:sz="0" w:space="0" w:color="auto"/>
                    <w:bottom w:val="none" w:sz="0" w:space="0" w:color="auto"/>
                    <w:right w:val="none" w:sz="0" w:space="0" w:color="auto"/>
                  </w:divBdr>
                  <w:divsChild>
                    <w:div w:id="29651361">
                      <w:marLeft w:val="0"/>
                      <w:marRight w:val="0"/>
                      <w:marTop w:val="0"/>
                      <w:marBottom w:val="0"/>
                      <w:divBdr>
                        <w:top w:val="none" w:sz="0" w:space="0" w:color="auto"/>
                        <w:left w:val="none" w:sz="0" w:space="0" w:color="auto"/>
                        <w:bottom w:val="none" w:sz="0" w:space="0" w:color="auto"/>
                        <w:right w:val="none" w:sz="0" w:space="0" w:color="auto"/>
                      </w:divBdr>
                      <w:divsChild>
                        <w:div w:id="2020816346">
                          <w:marLeft w:val="0"/>
                          <w:marRight w:val="0"/>
                          <w:marTop w:val="0"/>
                          <w:marBottom w:val="0"/>
                          <w:divBdr>
                            <w:top w:val="none" w:sz="0" w:space="0" w:color="auto"/>
                            <w:left w:val="none" w:sz="0" w:space="0" w:color="auto"/>
                            <w:bottom w:val="none" w:sz="0" w:space="0" w:color="auto"/>
                            <w:right w:val="none" w:sz="0" w:space="0" w:color="auto"/>
                          </w:divBdr>
                          <w:divsChild>
                            <w:div w:id="435832386">
                              <w:marLeft w:val="0"/>
                              <w:marRight w:val="0"/>
                              <w:marTop w:val="0"/>
                              <w:marBottom w:val="0"/>
                              <w:divBdr>
                                <w:top w:val="none" w:sz="0" w:space="0" w:color="auto"/>
                                <w:left w:val="none" w:sz="0" w:space="0" w:color="auto"/>
                                <w:bottom w:val="none" w:sz="0" w:space="0" w:color="auto"/>
                                <w:right w:val="none" w:sz="0" w:space="0" w:color="auto"/>
                              </w:divBdr>
                              <w:divsChild>
                                <w:div w:id="2021202820">
                                  <w:marLeft w:val="0"/>
                                  <w:marRight w:val="0"/>
                                  <w:marTop w:val="0"/>
                                  <w:marBottom w:val="0"/>
                                  <w:divBdr>
                                    <w:top w:val="none" w:sz="0" w:space="0" w:color="auto"/>
                                    <w:left w:val="none" w:sz="0" w:space="0" w:color="auto"/>
                                    <w:bottom w:val="none" w:sz="0" w:space="0" w:color="auto"/>
                                    <w:right w:val="none" w:sz="0" w:space="0" w:color="auto"/>
                                  </w:divBdr>
                                  <w:divsChild>
                                    <w:div w:id="1178272594">
                                      <w:marLeft w:val="0"/>
                                      <w:marRight w:val="0"/>
                                      <w:marTop w:val="0"/>
                                      <w:marBottom w:val="0"/>
                                      <w:divBdr>
                                        <w:top w:val="none" w:sz="0" w:space="0" w:color="auto"/>
                                        <w:left w:val="none" w:sz="0" w:space="0" w:color="auto"/>
                                        <w:bottom w:val="none" w:sz="0" w:space="0" w:color="auto"/>
                                        <w:right w:val="none" w:sz="0" w:space="0" w:color="auto"/>
                                      </w:divBdr>
                                      <w:divsChild>
                                        <w:div w:id="904293799">
                                          <w:marLeft w:val="0"/>
                                          <w:marRight w:val="0"/>
                                          <w:marTop w:val="0"/>
                                          <w:marBottom w:val="0"/>
                                          <w:divBdr>
                                            <w:top w:val="none" w:sz="0" w:space="0" w:color="auto"/>
                                            <w:left w:val="none" w:sz="0" w:space="0" w:color="auto"/>
                                            <w:bottom w:val="none" w:sz="0" w:space="0" w:color="auto"/>
                                            <w:right w:val="none" w:sz="0" w:space="0" w:color="auto"/>
                                          </w:divBdr>
                                          <w:divsChild>
                                            <w:div w:id="952711080">
                                              <w:marLeft w:val="0"/>
                                              <w:marRight w:val="0"/>
                                              <w:marTop w:val="0"/>
                                              <w:marBottom w:val="0"/>
                                              <w:divBdr>
                                                <w:top w:val="none" w:sz="0" w:space="0" w:color="auto"/>
                                                <w:left w:val="none" w:sz="0" w:space="0" w:color="auto"/>
                                                <w:bottom w:val="none" w:sz="0" w:space="0" w:color="auto"/>
                                                <w:right w:val="none" w:sz="0" w:space="0" w:color="auto"/>
                                              </w:divBdr>
                                              <w:divsChild>
                                                <w:div w:id="134605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5167554">
      <w:bodyDiv w:val="1"/>
      <w:marLeft w:val="0"/>
      <w:marRight w:val="0"/>
      <w:marTop w:val="0"/>
      <w:marBottom w:val="0"/>
      <w:divBdr>
        <w:top w:val="none" w:sz="0" w:space="0" w:color="auto"/>
        <w:left w:val="none" w:sz="0" w:space="0" w:color="auto"/>
        <w:bottom w:val="none" w:sz="0" w:space="0" w:color="auto"/>
        <w:right w:val="none" w:sz="0" w:space="0" w:color="auto"/>
      </w:divBdr>
      <w:divsChild>
        <w:div w:id="871305348">
          <w:marLeft w:val="0"/>
          <w:marRight w:val="0"/>
          <w:marTop w:val="0"/>
          <w:marBottom w:val="0"/>
          <w:divBdr>
            <w:top w:val="none" w:sz="0" w:space="0" w:color="auto"/>
            <w:left w:val="none" w:sz="0" w:space="0" w:color="auto"/>
            <w:bottom w:val="none" w:sz="0" w:space="0" w:color="auto"/>
            <w:right w:val="none" w:sz="0" w:space="0" w:color="auto"/>
          </w:divBdr>
          <w:divsChild>
            <w:div w:id="379286404">
              <w:marLeft w:val="0"/>
              <w:marRight w:val="0"/>
              <w:marTop w:val="0"/>
              <w:marBottom w:val="0"/>
              <w:divBdr>
                <w:top w:val="none" w:sz="0" w:space="0" w:color="auto"/>
                <w:left w:val="none" w:sz="0" w:space="0" w:color="auto"/>
                <w:bottom w:val="none" w:sz="0" w:space="0" w:color="auto"/>
                <w:right w:val="none" w:sz="0" w:space="0" w:color="auto"/>
              </w:divBdr>
              <w:divsChild>
                <w:div w:id="164176542">
                  <w:marLeft w:val="0"/>
                  <w:marRight w:val="0"/>
                  <w:marTop w:val="0"/>
                  <w:marBottom w:val="0"/>
                  <w:divBdr>
                    <w:top w:val="none" w:sz="0" w:space="0" w:color="auto"/>
                    <w:left w:val="none" w:sz="0" w:space="0" w:color="auto"/>
                    <w:bottom w:val="none" w:sz="0" w:space="0" w:color="auto"/>
                    <w:right w:val="none" w:sz="0" w:space="0" w:color="auto"/>
                  </w:divBdr>
                  <w:divsChild>
                    <w:div w:id="1786347369">
                      <w:marLeft w:val="0"/>
                      <w:marRight w:val="0"/>
                      <w:marTop w:val="0"/>
                      <w:marBottom w:val="0"/>
                      <w:divBdr>
                        <w:top w:val="none" w:sz="0" w:space="0" w:color="auto"/>
                        <w:left w:val="none" w:sz="0" w:space="0" w:color="auto"/>
                        <w:bottom w:val="none" w:sz="0" w:space="0" w:color="auto"/>
                        <w:right w:val="none" w:sz="0" w:space="0" w:color="auto"/>
                      </w:divBdr>
                      <w:divsChild>
                        <w:div w:id="106001442">
                          <w:marLeft w:val="0"/>
                          <w:marRight w:val="0"/>
                          <w:marTop w:val="0"/>
                          <w:marBottom w:val="0"/>
                          <w:divBdr>
                            <w:top w:val="none" w:sz="0" w:space="0" w:color="auto"/>
                            <w:left w:val="none" w:sz="0" w:space="0" w:color="auto"/>
                            <w:bottom w:val="none" w:sz="0" w:space="0" w:color="auto"/>
                            <w:right w:val="none" w:sz="0" w:space="0" w:color="auto"/>
                          </w:divBdr>
                          <w:divsChild>
                            <w:div w:id="27278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808271">
      <w:bodyDiv w:val="1"/>
      <w:marLeft w:val="0"/>
      <w:marRight w:val="0"/>
      <w:marTop w:val="0"/>
      <w:marBottom w:val="0"/>
      <w:divBdr>
        <w:top w:val="none" w:sz="0" w:space="0" w:color="auto"/>
        <w:left w:val="none" w:sz="0" w:space="0" w:color="auto"/>
        <w:bottom w:val="none" w:sz="0" w:space="0" w:color="auto"/>
        <w:right w:val="none" w:sz="0" w:space="0" w:color="auto"/>
      </w:divBdr>
      <w:divsChild>
        <w:div w:id="830490873">
          <w:marLeft w:val="0"/>
          <w:marRight w:val="0"/>
          <w:marTop w:val="0"/>
          <w:marBottom w:val="0"/>
          <w:divBdr>
            <w:top w:val="none" w:sz="0" w:space="0" w:color="auto"/>
            <w:left w:val="none" w:sz="0" w:space="0" w:color="auto"/>
            <w:bottom w:val="none" w:sz="0" w:space="0" w:color="auto"/>
            <w:right w:val="none" w:sz="0" w:space="0" w:color="auto"/>
          </w:divBdr>
          <w:divsChild>
            <w:div w:id="519128564">
              <w:marLeft w:val="0"/>
              <w:marRight w:val="0"/>
              <w:marTop w:val="0"/>
              <w:marBottom w:val="0"/>
              <w:divBdr>
                <w:top w:val="none" w:sz="0" w:space="0" w:color="auto"/>
                <w:left w:val="none" w:sz="0" w:space="0" w:color="auto"/>
                <w:bottom w:val="none" w:sz="0" w:space="0" w:color="auto"/>
                <w:right w:val="none" w:sz="0" w:space="0" w:color="auto"/>
              </w:divBdr>
              <w:divsChild>
                <w:div w:id="917984833">
                  <w:marLeft w:val="0"/>
                  <w:marRight w:val="0"/>
                  <w:marTop w:val="0"/>
                  <w:marBottom w:val="0"/>
                  <w:divBdr>
                    <w:top w:val="none" w:sz="0" w:space="0" w:color="auto"/>
                    <w:left w:val="none" w:sz="0" w:space="0" w:color="auto"/>
                    <w:bottom w:val="none" w:sz="0" w:space="0" w:color="auto"/>
                    <w:right w:val="none" w:sz="0" w:space="0" w:color="auto"/>
                  </w:divBdr>
                  <w:divsChild>
                    <w:div w:id="951977042">
                      <w:marLeft w:val="0"/>
                      <w:marRight w:val="0"/>
                      <w:marTop w:val="0"/>
                      <w:marBottom w:val="0"/>
                      <w:divBdr>
                        <w:top w:val="none" w:sz="0" w:space="0" w:color="auto"/>
                        <w:left w:val="none" w:sz="0" w:space="0" w:color="auto"/>
                        <w:bottom w:val="none" w:sz="0" w:space="0" w:color="auto"/>
                        <w:right w:val="none" w:sz="0" w:space="0" w:color="auto"/>
                      </w:divBdr>
                      <w:divsChild>
                        <w:div w:id="908421766">
                          <w:marLeft w:val="0"/>
                          <w:marRight w:val="0"/>
                          <w:marTop w:val="0"/>
                          <w:marBottom w:val="0"/>
                          <w:divBdr>
                            <w:top w:val="none" w:sz="0" w:space="0" w:color="auto"/>
                            <w:left w:val="none" w:sz="0" w:space="0" w:color="auto"/>
                            <w:bottom w:val="none" w:sz="0" w:space="0" w:color="auto"/>
                            <w:right w:val="none" w:sz="0" w:space="0" w:color="auto"/>
                          </w:divBdr>
                          <w:divsChild>
                            <w:div w:id="129009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7005113">
      <w:bodyDiv w:val="1"/>
      <w:marLeft w:val="0"/>
      <w:marRight w:val="0"/>
      <w:marTop w:val="0"/>
      <w:marBottom w:val="0"/>
      <w:divBdr>
        <w:top w:val="none" w:sz="0" w:space="0" w:color="auto"/>
        <w:left w:val="none" w:sz="0" w:space="0" w:color="auto"/>
        <w:bottom w:val="none" w:sz="0" w:space="0" w:color="auto"/>
        <w:right w:val="none" w:sz="0" w:space="0" w:color="auto"/>
      </w:divBdr>
    </w:div>
    <w:div w:id="760568018">
      <w:bodyDiv w:val="1"/>
      <w:marLeft w:val="0"/>
      <w:marRight w:val="0"/>
      <w:marTop w:val="0"/>
      <w:marBottom w:val="0"/>
      <w:divBdr>
        <w:top w:val="none" w:sz="0" w:space="0" w:color="auto"/>
        <w:left w:val="none" w:sz="0" w:space="0" w:color="auto"/>
        <w:bottom w:val="none" w:sz="0" w:space="0" w:color="auto"/>
        <w:right w:val="none" w:sz="0" w:space="0" w:color="auto"/>
      </w:divBdr>
      <w:divsChild>
        <w:div w:id="964433522">
          <w:marLeft w:val="0"/>
          <w:marRight w:val="0"/>
          <w:marTop w:val="0"/>
          <w:marBottom w:val="0"/>
          <w:divBdr>
            <w:top w:val="none" w:sz="0" w:space="0" w:color="auto"/>
            <w:left w:val="none" w:sz="0" w:space="0" w:color="auto"/>
            <w:bottom w:val="none" w:sz="0" w:space="0" w:color="auto"/>
            <w:right w:val="none" w:sz="0" w:space="0" w:color="auto"/>
          </w:divBdr>
          <w:divsChild>
            <w:div w:id="873732259">
              <w:marLeft w:val="0"/>
              <w:marRight w:val="0"/>
              <w:marTop w:val="0"/>
              <w:marBottom w:val="0"/>
              <w:divBdr>
                <w:top w:val="none" w:sz="0" w:space="0" w:color="auto"/>
                <w:left w:val="none" w:sz="0" w:space="0" w:color="auto"/>
                <w:bottom w:val="none" w:sz="0" w:space="0" w:color="auto"/>
                <w:right w:val="none" w:sz="0" w:space="0" w:color="auto"/>
              </w:divBdr>
              <w:divsChild>
                <w:div w:id="1337420372">
                  <w:marLeft w:val="0"/>
                  <w:marRight w:val="0"/>
                  <w:marTop w:val="0"/>
                  <w:marBottom w:val="0"/>
                  <w:divBdr>
                    <w:top w:val="none" w:sz="0" w:space="0" w:color="auto"/>
                    <w:left w:val="none" w:sz="0" w:space="0" w:color="auto"/>
                    <w:bottom w:val="none" w:sz="0" w:space="0" w:color="auto"/>
                    <w:right w:val="none" w:sz="0" w:space="0" w:color="auto"/>
                  </w:divBdr>
                  <w:divsChild>
                    <w:div w:id="9197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821321">
      <w:bodyDiv w:val="1"/>
      <w:marLeft w:val="0"/>
      <w:marRight w:val="0"/>
      <w:marTop w:val="0"/>
      <w:marBottom w:val="0"/>
      <w:divBdr>
        <w:top w:val="none" w:sz="0" w:space="0" w:color="auto"/>
        <w:left w:val="none" w:sz="0" w:space="0" w:color="auto"/>
        <w:bottom w:val="none" w:sz="0" w:space="0" w:color="auto"/>
        <w:right w:val="none" w:sz="0" w:space="0" w:color="auto"/>
      </w:divBdr>
    </w:div>
    <w:div w:id="791899946">
      <w:bodyDiv w:val="1"/>
      <w:marLeft w:val="0"/>
      <w:marRight w:val="0"/>
      <w:marTop w:val="0"/>
      <w:marBottom w:val="0"/>
      <w:divBdr>
        <w:top w:val="none" w:sz="0" w:space="0" w:color="auto"/>
        <w:left w:val="none" w:sz="0" w:space="0" w:color="auto"/>
        <w:bottom w:val="none" w:sz="0" w:space="0" w:color="auto"/>
        <w:right w:val="none" w:sz="0" w:space="0" w:color="auto"/>
      </w:divBdr>
    </w:div>
    <w:div w:id="826558722">
      <w:bodyDiv w:val="1"/>
      <w:marLeft w:val="0"/>
      <w:marRight w:val="0"/>
      <w:marTop w:val="0"/>
      <w:marBottom w:val="0"/>
      <w:divBdr>
        <w:top w:val="none" w:sz="0" w:space="0" w:color="auto"/>
        <w:left w:val="none" w:sz="0" w:space="0" w:color="auto"/>
        <w:bottom w:val="none" w:sz="0" w:space="0" w:color="auto"/>
        <w:right w:val="none" w:sz="0" w:space="0" w:color="auto"/>
      </w:divBdr>
    </w:div>
    <w:div w:id="907350653">
      <w:bodyDiv w:val="1"/>
      <w:marLeft w:val="0"/>
      <w:marRight w:val="0"/>
      <w:marTop w:val="0"/>
      <w:marBottom w:val="0"/>
      <w:divBdr>
        <w:top w:val="none" w:sz="0" w:space="0" w:color="auto"/>
        <w:left w:val="none" w:sz="0" w:space="0" w:color="auto"/>
        <w:bottom w:val="none" w:sz="0" w:space="0" w:color="auto"/>
        <w:right w:val="none" w:sz="0" w:space="0" w:color="auto"/>
      </w:divBdr>
      <w:divsChild>
        <w:div w:id="2005819033">
          <w:marLeft w:val="0"/>
          <w:marRight w:val="0"/>
          <w:marTop w:val="0"/>
          <w:marBottom w:val="0"/>
          <w:divBdr>
            <w:top w:val="none" w:sz="0" w:space="0" w:color="auto"/>
            <w:left w:val="none" w:sz="0" w:space="0" w:color="auto"/>
            <w:bottom w:val="none" w:sz="0" w:space="0" w:color="auto"/>
            <w:right w:val="none" w:sz="0" w:space="0" w:color="auto"/>
          </w:divBdr>
          <w:divsChild>
            <w:div w:id="319163896">
              <w:marLeft w:val="0"/>
              <w:marRight w:val="0"/>
              <w:marTop w:val="0"/>
              <w:marBottom w:val="0"/>
              <w:divBdr>
                <w:top w:val="none" w:sz="0" w:space="0" w:color="auto"/>
                <w:left w:val="none" w:sz="0" w:space="0" w:color="auto"/>
                <w:bottom w:val="none" w:sz="0" w:space="0" w:color="auto"/>
                <w:right w:val="none" w:sz="0" w:space="0" w:color="auto"/>
              </w:divBdr>
              <w:divsChild>
                <w:div w:id="141821836">
                  <w:marLeft w:val="0"/>
                  <w:marRight w:val="0"/>
                  <w:marTop w:val="0"/>
                  <w:marBottom w:val="0"/>
                  <w:divBdr>
                    <w:top w:val="none" w:sz="0" w:space="0" w:color="auto"/>
                    <w:left w:val="none" w:sz="0" w:space="0" w:color="auto"/>
                    <w:bottom w:val="none" w:sz="0" w:space="0" w:color="auto"/>
                    <w:right w:val="none" w:sz="0" w:space="0" w:color="auto"/>
                  </w:divBdr>
                  <w:divsChild>
                    <w:div w:id="10048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047160">
      <w:bodyDiv w:val="1"/>
      <w:marLeft w:val="0"/>
      <w:marRight w:val="0"/>
      <w:marTop w:val="0"/>
      <w:marBottom w:val="0"/>
      <w:divBdr>
        <w:top w:val="none" w:sz="0" w:space="0" w:color="auto"/>
        <w:left w:val="none" w:sz="0" w:space="0" w:color="auto"/>
        <w:bottom w:val="none" w:sz="0" w:space="0" w:color="auto"/>
        <w:right w:val="none" w:sz="0" w:space="0" w:color="auto"/>
      </w:divBdr>
    </w:div>
    <w:div w:id="1047414754">
      <w:bodyDiv w:val="1"/>
      <w:marLeft w:val="0"/>
      <w:marRight w:val="0"/>
      <w:marTop w:val="0"/>
      <w:marBottom w:val="0"/>
      <w:divBdr>
        <w:top w:val="none" w:sz="0" w:space="0" w:color="auto"/>
        <w:left w:val="none" w:sz="0" w:space="0" w:color="auto"/>
        <w:bottom w:val="none" w:sz="0" w:space="0" w:color="auto"/>
        <w:right w:val="none" w:sz="0" w:space="0" w:color="auto"/>
      </w:divBdr>
    </w:div>
    <w:div w:id="1250196974">
      <w:bodyDiv w:val="1"/>
      <w:marLeft w:val="0"/>
      <w:marRight w:val="0"/>
      <w:marTop w:val="0"/>
      <w:marBottom w:val="0"/>
      <w:divBdr>
        <w:top w:val="none" w:sz="0" w:space="0" w:color="auto"/>
        <w:left w:val="none" w:sz="0" w:space="0" w:color="auto"/>
        <w:bottom w:val="none" w:sz="0" w:space="0" w:color="auto"/>
        <w:right w:val="none" w:sz="0" w:space="0" w:color="auto"/>
      </w:divBdr>
    </w:div>
    <w:div w:id="1293944710">
      <w:bodyDiv w:val="1"/>
      <w:marLeft w:val="0"/>
      <w:marRight w:val="0"/>
      <w:marTop w:val="0"/>
      <w:marBottom w:val="0"/>
      <w:divBdr>
        <w:top w:val="none" w:sz="0" w:space="0" w:color="auto"/>
        <w:left w:val="none" w:sz="0" w:space="0" w:color="auto"/>
        <w:bottom w:val="none" w:sz="0" w:space="0" w:color="auto"/>
        <w:right w:val="none" w:sz="0" w:space="0" w:color="auto"/>
      </w:divBdr>
      <w:divsChild>
        <w:div w:id="988167594">
          <w:marLeft w:val="0"/>
          <w:marRight w:val="0"/>
          <w:marTop w:val="0"/>
          <w:marBottom w:val="0"/>
          <w:divBdr>
            <w:top w:val="none" w:sz="0" w:space="0" w:color="auto"/>
            <w:left w:val="none" w:sz="0" w:space="0" w:color="auto"/>
            <w:bottom w:val="none" w:sz="0" w:space="0" w:color="auto"/>
            <w:right w:val="none" w:sz="0" w:space="0" w:color="auto"/>
          </w:divBdr>
          <w:divsChild>
            <w:div w:id="1343631435">
              <w:marLeft w:val="0"/>
              <w:marRight w:val="0"/>
              <w:marTop w:val="0"/>
              <w:marBottom w:val="0"/>
              <w:divBdr>
                <w:top w:val="none" w:sz="0" w:space="0" w:color="auto"/>
                <w:left w:val="none" w:sz="0" w:space="0" w:color="auto"/>
                <w:bottom w:val="none" w:sz="0" w:space="0" w:color="auto"/>
                <w:right w:val="none" w:sz="0" w:space="0" w:color="auto"/>
              </w:divBdr>
              <w:divsChild>
                <w:div w:id="1027487323">
                  <w:marLeft w:val="0"/>
                  <w:marRight w:val="0"/>
                  <w:marTop w:val="0"/>
                  <w:marBottom w:val="0"/>
                  <w:divBdr>
                    <w:top w:val="none" w:sz="0" w:space="0" w:color="auto"/>
                    <w:left w:val="none" w:sz="0" w:space="0" w:color="auto"/>
                    <w:bottom w:val="none" w:sz="0" w:space="0" w:color="auto"/>
                    <w:right w:val="none" w:sz="0" w:space="0" w:color="auto"/>
                  </w:divBdr>
                  <w:divsChild>
                    <w:div w:id="180126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284215">
      <w:bodyDiv w:val="1"/>
      <w:marLeft w:val="0"/>
      <w:marRight w:val="0"/>
      <w:marTop w:val="0"/>
      <w:marBottom w:val="0"/>
      <w:divBdr>
        <w:top w:val="none" w:sz="0" w:space="0" w:color="auto"/>
        <w:left w:val="none" w:sz="0" w:space="0" w:color="auto"/>
        <w:bottom w:val="none" w:sz="0" w:space="0" w:color="auto"/>
        <w:right w:val="none" w:sz="0" w:space="0" w:color="auto"/>
      </w:divBdr>
    </w:div>
    <w:div w:id="1520048099">
      <w:bodyDiv w:val="1"/>
      <w:marLeft w:val="0"/>
      <w:marRight w:val="0"/>
      <w:marTop w:val="0"/>
      <w:marBottom w:val="0"/>
      <w:divBdr>
        <w:top w:val="none" w:sz="0" w:space="0" w:color="auto"/>
        <w:left w:val="none" w:sz="0" w:space="0" w:color="auto"/>
        <w:bottom w:val="none" w:sz="0" w:space="0" w:color="auto"/>
        <w:right w:val="none" w:sz="0" w:space="0" w:color="auto"/>
      </w:divBdr>
      <w:divsChild>
        <w:div w:id="196236012">
          <w:marLeft w:val="0"/>
          <w:marRight w:val="0"/>
          <w:marTop w:val="0"/>
          <w:marBottom w:val="0"/>
          <w:divBdr>
            <w:top w:val="none" w:sz="0" w:space="0" w:color="auto"/>
            <w:left w:val="none" w:sz="0" w:space="0" w:color="auto"/>
            <w:bottom w:val="none" w:sz="0" w:space="0" w:color="auto"/>
            <w:right w:val="none" w:sz="0" w:space="0" w:color="auto"/>
          </w:divBdr>
          <w:divsChild>
            <w:div w:id="1929845332">
              <w:marLeft w:val="0"/>
              <w:marRight w:val="0"/>
              <w:marTop w:val="0"/>
              <w:marBottom w:val="0"/>
              <w:divBdr>
                <w:top w:val="none" w:sz="0" w:space="0" w:color="auto"/>
                <w:left w:val="none" w:sz="0" w:space="0" w:color="auto"/>
                <w:bottom w:val="none" w:sz="0" w:space="0" w:color="auto"/>
                <w:right w:val="none" w:sz="0" w:space="0" w:color="auto"/>
              </w:divBdr>
              <w:divsChild>
                <w:div w:id="1912345688">
                  <w:marLeft w:val="0"/>
                  <w:marRight w:val="0"/>
                  <w:marTop w:val="0"/>
                  <w:marBottom w:val="0"/>
                  <w:divBdr>
                    <w:top w:val="none" w:sz="0" w:space="0" w:color="auto"/>
                    <w:left w:val="none" w:sz="0" w:space="0" w:color="auto"/>
                    <w:bottom w:val="none" w:sz="0" w:space="0" w:color="auto"/>
                    <w:right w:val="none" w:sz="0" w:space="0" w:color="auto"/>
                  </w:divBdr>
                  <w:divsChild>
                    <w:div w:id="954487443">
                      <w:marLeft w:val="0"/>
                      <w:marRight w:val="0"/>
                      <w:marTop w:val="0"/>
                      <w:marBottom w:val="0"/>
                      <w:divBdr>
                        <w:top w:val="none" w:sz="0" w:space="0" w:color="auto"/>
                        <w:left w:val="none" w:sz="0" w:space="0" w:color="auto"/>
                        <w:bottom w:val="none" w:sz="0" w:space="0" w:color="auto"/>
                        <w:right w:val="none" w:sz="0" w:space="0" w:color="auto"/>
                      </w:divBdr>
                      <w:divsChild>
                        <w:div w:id="638144155">
                          <w:marLeft w:val="0"/>
                          <w:marRight w:val="0"/>
                          <w:marTop w:val="0"/>
                          <w:marBottom w:val="0"/>
                          <w:divBdr>
                            <w:top w:val="none" w:sz="0" w:space="0" w:color="auto"/>
                            <w:left w:val="none" w:sz="0" w:space="0" w:color="auto"/>
                            <w:bottom w:val="none" w:sz="0" w:space="0" w:color="auto"/>
                            <w:right w:val="none" w:sz="0" w:space="0" w:color="auto"/>
                          </w:divBdr>
                          <w:divsChild>
                            <w:div w:id="111903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694172">
      <w:bodyDiv w:val="1"/>
      <w:marLeft w:val="0"/>
      <w:marRight w:val="0"/>
      <w:marTop w:val="0"/>
      <w:marBottom w:val="0"/>
      <w:divBdr>
        <w:top w:val="none" w:sz="0" w:space="0" w:color="auto"/>
        <w:left w:val="none" w:sz="0" w:space="0" w:color="auto"/>
        <w:bottom w:val="none" w:sz="0" w:space="0" w:color="auto"/>
        <w:right w:val="none" w:sz="0" w:space="0" w:color="auto"/>
      </w:divBdr>
      <w:divsChild>
        <w:div w:id="578364427">
          <w:marLeft w:val="0"/>
          <w:marRight w:val="0"/>
          <w:marTop w:val="0"/>
          <w:marBottom w:val="0"/>
          <w:divBdr>
            <w:top w:val="none" w:sz="0" w:space="0" w:color="auto"/>
            <w:left w:val="none" w:sz="0" w:space="0" w:color="auto"/>
            <w:bottom w:val="none" w:sz="0" w:space="0" w:color="auto"/>
            <w:right w:val="none" w:sz="0" w:space="0" w:color="auto"/>
          </w:divBdr>
          <w:divsChild>
            <w:div w:id="633410485">
              <w:marLeft w:val="0"/>
              <w:marRight w:val="0"/>
              <w:marTop w:val="0"/>
              <w:marBottom w:val="0"/>
              <w:divBdr>
                <w:top w:val="none" w:sz="0" w:space="0" w:color="auto"/>
                <w:left w:val="none" w:sz="0" w:space="0" w:color="auto"/>
                <w:bottom w:val="none" w:sz="0" w:space="0" w:color="auto"/>
                <w:right w:val="none" w:sz="0" w:space="0" w:color="auto"/>
              </w:divBdr>
              <w:divsChild>
                <w:div w:id="136412530">
                  <w:marLeft w:val="0"/>
                  <w:marRight w:val="0"/>
                  <w:marTop w:val="0"/>
                  <w:marBottom w:val="0"/>
                  <w:divBdr>
                    <w:top w:val="none" w:sz="0" w:space="0" w:color="auto"/>
                    <w:left w:val="none" w:sz="0" w:space="0" w:color="auto"/>
                    <w:bottom w:val="none" w:sz="0" w:space="0" w:color="auto"/>
                    <w:right w:val="none" w:sz="0" w:space="0" w:color="auto"/>
                  </w:divBdr>
                  <w:divsChild>
                    <w:div w:id="1663120655">
                      <w:marLeft w:val="0"/>
                      <w:marRight w:val="0"/>
                      <w:marTop w:val="0"/>
                      <w:marBottom w:val="0"/>
                      <w:divBdr>
                        <w:top w:val="none" w:sz="0" w:space="0" w:color="auto"/>
                        <w:left w:val="none" w:sz="0" w:space="0" w:color="auto"/>
                        <w:bottom w:val="none" w:sz="0" w:space="0" w:color="auto"/>
                        <w:right w:val="none" w:sz="0" w:space="0" w:color="auto"/>
                      </w:divBdr>
                      <w:divsChild>
                        <w:div w:id="162598488">
                          <w:marLeft w:val="0"/>
                          <w:marRight w:val="0"/>
                          <w:marTop w:val="0"/>
                          <w:marBottom w:val="0"/>
                          <w:divBdr>
                            <w:top w:val="none" w:sz="0" w:space="0" w:color="auto"/>
                            <w:left w:val="none" w:sz="0" w:space="0" w:color="auto"/>
                            <w:bottom w:val="none" w:sz="0" w:space="0" w:color="auto"/>
                            <w:right w:val="none" w:sz="0" w:space="0" w:color="auto"/>
                          </w:divBdr>
                          <w:divsChild>
                            <w:div w:id="175801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998577">
      <w:bodyDiv w:val="1"/>
      <w:marLeft w:val="0"/>
      <w:marRight w:val="0"/>
      <w:marTop w:val="0"/>
      <w:marBottom w:val="0"/>
      <w:divBdr>
        <w:top w:val="none" w:sz="0" w:space="0" w:color="auto"/>
        <w:left w:val="none" w:sz="0" w:space="0" w:color="auto"/>
        <w:bottom w:val="none" w:sz="0" w:space="0" w:color="auto"/>
        <w:right w:val="none" w:sz="0" w:space="0" w:color="auto"/>
      </w:divBdr>
      <w:divsChild>
        <w:div w:id="616527723">
          <w:marLeft w:val="0"/>
          <w:marRight w:val="0"/>
          <w:marTop w:val="0"/>
          <w:marBottom w:val="0"/>
          <w:divBdr>
            <w:top w:val="none" w:sz="0" w:space="0" w:color="auto"/>
            <w:left w:val="none" w:sz="0" w:space="0" w:color="auto"/>
            <w:bottom w:val="none" w:sz="0" w:space="0" w:color="auto"/>
            <w:right w:val="none" w:sz="0" w:space="0" w:color="auto"/>
          </w:divBdr>
          <w:divsChild>
            <w:div w:id="1868565416">
              <w:marLeft w:val="0"/>
              <w:marRight w:val="0"/>
              <w:marTop w:val="0"/>
              <w:marBottom w:val="0"/>
              <w:divBdr>
                <w:top w:val="none" w:sz="0" w:space="0" w:color="auto"/>
                <w:left w:val="none" w:sz="0" w:space="0" w:color="auto"/>
                <w:bottom w:val="none" w:sz="0" w:space="0" w:color="auto"/>
                <w:right w:val="none" w:sz="0" w:space="0" w:color="auto"/>
              </w:divBdr>
              <w:divsChild>
                <w:div w:id="873272104">
                  <w:marLeft w:val="0"/>
                  <w:marRight w:val="0"/>
                  <w:marTop w:val="0"/>
                  <w:marBottom w:val="0"/>
                  <w:divBdr>
                    <w:top w:val="none" w:sz="0" w:space="0" w:color="auto"/>
                    <w:left w:val="none" w:sz="0" w:space="0" w:color="auto"/>
                    <w:bottom w:val="none" w:sz="0" w:space="0" w:color="auto"/>
                    <w:right w:val="none" w:sz="0" w:space="0" w:color="auto"/>
                  </w:divBdr>
                  <w:divsChild>
                    <w:div w:id="69392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596758">
      <w:bodyDiv w:val="1"/>
      <w:marLeft w:val="0"/>
      <w:marRight w:val="0"/>
      <w:marTop w:val="0"/>
      <w:marBottom w:val="0"/>
      <w:divBdr>
        <w:top w:val="none" w:sz="0" w:space="0" w:color="auto"/>
        <w:left w:val="none" w:sz="0" w:space="0" w:color="auto"/>
        <w:bottom w:val="none" w:sz="0" w:space="0" w:color="auto"/>
        <w:right w:val="none" w:sz="0" w:space="0" w:color="auto"/>
      </w:divBdr>
      <w:divsChild>
        <w:div w:id="1671758827">
          <w:marLeft w:val="0"/>
          <w:marRight w:val="0"/>
          <w:marTop w:val="0"/>
          <w:marBottom w:val="0"/>
          <w:divBdr>
            <w:top w:val="none" w:sz="0" w:space="0" w:color="auto"/>
            <w:left w:val="none" w:sz="0" w:space="0" w:color="auto"/>
            <w:bottom w:val="none" w:sz="0" w:space="0" w:color="auto"/>
            <w:right w:val="none" w:sz="0" w:space="0" w:color="auto"/>
          </w:divBdr>
          <w:divsChild>
            <w:div w:id="1565599599">
              <w:marLeft w:val="0"/>
              <w:marRight w:val="0"/>
              <w:marTop w:val="0"/>
              <w:marBottom w:val="0"/>
              <w:divBdr>
                <w:top w:val="none" w:sz="0" w:space="0" w:color="auto"/>
                <w:left w:val="none" w:sz="0" w:space="0" w:color="auto"/>
                <w:bottom w:val="none" w:sz="0" w:space="0" w:color="auto"/>
                <w:right w:val="none" w:sz="0" w:space="0" w:color="auto"/>
              </w:divBdr>
              <w:divsChild>
                <w:div w:id="295719847">
                  <w:marLeft w:val="0"/>
                  <w:marRight w:val="0"/>
                  <w:marTop w:val="0"/>
                  <w:marBottom w:val="0"/>
                  <w:divBdr>
                    <w:top w:val="none" w:sz="0" w:space="0" w:color="auto"/>
                    <w:left w:val="none" w:sz="0" w:space="0" w:color="auto"/>
                    <w:bottom w:val="none" w:sz="0" w:space="0" w:color="auto"/>
                    <w:right w:val="none" w:sz="0" w:space="0" w:color="auto"/>
                  </w:divBdr>
                  <w:divsChild>
                    <w:div w:id="1308513937">
                      <w:marLeft w:val="0"/>
                      <w:marRight w:val="0"/>
                      <w:marTop w:val="0"/>
                      <w:marBottom w:val="0"/>
                      <w:divBdr>
                        <w:top w:val="none" w:sz="0" w:space="0" w:color="auto"/>
                        <w:left w:val="none" w:sz="0" w:space="0" w:color="auto"/>
                        <w:bottom w:val="none" w:sz="0" w:space="0" w:color="auto"/>
                        <w:right w:val="none" w:sz="0" w:space="0" w:color="auto"/>
                      </w:divBdr>
                      <w:divsChild>
                        <w:div w:id="638532801">
                          <w:marLeft w:val="0"/>
                          <w:marRight w:val="0"/>
                          <w:marTop w:val="0"/>
                          <w:marBottom w:val="0"/>
                          <w:divBdr>
                            <w:top w:val="none" w:sz="0" w:space="0" w:color="auto"/>
                            <w:left w:val="none" w:sz="0" w:space="0" w:color="auto"/>
                            <w:bottom w:val="none" w:sz="0" w:space="0" w:color="auto"/>
                            <w:right w:val="none" w:sz="0" w:space="0" w:color="auto"/>
                          </w:divBdr>
                          <w:divsChild>
                            <w:div w:id="6476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002327">
      <w:bodyDiv w:val="1"/>
      <w:marLeft w:val="0"/>
      <w:marRight w:val="0"/>
      <w:marTop w:val="0"/>
      <w:marBottom w:val="0"/>
      <w:divBdr>
        <w:top w:val="none" w:sz="0" w:space="0" w:color="auto"/>
        <w:left w:val="none" w:sz="0" w:space="0" w:color="auto"/>
        <w:bottom w:val="none" w:sz="0" w:space="0" w:color="auto"/>
        <w:right w:val="none" w:sz="0" w:space="0" w:color="auto"/>
      </w:divBdr>
      <w:divsChild>
        <w:div w:id="86969554">
          <w:marLeft w:val="0"/>
          <w:marRight w:val="0"/>
          <w:marTop w:val="0"/>
          <w:marBottom w:val="0"/>
          <w:divBdr>
            <w:top w:val="none" w:sz="0" w:space="0" w:color="auto"/>
            <w:left w:val="none" w:sz="0" w:space="0" w:color="auto"/>
            <w:bottom w:val="none" w:sz="0" w:space="0" w:color="auto"/>
            <w:right w:val="none" w:sz="0" w:space="0" w:color="auto"/>
          </w:divBdr>
          <w:divsChild>
            <w:div w:id="124322099">
              <w:marLeft w:val="0"/>
              <w:marRight w:val="0"/>
              <w:marTop w:val="0"/>
              <w:marBottom w:val="0"/>
              <w:divBdr>
                <w:top w:val="none" w:sz="0" w:space="0" w:color="auto"/>
                <w:left w:val="none" w:sz="0" w:space="0" w:color="auto"/>
                <w:bottom w:val="none" w:sz="0" w:space="0" w:color="auto"/>
                <w:right w:val="none" w:sz="0" w:space="0" w:color="auto"/>
              </w:divBdr>
              <w:divsChild>
                <w:div w:id="2039238175">
                  <w:marLeft w:val="0"/>
                  <w:marRight w:val="0"/>
                  <w:marTop w:val="0"/>
                  <w:marBottom w:val="0"/>
                  <w:divBdr>
                    <w:top w:val="none" w:sz="0" w:space="0" w:color="auto"/>
                    <w:left w:val="none" w:sz="0" w:space="0" w:color="auto"/>
                    <w:bottom w:val="none" w:sz="0" w:space="0" w:color="auto"/>
                    <w:right w:val="none" w:sz="0" w:space="0" w:color="auto"/>
                  </w:divBdr>
                  <w:divsChild>
                    <w:div w:id="1569488691">
                      <w:marLeft w:val="0"/>
                      <w:marRight w:val="0"/>
                      <w:marTop w:val="0"/>
                      <w:marBottom w:val="0"/>
                      <w:divBdr>
                        <w:top w:val="none" w:sz="0" w:space="0" w:color="auto"/>
                        <w:left w:val="none" w:sz="0" w:space="0" w:color="auto"/>
                        <w:bottom w:val="none" w:sz="0" w:space="0" w:color="auto"/>
                        <w:right w:val="none" w:sz="0" w:space="0" w:color="auto"/>
                      </w:divBdr>
                      <w:divsChild>
                        <w:div w:id="1193104405">
                          <w:marLeft w:val="0"/>
                          <w:marRight w:val="0"/>
                          <w:marTop w:val="0"/>
                          <w:marBottom w:val="0"/>
                          <w:divBdr>
                            <w:top w:val="none" w:sz="0" w:space="0" w:color="auto"/>
                            <w:left w:val="none" w:sz="0" w:space="0" w:color="auto"/>
                            <w:bottom w:val="none" w:sz="0" w:space="0" w:color="auto"/>
                            <w:right w:val="none" w:sz="0" w:space="0" w:color="auto"/>
                          </w:divBdr>
                          <w:divsChild>
                            <w:div w:id="91817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6775047">
      <w:bodyDiv w:val="1"/>
      <w:marLeft w:val="0"/>
      <w:marRight w:val="0"/>
      <w:marTop w:val="0"/>
      <w:marBottom w:val="0"/>
      <w:divBdr>
        <w:top w:val="none" w:sz="0" w:space="0" w:color="auto"/>
        <w:left w:val="none" w:sz="0" w:space="0" w:color="auto"/>
        <w:bottom w:val="none" w:sz="0" w:space="0" w:color="auto"/>
        <w:right w:val="none" w:sz="0" w:space="0" w:color="auto"/>
      </w:divBdr>
      <w:divsChild>
        <w:div w:id="19665046">
          <w:marLeft w:val="0"/>
          <w:marRight w:val="0"/>
          <w:marTop w:val="0"/>
          <w:marBottom w:val="0"/>
          <w:divBdr>
            <w:top w:val="none" w:sz="0" w:space="0" w:color="auto"/>
            <w:left w:val="none" w:sz="0" w:space="0" w:color="auto"/>
            <w:bottom w:val="none" w:sz="0" w:space="0" w:color="auto"/>
            <w:right w:val="none" w:sz="0" w:space="0" w:color="auto"/>
          </w:divBdr>
          <w:divsChild>
            <w:div w:id="200434261">
              <w:marLeft w:val="0"/>
              <w:marRight w:val="0"/>
              <w:marTop w:val="0"/>
              <w:marBottom w:val="0"/>
              <w:divBdr>
                <w:top w:val="none" w:sz="0" w:space="0" w:color="auto"/>
                <w:left w:val="none" w:sz="0" w:space="0" w:color="auto"/>
                <w:bottom w:val="none" w:sz="0" w:space="0" w:color="auto"/>
                <w:right w:val="none" w:sz="0" w:space="0" w:color="auto"/>
              </w:divBdr>
              <w:divsChild>
                <w:div w:id="1059017747">
                  <w:marLeft w:val="0"/>
                  <w:marRight w:val="0"/>
                  <w:marTop w:val="0"/>
                  <w:marBottom w:val="0"/>
                  <w:divBdr>
                    <w:top w:val="none" w:sz="0" w:space="0" w:color="auto"/>
                    <w:left w:val="none" w:sz="0" w:space="0" w:color="auto"/>
                    <w:bottom w:val="none" w:sz="0" w:space="0" w:color="auto"/>
                    <w:right w:val="none" w:sz="0" w:space="0" w:color="auto"/>
                  </w:divBdr>
                  <w:divsChild>
                    <w:div w:id="1709185851">
                      <w:marLeft w:val="0"/>
                      <w:marRight w:val="0"/>
                      <w:marTop w:val="0"/>
                      <w:marBottom w:val="0"/>
                      <w:divBdr>
                        <w:top w:val="none" w:sz="0" w:space="0" w:color="auto"/>
                        <w:left w:val="none" w:sz="0" w:space="0" w:color="auto"/>
                        <w:bottom w:val="none" w:sz="0" w:space="0" w:color="auto"/>
                        <w:right w:val="none" w:sz="0" w:space="0" w:color="auto"/>
                      </w:divBdr>
                      <w:divsChild>
                        <w:div w:id="2010281645">
                          <w:marLeft w:val="0"/>
                          <w:marRight w:val="0"/>
                          <w:marTop w:val="0"/>
                          <w:marBottom w:val="0"/>
                          <w:divBdr>
                            <w:top w:val="none" w:sz="0" w:space="0" w:color="auto"/>
                            <w:left w:val="none" w:sz="0" w:space="0" w:color="auto"/>
                            <w:bottom w:val="none" w:sz="0" w:space="0" w:color="auto"/>
                            <w:right w:val="none" w:sz="0" w:space="0" w:color="auto"/>
                          </w:divBdr>
                          <w:divsChild>
                            <w:div w:id="202547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222532">
      <w:bodyDiv w:val="1"/>
      <w:marLeft w:val="0"/>
      <w:marRight w:val="0"/>
      <w:marTop w:val="0"/>
      <w:marBottom w:val="0"/>
      <w:divBdr>
        <w:top w:val="none" w:sz="0" w:space="0" w:color="auto"/>
        <w:left w:val="none" w:sz="0" w:space="0" w:color="auto"/>
        <w:bottom w:val="none" w:sz="0" w:space="0" w:color="auto"/>
        <w:right w:val="none" w:sz="0" w:space="0" w:color="auto"/>
      </w:divBdr>
    </w:div>
    <w:div w:id="1884516511">
      <w:bodyDiv w:val="1"/>
      <w:marLeft w:val="0"/>
      <w:marRight w:val="0"/>
      <w:marTop w:val="0"/>
      <w:marBottom w:val="0"/>
      <w:divBdr>
        <w:top w:val="none" w:sz="0" w:space="0" w:color="auto"/>
        <w:left w:val="none" w:sz="0" w:space="0" w:color="auto"/>
        <w:bottom w:val="none" w:sz="0" w:space="0" w:color="auto"/>
        <w:right w:val="none" w:sz="0" w:space="0" w:color="auto"/>
      </w:divBdr>
      <w:divsChild>
        <w:div w:id="1246954925">
          <w:marLeft w:val="0"/>
          <w:marRight w:val="0"/>
          <w:marTop w:val="0"/>
          <w:marBottom w:val="0"/>
          <w:divBdr>
            <w:top w:val="none" w:sz="0" w:space="0" w:color="auto"/>
            <w:left w:val="none" w:sz="0" w:space="0" w:color="auto"/>
            <w:bottom w:val="none" w:sz="0" w:space="0" w:color="auto"/>
            <w:right w:val="none" w:sz="0" w:space="0" w:color="auto"/>
          </w:divBdr>
          <w:divsChild>
            <w:div w:id="61829693">
              <w:marLeft w:val="0"/>
              <w:marRight w:val="0"/>
              <w:marTop w:val="0"/>
              <w:marBottom w:val="0"/>
              <w:divBdr>
                <w:top w:val="none" w:sz="0" w:space="0" w:color="auto"/>
                <w:left w:val="none" w:sz="0" w:space="0" w:color="auto"/>
                <w:bottom w:val="none" w:sz="0" w:space="0" w:color="auto"/>
                <w:right w:val="none" w:sz="0" w:space="0" w:color="auto"/>
              </w:divBdr>
              <w:divsChild>
                <w:div w:id="360326477">
                  <w:marLeft w:val="0"/>
                  <w:marRight w:val="0"/>
                  <w:marTop w:val="0"/>
                  <w:marBottom w:val="0"/>
                  <w:divBdr>
                    <w:top w:val="none" w:sz="0" w:space="0" w:color="auto"/>
                    <w:left w:val="none" w:sz="0" w:space="0" w:color="auto"/>
                    <w:bottom w:val="none" w:sz="0" w:space="0" w:color="auto"/>
                    <w:right w:val="none" w:sz="0" w:space="0" w:color="auto"/>
                  </w:divBdr>
                  <w:divsChild>
                    <w:div w:id="2020349474">
                      <w:marLeft w:val="0"/>
                      <w:marRight w:val="0"/>
                      <w:marTop w:val="0"/>
                      <w:marBottom w:val="0"/>
                      <w:divBdr>
                        <w:top w:val="none" w:sz="0" w:space="0" w:color="auto"/>
                        <w:left w:val="none" w:sz="0" w:space="0" w:color="auto"/>
                        <w:bottom w:val="none" w:sz="0" w:space="0" w:color="auto"/>
                        <w:right w:val="none" w:sz="0" w:space="0" w:color="auto"/>
                      </w:divBdr>
                      <w:divsChild>
                        <w:div w:id="2081367993">
                          <w:marLeft w:val="0"/>
                          <w:marRight w:val="0"/>
                          <w:marTop w:val="0"/>
                          <w:marBottom w:val="0"/>
                          <w:divBdr>
                            <w:top w:val="none" w:sz="0" w:space="0" w:color="auto"/>
                            <w:left w:val="none" w:sz="0" w:space="0" w:color="auto"/>
                            <w:bottom w:val="none" w:sz="0" w:space="0" w:color="auto"/>
                            <w:right w:val="none" w:sz="0" w:space="0" w:color="auto"/>
                          </w:divBdr>
                          <w:divsChild>
                            <w:div w:id="738595144">
                              <w:marLeft w:val="0"/>
                              <w:marRight w:val="0"/>
                              <w:marTop w:val="0"/>
                              <w:marBottom w:val="0"/>
                              <w:divBdr>
                                <w:top w:val="none" w:sz="0" w:space="0" w:color="auto"/>
                                <w:left w:val="none" w:sz="0" w:space="0" w:color="auto"/>
                                <w:bottom w:val="none" w:sz="0" w:space="0" w:color="auto"/>
                                <w:right w:val="none" w:sz="0" w:space="0" w:color="auto"/>
                              </w:divBdr>
                              <w:divsChild>
                                <w:div w:id="881091362">
                                  <w:marLeft w:val="0"/>
                                  <w:marRight w:val="0"/>
                                  <w:marTop w:val="0"/>
                                  <w:marBottom w:val="0"/>
                                  <w:divBdr>
                                    <w:top w:val="none" w:sz="0" w:space="0" w:color="auto"/>
                                    <w:left w:val="none" w:sz="0" w:space="0" w:color="auto"/>
                                    <w:bottom w:val="none" w:sz="0" w:space="0" w:color="auto"/>
                                    <w:right w:val="none" w:sz="0" w:space="0" w:color="auto"/>
                                  </w:divBdr>
                                  <w:divsChild>
                                    <w:div w:id="1326586513">
                                      <w:marLeft w:val="0"/>
                                      <w:marRight w:val="0"/>
                                      <w:marTop w:val="0"/>
                                      <w:marBottom w:val="0"/>
                                      <w:divBdr>
                                        <w:top w:val="none" w:sz="0" w:space="0" w:color="auto"/>
                                        <w:left w:val="none" w:sz="0" w:space="0" w:color="auto"/>
                                        <w:bottom w:val="none" w:sz="0" w:space="0" w:color="auto"/>
                                        <w:right w:val="none" w:sz="0" w:space="0" w:color="auto"/>
                                      </w:divBdr>
                                      <w:divsChild>
                                        <w:div w:id="319622651">
                                          <w:marLeft w:val="0"/>
                                          <w:marRight w:val="0"/>
                                          <w:marTop w:val="0"/>
                                          <w:marBottom w:val="0"/>
                                          <w:divBdr>
                                            <w:top w:val="none" w:sz="0" w:space="0" w:color="auto"/>
                                            <w:left w:val="none" w:sz="0" w:space="0" w:color="auto"/>
                                            <w:bottom w:val="none" w:sz="0" w:space="0" w:color="auto"/>
                                            <w:right w:val="none" w:sz="0" w:space="0" w:color="auto"/>
                                          </w:divBdr>
                                          <w:divsChild>
                                            <w:div w:id="1180779733">
                                              <w:marLeft w:val="0"/>
                                              <w:marRight w:val="0"/>
                                              <w:marTop w:val="0"/>
                                              <w:marBottom w:val="0"/>
                                              <w:divBdr>
                                                <w:top w:val="none" w:sz="0" w:space="0" w:color="auto"/>
                                                <w:left w:val="none" w:sz="0" w:space="0" w:color="auto"/>
                                                <w:bottom w:val="none" w:sz="0" w:space="0" w:color="auto"/>
                                                <w:right w:val="none" w:sz="0" w:space="0" w:color="auto"/>
                                              </w:divBdr>
                                              <w:divsChild>
                                                <w:div w:id="2035617264">
                                                  <w:marLeft w:val="0"/>
                                                  <w:marRight w:val="0"/>
                                                  <w:marTop w:val="0"/>
                                                  <w:marBottom w:val="0"/>
                                                  <w:divBdr>
                                                    <w:top w:val="none" w:sz="0" w:space="0" w:color="auto"/>
                                                    <w:left w:val="none" w:sz="0" w:space="0" w:color="auto"/>
                                                    <w:bottom w:val="none" w:sz="0" w:space="0" w:color="auto"/>
                                                    <w:right w:val="none" w:sz="0" w:space="0" w:color="auto"/>
                                                  </w:divBdr>
                                                  <w:divsChild>
                                                    <w:div w:id="1668551381">
                                                      <w:marLeft w:val="0"/>
                                                      <w:marRight w:val="0"/>
                                                      <w:marTop w:val="0"/>
                                                      <w:marBottom w:val="0"/>
                                                      <w:divBdr>
                                                        <w:top w:val="none" w:sz="0" w:space="0" w:color="auto"/>
                                                        <w:left w:val="none" w:sz="0" w:space="0" w:color="auto"/>
                                                        <w:bottom w:val="none" w:sz="0" w:space="0" w:color="auto"/>
                                                        <w:right w:val="none" w:sz="0" w:space="0" w:color="auto"/>
                                                      </w:divBdr>
                                                      <w:divsChild>
                                                        <w:div w:id="68768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68136">
                                              <w:marLeft w:val="0"/>
                                              <w:marRight w:val="0"/>
                                              <w:marTop w:val="0"/>
                                              <w:marBottom w:val="0"/>
                                              <w:divBdr>
                                                <w:top w:val="none" w:sz="0" w:space="0" w:color="auto"/>
                                                <w:left w:val="none" w:sz="0" w:space="0" w:color="auto"/>
                                                <w:bottom w:val="none" w:sz="0" w:space="0" w:color="auto"/>
                                                <w:right w:val="none" w:sz="0" w:space="0" w:color="auto"/>
                                              </w:divBdr>
                                              <w:divsChild>
                                                <w:div w:id="601494949">
                                                  <w:marLeft w:val="0"/>
                                                  <w:marRight w:val="0"/>
                                                  <w:marTop w:val="0"/>
                                                  <w:marBottom w:val="0"/>
                                                  <w:divBdr>
                                                    <w:top w:val="none" w:sz="0" w:space="0" w:color="auto"/>
                                                    <w:left w:val="none" w:sz="0" w:space="0" w:color="auto"/>
                                                    <w:bottom w:val="none" w:sz="0" w:space="0" w:color="auto"/>
                                                    <w:right w:val="none" w:sz="0" w:space="0" w:color="auto"/>
                                                  </w:divBdr>
                                                  <w:divsChild>
                                                    <w:div w:id="755328762">
                                                      <w:marLeft w:val="0"/>
                                                      <w:marRight w:val="0"/>
                                                      <w:marTop w:val="0"/>
                                                      <w:marBottom w:val="0"/>
                                                      <w:divBdr>
                                                        <w:top w:val="none" w:sz="0" w:space="0" w:color="auto"/>
                                                        <w:left w:val="none" w:sz="0" w:space="0" w:color="auto"/>
                                                        <w:bottom w:val="none" w:sz="0" w:space="0" w:color="auto"/>
                                                        <w:right w:val="none" w:sz="0" w:space="0" w:color="auto"/>
                                                      </w:divBdr>
                                                      <w:divsChild>
                                                        <w:div w:id="128727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2324162">
          <w:marLeft w:val="0"/>
          <w:marRight w:val="0"/>
          <w:marTop w:val="0"/>
          <w:marBottom w:val="0"/>
          <w:divBdr>
            <w:top w:val="none" w:sz="0" w:space="0" w:color="auto"/>
            <w:left w:val="none" w:sz="0" w:space="0" w:color="auto"/>
            <w:bottom w:val="none" w:sz="0" w:space="0" w:color="auto"/>
            <w:right w:val="none" w:sz="0" w:space="0" w:color="auto"/>
          </w:divBdr>
          <w:divsChild>
            <w:div w:id="1585914022">
              <w:marLeft w:val="0"/>
              <w:marRight w:val="0"/>
              <w:marTop w:val="0"/>
              <w:marBottom w:val="0"/>
              <w:divBdr>
                <w:top w:val="none" w:sz="0" w:space="0" w:color="auto"/>
                <w:left w:val="none" w:sz="0" w:space="0" w:color="auto"/>
                <w:bottom w:val="none" w:sz="0" w:space="0" w:color="auto"/>
                <w:right w:val="none" w:sz="0" w:space="0" w:color="auto"/>
              </w:divBdr>
              <w:divsChild>
                <w:div w:id="1260724265">
                  <w:marLeft w:val="0"/>
                  <w:marRight w:val="0"/>
                  <w:marTop w:val="0"/>
                  <w:marBottom w:val="0"/>
                  <w:divBdr>
                    <w:top w:val="none" w:sz="0" w:space="0" w:color="auto"/>
                    <w:left w:val="none" w:sz="0" w:space="0" w:color="auto"/>
                    <w:bottom w:val="none" w:sz="0" w:space="0" w:color="auto"/>
                    <w:right w:val="none" w:sz="0" w:space="0" w:color="auto"/>
                  </w:divBdr>
                  <w:divsChild>
                    <w:div w:id="167598585">
                      <w:marLeft w:val="0"/>
                      <w:marRight w:val="0"/>
                      <w:marTop w:val="0"/>
                      <w:marBottom w:val="0"/>
                      <w:divBdr>
                        <w:top w:val="none" w:sz="0" w:space="0" w:color="auto"/>
                        <w:left w:val="none" w:sz="0" w:space="0" w:color="auto"/>
                        <w:bottom w:val="none" w:sz="0" w:space="0" w:color="auto"/>
                        <w:right w:val="none" w:sz="0" w:space="0" w:color="auto"/>
                      </w:divBdr>
                      <w:divsChild>
                        <w:div w:id="1438059731">
                          <w:marLeft w:val="0"/>
                          <w:marRight w:val="0"/>
                          <w:marTop w:val="0"/>
                          <w:marBottom w:val="0"/>
                          <w:divBdr>
                            <w:top w:val="none" w:sz="0" w:space="0" w:color="auto"/>
                            <w:left w:val="none" w:sz="0" w:space="0" w:color="auto"/>
                            <w:bottom w:val="none" w:sz="0" w:space="0" w:color="auto"/>
                            <w:right w:val="none" w:sz="0" w:space="0" w:color="auto"/>
                          </w:divBdr>
                          <w:divsChild>
                            <w:div w:id="340358244">
                              <w:marLeft w:val="0"/>
                              <w:marRight w:val="0"/>
                              <w:marTop w:val="0"/>
                              <w:marBottom w:val="0"/>
                              <w:divBdr>
                                <w:top w:val="none" w:sz="0" w:space="0" w:color="auto"/>
                                <w:left w:val="none" w:sz="0" w:space="0" w:color="auto"/>
                                <w:bottom w:val="none" w:sz="0" w:space="0" w:color="auto"/>
                                <w:right w:val="none" w:sz="0" w:space="0" w:color="auto"/>
                              </w:divBdr>
                              <w:divsChild>
                                <w:div w:id="458841001">
                                  <w:marLeft w:val="0"/>
                                  <w:marRight w:val="0"/>
                                  <w:marTop w:val="0"/>
                                  <w:marBottom w:val="0"/>
                                  <w:divBdr>
                                    <w:top w:val="none" w:sz="0" w:space="0" w:color="auto"/>
                                    <w:left w:val="none" w:sz="0" w:space="0" w:color="auto"/>
                                    <w:bottom w:val="none" w:sz="0" w:space="0" w:color="auto"/>
                                    <w:right w:val="none" w:sz="0" w:space="0" w:color="auto"/>
                                  </w:divBdr>
                                  <w:divsChild>
                                    <w:div w:id="562568812">
                                      <w:marLeft w:val="0"/>
                                      <w:marRight w:val="0"/>
                                      <w:marTop w:val="0"/>
                                      <w:marBottom w:val="0"/>
                                      <w:divBdr>
                                        <w:top w:val="none" w:sz="0" w:space="0" w:color="auto"/>
                                        <w:left w:val="none" w:sz="0" w:space="0" w:color="auto"/>
                                        <w:bottom w:val="none" w:sz="0" w:space="0" w:color="auto"/>
                                        <w:right w:val="none" w:sz="0" w:space="0" w:color="auto"/>
                                      </w:divBdr>
                                      <w:divsChild>
                                        <w:div w:id="880555253">
                                          <w:marLeft w:val="0"/>
                                          <w:marRight w:val="0"/>
                                          <w:marTop w:val="0"/>
                                          <w:marBottom w:val="0"/>
                                          <w:divBdr>
                                            <w:top w:val="none" w:sz="0" w:space="0" w:color="auto"/>
                                            <w:left w:val="none" w:sz="0" w:space="0" w:color="auto"/>
                                            <w:bottom w:val="none" w:sz="0" w:space="0" w:color="auto"/>
                                            <w:right w:val="none" w:sz="0" w:space="0" w:color="auto"/>
                                          </w:divBdr>
                                          <w:divsChild>
                                            <w:div w:id="157117112">
                                              <w:marLeft w:val="0"/>
                                              <w:marRight w:val="0"/>
                                              <w:marTop w:val="0"/>
                                              <w:marBottom w:val="0"/>
                                              <w:divBdr>
                                                <w:top w:val="none" w:sz="0" w:space="0" w:color="auto"/>
                                                <w:left w:val="none" w:sz="0" w:space="0" w:color="auto"/>
                                                <w:bottom w:val="none" w:sz="0" w:space="0" w:color="auto"/>
                                                <w:right w:val="none" w:sz="0" w:space="0" w:color="auto"/>
                                              </w:divBdr>
                                              <w:divsChild>
                                                <w:div w:id="149129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67462182">
      <w:bodyDiv w:val="1"/>
      <w:marLeft w:val="0"/>
      <w:marRight w:val="0"/>
      <w:marTop w:val="0"/>
      <w:marBottom w:val="0"/>
      <w:divBdr>
        <w:top w:val="none" w:sz="0" w:space="0" w:color="auto"/>
        <w:left w:val="none" w:sz="0" w:space="0" w:color="auto"/>
        <w:bottom w:val="none" w:sz="0" w:space="0" w:color="auto"/>
        <w:right w:val="none" w:sz="0" w:space="0" w:color="auto"/>
      </w:divBdr>
      <w:divsChild>
        <w:div w:id="118425620">
          <w:marLeft w:val="0"/>
          <w:marRight w:val="0"/>
          <w:marTop w:val="0"/>
          <w:marBottom w:val="0"/>
          <w:divBdr>
            <w:top w:val="none" w:sz="0" w:space="0" w:color="auto"/>
            <w:left w:val="none" w:sz="0" w:space="0" w:color="auto"/>
            <w:bottom w:val="none" w:sz="0" w:space="0" w:color="auto"/>
            <w:right w:val="none" w:sz="0" w:space="0" w:color="auto"/>
          </w:divBdr>
          <w:divsChild>
            <w:div w:id="1620917689">
              <w:marLeft w:val="0"/>
              <w:marRight w:val="0"/>
              <w:marTop w:val="0"/>
              <w:marBottom w:val="0"/>
              <w:divBdr>
                <w:top w:val="none" w:sz="0" w:space="0" w:color="auto"/>
                <w:left w:val="none" w:sz="0" w:space="0" w:color="auto"/>
                <w:bottom w:val="none" w:sz="0" w:space="0" w:color="auto"/>
                <w:right w:val="none" w:sz="0" w:space="0" w:color="auto"/>
              </w:divBdr>
              <w:divsChild>
                <w:div w:id="310908835">
                  <w:marLeft w:val="0"/>
                  <w:marRight w:val="0"/>
                  <w:marTop w:val="0"/>
                  <w:marBottom w:val="0"/>
                  <w:divBdr>
                    <w:top w:val="none" w:sz="0" w:space="0" w:color="auto"/>
                    <w:left w:val="none" w:sz="0" w:space="0" w:color="auto"/>
                    <w:bottom w:val="none" w:sz="0" w:space="0" w:color="auto"/>
                    <w:right w:val="none" w:sz="0" w:space="0" w:color="auto"/>
                  </w:divBdr>
                  <w:divsChild>
                    <w:div w:id="637882461">
                      <w:marLeft w:val="0"/>
                      <w:marRight w:val="0"/>
                      <w:marTop w:val="0"/>
                      <w:marBottom w:val="0"/>
                      <w:divBdr>
                        <w:top w:val="none" w:sz="0" w:space="0" w:color="auto"/>
                        <w:left w:val="none" w:sz="0" w:space="0" w:color="auto"/>
                        <w:bottom w:val="none" w:sz="0" w:space="0" w:color="auto"/>
                        <w:right w:val="none" w:sz="0" w:space="0" w:color="auto"/>
                      </w:divBdr>
                      <w:divsChild>
                        <w:div w:id="1386561084">
                          <w:marLeft w:val="0"/>
                          <w:marRight w:val="0"/>
                          <w:marTop w:val="0"/>
                          <w:marBottom w:val="0"/>
                          <w:divBdr>
                            <w:top w:val="none" w:sz="0" w:space="0" w:color="auto"/>
                            <w:left w:val="none" w:sz="0" w:space="0" w:color="auto"/>
                            <w:bottom w:val="none" w:sz="0" w:space="0" w:color="auto"/>
                            <w:right w:val="none" w:sz="0" w:space="0" w:color="auto"/>
                          </w:divBdr>
                          <w:divsChild>
                            <w:div w:id="4979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3560464">
      <w:bodyDiv w:val="1"/>
      <w:marLeft w:val="0"/>
      <w:marRight w:val="0"/>
      <w:marTop w:val="0"/>
      <w:marBottom w:val="0"/>
      <w:divBdr>
        <w:top w:val="none" w:sz="0" w:space="0" w:color="auto"/>
        <w:left w:val="none" w:sz="0" w:space="0" w:color="auto"/>
        <w:bottom w:val="none" w:sz="0" w:space="0" w:color="auto"/>
        <w:right w:val="none" w:sz="0" w:space="0" w:color="auto"/>
      </w:divBdr>
      <w:divsChild>
        <w:div w:id="2051412863">
          <w:marLeft w:val="0"/>
          <w:marRight w:val="0"/>
          <w:marTop w:val="0"/>
          <w:marBottom w:val="0"/>
          <w:divBdr>
            <w:top w:val="none" w:sz="0" w:space="0" w:color="auto"/>
            <w:left w:val="none" w:sz="0" w:space="0" w:color="auto"/>
            <w:bottom w:val="none" w:sz="0" w:space="0" w:color="auto"/>
            <w:right w:val="none" w:sz="0" w:space="0" w:color="auto"/>
          </w:divBdr>
          <w:divsChild>
            <w:div w:id="965891772">
              <w:marLeft w:val="0"/>
              <w:marRight w:val="0"/>
              <w:marTop w:val="0"/>
              <w:marBottom w:val="0"/>
              <w:divBdr>
                <w:top w:val="none" w:sz="0" w:space="0" w:color="auto"/>
                <w:left w:val="none" w:sz="0" w:space="0" w:color="auto"/>
                <w:bottom w:val="none" w:sz="0" w:space="0" w:color="auto"/>
                <w:right w:val="none" w:sz="0" w:space="0" w:color="auto"/>
              </w:divBdr>
              <w:divsChild>
                <w:div w:id="1441411597">
                  <w:marLeft w:val="0"/>
                  <w:marRight w:val="0"/>
                  <w:marTop w:val="0"/>
                  <w:marBottom w:val="0"/>
                  <w:divBdr>
                    <w:top w:val="none" w:sz="0" w:space="0" w:color="auto"/>
                    <w:left w:val="none" w:sz="0" w:space="0" w:color="auto"/>
                    <w:bottom w:val="none" w:sz="0" w:space="0" w:color="auto"/>
                    <w:right w:val="none" w:sz="0" w:space="0" w:color="auto"/>
                  </w:divBdr>
                  <w:divsChild>
                    <w:div w:id="783034810">
                      <w:marLeft w:val="0"/>
                      <w:marRight w:val="0"/>
                      <w:marTop w:val="0"/>
                      <w:marBottom w:val="0"/>
                      <w:divBdr>
                        <w:top w:val="none" w:sz="0" w:space="0" w:color="auto"/>
                        <w:left w:val="none" w:sz="0" w:space="0" w:color="auto"/>
                        <w:bottom w:val="none" w:sz="0" w:space="0" w:color="auto"/>
                        <w:right w:val="none" w:sz="0" w:space="0" w:color="auto"/>
                      </w:divBdr>
                      <w:divsChild>
                        <w:div w:id="1274095677">
                          <w:marLeft w:val="0"/>
                          <w:marRight w:val="0"/>
                          <w:marTop w:val="0"/>
                          <w:marBottom w:val="0"/>
                          <w:divBdr>
                            <w:top w:val="none" w:sz="0" w:space="0" w:color="auto"/>
                            <w:left w:val="none" w:sz="0" w:space="0" w:color="auto"/>
                            <w:bottom w:val="none" w:sz="0" w:space="0" w:color="auto"/>
                            <w:right w:val="none" w:sz="0" w:space="0" w:color="auto"/>
                          </w:divBdr>
                          <w:divsChild>
                            <w:div w:id="151842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683344">
      <w:bodyDiv w:val="1"/>
      <w:marLeft w:val="0"/>
      <w:marRight w:val="0"/>
      <w:marTop w:val="0"/>
      <w:marBottom w:val="0"/>
      <w:divBdr>
        <w:top w:val="none" w:sz="0" w:space="0" w:color="auto"/>
        <w:left w:val="none" w:sz="0" w:space="0" w:color="auto"/>
        <w:bottom w:val="none" w:sz="0" w:space="0" w:color="auto"/>
        <w:right w:val="none" w:sz="0" w:space="0" w:color="auto"/>
      </w:divBdr>
      <w:divsChild>
        <w:div w:id="1870756737">
          <w:marLeft w:val="0"/>
          <w:marRight w:val="0"/>
          <w:marTop w:val="0"/>
          <w:marBottom w:val="0"/>
          <w:divBdr>
            <w:top w:val="none" w:sz="0" w:space="0" w:color="auto"/>
            <w:left w:val="none" w:sz="0" w:space="0" w:color="auto"/>
            <w:bottom w:val="none" w:sz="0" w:space="0" w:color="auto"/>
            <w:right w:val="none" w:sz="0" w:space="0" w:color="auto"/>
          </w:divBdr>
          <w:divsChild>
            <w:div w:id="251621407">
              <w:marLeft w:val="0"/>
              <w:marRight w:val="0"/>
              <w:marTop w:val="0"/>
              <w:marBottom w:val="0"/>
              <w:divBdr>
                <w:top w:val="none" w:sz="0" w:space="0" w:color="auto"/>
                <w:left w:val="none" w:sz="0" w:space="0" w:color="auto"/>
                <w:bottom w:val="none" w:sz="0" w:space="0" w:color="auto"/>
                <w:right w:val="none" w:sz="0" w:space="0" w:color="auto"/>
              </w:divBdr>
              <w:divsChild>
                <w:div w:id="688215733">
                  <w:marLeft w:val="0"/>
                  <w:marRight w:val="0"/>
                  <w:marTop w:val="0"/>
                  <w:marBottom w:val="0"/>
                  <w:divBdr>
                    <w:top w:val="none" w:sz="0" w:space="0" w:color="auto"/>
                    <w:left w:val="none" w:sz="0" w:space="0" w:color="auto"/>
                    <w:bottom w:val="none" w:sz="0" w:space="0" w:color="auto"/>
                    <w:right w:val="none" w:sz="0" w:space="0" w:color="auto"/>
                  </w:divBdr>
                  <w:divsChild>
                    <w:div w:id="1137603266">
                      <w:marLeft w:val="0"/>
                      <w:marRight w:val="0"/>
                      <w:marTop w:val="0"/>
                      <w:marBottom w:val="0"/>
                      <w:divBdr>
                        <w:top w:val="none" w:sz="0" w:space="0" w:color="auto"/>
                        <w:left w:val="none" w:sz="0" w:space="0" w:color="auto"/>
                        <w:bottom w:val="none" w:sz="0" w:space="0" w:color="auto"/>
                        <w:right w:val="none" w:sz="0" w:space="0" w:color="auto"/>
                      </w:divBdr>
                      <w:divsChild>
                        <w:div w:id="1895501630">
                          <w:marLeft w:val="0"/>
                          <w:marRight w:val="0"/>
                          <w:marTop w:val="0"/>
                          <w:marBottom w:val="0"/>
                          <w:divBdr>
                            <w:top w:val="none" w:sz="0" w:space="0" w:color="auto"/>
                            <w:left w:val="none" w:sz="0" w:space="0" w:color="auto"/>
                            <w:bottom w:val="none" w:sz="0" w:space="0" w:color="auto"/>
                            <w:right w:val="none" w:sz="0" w:space="0" w:color="auto"/>
                          </w:divBdr>
                          <w:divsChild>
                            <w:div w:id="35470516">
                              <w:marLeft w:val="0"/>
                              <w:marRight w:val="0"/>
                              <w:marTop w:val="0"/>
                              <w:marBottom w:val="0"/>
                              <w:divBdr>
                                <w:top w:val="none" w:sz="0" w:space="0" w:color="auto"/>
                                <w:left w:val="none" w:sz="0" w:space="0" w:color="auto"/>
                                <w:bottom w:val="none" w:sz="0" w:space="0" w:color="auto"/>
                                <w:right w:val="none" w:sz="0" w:space="0" w:color="auto"/>
                              </w:divBdr>
                              <w:divsChild>
                                <w:div w:id="117843627">
                                  <w:marLeft w:val="0"/>
                                  <w:marRight w:val="0"/>
                                  <w:marTop w:val="0"/>
                                  <w:marBottom w:val="0"/>
                                  <w:divBdr>
                                    <w:top w:val="none" w:sz="0" w:space="0" w:color="auto"/>
                                    <w:left w:val="none" w:sz="0" w:space="0" w:color="auto"/>
                                    <w:bottom w:val="none" w:sz="0" w:space="0" w:color="auto"/>
                                    <w:right w:val="none" w:sz="0" w:space="0" w:color="auto"/>
                                  </w:divBdr>
                                  <w:divsChild>
                                    <w:div w:id="495338841">
                                      <w:marLeft w:val="0"/>
                                      <w:marRight w:val="0"/>
                                      <w:marTop w:val="0"/>
                                      <w:marBottom w:val="0"/>
                                      <w:divBdr>
                                        <w:top w:val="none" w:sz="0" w:space="0" w:color="auto"/>
                                        <w:left w:val="none" w:sz="0" w:space="0" w:color="auto"/>
                                        <w:bottom w:val="none" w:sz="0" w:space="0" w:color="auto"/>
                                        <w:right w:val="none" w:sz="0" w:space="0" w:color="auto"/>
                                      </w:divBdr>
                                      <w:divsChild>
                                        <w:div w:id="856231217">
                                          <w:marLeft w:val="0"/>
                                          <w:marRight w:val="0"/>
                                          <w:marTop w:val="0"/>
                                          <w:marBottom w:val="0"/>
                                          <w:divBdr>
                                            <w:top w:val="none" w:sz="0" w:space="0" w:color="auto"/>
                                            <w:left w:val="none" w:sz="0" w:space="0" w:color="auto"/>
                                            <w:bottom w:val="none" w:sz="0" w:space="0" w:color="auto"/>
                                            <w:right w:val="none" w:sz="0" w:space="0" w:color="auto"/>
                                          </w:divBdr>
                                          <w:divsChild>
                                            <w:div w:id="742065154">
                                              <w:marLeft w:val="0"/>
                                              <w:marRight w:val="0"/>
                                              <w:marTop w:val="0"/>
                                              <w:marBottom w:val="0"/>
                                              <w:divBdr>
                                                <w:top w:val="none" w:sz="0" w:space="0" w:color="auto"/>
                                                <w:left w:val="none" w:sz="0" w:space="0" w:color="auto"/>
                                                <w:bottom w:val="none" w:sz="0" w:space="0" w:color="auto"/>
                                                <w:right w:val="none" w:sz="0" w:space="0" w:color="auto"/>
                                              </w:divBdr>
                                              <w:divsChild>
                                                <w:div w:id="387611387">
                                                  <w:marLeft w:val="0"/>
                                                  <w:marRight w:val="0"/>
                                                  <w:marTop w:val="0"/>
                                                  <w:marBottom w:val="0"/>
                                                  <w:divBdr>
                                                    <w:top w:val="none" w:sz="0" w:space="0" w:color="auto"/>
                                                    <w:left w:val="none" w:sz="0" w:space="0" w:color="auto"/>
                                                    <w:bottom w:val="none" w:sz="0" w:space="0" w:color="auto"/>
                                                    <w:right w:val="none" w:sz="0" w:space="0" w:color="auto"/>
                                                  </w:divBdr>
                                                  <w:divsChild>
                                                    <w:div w:id="1911647754">
                                                      <w:marLeft w:val="0"/>
                                                      <w:marRight w:val="0"/>
                                                      <w:marTop w:val="0"/>
                                                      <w:marBottom w:val="0"/>
                                                      <w:divBdr>
                                                        <w:top w:val="none" w:sz="0" w:space="0" w:color="auto"/>
                                                        <w:left w:val="none" w:sz="0" w:space="0" w:color="auto"/>
                                                        <w:bottom w:val="none" w:sz="0" w:space="0" w:color="auto"/>
                                                        <w:right w:val="none" w:sz="0" w:space="0" w:color="auto"/>
                                                      </w:divBdr>
                                                      <w:divsChild>
                                                        <w:div w:id="129112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725564">
                                              <w:marLeft w:val="0"/>
                                              <w:marRight w:val="0"/>
                                              <w:marTop w:val="0"/>
                                              <w:marBottom w:val="0"/>
                                              <w:divBdr>
                                                <w:top w:val="none" w:sz="0" w:space="0" w:color="auto"/>
                                                <w:left w:val="none" w:sz="0" w:space="0" w:color="auto"/>
                                                <w:bottom w:val="none" w:sz="0" w:space="0" w:color="auto"/>
                                                <w:right w:val="none" w:sz="0" w:space="0" w:color="auto"/>
                                              </w:divBdr>
                                              <w:divsChild>
                                                <w:div w:id="934675697">
                                                  <w:marLeft w:val="0"/>
                                                  <w:marRight w:val="0"/>
                                                  <w:marTop w:val="0"/>
                                                  <w:marBottom w:val="0"/>
                                                  <w:divBdr>
                                                    <w:top w:val="none" w:sz="0" w:space="0" w:color="auto"/>
                                                    <w:left w:val="none" w:sz="0" w:space="0" w:color="auto"/>
                                                    <w:bottom w:val="none" w:sz="0" w:space="0" w:color="auto"/>
                                                    <w:right w:val="none" w:sz="0" w:space="0" w:color="auto"/>
                                                  </w:divBdr>
                                                  <w:divsChild>
                                                    <w:div w:id="859396147">
                                                      <w:marLeft w:val="0"/>
                                                      <w:marRight w:val="0"/>
                                                      <w:marTop w:val="0"/>
                                                      <w:marBottom w:val="0"/>
                                                      <w:divBdr>
                                                        <w:top w:val="none" w:sz="0" w:space="0" w:color="auto"/>
                                                        <w:left w:val="none" w:sz="0" w:space="0" w:color="auto"/>
                                                        <w:bottom w:val="none" w:sz="0" w:space="0" w:color="auto"/>
                                                        <w:right w:val="none" w:sz="0" w:space="0" w:color="auto"/>
                                                      </w:divBdr>
                                                      <w:divsChild>
                                                        <w:div w:id="149614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0417410">
          <w:marLeft w:val="0"/>
          <w:marRight w:val="0"/>
          <w:marTop w:val="0"/>
          <w:marBottom w:val="0"/>
          <w:divBdr>
            <w:top w:val="none" w:sz="0" w:space="0" w:color="auto"/>
            <w:left w:val="none" w:sz="0" w:space="0" w:color="auto"/>
            <w:bottom w:val="none" w:sz="0" w:space="0" w:color="auto"/>
            <w:right w:val="none" w:sz="0" w:space="0" w:color="auto"/>
          </w:divBdr>
          <w:divsChild>
            <w:div w:id="1998608134">
              <w:marLeft w:val="0"/>
              <w:marRight w:val="0"/>
              <w:marTop w:val="0"/>
              <w:marBottom w:val="0"/>
              <w:divBdr>
                <w:top w:val="none" w:sz="0" w:space="0" w:color="auto"/>
                <w:left w:val="none" w:sz="0" w:space="0" w:color="auto"/>
                <w:bottom w:val="none" w:sz="0" w:space="0" w:color="auto"/>
                <w:right w:val="none" w:sz="0" w:space="0" w:color="auto"/>
              </w:divBdr>
              <w:divsChild>
                <w:div w:id="1238904595">
                  <w:marLeft w:val="0"/>
                  <w:marRight w:val="0"/>
                  <w:marTop w:val="0"/>
                  <w:marBottom w:val="0"/>
                  <w:divBdr>
                    <w:top w:val="none" w:sz="0" w:space="0" w:color="auto"/>
                    <w:left w:val="none" w:sz="0" w:space="0" w:color="auto"/>
                    <w:bottom w:val="none" w:sz="0" w:space="0" w:color="auto"/>
                    <w:right w:val="none" w:sz="0" w:space="0" w:color="auto"/>
                  </w:divBdr>
                  <w:divsChild>
                    <w:div w:id="353963374">
                      <w:marLeft w:val="0"/>
                      <w:marRight w:val="0"/>
                      <w:marTop w:val="0"/>
                      <w:marBottom w:val="0"/>
                      <w:divBdr>
                        <w:top w:val="none" w:sz="0" w:space="0" w:color="auto"/>
                        <w:left w:val="none" w:sz="0" w:space="0" w:color="auto"/>
                        <w:bottom w:val="none" w:sz="0" w:space="0" w:color="auto"/>
                        <w:right w:val="none" w:sz="0" w:space="0" w:color="auto"/>
                      </w:divBdr>
                      <w:divsChild>
                        <w:div w:id="27072851">
                          <w:marLeft w:val="0"/>
                          <w:marRight w:val="0"/>
                          <w:marTop w:val="0"/>
                          <w:marBottom w:val="0"/>
                          <w:divBdr>
                            <w:top w:val="none" w:sz="0" w:space="0" w:color="auto"/>
                            <w:left w:val="none" w:sz="0" w:space="0" w:color="auto"/>
                            <w:bottom w:val="none" w:sz="0" w:space="0" w:color="auto"/>
                            <w:right w:val="none" w:sz="0" w:space="0" w:color="auto"/>
                          </w:divBdr>
                          <w:divsChild>
                            <w:div w:id="2064131979">
                              <w:marLeft w:val="0"/>
                              <w:marRight w:val="0"/>
                              <w:marTop w:val="0"/>
                              <w:marBottom w:val="0"/>
                              <w:divBdr>
                                <w:top w:val="none" w:sz="0" w:space="0" w:color="auto"/>
                                <w:left w:val="none" w:sz="0" w:space="0" w:color="auto"/>
                                <w:bottom w:val="none" w:sz="0" w:space="0" w:color="auto"/>
                                <w:right w:val="none" w:sz="0" w:space="0" w:color="auto"/>
                              </w:divBdr>
                              <w:divsChild>
                                <w:div w:id="1041200937">
                                  <w:marLeft w:val="0"/>
                                  <w:marRight w:val="0"/>
                                  <w:marTop w:val="0"/>
                                  <w:marBottom w:val="0"/>
                                  <w:divBdr>
                                    <w:top w:val="none" w:sz="0" w:space="0" w:color="auto"/>
                                    <w:left w:val="none" w:sz="0" w:space="0" w:color="auto"/>
                                    <w:bottom w:val="none" w:sz="0" w:space="0" w:color="auto"/>
                                    <w:right w:val="none" w:sz="0" w:space="0" w:color="auto"/>
                                  </w:divBdr>
                                  <w:divsChild>
                                    <w:div w:id="723136380">
                                      <w:marLeft w:val="0"/>
                                      <w:marRight w:val="0"/>
                                      <w:marTop w:val="0"/>
                                      <w:marBottom w:val="0"/>
                                      <w:divBdr>
                                        <w:top w:val="none" w:sz="0" w:space="0" w:color="auto"/>
                                        <w:left w:val="none" w:sz="0" w:space="0" w:color="auto"/>
                                        <w:bottom w:val="none" w:sz="0" w:space="0" w:color="auto"/>
                                        <w:right w:val="none" w:sz="0" w:space="0" w:color="auto"/>
                                      </w:divBdr>
                                      <w:divsChild>
                                        <w:div w:id="898706253">
                                          <w:marLeft w:val="0"/>
                                          <w:marRight w:val="0"/>
                                          <w:marTop w:val="0"/>
                                          <w:marBottom w:val="0"/>
                                          <w:divBdr>
                                            <w:top w:val="none" w:sz="0" w:space="0" w:color="auto"/>
                                            <w:left w:val="none" w:sz="0" w:space="0" w:color="auto"/>
                                            <w:bottom w:val="none" w:sz="0" w:space="0" w:color="auto"/>
                                            <w:right w:val="none" w:sz="0" w:space="0" w:color="auto"/>
                                          </w:divBdr>
                                          <w:divsChild>
                                            <w:div w:id="1216623921">
                                              <w:marLeft w:val="0"/>
                                              <w:marRight w:val="0"/>
                                              <w:marTop w:val="0"/>
                                              <w:marBottom w:val="0"/>
                                              <w:divBdr>
                                                <w:top w:val="none" w:sz="0" w:space="0" w:color="auto"/>
                                                <w:left w:val="none" w:sz="0" w:space="0" w:color="auto"/>
                                                <w:bottom w:val="none" w:sz="0" w:space="0" w:color="auto"/>
                                                <w:right w:val="none" w:sz="0" w:space="0" w:color="auto"/>
                                              </w:divBdr>
                                              <w:divsChild>
                                                <w:div w:id="66204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84194003">
      <w:bodyDiv w:val="1"/>
      <w:marLeft w:val="0"/>
      <w:marRight w:val="0"/>
      <w:marTop w:val="0"/>
      <w:marBottom w:val="0"/>
      <w:divBdr>
        <w:top w:val="none" w:sz="0" w:space="0" w:color="auto"/>
        <w:left w:val="none" w:sz="0" w:space="0" w:color="auto"/>
        <w:bottom w:val="none" w:sz="0" w:space="0" w:color="auto"/>
        <w:right w:val="none" w:sz="0" w:space="0" w:color="auto"/>
      </w:divBdr>
      <w:divsChild>
        <w:div w:id="1009259237">
          <w:marLeft w:val="0"/>
          <w:marRight w:val="0"/>
          <w:marTop w:val="0"/>
          <w:marBottom w:val="0"/>
          <w:divBdr>
            <w:top w:val="none" w:sz="0" w:space="0" w:color="auto"/>
            <w:left w:val="none" w:sz="0" w:space="0" w:color="auto"/>
            <w:bottom w:val="none" w:sz="0" w:space="0" w:color="auto"/>
            <w:right w:val="none" w:sz="0" w:space="0" w:color="auto"/>
          </w:divBdr>
          <w:divsChild>
            <w:div w:id="2023386031">
              <w:marLeft w:val="0"/>
              <w:marRight w:val="0"/>
              <w:marTop w:val="0"/>
              <w:marBottom w:val="0"/>
              <w:divBdr>
                <w:top w:val="none" w:sz="0" w:space="0" w:color="auto"/>
                <w:left w:val="none" w:sz="0" w:space="0" w:color="auto"/>
                <w:bottom w:val="none" w:sz="0" w:space="0" w:color="auto"/>
                <w:right w:val="none" w:sz="0" w:space="0" w:color="auto"/>
              </w:divBdr>
              <w:divsChild>
                <w:div w:id="1129663716">
                  <w:marLeft w:val="0"/>
                  <w:marRight w:val="0"/>
                  <w:marTop w:val="0"/>
                  <w:marBottom w:val="0"/>
                  <w:divBdr>
                    <w:top w:val="none" w:sz="0" w:space="0" w:color="auto"/>
                    <w:left w:val="none" w:sz="0" w:space="0" w:color="auto"/>
                    <w:bottom w:val="none" w:sz="0" w:space="0" w:color="auto"/>
                    <w:right w:val="none" w:sz="0" w:space="0" w:color="auto"/>
                  </w:divBdr>
                  <w:divsChild>
                    <w:div w:id="1242791806">
                      <w:marLeft w:val="0"/>
                      <w:marRight w:val="0"/>
                      <w:marTop w:val="0"/>
                      <w:marBottom w:val="0"/>
                      <w:divBdr>
                        <w:top w:val="none" w:sz="0" w:space="0" w:color="auto"/>
                        <w:left w:val="none" w:sz="0" w:space="0" w:color="auto"/>
                        <w:bottom w:val="none" w:sz="0" w:space="0" w:color="auto"/>
                        <w:right w:val="none" w:sz="0" w:space="0" w:color="auto"/>
                      </w:divBdr>
                      <w:divsChild>
                        <w:div w:id="2014871366">
                          <w:marLeft w:val="0"/>
                          <w:marRight w:val="0"/>
                          <w:marTop w:val="0"/>
                          <w:marBottom w:val="0"/>
                          <w:divBdr>
                            <w:top w:val="none" w:sz="0" w:space="0" w:color="auto"/>
                            <w:left w:val="none" w:sz="0" w:space="0" w:color="auto"/>
                            <w:bottom w:val="none" w:sz="0" w:space="0" w:color="auto"/>
                            <w:right w:val="none" w:sz="0" w:space="0" w:color="auto"/>
                          </w:divBdr>
                          <w:divsChild>
                            <w:div w:id="209381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9387766">
      <w:bodyDiv w:val="1"/>
      <w:marLeft w:val="0"/>
      <w:marRight w:val="0"/>
      <w:marTop w:val="0"/>
      <w:marBottom w:val="0"/>
      <w:divBdr>
        <w:top w:val="none" w:sz="0" w:space="0" w:color="auto"/>
        <w:left w:val="none" w:sz="0" w:space="0" w:color="auto"/>
        <w:bottom w:val="none" w:sz="0" w:space="0" w:color="auto"/>
        <w:right w:val="none" w:sz="0" w:space="0" w:color="auto"/>
      </w:divBdr>
      <w:divsChild>
        <w:div w:id="1882746058">
          <w:marLeft w:val="0"/>
          <w:marRight w:val="0"/>
          <w:marTop w:val="0"/>
          <w:marBottom w:val="0"/>
          <w:divBdr>
            <w:top w:val="none" w:sz="0" w:space="0" w:color="auto"/>
            <w:left w:val="none" w:sz="0" w:space="0" w:color="auto"/>
            <w:bottom w:val="none" w:sz="0" w:space="0" w:color="auto"/>
            <w:right w:val="none" w:sz="0" w:space="0" w:color="auto"/>
          </w:divBdr>
          <w:divsChild>
            <w:div w:id="511144414">
              <w:marLeft w:val="0"/>
              <w:marRight w:val="0"/>
              <w:marTop w:val="0"/>
              <w:marBottom w:val="0"/>
              <w:divBdr>
                <w:top w:val="none" w:sz="0" w:space="0" w:color="auto"/>
                <w:left w:val="none" w:sz="0" w:space="0" w:color="auto"/>
                <w:bottom w:val="none" w:sz="0" w:space="0" w:color="auto"/>
                <w:right w:val="none" w:sz="0" w:space="0" w:color="auto"/>
              </w:divBdr>
              <w:divsChild>
                <w:div w:id="270163855">
                  <w:marLeft w:val="0"/>
                  <w:marRight w:val="0"/>
                  <w:marTop w:val="0"/>
                  <w:marBottom w:val="0"/>
                  <w:divBdr>
                    <w:top w:val="none" w:sz="0" w:space="0" w:color="auto"/>
                    <w:left w:val="none" w:sz="0" w:space="0" w:color="auto"/>
                    <w:bottom w:val="none" w:sz="0" w:space="0" w:color="auto"/>
                    <w:right w:val="none" w:sz="0" w:space="0" w:color="auto"/>
                  </w:divBdr>
                  <w:divsChild>
                    <w:div w:id="1095977823">
                      <w:marLeft w:val="0"/>
                      <w:marRight w:val="0"/>
                      <w:marTop w:val="0"/>
                      <w:marBottom w:val="0"/>
                      <w:divBdr>
                        <w:top w:val="none" w:sz="0" w:space="0" w:color="auto"/>
                        <w:left w:val="none" w:sz="0" w:space="0" w:color="auto"/>
                        <w:bottom w:val="none" w:sz="0" w:space="0" w:color="auto"/>
                        <w:right w:val="none" w:sz="0" w:space="0" w:color="auto"/>
                      </w:divBdr>
                      <w:divsChild>
                        <w:div w:id="173061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53695">
          <w:marLeft w:val="0"/>
          <w:marRight w:val="0"/>
          <w:marTop w:val="0"/>
          <w:marBottom w:val="0"/>
          <w:divBdr>
            <w:top w:val="none" w:sz="0" w:space="0" w:color="auto"/>
            <w:left w:val="none" w:sz="0" w:space="0" w:color="auto"/>
            <w:bottom w:val="none" w:sz="0" w:space="0" w:color="auto"/>
            <w:right w:val="none" w:sz="0" w:space="0" w:color="auto"/>
          </w:divBdr>
          <w:divsChild>
            <w:div w:id="1590233499">
              <w:marLeft w:val="0"/>
              <w:marRight w:val="0"/>
              <w:marTop w:val="0"/>
              <w:marBottom w:val="0"/>
              <w:divBdr>
                <w:top w:val="none" w:sz="0" w:space="0" w:color="auto"/>
                <w:left w:val="none" w:sz="0" w:space="0" w:color="auto"/>
                <w:bottom w:val="none" w:sz="0" w:space="0" w:color="auto"/>
                <w:right w:val="none" w:sz="0" w:space="0" w:color="auto"/>
              </w:divBdr>
              <w:divsChild>
                <w:div w:id="1697195623">
                  <w:marLeft w:val="0"/>
                  <w:marRight w:val="0"/>
                  <w:marTop w:val="0"/>
                  <w:marBottom w:val="0"/>
                  <w:divBdr>
                    <w:top w:val="none" w:sz="0" w:space="0" w:color="auto"/>
                    <w:left w:val="none" w:sz="0" w:space="0" w:color="auto"/>
                    <w:bottom w:val="none" w:sz="0" w:space="0" w:color="auto"/>
                    <w:right w:val="none" w:sz="0" w:space="0" w:color="auto"/>
                  </w:divBdr>
                  <w:divsChild>
                    <w:div w:id="508449140">
                      <w:marLeft w:val="0"/>
                      <w:marRight w:val="0"/>
                      <w:marTop w:val="0"/>
                      <w:marBottom w:val="0"/>
                      <w:divBdr>
                        <w:top w:val="none" w:sz="0" w:space="0" w:color="auto"/>
                        <w:left w:val="none" w:sz="0" w:space="0" w:color="auto"/>
                        <w:bottom w:val="none" w:sz="0" w:space="0" w:color="auto"/>
                        <w:right w:val="none" w:sz="0" w:space="0" w:color="auto"/>
                      </w:divBdr>
                      <w:divsChild>
                        <w:div w:id="1554392424">
                          <w:marLeft w:val="0"/>
                          <w:marRight w:val="0"/>
                          <w:marTop w:val="0"/>
                          <w:marBottom w:val="0"/>
                          <w:divBdr>
                            <w:top w:val="none" w:sz="0" w:space="0" w:color="auto"/>
                            <w:left w:val="none" w:sz="0" w:space="0" w:color="auto"/>
                            <w:bottom w:val="none" w:sz="0" w:space="0" w:color="auto"/>
                            <w:right w:val="none" w:sz="0" w:space="0" w:color="auto"/>
                          </w:divBdr>
                          <w:divsChild>
                            <w:div w:id="46362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6001553">
      <w:bodyDiv w:val="1"/>
      <w:marLeft w:val="0"/>
      <w:marRight w:val="0"/>
      <w:marTop w:val="0"/>
      <w:marBottom w:val="0"/>
      <w:divBdr>
        <w:top w:val="none" w:sz="0" w:space="0" w:color="auto"/>
        <w:left w:val="none" w:sz="0" w:space="0" w:color="auto"/>
        <w:bottom w:val="none" w:sz="0" w:space="0" w:color="auto"/>
        <w:right w:val="none" w:sz="0" w:space="0" w:color="auto"/>
      </w:divBdr>
    </w:div>
    <w:div w:id="2110195401">
      <w:bodyDiv w:val="1"/>
      <w:marLeft w:val="0"/>
      <w:marRight w:val="0"/>
      <w:marTop w:val="0"/>
      <w:marBottom w:val="0"/>
      <w:divBdr>
        <w:top w:val="none" w:sz="0" w:space="0" w:color="auto"/>
        <w:left w:val="none" w:sz="0" w:space="0" w:color="auto"/>
        <w:bottom w:val="none" w:sz="0" w:space="0" w:color="auto"/>
        <w:right w:val="none" w:sz="0" w:space="0" w:color="auto"/>
      </w:divBdr>
      <w:divsChild>
        <w:div w:id="1027560157">
          <w:marLeft w:val="0"/>
          <w:marRight w:val="0"/>
          <w:marTop w:val="0"/>
          <w:marBottom w:val="0"/>
          <w:divBdr>
            <w:top w:val="none" w:sz="0" w:space="0" w:color="auto"/>
            <w:left w:val="none" w:sz="0" w:space="0" w:color="auto"/>
            <w:bottom w:val="none" w:sz="0" w:space="0" w:color="auto"/>
            <w:right w:val="none" w:sz="0" w:space="0" w:color="auto"/>
          </w:divBdr>
          <w:divsChild>
            <w:div w:id="948045839">
              <w:marLeft w:val="0"/>
              <w:marRight w:val="0"/>
              <w:marTop w:val="0"/>
              <w:marBottom w:val="0"/>
              <w:divBdr>
                <w:top w:val="none" w:sz="0" w:space="0" w:color="auto"/>
                <w:left w:val="none" w:sz="0" w:space="0" w:color="auto"/>
                <w:bottom w:val="none" w:sz="0" w:space="0" w:color="auto"/>
                <w:right w:val="none" w:sz="0" w:space="0" w:color="auto"/>
              </w:divBdr>
              <w:divsChild>
                <w:div w:id="1148478793">
                  <w:marLeft w:val="0"/>
                  <w:marRight w:val="0"/>
                  <w:marTop w:val="0"/>
                  <w:marBottom w:val="0"/>
                  <w:divBdr>
                    <w:top w:val="none" w:sz="0" w:space="0" w:color="auto"/>
                    <w:left w:val="none" w:sz="0" w:space="0" w:color="auto"/>
                    <w:bottom w:val="none" w:sz="0" w:space="0" w:color="auto"/>
                    <w:right w:val="none" w:sz="0" w:space="0" w:color="auto"/>
                  </w:divBdr>
                  <w:divsChild>
                    <w:div w:id="108863702">
                      <w:marLeft w:val="0"/>
                      <w:marRight w:val="0"/>
                      <w:marTop w:val="0"/>
                      <w:marBottom w:val="0"/>
                      <w:divBdr>
                        <w:top w:val="none" w:sz="0" w:space="0" w:color="auto"/>
                        <w:left w:val="none" w:sz="0" w:space="0" w:color="auto"/>
                        <w:bottom w:val="none" w:sz="0" w:space="0" w:color="auto"/>
                        <w:right w:val="none" w:sz="0" w:space="0" w:color="auto"/>
                      </w:divBdr>
                      <w:divsChild>
                        <w:div w:id="1629165276">
                          <w:marLeft w:val="0"/>
                          <w:marRight w:val="0"/>
                          <w:marTop w:val="0"/>
                          <w:marBottom w:val="0"/>
                          <w:divBdr>
                            <w:top w:val="none" w:sz="0" w:space="0" w:color="auto"/>
                            <w:left w:val="none" w:sz="0" w:space="0" w:color="auto"/>
                            <w:bottom w:val="none" w:sz="0" w:space="0" w:color="auto"/>
                            <w:right w:val="none" w:sz="0" w:space="0" w:color="auto"/>
                          </w:divBdr>
                          <w:divsChild>
                            <w:div w:id="34066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4421389">
      <w:bodyDiv w:val="1"/>
      <w:marLeft w:val="0"/>
      <w:marRight w:val="0"/>
      <w:marTop w:val="0"/>
      <w:marBottom w:val="0"/>
      <w:divBdr>
        <w:top w:val="none" w:sz="0" w:space="0" w:color="auto"/>
        <w:left w:val="none" w:sz="0" w:space="0" w:color="auto"/>
        <w:bottom w:val="none" w:sz="0" w:space="0" w:color="auto"/>
        <w:right w:val="none" w:sz="0" w:space="0" w:color="auto"/>
      </w:divBdr>
      <w:divsChild>
        <w:div w:id="964965219">
          <w:marLeft w:val="0"/>
          <w:marRight w:val="0"/>
          <w:marTop w:val="0"/>
          <w:marBottom w:val="0"/>
          <w:divBdr>
            <w:top w:val="none" w:sz="0" w:space="0" w:color="auto"/>
            <w:left w:val="none" w:sz="0" w:space="0" w:color="auto"/>
            <w:bottom w:val="none" w:sz="0" w:space="0" w:color="auto"/>
            <w:right w:val="none" w:sz="0" w:space="0" w:color="auto"/>
          </w:divBdr>
          <w:divsChild>
            <w:div w:id="1481458030">
              <w:marLeft w:val="0"/>
              <w:marRight w:val="0"/>
              <w:marTop w:val="0"/>
              <w:marBottom w:val="0"/>
              <w:divBdr>
                <w:top w:val="none" w:sz="0" w:space="0" w:color="auto"/>
                <w:left w:val="none" w:sz="0" w:space="0" w:color="auto"/>
                <w:bottom w:val="none" w:sz="0" w:space="0" w:color="auto"/>
                <w:right w:val="none" w:sz="0" w:space="0" w:color="auto"/>
              </w:divBdr>
              <w:divsChild>
                <w:div w:id="336807159">
                  <w:marLeft w:val="0"/>
                  <w:marRight w:val="0"/>
                  <w:marTop w:val="0"/>
                  <w:marBottom w:val="0"/>
                  <w:divBdr>
                    <w:top w:val="none" w:sz="0" w:space="0" w:color="auto"/>
                    <w:left w:val="none" w:sz="0" w:space="0" w:color="auto"/>
                    <w:bottom w:val="none" w:sz="0" w:space="0" w:color="auto"/>
                    <w:right w:val="none" w:sz="0" w:space="0" w:color="auto"/>
                  </w:divBdr>
                  <w:divsChild>
                    <w:div w:id="131899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nlinelibrary.wiley.com/action/showCitFormats?doi=10.1111%2F1475-5890.12232" TargetMode="External"/><Relationship Id="rId21" Type="http://schemas.openxmlformats.org/officeDocument/2006/relationships/hyperlink" Target="https://doi.org/10.1080/00221546.2018.1512803" TargetMode="External"/><Relationship Id="rId42" Type="http://schemas.openxmlformats.org/officeDocument/2006/relationships/hyperlink" Target="https://www.equalityhumanrights.com/equality/equality-act-2010/protected-characteristics" TargetMode="External"/><Relationship Id="rId47" Type="http://schemas.openxmlformats.org/officeDocument/2006/relationships/hyperlink" Target="https://doi.org/10.1007/s41649-020-00151-1" TargetMode="External"/><Relationship Id="rId63" Type="http://schemas.openxmlformats.org/officeDocument/2006/relationships/hyperlink" Target="https://doi.org/10.1177/0261018320986793" TargetMode="External"/><Relationship Id="rId68" Type="http://schemas.openxmlformats.org/officeDocument/2006/relationships/hyperlink" Target="https://www.ons.gov.uk/peoplepopulationandcommunity/birthsdeathsandmarriages/families/methodologies/theginicoefficient" TargetMode="External"/><Relationship Id="rId84" Type="http://schemas.openxmlformats.org/officeDocument/2006/relationships/hyperlink" Target="https://www.legislation.gov.uk/ukpga/2020/7/contents" TargetMode="External"/><Relationship Id="rId89" Type="http://schemas.openxmlformats.org/officeDocument/2006/relationships/hyperlink" Target="https://www.un.org/sustainabledevelopment/inequality/" TargetMode="External"/><Relationship Id="rId16" Type="http://schemas.openxmlformats.org/officeDocument/2006/relationships/hyperlink" Target="https://doi.org/10.1111/1475-5890.12242" TargetMode="External"/><Relationship Id="rId11" Type="http://schemas.openxmlformats.org/officeDocument/2006/relationships/hyperlink" Target="file:////search%3fcontributorName=Boike%20Rehbein&amp;contributorRole=author&amp;redirectFromPDP=true&amp;context=ubx" TargetMode="External"/><Relationship Id="rId32" Type="http://schemas.openxmlformats.org/officeDocument/2006/relationships/hyperlink" Target="https://doi.org/10.1145/3411764.3445263" TargetMode="External"/><Relationship Id="rId37" Type="http://schemas.openxmlformats.org/officeDocument/2006/relationships/hyperlink" Target="https://www.equalityhumanrights.com/equality/equality-act-2010/your-rights-under-equality-act-2010/disability-discrimination" TargetMode="External"/><Relationship Id="rId53" Type="http://schemas.openxmlformats.org/officeDocument/2006/relationships/hyperlink" Target="https://ssrn.com/abstract=2890712" TargetMode="External"/><Relationship Id="rId58" Type="http://schemas.openxmlformats.org/officeDocument/2006/relationships/hyperlink" Target="file:////search%3fcontributorName=Boike%20Rehbein&amp;contributorRole=author&amp;redirectFromPDP=true&amp;context=ubx" TargetMode="External"/><Relationship Id="rId74" Type="http://schemas.openxmlformats.org/officeDocument/2006/relationships/hyperlink" Target="https://www.legislation.gov.uk/ukpga/1976/74/enacted" TargetMode="External"/><Relationship Id="rId79" Type="http://schemas.openxmlformats.org/officeDocument/2006/relationships/hyperlink" Target="https://assets.publishing.service.gov.uk/media/5a806f1e40f0b623026937c1/Social_Mobility_Index.pdf" TargetMode="External"/><Relationship Id="rId5" Type="http://schemas.openxmlformats.org/officeDocument/2006/relationships/webSettings" Target="webSettings.xml"/><Relationship Id="rId90" Type="http://schemas.openxmlformats.org/officeDocument/2006/relationships/hyperlink" Target="https://www.un.org/en/un75/inequality-bridging-divide" TargetMode="External"/><Relationship Id="rId95" Type="http://schemas.openxmlformats.org/officeDocument/2006/relationships/hyperlink" Target="https://doi.org/10.1177/0734371X221149164" TargetMode="External"/><Relationship Id="rId22" Type="http://schemas.openxmlformats.org/officeDocument/2006/relationships/hyperlink" Target="https://doi.org/10.1080/01425692.2011.559337" TargetMode="External"/><Relationship Id="rId27" Type="http://schemas.openxmlformats.org/officeDocument/2006/relationships/hyperlink" Target="https://doi.org/10.1111/1475-5890.12232" TargetMode="External"/><Relationship Id="rId43" Type="http://schemas.openxmlformats.org/officeDocument/2006/relationships/hyperlink" Target="https://doi.org/10.1108/978-1-80382-219-820241002" TargetMode="External"/><Relationship Id="rId48" Type="http://schemas.openxmlformats.org/officeDocument/2006/relationships/hyperlink" Target="https://www.epi.org/publication/education-inequalities-at-the-school-starting-gate/" TargetMode="External"/><Relationship Id="rId64" Type="http://schemas.openxmlformats.org/officeDocument/2006/relationships/hyperlink" Target="https://www.tandfonline.com/doi/abs/10.1080/1600910X.2018.1549999?casa_token=JkPuiAaptAAAAAA:fT3JF1CLMRRm0yThj1ur2I7J3I9TrMQ4SAN7mk74cHBmYH_UFeRTykUPzC0f3VqtcLWbmLrjQco" TargetMode="External"/><Relationship Id="rId69" Type="http://schemas.openxmlformats.org/officeDocument/2006/relationships/hyperlink" Target="https://www.ohchr.org/sites/default/files/documents/issues/development/emd/session7/A_HRC_EMRTD_7_CRP.4.pdf" TargetMode="External"/><Relationship Id="rId80" Type="http://schemas.openxmlformats.org/officeDocument/2006/relationships/hyperlink" Target="https://www.gov.uk/government/publications/social-mobility-index/overview-the-social-mobility-index" TargetMode="External"/><Relationship Id="rId85" Type="http://schemas.openxmlformats.org/officeDocument/2006/relationships/hyperlink" Target="https://www.legislation.gov.uk/ukpga/2010/15/part/2" TargetMode="External"/><Relationship Id="rId3" Type="http://schemas.openxmlformats.org/officeDocument/2006/relationships/styles" Target="styles.xml"/><Relationship Id="rId12" Type="http://schemas.openxmlformats.org/officeDocument/2006/relationships/hyperlink" Target="file:////search%3fcontributorName=Boike%20Rehbein&amp;contributorRole=author&amp;redirectFromPDP=true&amp;context=ubx" TargetMode="External"/><Relationship Id="rId17" Type="http://schemas.openxmlformats.org/officeDocument/2006/relationships/hyperlink" Target="https://doi.org/10.1177/0308518X19873673" TargetMode="External"/><Relationship Id="rId25" Type="http://schemas.openxmlformats.org/officeDocument/2006/relationships/hyperlink" Target="https://www.bbc.co.uk/news/blogs-magazine-monitor-31847943" TargetMode="External"/><Relationship Id="rId33" Type="http://schemas.openxmlformats.org/officeDocument/2006/relationships/hyperlink" Target="https://www.un.org/development/desa/dspd/wp-content/uploads/sites/22/2020/02/World-Social-Report2020-FullReport.pdf" TargetMode="External"/><Relationship Id="rId38" Type="http://schemas.openxmlformats.org/officeDocument/2006/relationships/hyperlink" Target="https://www.equalityhumanrights.com/equality/equality-act-2010/your-rights-under-equality-act-2010/race-discrimination" TargetMode="External"/><Relationship Id="rId46" Type="http://schemas.openxmlformats.org/officeDocument/2006/relationships/hyperlink" Target="https://doi.org/10.1093/sf/soz170" TargetMode="External"/><Relationship Id="rId59" Type="http://schemas.openxmlformats.org/officeDocument/2006/relationships/hyperlink" Target="https://www.jrf.org.uk/narrative-change/changing-the-narrative-on-wealth-inequality" TargetMode="External"/><Relationship Id="rId67" Type="http://schemas.openxmlformats.org/officeDocument/2006/relationships/hyperlink" Target="https://doi.org/10.1007/s10887-023-09234-8" TargetMode="External"/><Relationship Id="rId20" Type="http://schemas.openxmlformats.org/officeDocument/2006/relationships/hyperlink" Target="https://doi.org/10.1177/0170840618792596" TargetMode="External"/><Relationship Id="rId41" Type="http://schemas.openxmlformats.org/officeDocument/2006/relationships/hyperlink" Target="https://www.equalityhumanrights.com/equality/equality-act-2010/your-rights-under-equality-act-2010/religion-or-belief-discrimination" TargetMode="External"/><Relationship Id="rId54" Type="http://schemas.openxmlformats.org/officeDocument/2006/relationships/hyperlink" Target="https://doi.org/10.1177/00221465211032947" TargetMode="External"/><Relationship Id="rId62" Type="http://schemas.openxmlformats.org/officeDocument/2006/relationships/hyperlink" Target="https://doi.org/10.1192/bjp.bp.111.097790" TargetMode="External"/><Relationship Id="rId70" Type="http://schemas.openxmlformats.org/officeDocument/2006/relationships/hyperlink" Target="https://www.researchgate.net/profile/Felix-Ofori/publication/350441381_Reflecting_on_the_Impact_of_Covid-19_Pandemic_on_Businesses_Minority_Groups_and_Their_Implications_for_Socio-Economic_Wellbeing_in_Britain/links/605f7523299bf17367729c7b/Reflecting-on-the-Impact-of-Covid-19-Pandemic-on-Businesses-Minority-Groups-and-Their-Implications-for-Socio-Economic-Wellbeing-in-Britain.pdf" TargetMode="External"/><Relationship Id="rId75" Type="http://schemas.openxmlformats.org/officeDocument/2006/relationships/hyperlink" Target="https://doi.org/10.3390/su13095023" TargetMode="External"/><Relationship Id="rId83" Type="http://schemas.openxmlformats.org/officeDocument/2006/relationships/hyperlink" Target="https://doi.org/10.1080/14719037.2019.1619813" TargetMode="External"/><Relationship Id="rId88" Type="http://schemas.openxmlformats.org/officeDocument/2006/relationships/hyperlink" Target="https://doi.org/10.3390/socsci7070111" TargetMode="External"/><Relationship Id="rId91" Type="http://schemas.openxmlformats.org/officeDocument/2006/relationships/hyperlink" Target="https://hdr.undp.org/data-center/thematic-composite-indices/gender-inequality-index" TargetMode="External"/><Relationship Id="rId96" Type="http://schemas.openxmlformats.org/officeDocument/2006/relationships/hyperlink" Target="https://doi.org/10.1177/0734371X1988057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onlinelibrary.wiley.com/action/showCitFormats?doi=10.1111%2F1475-5890.12242" TargetMode="External"/><Relationship Id="rId23" Type="http://schemas.openxmlformats.org/officeDocument/2006/relationships/hyperlink" Target="https://jech.bmj.com/content/74/11/964" TargetMode="External"/><Relationship Id="rId28" Type="http://schemas.openxmlformats.org/officeDocument/2006/relationships/hyperlink" Target="https://www.sciencedirect.com/science/article/pii/S0014292121002257" TargetMode="External"/><Relationship Id="rId36" Type="http://schemas.openxmlformats.org/officeDocument/2006/relationships/hyperlink" Target="https://www.equalityhumanrights.com/equality/equality-act-2010/your-rights-under-equality-act-2010/sexual-orientation-discrimination" TargetMode="External"/><Relationship Id="rId49" Type="http://schemas.openxmlformats.org/officeDocument/2006/relationships/hyperlink" Target="file:///Users/jessicarowe/Desktop/Masters%20Level%207/Garden,%20R.%20(2021" TargetMode="External"/><Relationship Id="rId57" Type="http://schemas.openxmlformats.org/officeDocument/2006/relationships/hyperlink" Target="https://www.law.virginia.edu/sites/default/files/documents/school-funding-opportunity-gaps-aug24.pdf" TargetMode="External"/><Relationship Id="rId10" Type="http://schemas.openxmlformats.org/officeDocument/2006/relationships/image" Target="media/image1.png"/><Relationship Id="rId31" Type="http://schemas.openxmlformats.org/officeDocument/2006/relationships/hyperlink" Target="https://doi.org/10.2307/2085643" TargetMode="External"/><Relationship Id="rId44" Type="http://schemas.openxmlformats.org/officeDocument/2006/relationships/hyperlink" Target="https://ifs.org.uk/inequality/wp-content/uploads/2022/08/Education-inequalities.pdf" TargetMode="External"/><Relationship Id="rId52" Type="http://schemas.openxmlformats.org/officeDocument/2006/relationships/hyperlink" Target="https://shura.shu.ac.uk/29300/1/local-government-responses-to-COVID.pdf" TargetMode="External"/><Relationship Id="rId60" Type="http://schemas.openxmlformats.org/officeDocument/2006/relationships/hyperlink" Target="https://doi.org/10.1093/esr/jcac049" TargetMode="External"/><Relationship Id="rId65" Type="http://schemas.openxmlformats.org/officeDocument/2006/relationships/hyperlink" Target="https://maternityaction.org.uk/advice/pregnancy-discrimination/" TargetMode="External"/><Relationship Id="rId73" Type="http://schemas.openxmlformats.org/officeDocument/2006/relationships/hyperlink" Target="https://doi.org/10.1177/0972063421994982" TargetMode="External"/><Relationship Id="rId78" Type="http://schemas.openxmlformats.org/officeDocument/2006/relationships/hyperlink" Target="https://www.legislation.gov.uk/ukpga/1975/65/enacted" TargetMode="External"/><Relationship Id="rId81" Type="http://schemas.openxmlformats.org/officeDocument/2006/relationships/hyperlink" Target="https://www.sciencedirect.com/science/article/pii/S266732152200138X" TargetMode="External"/><Relationship Id="rId86" Type="http://schemas.openxmlformats.org/officeDocument/2006/relationships/hyperlink" Target="https://www.who.int/data/nutrition/nlis/info/gender-inequality-index-(gii)" TargetMode="External"/><Relationship Id="rId94" Type="http://schemas.openxmlformats.org/officeDocument/2006/relationships/hyperlink" Target="https://worldpopulationreview.com/country-rankings/gini-coefficient-by-country"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search%3fcontributorName=Boike%20Rehbein&amp;contributorRole=author&amp;redirectFromPDP=true&amp;context=ubx" TargetMode="External"/><Relationship Id="rId13" Type="http://schemas.openxmlformats.org/officeDocument/2006/relationships/hyperlink" Target="https://www.ifs.org.uk/publications/14786" TargetMode="External"/><Relationship Id="rId18" Type="http://schemas.openxmlformats.org/officeDocument/2006/relationships/hyperlink" Target="https://www.ageuk.org.uk/information-advice/work-learning/discrimination-rights/the-equality-act/" TargetMode="External"/><Relationship Id="rId39" Type="http://schemas.openxmlformats.org/officeDocument/2006/relationships/hyperlink" Target="https://www.equalityhumanrights.com/equality/equality-act-2010/your-rights-under-equality-act-2010/gender-reassignment-discrimination" TargetMode="External"/><Relationship Id="rId34" Type="http://schemas.openxmlformats.org/officeDocument/2006/relationships/hyperlink" Target="https://www.gov.uk/government/publications/coronavirus-bill-summary-of-impacts/coronavirus-bill-summary-of-impacts" TargetMode="External"/><Relationship Id="rId50" Type="http://schemas.openxmlformats.org/officeDocument/2006/relationships/hyperlink" Target="https://www.diva-portal.org/smash/get/diva2:1268845/FULLTEXT01.pdf" TargetMode="External"/><Relationship Id="rId55" Type="http://schemas.openxmlformats.org/officeDocument/2006/relationships/hyperlink" Target="https://doi.org/10.1016/j.amepre.2020.11.016" TargetMode="External"/><Relationship Id="rId76" Type="http://schemas.openxmlformats.org/officeDocument/2006/relationships/hyperlink" Target="https://doi.org/10.1093/oso/9780192865243.001.0001" TargetMode="External"/><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sciencedirect.com/science/article/pii/S0883035521001907?casa_token=3gulKT_3eZIAAAAA:wfJECNdn9g5YQ0ocW9eVbQsMf95l9uMEvcHddtzRqm5rj11hNoL6CfAmnWG6L2sdz1kwUBbkZg" TargetMode="External"/><Relationship Id="rId92" Type="http://schemas.openxmlformats.org/officeDocument/2006/relationships/hyperlink" Target="https://www.un.org/en/un-coronavirus-communications-team/un-working-ensure-vulnerable-groups-not-left-behind-covid-19" TargetMode="External"/><Relationship Id="rId2" Type="http://schemas.openxmlformats.org/officeDocument/2006/relationships/numbering" Target="numbering.xml"/><Relationship Id="rId29" Type="http://schemas.openxmlformats.org/officeDocument/2006/relationships/hyperlink" Target="https://commonslibrary.parliament.uk/research-briefings/cbp-8875/" TargetMode="External"/><Relationship Id="rId24" Type="http://schemas.openxmlformats.org/officeDocument/2006/relationships/hyperlink" Target="https://www.bbc.co.uk/news/uk-22007058" TargetMode="External"/><Relationship Id="rId40" Type="http://schemas.openxmlformats.org/officeDocument/2006/relationships/hyperlink" Target="https://www.equalityhumanrights.com/equality/equality-act-2010/your-rights-under-equality-act-2010/marriage-and-civil-partnership" TargetMode="External"/><Relationship Id="rId45" Type="http://schemas.openxmlformats.org/officeDocument/2006/relationships/hyperlink" Target="https://doi.org/10.1080/23311886.2015.1123085" TargetMode="External"/><Relationship Id="rId66" Type="http://schemas.openxmlformats.org/officeDocument/2006/relationships/hyperlink" Target="https://sticerd.lse.ac.uk/dps/case/cp/casepaper216.pdf" TargetMode="External"/><Relationship Id="rId87" Type="http://schemas.openxmlformats.org/officeDocument/2006/relationships/hyperlink" Target="https://wir2022.wid.world/www-site/uploads/2021/12/WorldInequalityReport2022_Full_Report.pdf" TargetMode="External"/><Relationship Id="rId61" Type="http://schemas.openxmlformats.org/officeDocument/2006/relationships/hyperlink" Target="https://www.researchgate.net/publication/333102148_Inequality" TargetMode="External"/><Relationship Id="rId82" Type="http://schemas.openxmlformats.org/officeDocument/2006/relationships/hyperlink" Target="https://heinonline.org/HOL/LandingPage?handle=hein.journals/ilsaic27&amp;div=17&amp;id=&amp;pag=" TargetMode="External"/><Relationship Id="rId19" Type="http://schemas.openxmlformats.org/officeDocument/2006/relationships/hyperlink" Target="https://www.sciencedirect.com/science/article/pii/S0277953622006256" TargetMode="External"/><Relationship Id="rId14" Type="http://schemas.openxmlformats.org/officeDocument/2006/relationships/hyperlink" Target="https://filecloud.socsci.ox.ac.uk/ui/core/index.html?mode=single&amp;path=/SHARED/sarah.morrish/ZlcmPEeorjMd2o51" TargetMode="External"/><Relationship Id="rId30" Type="http://schemas.openxmlformats.org/officeDocument/2006/relationships/hyperlink" Target="http://www.jstor.org/stable/2949312" TargetMode="External"/><Relationship Id="rId35" Type="http://schemas.openxmlformats.org/officeDocument/2006/relationships/hyperlink" Target="https://www.legislation.gov.uk/ukpga/1995/50/contents" TargetMode="External"/><Relationship Id="rId56" Type="http://schemas.openxmlformats.org/officeDocument/2006/relationships/hyperlink" Target="https://doi.org/10.1108/IJLMA-03-2021-0067" TargetMode="External"/><Relationship Id="rId77" Type="http://schemas.openxmlformats.org/officeDocument/2006/relationships/hyperlink" Target="https://encyclopedia.pub/entry/54089" TargetMode="External"/><Relationship Id="rId8" Type="http://schemas.openxmlformats.org/officeDocument/2006/relationships/hyperlink" Target="file:////search%3fcontributorName=Boike%20Rehbein&amp;contributorRole=author&amp;redirectFromPDP=true&amp;context=ubx" TargetMode="External"/><Relationship Id="rId51" Type="http://schemas.openxmlformats.org/officeDocument/2006/relationships/hyperlink" Target="https://heinonline.org/HOL/LandingPage?handle=hein.journals/geojlege31&amp;div=8&amp;id=&amp;page=" TargetMode="External"/><Relationship Id="rId72" Type="http://schemas.openxmlformats.org/officeDocument/2006/relationships/hyperlink" Target="https://doi.org/10.1016/bs.aesp.2017.10.002" TargetMode="External"/><Relationship Id="rId93" Type="http://schemas.openxmlformats.org/officeDocument/2006/relationships/hyperlink" Target="https://doi.org/10.1016/j.rssm.2018.06.006" TargetMode="External"/><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FE8FA-584E-AC42-AC97-494909A85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9806</Words>
  <Characters>55895</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Rowe (2108311)</dc:creator>
  <cp:keywords/>
  <dc:description/>
  <cp:lastModifiedBy>Jessica Rowe (2108311)</cp:lastModifiedBy>
  <cp:revision>2</cp:revision>
  <dcterms:created xsi:type="dcterms:W3CDTF">2024-11-16T01:08:00Z</dcterms:created>
  <dcterms:modified xsi:type="dcterms:W3CDTF">2024-11-16T01:08:00Z</dcterms:modified>
</cp:coreProperties>
</file>