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23F6812" w14:textId="43D8CC56" w:rsidR="004C1E9D" w:rsidRPr="002479B7" w:rsidRDefault="004C1E9D" w:rsidP="004C1E9D">
      <w:pPr>
        <w:jc w:val="center"/>
        <w:rPr>
          <w:rFonts w:ascii="Arial" w:hAnsi="Arial" w:cs="Arial"/>
          <w:b/>
          <w:bCs/>
          <w:sz w:val="32"/>
          <w:szCs w:val="32"/>
          <w:lang w:val="en-GB"/>
        </w:rPr>
      </w:pPr>
      <w:bookmarkStart w:id="0" w:name="_GoBack"/>
      <w:bookmarkEnd w:id="0"/>
    </w:p>
    <w:p w14:paraId="05886C6F" w14:textId="77777777" w:rsidR="004C1E9D" w:rsidRPr="002479B7" w:rsidRDefault="004C1E9D" w:rsidP="004C1E9D">
      <w:pPr>
        <w:jc w:val="center"/>
        <w:rPr>
          <w:rFonts w:ascii="Arial" w:hAnsi="Arial" w:cs="Arial"/>
          <w:b/>
          <w:bCs/>
          <w:sz w:val="32"/>
          <w:szCs w:val="32"/>
          <w:lang w:val="en-GB"/>
        </w:rPr>
      </w:pPr>
    </w:p>
    <w:p w14:paraId="5DB49565" w14:textId="77777777" w:rsidR="004C1E9D" w:rsidRPr="002479B7" w:rsidRDefault="004C1E9D" w:rsidP="004C1E9D">
      <w:pPr>
        <w:jc w:val="center"/>
        <w:rPr>
          <w:rFonts w:ascii="Arial" w:hAnsi="Arial" w:cs="Arial"/>
          <w:b/>
          <w:bCs/>
          <w:sz w:val="32"/>
          <w:szCs w:val="32"/>
          <w:lang w:val="en-GB"/>
        </w:rPr>
      </w:pPr>
      <w:r w:rsidRPr="002479B7">
        <w:rPr>
          <w:rFonts w:ascii="Arial" w:hAnsi="Arial" w:cs="Arial"/>
          <w:b/>
          <w:bCs/>
          <w:noProof/>
          <w:sz w:val="32"/>
          <w:szCs w:val="32"/>
          <w:lang w:val="en-GB" w:eastAsia="en-GB"/>
        </w:rPr>
        <w:drawing>
          <wp:inline distT="0" distB="0" distL="0" distR="0" wp14:anchorId="38BB7202" wp14:editId="0A1181BC">
            <wp:extent cx="4191000" cy="1574800"/>
            <wp:effectExtent l="0" t="0" r="0" b="0"/>
            <wp:docPr id="16275038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7503835" name=""/>
                    <pic:cNvPicPr/>
                  </pic:nvPicPr>
                  <pic:blipFill>
                    <a:blip r:embed="rId6"/>
                    <a:stretch>
                      <a:fillRect/>
                    </a:stretch>
                  </pic:blipFill>
                  <pic:spPr>
                    <a:xfrm>
                      <a:off x="0" y="0"/>
                      <a:ext cx="4191000" cy="1574800"/>
                    </a:xfrm>
                    <a:prstGeom prst="rect">
                      <a:avLst/>
                    </a:prstGeom>
                  </pic:spPr>
                </pic:pic>
              </a:graphicData>
            </a:graphic>
          </wp:inline>
        </w:drawing>
      </w:r>
    </w:p>
    <w:p w14:paraId="73D430EF" w14:textId="77777777" w:rsidR="004C1E9D" w:rsidRPr="002479B7" w:rsidRDefault="004C1E9D" w:rsidP="004C1E9D">
      <w:pPr>
        <w:jc w:val="center"/>
        <w:rPr>
          <w:rFonts w:ascii="Arial" w:hAnsi="Arial" w:cs="Arial"/>
          <w:b/>
          <w:bCs/>
          <w:sz w:val="32"/>
          <w:szCs w:val="32"/>
          <w:lang w:val="en-GB"/>
        </w:rPr>
      </w:pPr>
    </w:p>
    <w:p w14:paraId="2E663A96" w14:textId="3682DD59" w:rsidR="004C1E9D" w:rsidRDefault="004C1E9D" w:rsidP="004C1E9D">
      <w:pPr>
        <w:jc w:val="center"/>
        <w:rPr>
          <w:rFonts w:ascii="Arial" w:hAnsi="Arial" w:cs="Arial"/>
          <w:b/>
          <w:bCs/>
          <w:sz w:val="32"/>
          <w:szCs w:val="32"/>
          <w:lang w:val="en-GB"/>
        </w:rPr>
      </w:pPr>
      <w:r>
        <w:rPr>
          <w:rFonts w:ascii="Arial" w:hAnsi="Arial" w:cs="Arial"/>
          <w:b/>
          <w:bCs/>
          <w:sz w:val="32"/>
          <w:szCs w:val="32"/>
          <w:lang w:val="en-GB"/>
        </w:rPr>
        <w:t>Module Code: LCMB7002</w:t>
      </w:r>
    </w:p>
    <w:p w14:paraId="22E2466A" w14:textId="12CD79F0" w:rsidR="004C1E9D" w:rsidRDefault="004C1E9D" w:rsidP="004C1E9D">
      <w:pPr>
        <w:jc w:val="center"/>
        <w:rPr>
          <w:rFonts w:ascii="Arial" w:hAnsi="Arial" w:cs="Arial"/>
          <w:b/>
          <w:bCs/>
          <w:sz w:val="32"/>
          <w:szCs w:val="32"/>
          <w:lang w:val="en-GB"/>
        </w:rPr>
      </w:pPr>
      <w:r>
        <w:rPr>
          <w:rFonts w:ascii="Arial" w:hAnsi="Arial" w:cs="Arial"/>
          <w:b/>
          <w:bCs/>
          <w:sz w:val="32"/>
          <w:szCs w:val="32"/>
          <w:lang w:val="en-GB"/>
        </w:rPr>
        <w:t>Assess</w:t>
      </w:r>
      <w:r>
        <w:rPr>
          <w:rFonts w:ascii="Arial" w:hAnsi="Arial" w:cs="Arial"/>
          <w:b/>
          <w:bCs/>
          <w:sz w:val="32"/>
          <w:szCs w:val="32"/>
          <w:lang w:val="en-GB"/>
        </w:rPr>
        <w:t xml:space="preserve">ment title: Financial Management assessment </w:t>
      </w:r>
      <w:r>
        <w:rPr>
          <w:rFonts w:ascii="Arial" w:hAnsi="Arial" w:cs="Arial"/>
          <w:b/>
          <w:bCs/>
          <w:sz w:val="32"/>
          <w:szCs w:val="32"/>
          <w:lang w:val="en-GB"/>
        </w:rPr>
        <w:t xml:space="preserve"> </w:t>
      </w:r>
    </w:p>
    <w:p w14:paraId="53912ECF" w14:textId="7F243724" w:rsidR="004C1E9D" w:rsidRPr="004C1E9D" w:rsidRDefault="004C1E9D" w:rsidP="004C1E9D">
      <w:pPr>
        <w:jc w:val="center"/>
        <w:rPr>
          <w:rFonts w:ascii="Arial" w:hAnsi="Arial" w:cs="Arial"/>
          <w:b/>
          <w:bCs/>
          <w:sz w:val="32"/>
          <w:szCs w:val="32"/>
          <w:lang w:val="en-GB"/>
        </w:rPr>
      </w:pPr>
      <w:r>
        <w:rPr>
          <w:rFonts w:ascii="Arial" w:hAnsi="Arial" w:cs="Arial"/>
          <w:b/>
          <w:bCs/>
          <w:sz w:val="32"/>
          <w:szCs w:val="32"/>
          <w:lang w:val="en-GB"/>
        </w:rPr>
        <w:t xml:space="preserve"> Module: Financial Management</w:t>
      </w:r>
      <w:r>
        <w:rPr>
          <w:rFonts w:ascii="Arial" w:hAnsi="Arial" w:cs="Arial"/>
          <w:b/>
          <w:bCs/>
          <w:sz w:val="32"/>
          <w:szCs w:val="32"/>
          <w:lang w:val="en-GB"/>
        </w:rPr>
        <w:t xml:space="preserve"> </w:t>
      </w:r>
    </w:p>
    <w:p w14:paraId="04586275" w14:textId="1E640BC5" w:rsidR="004C1E9D" w:rsidRPr="00635940" w:rsidRDefault="004C1E9D" w:rsidP="004C1E9D">
      <w:pPr>
        <w:jc w:val="center"/>
        <w:rPr>
          <w:rFonts w:ascii="Arial" w:hAnsi="Arial" w:cs="Arial"/>
          <w:b/>
          <w:bCs/>
          <w:color w:val="auto"/>
          <w:sz w:val="32"/>
          <w:szCs w:val="32"/>
          <w:lang w:val="en-US" w:bidi="ar-SA"/>
        </w:rPr>
      </w:pPr>
      <w:r w:rsidRPr="00635940">
        <w:rPr>
          <w:rFonts w:ascii="Arial" w:hAnsi="Arial" w:cs="Arial"/>
          <w:b/>
          <w:bCs/>
          <w:color w:val="auto"/>
          <w:sz w:val="32"/>
          <w:szCs w:val="32"/>
          <w:lang w:val="en-US" w:eastAsia="en-US" w:bidi="ar-SA"/>
        </w:rPr>
        <w:t>STRATEGIC CFO CHALLENGE: SAVING A FAILING GLOBAL FIRM</w:t>
      </w:r>
    </w:p>
    <w:p w14:paraId="3B9D2CE2" w14:textId="6083B38E" w:rsidR="004C1E9D" w:rsidRPr="002479B7" w:rsidRDefault="004C1E9D" w:rsidP="004C1E9D">
      <w:pPr>
        <w:jc w:val="center"/>
        <w:rPr>
          <w:rFonts w:ascii="Arial" w:hAnsi="Arial" w:cs="Arial"/>
          <w:b/>
          <w:bCs/>
          <w:sz w:val="32"/>
          <w:szCs w:val="32"/>
          <w:lang w:val="en-GB"/>
        </w:rPr>
      </w:pPr>
      <w:r>
        <w:rPr>
          <w:rFonts w:ascii="Arial" w:hAnsi="Arial" w:cs="Arial"/>
          <w:b/>
          <w:bCs/>
          <w:sz w:val="32"/>
          <w:szCs w:val="32"/>
          <w:lang w:val="en-GB"/>
        </w:rPr>
        <w:t xml:space="preserve">Lecturer name: </w:t>
      </w:r>
      <w:r w:rsidRPr="004C1E9D">
        <w:rPr>
          <w:rFonts w:ascii="Arial" w:hAnsi="Arial" w:cs="Arial"/>
          <w:b/>
          <w:sz w:val="32"/>
        </w:rPr>
        <w:t>Shengfeng Mei (London)</w:t>
      </w:r>
    </w:p>
    <w:p w14:paraId="17CFA9E7" w14:textId="77777777" w:rsidR="004C1E9D" w:rsidRPr="002479B7" w:rsidRDefault="004C1E9D" w:rsidP="004C1E9D">
      <w:pPr>
        <w:jc w:val="center"/>
        <w:rPr>
          <w:rFonts w:ascii="Arial" w:hAnsi="Arial" w:cs="Arial"/>
          <w:b/>
          <w:bCs/>
          <w:sz w:val="32"/>
          <w:szCs w:val="32"/>
          <w:lang w:val="en-GB"/>
        </w:rPr>
      </w:pPr>
      <w:r w:rsidRPr="002479B7">
        <w:rPr>
          <w:rFonts w:ascii="Arial" w:hAnsi="Arial" w:cs="Arial"/>
          <w:b/>
          <w:bCs/>
          <w:sz w:val="32"/>
          <w:szCs w:val="32"/>
          <w:lang w:val="en-GB"/>
        </w:rPr>
        <w:t>Student Name:</w:t>
      </w:r>
      <w:r>
        <w:rPr>
          <w:rFonts w:ascii="Arial" w:hAnsi="Arial" w:cs="Arial"/>
          <w:b/>
          <w:bCs/>
          <w:sz w:val="32"/>
          <w:szCs w:val="32"/>
          <w:lang w:val="en-GB"/>
        </w:rPr>
        <w:t xml:space="preserve"> Prit Jenishbhai Jariwala</w:t>
      </w:r>
    </w:p>
    <w:p w14:paraId="14B5C78E" w14:textId="77777777" w:rsidR="004C1E9D" w:rsidRDefault="004C1E9D" w:rsidP="004C1E9D">
      <w:pPr>
        <w:jc w:val="center"/>
        <w:rPr>
          <w:rFonts w:ascii="Arial" w:hAnsi="Arial" w:cs="Arial"/>
          <w:b/>
          <w:bCs/>
          <w:sz w:val="32"/>
          <w:szCs w:val="32"/>
          <w:lang w:val="en-GB"/>
        </w:rPr>
      </w:pPr>
      <w:r w:rsidRPr="002479B7">
        <w:rPr>
          <w:rFonts w:ascii="Arial" w:hAnsi="Arial" w:cs="Arial"/>
          <w:b/>
          <w:bCs/>
          <w:sz w:val="32"/>
          <w:szCs w:val="32"/>
          <w:lang w:val="en-GB"/>
        </w:rPr>
        <w:t>Student ID:</w:t>
      </w:r>
      <w:r>
        <w:rPr>
          <w:rFonts w:ascii="Arial" w:hAnsi="Arial" w:cs="Arial"/>
          <w:b/>
          <w:bCs/>
          <w:sz w:val="32"/>
          <w:szCs w:val="32"/>
          <w:lang w:val="en-GB"/>
        </w:rPr>
        <w:t xml:space="preserve"> 2503896</w:t>
      </w:r>
    </w:p>
    <w:p w14:paraId="7184E89F" w14:textId="24C51B3E" w:rsidR="004C1E9D" w:rsidRPr="002479B7" w:rsidRDefault="004C1E9D" w:rsidP="004C1E9D">
      <w:pPr>
        <w:jc w:val="center"/>
        <w:rPr>
          <w:rFonts w:ascii="Arial" w:hAnsi="Arial" w:cs="Arial"/>
          <w:b/>
          <w:bCs/>
          <w:sz w:val="32"/>
          <w:szCs w:val="32"/>
          <w:lang w:val="en-GB"/>
        </w:rPr>
      </w:pPr>
      <w:r>
        <w:rPr>
          <w:rFonts w:ascii="Arial" w:hAnsi="Arial" w:cs="Arial"/>
          <w:b/>
          <w:bCs/>
          <w:sz w:val="32"/>
          <w:szCs w:val="32"/>
          <w:lang w:val="en-GB"/>
        </w:rPr>
        <w:t xml:space="preserve">Word Count:  </w:t>
      </w:r>
      <w:r w:rsidR="00145E38">
        <w:rPr>
          <w:rFonts w:ascii="Arial" w:hAnsi="Arial" w:cs="Arial"/>
          <w:b/>
          <w:bCs/>
          <w:sz w:val="32"/>
          <w:szCs w:val="32"/>
          <w:lang w:val="en-GB"/>
        </w:rPr>
        <w:t>5213</w:t>
      </w:r>
      <w:r>
        <w:rPr>
          <w:rFonts w:ascii="Arial" w:hAnsi="Arial" w:cs="Arial"/>
          <w:b/>
          <w:bCs/>
          <w:sz w:val="32"/>
          <w:szCs w:val="32"/>
          <w:lang w:val="en-GB"/>
        </w:rPr>
        <w:t xml:space="preserve"> words </w:t>
      </w:r>
    </w:p>
    <w:p w14:paraId="73810C22" w14:textId="1D3E13A8" w:rsidR="004C1E9D" w:rsidRDefault="004C1E9D" w:rsidP="004C1E9D">
      <w:pPr>
        <w:jc w:val="center"/>
        <w:rPr>
          <w:rFonts w:ascii="Arial" w:hAnsi="Arial" w:cs="Arial"/>
          <w:b/>
          <w:bCs/>
          <w:sz w:val="32"/>
          <w:szCs w:val="32"/>
          <w:lang w:val="en-GB"/>
        </w:rPr>
      </w:pPr>
      <w:r>
        <w:rPr>
          <w:rFonts w:ascii="Arial" w:hAnsi="Arial" w:cs="Arial"/>
          <w:b/>
          <w:bCs/>
          <w:sz w:val="32"/>
          <w:szCs w:val="32"/>
          <w:lang w:val="en-GB"/>
        </w:rPr>
        <w:t>Submission date: 2</w:t>
      </w:r>
      <w:r>
        <w:rPr>
          <w:rFonts w:ascii="Arial" w:hAnsi="Arial" w:cs="Arial"/>
          <w:b/>
          <w:bCs/>
          <w:sz w:val="32"/>
          <w:szCs w:val="32"/>
          <w:lang w:val="en-GB"/>
        </w:rPr>
        <w:t>2</w:t>
      </w:r>
      <w:r>
        <w:rPr>
          <w:rFonts w:ascii="Arial" w:hAnsi="Arial" w:cs="Arial"/>
          <w:b/>
          <w:bCs/>
          <w:sz w:val="32"/>
          <w:szCs w:val="32"/>
          <w:vertAlign w:val="superscript"/>
          <w:lang w:val="en-GB"/>
        </w:rPr>
        <w:t xml:space="preserve">nd </w:t>
      </w:r>
      <w:r>
        <w:rPr>
          <w:rFonts w:ascii="Arial" w:hAnsi="Arial" w:cs="Arial"/>
          <w:b/>
          <w:bCs/>
          <w:sz w:val="32"/>
          <w:szCs w:val="32"/>
          <w:lang w:val="en-GB"/>
        </w:rPr>
        <w:t>December</w:t>
      </w:r>
      <w:r>
        <w:rPr>
          <w:rFonts w:ascii="Arial" w:hAnsi="Arial" w:cs="Arial"/>
          <w:b/>
          <w:bCs/>
          <w:sz w:val="32"/>
          <w:szCs w:val="32"/>
          <w:lang w:val="en-GB"/>
        </w:rPr>
        <w:t xml:space="preserve"> 2025</w:t>
      </w:r>
    </w:p>
    <w:p w14:paraId="429E29FB" w14:textId="77777777" w:rsidR="00A77B3E" w:rsidRPr="00136CDA" w:rsidRDefault="00A77B3E">
      <w:pPr>
        <w:jc w:val="center"/>
        <w:rPr>
          <w:b/>
          <w:bCs/>
          <w:color w:val="auto"/>
          <w:sz w:val="32"/>
          <w:szCs w:val="32"/>
          <w:lang w:val="en-US" w:bidi="ar-SA"/>
        </w:rPr>
      </w:pPr>
    </w:p>
    <w:p w14:paraId="48BD5833" w14:textId="77777777" w:rsidR="00A77B3E" w:rsidRPr="00136CDA" w:rsidRDefault="00A77B3E">
      <w:pPr>
        <w:jc w:val="center"/>
        <w:rPr>
          <w:b/>
          <w:bCs/>
          <w:color w:val="auto"/>
          <w:sz w:val="32"/>
          <w:szCs w:val="32"/>
          <w:lang w:val="en-US" w:bidi="ar-SA"/>
        </w:rPr>
      </w:pPr>
    </w:p>
    <w:p w14:paraId="22ED8A73" w14:textId="77777777" w:rsidR="00A77B3E" w:rsidRPr="00136CDA" w:rsidRDefault="00A77B3E">
      <w:pPr>
        <w:jc w:val="center"/>
        <w:rPr>
          <w:b/>
          <w:bCs/>
          <w:color w:val="auto"/>
          <w:sz w:val="32"/>
          <w:szCs w:val="32"/>
          <w:lang w:val="en-US" w:bidi="ar-SA"/>
        </w:rPr>
      </w:pPr>
    </w:p>
    <w:p w14:paraId="0DE5232A" w14:textId="77777777" w:rsidR="00A77B3E" w:rsidRPr="00136CDA" w:rsidRDefault="00A77B3E">
      <w:pPr>
        <w:jc w:val="center"/>
        <w:rPr>
          <w:b/>
          <w:bCs/>
          <w:color w:val="auto"/>
          <w:sz w:val="32"/>
          <w:szCs w:val="32"/>
          <w:lang w:val="en-US" w:bidi="ar-SA"/>
        </w:rPr>
      </w:pPr>
    </w:p>
    <w:p w14:paraId="2A82BD61" w14:textId="77777777" w:rsidR="00A77B3E" w:rsidRPr="00136CDA" w:rsidRDefault="00A77B3E">
      <w:pPr>
        <w:jc w:val="center"/>
        <w:rPr>
          <w:b/>
          <w:bCs/>
          <w:color w:val="auto"/>
          <w:sz w:val="32"/>
          <w:szCs w:val="32"/>
          <w:lang w:val="en-US" w:bidi="ar-SA"/>
        </w:rPr>
      </w:pPr>
    </w:p>
    <w:p w14:paraId="74A7F1C6" w14:textId="77777777" w:rsidR="00A77B3E" w:rsidRPr="00136CDA" w:rsidRDefault="00A77B3E">
      <w:pPr>
        <w:jc w:val="center"/>
        <w:rPr>
          <w:b/>
          <w:bCs/>
          <w:color w:val="auto"/>
          <w:sz w:val="32"/>
          <w:szCs w:val="32"/>
          <w:lang w:val="en-US" w:bidi="ar-SA"/>
        </w:rPr>
      </w:pPr>
    </w:p>
    <w:p w14:paraId="69F33A54" w14:textId="77777777" w:rsidR="00A77B3E" w:rsidRPr="00136CDA" w:rsidRDefault="00A77B3E">
      <w:pPr>
        <w:jc w:val="center"/>
        <w:rPr>
          <w:b/>
          <w:bCs/>
          <w:color w:val="auto"/>
          <w:sz w:val="32"/>
          <w:szCs w:val="32"/>
          <w:lang w:val="en-US" w:bidi="ar-SA"/>
        </w:rPr>
      </w:pPr>
    </w:p>
    <w:p w14:paraId="33119D08" w14:textId="77777777" w:rsidR="00A77B3E" w:rsidRPr="00136CDA" w:rsidRDefault="00A77B3E">
      <w:pPr>
        <w:jc w:val="center"/>
        <w:rPr>
          <w:b/>
          <w:bCs/>
          <w:color w:val="auto"/>
          <w:sz w:val="32"/>
          <w:szCs w:val="32"/>
          <w:lang w:val="en-US" w:bidi="ar-SA"/>
        </w:rPr>
      </w:pPr>
    </w:p>
    <w:p w14:paraId="45C200B1" w14:textId="77777777" w:rsidR="00A77B3E" w:rsidRPr="00136CDA" w:rsidRDefault="00A77B3E">
      <w:pPr>
        <w:jc w:val="center"/>
        <w:rPr>
          <w:b/>
          <w:bCs/>
          <w:color w:val="auto"/>
          <w:sz w:val="32"/>
          <w:szCs w:val="32"/>
          <w:lang w:val="en-US" w:bidi="ar-SA"/>
        </w:rPr>
      </w:pPr>
    </w:p>
    <w:p w14:paraId="3EA15666" w14:textId="77777777" w:rsidR="00A77B3E" w:rsidRPr="00136CDA" w:rsidRDefault="00A77B3E">
      <w:pPr>
        <w:jc w:val="center"/>
        <w:rPr>
          <w:b/>
          <w:bCs/>
          <w:color w:val="auto"/>
          <w:sz w:val="32"/>
          <w:szCs w:val="32"/>
          <w:lang w:val="en-US" w:bidi="ar-SA"/>
        </w:rPr>
      </w:pPr>
    </w:p>
    <w:p w14:paraId="4E7C6790" w14:textId="77777777" w:rsidR="00A77B3E" w:rsidRPr="00136CDA" w:rsidRDefault="00A77B3E">
      <w:pPr>
        <w:jc w:val="center"/>
        <w:rPr>
          <w:b/>
          <w:bCs/>
          <w:color w:val="auto"/>
          <w:sz w:val="32"/>
          <w:szCs w:val="32"/>
          <w:lang w:val="en-US" w:bidi="ar-SA"/>
        </w:rPr>
      </w:pPr>
    </w:p>
    <w:p w14:paraId="159DD75B" w14:textId="77777777" w:rsidR="00A77B3E" w:rsidRPr="00136CDA" w:rsidRDefault="00A96C87">
      <w:pPr>
        <w:jc w:val="center"/>
        <w:rPr>
          <w:b/>
          <w:bCs/>
          <w:color w:val="auto"/>
          <w:sz w:val="32"/>
          <w:szCs w:val="32"/>
          <w:lang w:val="en-US" w:bidi="ar-SA"/>
        </w:rPr>
      </w:pPr>
      <w:r w:rsidRPr="00136CDA">
        <w:rPr>
          <w:b/>
          <w:bCs/>
          <w:color w:val="auto"/>
          <w:sz w:val="32"/>
          <w:szCs w:val="32"/>
          <w:lang w:val="en-US" w:eastAsia="en-US" w:bidi="ar-SA"/>
        </w:rPr>
        <w:t>STRATEGIC CFO CHALLENGE: SAVING A FAILING GLOBAL FIRM</w:t>
      </w:r>
    </w:p>
    <w:p w14:paraId="635B81F1" w14:textId="77777777" w:rsidR="00A77B3E" w:rsidRPr="00136CDA" w:rsidRDefault="00A96C87">
      <w:pPr>
        <w:keepNext/>
        <w:keepLines/>
        <w:pageBreakBefore/>
        <w:spacing w:before="240"/>
        <w:jc w:val="center"/>
        <w:rPr>
          <w:b/>
          <w:bCs/>
          <w:color w:val="auto"/>
          <w:sz w:val="28"/>
          <w:szCs w:val="28"/>
          <w:lang w:val="en-US" w:bidi="ar-SA"/>
        </w:rPr>
      </w:pPr>
      <w:r w:rsidRPr="00136CDA">
        <w:rPr>
          <w:b/>
          <w:bCs/>
          <w:color w:val="auto"/>
          <w:sz w:val="28"/>
          <w:szCs w:val="28"/>
          <w:lang w:val="en-US" w:eastAsia="en-US" w:bidi="ar-SA"/>
        </w:rPr>
        <w:lastRenderedPageBreak/>
        <w:t>TABLE OF CONTENTS</w:t>
      </w:r>
    </w:p>
    <w:p w14:paraId="4894EA1E" w14:textId="77777777" w:rsidR="00A77B3E" w:rsidRPr="00136CDA" w:rsidRDefault="00A96C87">
      <w:pPr>
        <w:tabs>
          <w:tab w:val="right" w:pos="9350"/>
        </w:tabs>
        <w:spacing w:after="100"/>
        <w:rPr>
          <w:rFonts w:ascii="Cambria" w:hAnsi="Cambria" w:cs="Cambria"/>
          <w:color w:val="auto"/>
          <w:lang w:val="en-US" w:bidi="ar-SA"/>
        </w:rPr>
      </w:pPr>
      <w:hyperlink w:anchor="h.25u4zulm7m1j" w:history="1">
        <w:r w:rsidR="00A77B3E" w:rsidRPr="00136CDA">
          <w:rPr>
            <w:color w:val="auto"/>
            <w:lang w:val="en-US" w:eastAsia="en-US" w:bidi="ar-SA"/>
          </w:rPr>
          <w:t xml:space="preserve">1. </w:t>
        </w:r>
      </w:hyperlink>
      <w:hyperlink w:anchor="h.25u4zulm7m1j" w:history="1">
        <w:r w:rsidR="00A77B3E" w:rsidRPr="00136CDA">
          <w:rPr>
            <w:color w:val="auto"/>
            <w:lang w:val="en-US" w:eastAsia="en-US" w:bidi="ar-SA"/>
          </w:rPr>
          <w:t>Introduction</w:t>
        </w:r>
      </w:hyperlink>
      <w:hyperlink w:anchor="h.25u4zulm7m1j" w:history="1">
        <w:r w:rsidR="00A77B3E" w:rsidRPr="00136CDA">
          <w:rPr>
            <w:color w:val="auto"/>
            <w:lang w:val="en-US" w:eastAsia="en-US" w:bidi="ar-SA"/>
          </w:rPr>
          <w:tab/>
          <w:t>4</w:t>
        </w:r>
      </w:hyperlink>
    </w:p>
    <w:p w14:paraId="13E66C80" w14:textId="77777777" w:rsidR="00A77B3E" w:rsidRPr="00136CDA" w:rsidRDefault="00A96C87">
      <w:pPr>
        <w:tabs>
          <w:tab w:val="right" w:pos="9350"/>
        </w:tabs>
        <w:spacing w:after="100"/>
        <w:rPr>
          <w:rFonts w:ascii="Cambria" w:hAnsi="Cambria" w:cs="Cambria"/>
          <w:color w:val="auto"/>
          <w:lang w:val="en-US" w:bidi="ar-SA"/>
        </w:rPr>
      </w:pPr>
      <w:hyperlink w:anchor="h.rk652pjcp7xh" w:history="1">
        <w:r w:rsidR="00A77B3E" w:rsidRPr="00136CDA">
          <w:rPr>
            <w:color w:val="auto"/>
            <w:lang w:val="en-US" w:eastAsia="en-US" w:bidi="ar-SA"/>
          </w:rPr>
          <w:t xml:space="preserve">2. </w:t>
        </w:r>
      </w:hyperlink>
      <w:hyperlink w:anchor="h.rk652pjcp7xh" w:history="1">
        <w:r w:rsidR="00A77B3E" w:rsidRPr="00136CDA">
          <w:rPr>
            <w:color w:val="auto"/>
            <w:lang w:val="en-US" w:eastAsia="en-US" w:bidi="ar-SA"/>
          </w:rPr>
          <w:t>Financial</w:t>
        </w:r>
      </w:hyperlink>
      <w:hyperlink w:anchor="h.rk652pjcp7xh" w:history="1">
        <w:r w:rsidR="00A77B3E" w:rsidRPr="00136CDA">
          <w:rPr>
            <w:color w:val="auto"/>
            <w:lang w:val="en-US" w:eastAsia="en-US" w:bidi="ar-SA"/>
          </w:rPr>
          <w:t xml:space="preserve"> </w:t>
        </w:r>
      </w:hyperlink>
      <w:hyperlink w:anchor="h.rk652pjcp7xh" w:history="1">
        <w:r w:rsidR="00A77B3E" w:rsidRPr="00136CDA">
          <w:rPr>
            <w:color w:val="auto"/>
            <w:lang w:val="en-US" w:eastAsia="en-US" w:bidi="ar-SA"/>
          </w:rPr>
          <w:t>Health</w:t>
        </w:r>
      </w:hyperlink>
      <w:hyperlink w:anchor="h.rk652pjcp7xh" w:history="1">
        <w:r w:rsidR="00A77B3E" w:rsidRPr="00136CDA">
          <w:rPr>
            <w:color w:val="auto"/>
            <w:lang w:val="en-US" w:eastAsia="en-US" w:bidi="ar-SA"/>
          </w:rPr>
          <w:t xml:space="preserve"> </w:t>
        </w:r>
      </w:hyperlink>
      <w:hyperlink w:anchor="h.rk652pjcp7xh" w:history="1">
        <w:r w:rsidR="00A77B3E" w:rsidRPr="00136CDA">
          <w:rPr>
            <w:color w:val="auto"/>
            <w:lang w:val="en-US" w:eastAsia="en-US" w:bidi="ar-SA"/>
          </w:rPr>
          <w:t>Check</w:t>
        </w:r>
      </w:hyperlink>
      <w:hyperlink w:anchor="h.rk652pjcp7xh" w:history="1">
        <w:r w:rsidR="00A77B3E" w:rsidRPr="00136CDA">
          <w:rPr>
            <w:color w:val="auto"/>
            <w:lang w:val="en-US" w:eastAsia="en-US" w:bidi="ar-SA"/>
          </w:rPr>
          <w:tab/>
          <w:t>4</w:t>
        </w:r>
      </w:hyperlink>
    </w:p>
    <w:p w14:paraId="09DD17AF" w14:textId="77777777" w:rsidR="00A77B3E" w:rsidRPr="00136CDA" w:rsidRDefault="00A96C87">
      <w:pPr>
        <w:tabs>
          <w:tab w:val="right" w:pos="9350"/>
        </w:tabs>
        <w:spacing w:after="100"/>
        <w:ind w:left="240"/>
        <w:rPr>
          <w:rFonts w:ascii="Cambria" w:hAnsi="Cambria" w:cs="Cambria"/>
          <w:color w:val="auto"/>
          <w:lang w:val="en-US" w:bidi="ar-SA"/>
        </w:rPr>
      </w:pPr>
      <w:hyperlink w:anchor="h.j6sgsy5no2q9" w:history="1">
        <w:r w:rsidR="00A77B3E" w:rsidRPr="00136CDA">
          <w:rPr>
            <w:color w:val="auto"/>
            <w:lang w:val="en-US" w:eastAsia="en-US" w:bidi="ar-SA"/>
          </w:rPr>
          <w:t xml:space="preserve">2.1 </w:t>
        </w:r>
      </w:hyperlink>
      <w:hyperlink w:anchor="h.j6sgsy5no2q9" w:history="1">
        <w:r w:rsidR="00A77B3E" w:rsidRPr="00136CDA">
          <w:rPr>
            <w:color w:val="auto"/>
            <w:lang w:val="en-US" w:eastAsia="en-US" w:bidi="ar-SA"/>
          </w:rPr>
          <w:t>Profitability</w:t>
        </w:r>
      </w:hyperlink>
      <w:hyperlink w:anchor="h.j6sgsy5no2q9" w:history="1">
        <w:r w:rsidR="00A77B3E" w:rsidRPr="00136CDA">
          <w:rPr>
            <w:color w:val="auto"/>
            <w:lang w:val="en-US" w:eastAsia="en-US" w:bidi="ar-SA"/>
          </w:rPr>
          <w:t xml:space="preserve"> </w:t>
        </w:r>
      </w:hyperlink>
      <w:hyperlink w:anchor="h.j6sgsy5no2q9" w:history="1">
        <w:r w:rsidR="00A77B3E" w:rsidRPr="00136CDA">
          <w:rPr>
            <w:color w:val="auto"/>
            <w:lang w:val="en-US" w:eastAsia="en-US" w:bidi="ar-SA"/>
          </w:rPr>
          <w:t>Analysis</w:t>
        </w:r>
      </w:hyperlink>
      <w:hyperlink w:anchor="h.j6sgsy5no2q9" w:history="1">
        <w:r w:rsidR="00A77B3E" w:rsidRPr="00136CDA">
          <w:rPr>
            <w:color w:val="auto"/>
            <w:lang w:val="en-US" w:eastAsia="en-US" w:bidi="ar-SA"/>
          </w:rPr>
          <w:tab/>
          <w:t>4</w:t>
        </w:r>
      </w:hyperlink>
    </w:p>
    <w:p w14:paraId="01E25C5C" w14:textId="1914D590" w:rsidR="00A77B3E" w:rsidRPr="00136CDA" w:rsidRDefault="00A96C87">
      <w:pPr>
        <w:tabs>
          <w:tab w:val="right" w:pos="9350"/>
        </w:tabs>
        <w:spacing w:after="100"/>
        <w:ind w:left="240"/>
        <w:rPr>
          <w:rFonts w:ascii="Cambria" w:hAnsi="Cambria" w:cs="Cambria"/>
          <w:color w:val="auto"/>
          <w:lang w:val="en-US" w:bidi="ar-SA"/>
        </w:rPr>
      </w:pPr>
      <w:hyperlink r:id="rId7" w:history="1">
        <w:r w:rsidR="00A77B3E" w:rsidRPr="00136CDA">
          <w:rPr>
            <w:color w:val="auto"/>
            <w:lang w:val="en-US" w:eastAsia="en-US" w:bidi="ar-SA"/>
          </w:rPr>
          <w:t xml:space="preserve">2.2 </w:t>
        </w:r>
      </w:hyperlink>
      <w:hyperlink r:id="rId8" w:history="1">
        <w:r w:rsidR="00A77B3E" w:rsidRPr="00136CDA">
          <w:rPr>
            <w:color w:val="auto"/>
            <w:lang w:val="en-US" w:eastAsia="en-US" w:bidi="ar-SA"/>
          </w:rPr>
          <w:t>Liquidity</w:t>
        </w:r>
      </w:hyperlink>
      <w:hyperlink r:id="rId9" w:history="1">
        <w:r w:rsidR="00A77B3E" w:rsidRPr="00136CDA">
          <w:rPr>
            <w:color w:val="auto"/>
            <w:lang w:val="en-US" w:eastAsia="en-US" w:bidi="ar-SA"/>
          </w:rPr>
          <w:t xml:space="preserve"> </w:t>
        </w:r>
      </w:hyperlink>
      <w:hyperlink r:id="rId10" w:history="1">
        <w:r w:rsidR="00A77B3E" w:rsidRPr="00136CDA">
          <w:rPr>
            <w:color w:val="auto"/>
            <w:lang w:val="en-US" w:eastAsia="en-US" w:bidi="ar-SA"/>
          </w:rPr>
          <w:t>Analysis</w:t>
        </w:r>
      </w:hyperlink>
      <w:hyperlink r:id="rId11" w:history="1">
        <w:r w:rsidR="00A77B3E" w:rsidRPr="00136CDA">
          <w:rPr>
            <w:color w:val="auto"/>
            <w:lang w:val="en-US" w:eastAsia="en-US" w:bidi="ar-SA"/>
          </w:rPr>
          <w:tab/>
          <w:t>6</w:t>
        </w:r>
      </w:hyperlink>
    </w:p>
    <w:p w14:paraId="63FDE958" w14:textId="26488C30" w:rsidR="00A77B3E" w:rsidRPr="00136CDA" w:rsidRDefault="00A96C87">
      <w:pPr>
        <w:tabs>
          <w:tab w:val="right" w:pos="9350"/>
        </w:tabs>
        <w:spacing w:after="100"/>
        <w:ind w:left="240"/>
        <w:rPr>
          <w:rFonts w:ascii="Cambria" w:hAnsi="Cambria" w:cs="Cambria"/>
          <w:color w:val="auto"/>
          <w:lang w:val="en-US" w:bidi="ar-SA"/>
        </w:rPr>
      </w:pPr>
      <w:hyperlink r:id="rId12" w:history="1">
        <w:r w:rsidR="00A77B3E" w:rsidRPr="00136CDA">
          <w:rPr>
            <w:color w:val="auto"/>
            <w:lang w:val="en-US" w:eastAsia="en-US" w:bidi="ar-SA"/>
          </w:rPr>
          <w:t xml:space="preserve">2.3 </w:t>
        </w:r>
      </w:hyperlink>
      <w:hyperlink r:id="rId13" w:history="1">
        <w:r w:rsidR="00A77B3E" w:rsidRPr="00136CDA">
          <w:rPr>
            <w:color w:val="auto"/>
            <w:lang w:val="en-US" w:eastAsia="en-US" w:bidi="ar-SA"/>
          </w:rPr>
          <w:t>Efficiency</w:t>
        </w:r>
      </w:hyperlink>
      <w:hyperlink r:id="rId14" w:history="1">
        <w:r w:rsidR="00A77B3E" w:rsidRPr="00136CDA">
          <w:rPr>
            <w:color w:val="auto"/>
            <w:lang w:val="en-US" w:eastAsia="en-US" w:bidi="ar-SA"/>
          </w:rPr>
          <w:t xml:space="preserve"> (</w:t>
        </w:r>
      </w:hyperlink>
      <w:hyperlink r:id="rId15" w:history="1">
        <w:r w:rsidR="00A77B3E" w:rsidRPr="00136CDA">
          <w:rPr>
            <w:color w:val="auto"/>
            <w:lang w:val="en-US" w:eastAsia="en-US" w:bidi="ar-SA"/>
          </w:rPr>
          <w:t>Asset</w:t>
        </w:r>
      </w:hyperlink>
      <w:hyperlink r:id="rId16" w:history="1">
        <w:r w:rsidR="00A77B3E" w:rsidRPr="00136CDA">
          <w:rPr>
            <w:color w:val="auto"/>
            <w:lang w:val="en-US" w:eastAsia="en-US" w:bidi="ar-SA"/>
          </w:rPr>
          <w:t xml:space="preserve"> </w:t>
        </w:r>
      </w:hyperlink>
      <w:hyperlink r:id="rId17" w:history="1">
        <w:r w:rsidRPr="00136CDA">
          <w:rPr>
            <w:color w:val="auto"/>
            <w:lang w:val="en-US" w:eastAsia="en-US" w:bidi="ar-SA"/>
          </w:rPr>
          <w:t>Utilization</w:t>
        </w:r>
      </w:hyperlink>
      <w:hyperlink r:id="rId18" w:history="1">
        <w:r w:rsidR="00A77B3E" w:rsidRPr="00136CDA">
          <w:rPr>
            <w:color w:val="auto"/>
            <w:lang w:val="en-US" w:eastAsia="en-US" w:bidi="ar-SA"/>
          </w:rPr>
          <w:t xml:space="preserve">) </w:t>
        </w:r>
      </w:hyperlink>
      <w:hyperlink r:id="rId19" w:history="1">
        <w:r w:rsidR="00A77B3E" w:rsidRPr="00136CDA">
          <w:rPr>
            <w:color w:val="auto"/>
            <w:lang w:val="en-US" w:eastAsia="en-US" w:bidi="ar-SA"/>
          </w:rPr>
          <w:t>Analysis</w:t>
        </w:r>
      </w:hyperlink>
      <w:hyperlink r:id="rId20" w:history="1">
        <w:r w:rsidR="00A77B3E" w:rsidRPr="00136CDA">
          <w:rPr>
            <w:color w:val="auto"/>
            <w:lang w:val="en-US" w:eastAsia="en-US" w:bidi="ar-SA"/>
          </w:rPr>
          <w:tab/>
          <w:t>8</w:t>
        </w:r>
      </w:hyperlink>
    </w:p>
    <w:p w14:paraId="1EEDD075" w14:textId="48BA9EB9" w:rsidR="00A77B3E" w:rsidRPr="00136CDA" w:rsidRDefault="00A96C87">
      <w:pPr>
        <w:tabs>
          <w:tab w:val="right" w:pos="9350"/>
        </w:tabs>
        <w:spacing w:after="100"/>
        <w:ind w:left="240"/>
        <w:rPr>
          <w:rFonts w:ascii="Cambria" w:hAnsi="Cambria" w:cs="Cambria"/>
          <w:color w:val="auto"/>
          <w:lang w:val="en-US" w:bidi="ar-SA"/>
        </w:rPr>
      </w:pPr>
      <w:hyperlink r:id="rId21" w:history="1">
        <w:r w:rsidR="00A77B3E" w:rsidRPr="00136CDA">
          <w:rPr>
            <w:color w:val="auto"/>
            <w:lang w:val="en-US" w:eastAsia="en-US" w:bidi="ar-SA"/>
          </w:rPr>
          <w:t xml:space="preserve">2.4 </w:t>
        </w:r>
      </w:hyperlink>
      <w:hyperlink r:id="rId22" w:history="1">
        <w:r w:rsidR="00A77B3E" w:rsidRPr="00136CDA">
          <w:rPr>
            <w:color w:val="auto"/>
            <w:lang w:val="en-US" w:eastAsia="en-US" w:bidi="ar-SA"/>
          </w:rPr>
          <w:t>Gearing</w:t>
        </w:r>
      </w:hyperlink>
      <w:hyperlink r:id="rId23" w:history="1">
        <w:r w:rsidR="00A77B3E" w:rsidRPr="00136CDA">
          <w:rPr>
            <w:color w:val="auto"/>
            <w:lang w:val="en-US" w:eastAsia="en-US" w:bidi="ar-SA"/>
          </w:rPr>
          <w:t xml:space="preserve"> (</w:t>
        </w:r>
      </w:hyperlink>
      <w:hyperlink r:id="rId24" w:history="1">
        <w:r w:rsidR="00A77B3E" w:rsidRPr="00136CDA">
          <w:rPr>
            <w:color w:val="auto"/>
            <w:lang w:val="en-US" w:eastAsia="en-US" w:bidi="ar-SA"/>
          </w:rPr>
          <w:t>Leverage</w:t>
        </w:r>
      </w:hyperlink>
      <w:hyperlink r:id="rId25" w:history="1">
        <w:r w:rsidR="00A77B3E" w:rsidRPr="00136CDA">
          <w:rPr>
            <w:color w:val="auto"/>
            <w:lang w:val="en-US" w:eastAsia="en-US" w:bidi="ar-SA"/>
          </w:rPr>
          <w:t xml:space="preserve">) </w:t>
        </w:r>
      </w:hyperlink>
      <w:hyperlink r:id="rId26" w:history="1">
        <w:r w:rsidR="00A77B3E" w:rsidRPr="00136CDA">
          <w:rPr>
            <w:color w:val="auto"/>
            <w:lang w:val="en-US" w:eastAsia="en-US" w:bidi="ar-SA"/>
          </w:rPr>
          <w:t>Analysis</w:t>
        </w:r>
      </w:hyperlink>
      <w:hyperlink r:id="rId27" w:history="1">
        <w:r w:rsidR="00A77B3E" w:rsidRPr="00136CDA">
          <w:rPr>
            <w:color w:val="auto"/>
            <w:lang w:val="en-US" w:eastAsia="en-US" w:bidi="ar-SA"/>
          </w:rPr>
          <w:tab/>
          <w:t>10</w:t>
        </w:r>
      </w:hyperlink>
    </w:p>
    <w:p w14:paraId="2462C9CF" w14:textId="5D87777F" w:rsidR="00A77B3E" w:rsidRPr="00136CDA" w:rsidRDefault="00A96C87">
      <w:pPr>
        <w:tabs>
          <w:tab w:val="right" w:pos="9350"/>
        </w:tabs>
        <w:spacing w:after="100"/>
        <w:ind w:left="240"/>
        <w:rPr>
          <w:rFonts w:ascii="Cambria" w:hAnsi="Cambria" w:cs="Cambria"/>
          <w:color w:val="auto"/>
          <w:lang w:val="en-US" w:bidi="ar-SA"/>
        </w:rPr>
      </w:pPr>
      <w:hyperlink r:id="rId28" w:history="1">
        <w:r w:rsidR="00A77B3E" w:rsidRPr="00136CDA">
          <w:rPr>
            <w:color w:val="auto"/>
            <w:lang w:val="en-US" w:eastAsia="en-US" w:bidi="ar-SA"/>
          </w:rPr>
          <w:t xml:space="preserve">2.5 </w:t>
        </w:r>
      </w:hyperlink>
      <w:hyperlink r:id="rId29" w:history="1">
        <w:r w:rsidR="00A77B3E" w:rsidRPr="00136CDA">
          <w:rPr>
            <w:color w:val="auto"/>
            <w:lang w:val="en-US" w:eastAsia="en-US" w:bidi="ar-SA"/>
          </w:rPr>
          <w:t>Investment</w:t>
        </w:r>
      </w:hyperlink>
      <w:hyperlink r:id="rId30" w:history="1">
        <w:r w:rsidR="00A77B3E" w:rsidRPr="00136CDA">
          <w:rPr>
            <w:color w:val="auto"/>
            <w:lang w:val="en-US" w:eastAsia="en-US" w:bidi="ar-SA"/>
          </w:rPr>
          <w:t xml:space="preserve"> </w:t>
        </w:r>
      </w:hyperlink>
      <w:hyperlink r:id="rId31" w:history="1">
        <w:r w:rsidR="00A77B3E" w:rsidRPr="00136CDA">
          <w:rPr>
            <w:color w:val="auto"/>
            <w:lang w:val="en-US" w:eastAsia="en-US" w:bidi="ar-SA"/>
          </w:rPr>
          <w:t>Ratios</w:t>
        </w:r>
      </w:hyperlink>
      <w:hyperlink r:id="rId32" w:history="1">
        <w:r w:rsidR="00A77B3E" w:rsidRPr="00136CDA">
          <w:rPr>
            <w:color w:val="auto"/>
            <w:lang w:val="en-US" w:eastAsia="en-US" w:bidi="ar-SA"/>
          </w:rPr>
          <w:tab/>
          <w:t>12</w:t>
        </w:r>
      </w:hyperlink>
    </w:p>
    <w:p w14:paraId="7CE4D19A" w14:textId="1B5EC3FC" w:rsidR="00A77B3E" w:rsidRPr="00136CDA" w:rsidRDefault="00A96C87">
      <w:pPr>
        <w:tabs>
          <w:tab w:val="right" w:pos="9350"/>
        </w:tabs>
        <w:spacing w:after="100"/>
        <w:ind w:left="240"/>
        <w:rPr>
          <w:rFonts w:ascii="Cambria" w:hAnsi="Cambria" w:cs="Cambria"/>
          <w:color w:val="auto"/>
          <w:lang w:val="en-US" w:bidi="ar-SA"/>
        </w:rPr>
      </w:pPr>
      <w:hyperlink r:id="rId33" w:history="1">
        <w:r w:rsidR="00A77B3E" w:rsidRPr="00136CDA">
          <w:rPr>
            <w:color w:val="auto"/>
            <w:lang w:val="en-US" w:eastAsia="en-US" w:bidi="ar-SA"/>
          </w:rPr>
          <w:t xml:space="preserve">2.6 </w:t>
        </w:r>
      </w:hyperlink>
      <w:hyperlink r:id="rId34" w:history="1">
        <w:r w:rsidR="00A77B3E" w:rsidRPr="00136CDA">
          <w:rPr>
            <w:color w:val="auto"/>
            <w:lang w:val="en-US" w:eastAsia="en-US" w:bidi="ar-SA"/>
          </w:rPr>
          <w:t>Cash</w:t>
        </w:r>
      </w:hyperlink>
      <w:hyperlink r:id="rId35" w:history="1">
        <w:r w:rsidR="00A77B3E" w:rsidRPr="00136CDA">
          <w:rPr>
            <w:color w:val="auto"/>
            <w:lang w:val="en-US" w:eastAsia="en-US" w:bidi="ar-SA"/>
          </w:rPr>
          <w:t xml:space="preserve"> </w:t>
        </w:r>
      </w:hyperlink>
      <w:hyperlink r:id="rId36" w:history="1">
        <w:r w:rsidR="00A77B3E" w:rsidRPr="00136CDA">
          <w:rPr>
            <w:color w:val="auto"/>
            <w:lang w:val="en-US" w:eastAsia="en-US" w:bidi="ar-SA"/>
          </w:rPr>
          <w:t>Flow</w:t>
        </w:r>
      </w:hyperlink>
      <w:hyperlink r:id="rId37" w:history="1">
        <w:r w:rsidR="00A77B3E" w:rsidRPr="00136CDA">
          <w:rPr>
            <w:color w:val="auto"/>
            <w:lang w:val="en-US" w:eastAsia="en-US" w:bidi="ar-SA"/>
          </w:rPr>
          <w:t xml:space="preserve"> </w:t>
        </w:r>
      </w:hyperlink>
      <w:hyperlink r:id="rId38" w:history="1">
        <w:r w:rsidR="00A77B3E" w:rsidRPr="00136CDA">
          <w:rPr>
            <w:color w:val="auto"/>
            <w:lang w:val="en-US" w:eastAsia="en-US" w:bidi="ar-SA"/>
          </w:rPr>
          <w:t>Analysis</w:t>
        </w:r>
      </w:hyperlink>
      <w:hyperlink r:id="rId39" w:history="1">
        <w:r w:rsidR="00A77B3E" w:rsidRPr="00136CDA">
          <w:rPr>
            <w:color w:val="auto"/>
            <w:lang w:val="en-US" w:eastAsia="en-US" w:bidi="ar-SA"/>
          </w:rPr>
          <w:tab/>
          <w:t>12</w:t>
        </w:r>
      </w:hyperlink>
    </w:p>
    <w:p w14:paraId="714A051E" w14:textId="26B7B2A1" w:rsidR="00A77B3E" w:rsidRPr="00136CDA" w:rsidRDefault="00A96C87">
      <w:pPr>
        <w:tabs>
          <w:tab w:val="right" w:pos="9350"/>
        </w:tabs>
        <w:spacing w:after="100"/>
        <w:ind w:left="240"/>
        <w:rPr>
          <w:rFonts w:ascii="Cambria" w:hAnsi="Cambria" w:cs="Cambria"/>
          <w:color w:val="auto"/>
          <w:lang w:val="en-US" w:bidi="ar-SA"/>
        </w:rPr>
      </w:pPr>
      <w:hyperlink r:id="rId40" w:history="1">
        <w:r w:rsidR="00A77B3E" w:rsidRPr="00136CDA">
          <w:rPr>
            <w:color w:val="auto"/>
            <w:lang w:val="en-US" w:eastAsia="en-US" w:bidi="ar-SA"/>
          </w:rPr>
          <w:t xml:space="preserve">2.7 </w:t>
        </w:r>
      </w:hyperlink>
      <w:hyperlink r:id="rId41" w:history="1">
        <w:r w:rsidR="00A77B3E" w:rsidRPr="00136CDA">
          <w:rPr>
            <w:color w:val="auto"/>
            <w:lang w:val="en-US" w:eastAsia="en-US" w:bidi="ar-SA"/>
          </w:rPr>
          <w:t>Corporate</w:t>
        </w:r>
      </w:hyperlink>
      <w:hyperlink r:id="rId42" w:history="1">
        <w:r w:rsidR="00A77B3E" w:rsidRPr="00136CDA">
          <w:rPr>
            <w:color w:val="auto"/>
            <w:lang w:val="en-US" w:eastAsia="en-US" w:bidi="ar-SA"/>
          </w:rPr>
          <w:t xml:space="preserve"> </w:t>
        </w:r>
      </w:hyperlink>
      <w:hyperlink r:id="rId43" w:history="1">
        <w:r w:rsidR="00A77B3E" w:rsidRPr="00136CDA">
          <w:rPr>
            <w:color w:val="auto"/>
            <w:lang w:val="en-US" w:eastAsia="en-US" w:bidi="ar-SA"/>
          </w:rPr>
          <w:t>Failure</w:t>
        </w:r>
      </w:hyperlink>
      <w:hyperlink r:id="rId44" w:history="1">
        <w:r w:rsidR="00A77B3E" w:rsidRPr="00136CDA">
          <w:rPr>
            <w:color w:val="auto"/>
            <w:lang w:val="en-US" w:eastAsia="en-US" w:bidi="ar-SA"/>
          </w:rPr>
          <w:t xml:space="preserve"> </w:t>
        </w:r>
      </w:hyperlink>
      <w:hyperlink r:id="rId45" w:history="1">
        <w:r w:rsidR="00A77B3E" w:rsidRPr="00136CDA">
          <w:rPr>
            <w:color w:val="auto"/>
            <w:lang w:val="en-US" w:eastAsia="en-US" w:bidi="ar-SA"/>
          </w:rPr>
          <w:t>Prediction</w:t>
        </w:r>
      </w:hyperlink>
      <w:hyperlink r:id="rId46" w:history="1">
        <w:r w:rsidR="00A77B3E" w:rsidRPr="00136CDA">
          <w:rPr>
            <w:color w:val="auto"/>
            <w:lang w:val="en-US" w:eastAsia="en-US" w:bidi="ar-SA"/>
          </w:rPr>
          <w:t xml:space="preserve"> (</w:t>
        </w:r>
      </w:hyperlink>
      <w:hyperlink r:id="rId47" w:history="1">
        <w:r w:rsidR="00A77B3E" w:rsidRPr="00136CDA">
          <w:rPr>
            <w:color w:val="auto"/>
            <w:lang w:val="en-US" w:eastAsia="en-US" w:bidi="ar-SA"/>
          </w:rPr>
          <w:t>Altman</w:t>
        </w:r>
      </w:hyperlink>
      <w:hyperlink r:id="rId48" w:history="1">
        <w:r w:rsidR="00A77B3E" w:rsidRPr="00136CDA">
          <w:rPr>
            <w:color w:val="auto"/>
            <w:lang w:val="en-US" w:eastAsia="en-US" w:bidi="ar-SA"/>
          </w:rPr>
          <w:t xml:space="preserve"> </w:t>
        </w:r>
      </w:hyperlink>
      <w:hyperlink r:id="rId49" w:history="1">
        <w:r w:rsidR="00A77B3E" w:rsidRPr="00136CDA">
          <w:rPr>
            <w:color w:val="auto"/>
            <w:lang w:val="en-US" w:eastAsia="en-US" w:bidi="ar-SA"/>
          </w:rPr>
          <w:t>Z</w:t>
        </w:r>
      </w:hyperlink>
      <w:hyperlink r:id="rId50" w:history="1">
        <w:r w:rsidR="00A77B3E" w:rsidRPr="00136CDA">
          <w:rPr>
            <w:color w:val="auto"/>
            <w:lang w:val="en-US" w:eastAsia="en-US" w:bidi="ar-SA"/>
          </w:rPr>
          <w:t>-</w:t>
        </w:r>
      </w:hyperlink>
      <w:hyperlink r:id="rId51" w:history="1">
        <w:r w:rsidR="00A77B3E" w:rsidRPr="00136CDA">
          <w:rPr>
            <w:color w:val="auto"/>
            <w:lang w:val="en-US" w:eastAsia="en-US" w:bidi="ar-SA"/>
          </w:rPr>
          <w:t>Score</w:t>
        </w:r>
      </w:hyperlink>
      <w:hyperlink r:id="rId52" w:history="1">
        <w:r w:rsidR="00A77B3E" w:rsidRPr="00136CDA">
          <w:rPr>
            <w:color w:val="auto"/>
            <w:lang w:val="en-US" w:eastAsia="en-US" w:bidi="ar-SA"/>
          </w:rPr>
          <w:t>)</w:t>
        </w:r>
        <w:r w:rsidR="00A77B3E" w:rsidRPr="00136CDA">
          <w:rPr>
            <w:color w:val="auto"/>
            <w:lang w:val="en-US" w:eastAsia="en-US" w:bidi="ar-SA"/>
          </w:rPr>
          <w:tab/>
          <w:t>14</w:t>
        </w:r>
      </w:hyperlink>
    </w:p>
    <w:p w14:paraId="3FB3399F" w14:textId="7D656F0E" w:rsidR="00A77B3E" w:rsidRPr="00136CDA" w:rsidRDefault="00A96C87">
      <w:pPr>
        <w:tabs>
          <w:tab w:val="right" w:pos="9350"/>
        </w:tabs>
        <w:spacing w:after="100"/>
        <w:ind w:left="240"/>
        <w:rPr>
          <w:rFonts w:ascii="Cambria" w:hAnsi="Cambria" w:cs="Cambria"/>
          <w:color w:val="auto"/>
          <w:lang w:val="en-US" w:bidi="ar-SA"/>
        </w:rPr>
      </w:pPr>
      <w:hyperlink r:id="rId53" w:history="1">
        <w:r w:rsidR="00A77B3E" w:rsidRPr="00136CDA">
          <w:rPr>
            <w:color w:val="auto"/>
            <w:lang w:val="en-US" w:eastAsia="en-US" w:bidi="ar-SA"/>
          </w:rPr>
          <w:t xml:space="preserve">2.8 </w:t>
        </w:r>
      </w:hyperlink>
      <w:hyperlink r:id="rId54" w:history="1">
        <w:r w:rsidR="00A77B3E" w:rsidRPr="00136CDA">
          <w:rPr>
            <w:color w:val="auto"/>
            <w:lang w:val="en-US" w:eastAsia="en-US" w:bidi="ar-SA"/>
          </w:rPr>
          <w:t>Summary</w:t>
        </w:r>
      </w:hyperlink>
      <w:hyperlink r:id="rId55" w:history="1">
        <w:r w:rsidR="00A77B3E" w:rsidRPr="00136CDA">
          <w:rPr>
            <w:color w:val="auto"/>
            <w:lang w:val="en-US" w:eastAsia="en-US" w:bidi="ar-SA"/>
          </w:rPr>
          <w:t xml:space="preserve"> </w:t>
        </w:r>
      </w:hyperlink>
      <w:hyperlink r:id="rId56" w:history="1">
        <w:r w:rsidR="00A77B3E" w:rsidRPr="00136CDA">
          <w:rPr>
            <w:color w:val="auto"/>
            <w:lang w:val="en-US" w:eastAsia="en-US" w:bidi="ar-SA"/>
          </w:rPr>
          <w:t>of</w:t>
        </w:r>
      </w:hyperlink>
      <w:hyperlink r:id="rId57" w:history="1">
        <w:r w:rsidR="00A77B3E" w:rsidRPr="00136CDA">
          <w:rPr>
            <w:color w:val="auto"/>
            <w:lang w:val="en-US" w:eastAsia="en-US" w:bidi="ar-SA"/>
          </w:rPr>
          <w:t xml:space="preserve"> </w:t>
        </w:r>
      </w:hyperlink>
      <w:hyperlink r:id="rId58" w:history="1">
        <w:r w:rsidR="00A77B3E" w:rsidRPr="00136CDA">
          <w:rPr>
            <w:color w:val="auto"/>
            <w:lang w:val="en-US" w:eastAsia="en-US" w:bidi="ar-SA"/>
          </w:rPr>
          <w:t>Financial</w:t>
        </w:r>
      </w:hyperlink>
      <w:hyperlink r:id="rId59" w:history="1">
        <w:r w:rsidR="00A77B3E" w:rsidRPr="00136CDA">
          <w:rPr>
            <w:color w:val="auto"/>
            <w:lang w:val="en-US" w:eastAsia="en-US" w:bidi="ar-SA"/>
          </w:rPr>
          <w:t xml:space="preserve"> </w:t>
        </w:r>
      </w:hyperlink>
      <w:hyperlink r:id="rId60" w:history="1">
        <w:r w:rsidR="00A77B3E" w:rsidRPr="00136CDA">
          <w:rPr>
            <w:color w:val="auto"/>
            <w:lang w:val="en-US" w:eastAsia="en-US" w:bidi="ar-SA"/>
          </w:rPr>
          <w:t>Health</w:t>
        </w:r>
      </w:hyperlink>
      <w:hyperlink r:id="rId61" w:history="1">
        <w:r w:rsidR="00A77B3E" w:rsidRPr="00136CDA">
          <w:rPr>
            <w:color w:val="auto"/>
            <w:lang w:val="en-US" w:eastAsia="en-US" w:bidi="ar-SA"/>
          </w:rPr>
          <w:tab/>
          <w:t>14</w:t>
        </w:r>
      </w:hyperlink>
    </w:p>
    <w:p w14:paraId="59B66DFD" w14:textId="2A2031D3" w:rsidR="00A77B3E" w:rsidRPr="00136CDA" w:rsidRDefault="00A96C87">
      <w:pPr>
        <w:tabs>
          <w:tab w:val="right" w:pos="9350"/>
        </w:tabs>
        <w:spacing w:after="100"/>
        <w:rPr>
          <w:rFonts w:ascii="Cambria" w:hAnsi="Cambria" w:cs="Cambria"/>
          <w:color w:val="auto"/>
          <w:lang w:val="en-US" w:bidi="ar-SA"/>
        </w:rPr>
      </w:pPr>
      <w:hyperlink r:id="rId62" w:history="1">
        <w:r w:rsidR="00A77B3E" w:rsidRPr="00136CDA">
          <w:rPr>
            <w:color w:val="auto"/>
            <w:lang w:val="en-US" w:eastAsia="en-US" w:bidi="ar-SA"/>
          </w:rPr>
          <w:t xml:space="preserve">3. </w:t>
        </w:r>
      </w:hyperlink>
      <w:hyperlink r:id="rId63" w:history="1">
        <w:r w:rsidR="00A77B3E" w:rsidRPr="00136CDA">
          <w:rPr>
            <w:color w:val="auto"/>
            <w:lang w:val="en-US" w:eastAsia="en-US" w:bidi="ar-SA"/>
          </w:rPr>
          <w:t>Working</w:t>
        </w:r>
      </w:hyperlink>
      <w:hyperlink r:id="rId64" w:history="1">
        <w:r w:rsidR="00A77B3E" w:rsidRPr="00136CDA">
          <w:rPr>
            <w:color w:val="auto"/>
            <w:lang w:val="en-US" w:eastAsia="en-US" w:bidi="ar-SA"/>
          </w:rPr>
          <w:t xml:space="preserve"> </w:t>
        </w:r>
      </w:hyperlink>
      <w:hyperlink r:id="rId65" w:history="1">
        <w:r w:rsidR="00A77B3E" w:rsidRPr="00136CDA">
          <w:rPr>
            <w:color w:val="auto"/>
            <w:lang w:val="en-US" w:eastAsia="en-US" w:bidi="ar-SA"/>
          </w:rPr>
          <w:t>Capital</w:t>
        </w:r>
      </w:hyperlink>
      <w:hyperlink r:id="rId66" w:history="1">
        <w:r w:rsidR="00A77B3E" w:rsidRPr="00136CDA">
          <w:rPr>
            <w:color w:val="auto"/>
            <w:lang w:val="en-US" w:eastAsia="en-US" w:bidi="ar-SA"/>
          </w:rPr>
          <w:t xml:space="preserve"> </w:t>
        </w:r>
      </w:hyperlink>
      <w:hyperlink r:id="rId67" w:history="1">
        <w:r w:rsidR="00A77B3E" w:rsidRPr="00136CDA">
          <w:rPr>
            <w:color w:val="auto"/>
            <w:lang w:val="en-US" w:eastAsia="en-US" w:bidi="ar-SA"/>
          </w:rPr>
          <w:t>Management</w:t>
        </w:r>
      </w:hyperlink>
      <w:hyperlink r:id="rId68" w:history="1">
        <w:r w:rsidR="00A77B3E" w:rsidRPr="00136CDA">
          <w:rPr>
            <w:color w:val="auto"/>
            <w:lang w:val="en-US" w:eastAsia="en-US" w:bidi="ar-SA"/>
          </w:rPr>
          <w:tab/>
          <w:t>15</w:t>
        </w:r>
      </w:hyperlink>
    </w:p>
    <w:p w14:paraId="46A66BF6" w14:textId="559A7CEE" w:rsidR="00A77B3E" w:rsidRPr="00136CDA" w:rsidRDefault="00A96C87">
      <w:pPr>
        <w:tabs>
          <w:tab w:val="right" w:pos="9350"/>
        </w:tabs>
        <w:spacing w:after="100"/>
        <w:ind w:left="240"/>
        <w:rPr>
          <w:rFonts w:ascii="Cambria" w:hAnsi="Cambria" w:cs="Cambria"/>
          <w:color w:val="auto"/>
          <w:lang w:val="en-US" w:bidi="ar-SA"/>
        </w:rPr>
      </w:pPr>
      <w:hyperlink r:id="rId69" w:history="1">
        <w:r w:rsidR="00A77B3E" w:rsidRPr="00136CDA">
          <w:rPr>
            <w:color w:val="auto"/>
            <w:lang w:val="en-US" w:eastAsia="en-US" w:bidi="ar-SA"/>
          </w:rPr>
          <w:t xml:space="preserve">3.1 </w:t>
        </w:r>
      </w:hyperlink>
      <w:hyperlink r:id="rId70" w:history="1">
        <w:r w:rsidR="00A77B3E" w:rsidRPr="00136CDA">
          <w:rPr>
            <w:color w:val="auto"/>
            <w:lang w:val="en-US" w:eastAsia="en-US" w:bidi="ar-SA"/>
          </w:rPr>
          <w:t>Cash</w:t>
        </w:r>
      </w:hyperlink>
      <w:hyperlink r:id="rId71" w:history="1">
        <w:r w:rsidR="00A77B3E" w:rsidRPr="00136CDA">
          <w:rPr>
            <w:color w:val="auto"/>
            <w:lang w:val="en-US" w:eastAsia="en-US" w:bidi="ar-SA"/>
          </w:rPr>
          <w:t xml:space="preserve"> </w:t>
        </w:r>
      </w:hyperlink>
      <w:hyperlink r:id="rId72" w:history="1">
        <w:r w:rsidR="00A77B3E" w:rsidRPr="00136CDA">
          <w:rPr>
            <w:color w:val="auto"/>
            <w:lang w:val="en-US" w:eastAsia="en-US" w:bidi="ar-SA"/>
          </w:rPr>
          <w:t>Conversion</w:t>
        </w:r>
      </w:hyperlink>
      <w:hyperlink r:id="rId73" w:history="1">
        <w:r w:rsidR="00A77B3E" w:rsidRPr="00136CDA">
          <w:rPr>
            <w:color w:val="auto"/>
            <w:lang w:val="en-US" w:eastAsia="en-US" w:bidi="ar-SA"/>
          </w:rPr>
          <w:t xml:space="preserve"> </w:t>
        </w:r>
      </w:hyperlink>
      <w:hyperlink r:id="rId74" w:history="1">
        <w:r w:rsidR="00A77B3E" w:rsidRPr="00136CDA">
          <w:rPr>
            <w:color w:val="auto"/>
            <w:lang w:val="en-US" w:eastAsia="en-US" w:bidi="ar-SA"/>
          </w:rPr>
          <w:t>Cycle</w:t>
        </w:r>
      </w:hyperlink>
      <w:hyperlink r:id="rId75" w:history="1">
        <w:r w:rsidR="00A77B3E" w:rsidRPr="00136CDA">
          <w:rPr>
            <w:color w:val="auto"/>
            <w:lang w:val="en-US" w:eastAsia="en-US" w:bidi="ar-SA"/>
          </w:rPr>
          <w:t xml:space="preserve"> (</w:t>
        </w:r>
      </w:hyperlink>
      <w:hyperlink r:id="rId76" w:history="1">
        <w:r w:rsidR="00A77B3E" w:rsidRPr="00136CDA">
          <w:rPr>
            <w:color w:val="auto"/>
            <w:lang w:val="en-US" w:eastAsia="en-US" w:bidi="ar-SA"/>
          </w:rPr>
          <w:t>CCC</w:t>
        </w:r>
      </w:hyperlink>
      <w:hyperlink r:id="rId77" w:history="1">
        <w:r w:rsidR="00A77B3E" w:rsidRPr="00136CDA">
          <w:rPr>
            <w:color w:val="auto"/>
            <w:lang w:val="en-US" w:eastAsia="en-US" w:bidi="ar-SA"/>
          </w:rPr>
          <w:t xml:space="preserve">) </w:t>
        </w:r>
      </w:hyperlink>
      <w:hyperlink r:id="rId78" w:history="1">
        <w:r w:rsidR="00A77B3E" w:rsidRPr="00136CDA">
          <w:rPr>
            <w:color w:val="auto"/>
            <w:lang w:val="en-US" w:eastAsia="en-US" w:bidi="ar-SA"/>
          </w:rPr>
          <w:t>Analysis</w:t>
        </w:r>
      </w:hyperlink>
      <w:hyperlink r:id="rId79" w:history="1">
        <w:r w:rsidR="00A77B3E" w:rsidRPr="00136CDA">
          <w:rPr>
            <w:color w:val="auto"/>
            <w:lang w:val="en-US" w:eastAsia="en-US" w:bidi="ar-SA"/>
          </w:rPr>
          <w:tab/>
          <w:t>15</w:t>
        </w:r>
      </w:hyperlink>
    </w:p>
    <w:p w14:paraId="7988892A" w14:textId="010060B6" w:rsidR="00A77B3E" w:rsidRPr="00136CDA" w:rsidRDefault="00A96C87">
      <w:pPr>
        <w:tabs>
          <w:tab w:val="right" w:pos="9350"/>
        </w:tabs>
        <w:spacing w:after="100"/>
        <w:ind w:left="240"/>
        <w:rPr>
          <w:rFonts w:ascii="Cambria" w:hAnsi="Cambria" w:cs="Cambria"/>
          <w:color w:val="auto"/>
          <w:lang w:val="en-US" w:bidi="ar-SA"/>
        </w:rPr>
      </w:pPr>
      <w:hyperlink r:id="rId80" w:history="1">
        <w:r w:rsidR="00A77B3E" w:rsidRPr="00136CDA">
          <w:rPr>
            <w:color w:val="auto"/>
            <w:lang w:val="en-US" w:eastAsia="en-US" w:bidi="ar-SA"/>
          </w:rPr>
          <w:t xml:space="preserve">3.2 </w:t>
        </w:r>
      </w:hyperlink>
      <w:hyperlink r:id="rId81" w:history="1">
        <w:r w:rsidR="00A77B3E" w:rsidRPr="00136CDA">
          <w:rPr>
            <w:color w:val="auto"/>
            <w:lang w:val="en-US" w:eastAsia="en-US" w:bidi="ar-SA"/>
          </w:rPr>
          <w:t>Working</w:t>
        </w:r>
      </w:hyperlink>
      <w:hyperlink r:id="rId82" w:history="1">
        <w:r w:rsidR="00A77B3E" w:rsidRPr="00136CDA">
          <w:rPr>
            <w:color w:val="auto"/>
            <w:lang w:val="en-US" w:eastAsia="en-US" w:bidi="ar-SA"/>
          </w:rPr>
          <w:t xml:space="preserve"> </w:t>
        </w:r>
      </w:hyperlink>
      <w:hyperlink r:id="rId83" w:history="1">
        <w:r w:rsidR="00A77B3E" w:rsidRPr="00136CDA">
          <w:rPr>
            <w:color w:val="auto"/>
            <w:lang w:val="en-US" w:eastAsia="en-US" w:bidi="ar-SA"/>
          </w:rPr>
          <w:t>capital</w:t>
        </w:r>
      </w:hyperlink>
      <w:hyperlink r:id="rId84" w:history="1">
        <w:r w:rsidR="00A77B3E" w:rsidRPr="00136CDA">
          <w:rPr>
            <w:color w:val="auto"/>
            <w:lang w:val="en-US" w:eastAsia="en-US" w:bidi="ar-SA"/>
          </w:rPr>
          <w:t xml:space="preserve"> </w:t>
        </w:r>
      </w:hyperlink>
      <w:hyperlink r:id="rId85" w:history="1">
        <w:r w:rsidR="00A77B3E" w:rsidRPr="00136CDA">
          <w:rPr>
            <w:color w:val="auto"/>
            <w:lang w:val="en-US" w:eastAsia="en-US" w:bidi="ar-SA"/>
          </w:rPr>
          <w:t>problems</w:t>
        </w:r>
      </w:hyperlink>
      <w:hyperlink r:id="rId86" w:history="1">
        <w:r w:rsidR="00A77B3E" w:rsidRPr="00136CDA">
          <w:rPr>
            <w:color w:val="auto"/>
            <w:lang w:val="en-US" w:eastAsia="en-US" w:bidi="ar-SA"/>
          </w:rPr>
          <w:t xml:space="preserve"> </w:t>
        </w:r>
      </w:hyperlink>
      <w:hyperlink r:id="rId87" w:history="1">
        <w:r w:rsidR="00A77B3E" w:rsidRPr="00136CDA">
          <w:rPr>
            <w:color w:val="auto"/>
            <w:lang w:val="en-US" w:eastAsia="en-US" w:bidi="ar-SA"/>
          </w:rPr>
          <w:t>identified</w:t>
        </w:r>
      </w:hyperlink>
      <w:hyperlink r:id="rId88" w:history="1">
        <w:r w:rsidR="00A77B3E" w:rsidRPr="00136CDA">
          <w:rPr>
            <w:color w:val="auto"/>
            <w:lang w:val="en-US" w:eastAsia="en-US" w:bidi="ar-SA"/>
          </w:rPr>
          <w:tab/>
          <w:t>16</w:t>
        </w:r>
      </w:hyperlink>
    </w:p>
    <w:p w14:paraId="0603176F" w14:textId="57E4254E" w:rsidR="00A77B3E" w:rsidRPr="00136CDA" w:rsidRDefault="00A96C87">
      <w:pPr>
        <w:tabs>
          <w:tab w:val="right" w:pos="9350"/>
        </w:tabs>
        <w:spacing w:after="100"/>
        <w:ind w:left="240"/>
        <w:rPr>
          <w:rFonts w:ascii="Cambria" w:hAnsi="Cambria" w:cs="Cambria"/>
          <w:color w:val="auto"/>
          <w:lang w:val="en-US" w:bidi="ar-SA"/>
        </w:rPr>
      </w:pPr>
      <w:hyperlink r:id="rId89" w:history="1">
        <w:r w:rsidR="00A77B3E" w:rsidRPr="00136CDA">
          <w:rPr>
            <w:color w:val="auto"/>
            <w:lang w:val="en-US" w:eastAsia="en-US" w:bidi="ar-SA"/>
          </w:rPr>
          <w:t xml:space="preserve">3.3 </w:t>
        </w:r>
      </w:hyperlink>
      <w:hyperlink r:id="rId90" w:history="1">
        <w:r w:rsidR="00A77B3E" w:rsidRPr="00136CDA">
          <w:rPr>
            <w:color w:val="auto"/>
            <w:lang w:val="en-US" w:eastAsia="en-US" w:bidi="ar-SA"/>
          </w:rPr>
          <w:t>Initiatives</w:t>
        </w:r>
      </w:hyperlink>
      <w:hyperlink r:id="rId91" w:history="1">
        <w:r w:rsidR="00A77B3E" w:rsidRPr="00136CDA">
          <w:rPr>
            <w:color w:val="auto"/>
            <w:lang w:val="en-US" w:eastAsia="en-US" w:bidi="ar-SA"/>
          </w:rPr>
          <w:t xml:space="preserve"> </w:t>
        </w:r>
      </w:hyperlink>
      <w:hyperlink r:id="rId92" w:history="1">
        <w:r w:rsidR="00A77B3E" w:rsidRPr="00136CDA">
          <w:rPr>
            <w:color w:val="auto"/>
            <w:lang w:val="en-US" w:eastAsia="en-US" w:bidi="ar-SA"/>
          </w:rPr>
          <w:t>to</w:t>
        </w:r>
      </w:hyperlink>
      <w:hyperlink r:id="rId93" w:history="1">
        <w:r w:rsidR="00A77B3E" w:rsidRPr="00136CDA">
          <w:rPr>
            <w:color w:val="auto"/>
            <w:lang w:val="en-US" w:eastAsia="en-US" w:bidi="ar-SA"/>
          </w:rPr>
          <w:t xml:space="preserve"> </w:t>
        </w:r>
      </w:hyperlink>
      <w:hyperlink r:id="rId94" w:history="1">
        <w:r w:rsidR="00A77B3E" w:rsidRPr="00136CDA">
          <w:rPr>
            <w:color w:val="auto"/>
            <w:lang w:val="en-US" w:eastAsia="en-US" w:bidi="ar-SA"/>
          </w:rPr>
          <w:t>enhance</w:t>
        </w:r>
      </w:hyperlink>
      <w:hyperlink r:id="rId95" w:history="1">
        <w:r w:rsidR="00A77B3E" w:rsidRPr="00136CDA">
          <w:rPr>
            <w:color w:val="auto"/>
            <w:lang w:val="en-US" w:eastAsia="en-US" w:bidi="ar-SA"/>
          </w:rPr>
          <w:t xml:space="preserve"> </w:t>
        </w:r>
      </w:hyperlink>
      <w:hyperlink r:id="rId96" w:history="1">
        <w:r w:rsidR="00A77B3E" w:rsidRPr="00136CDA">
          <w:rPr>
            <w:color w:val="auto"/>
            <w:lang w:val="en-US" w:eastAsia="en-US" w:bidi="ar-SA"/>
          </w:rPr>
          <w:t>Liquidity</w:t>
        </w:r>
      </w:hyperlink>
      <w:hyperlink r:id="rId97" w:history="1">
        <w:r w:rsidR="00A77B3E" w:rsidRPr="00136CDA">
          <w:rPr>
            <w:color w:val="auto"/>
            <w:lang w:val="en-US" w:eastAsia="en-US" w:bidi="ar-SA"/>
          </w:rPr>
          <w:t xml:space="preserve"> </w:t>
        </w:r>
      </w:hyperlink>
      <w:hyperlink r:id="rId98" w:history="1">
        <w:r w:rsidR="00A77B3E" w:rsidRPr="00136CDA">
          <w:rPr>
            <w:color w:val="auto"/>
            <w:lang w:val="en-US" w:eastAsia="en-US" w:bidi="ar-SA"/>
          </w:rPr>
          <w:t>using</w:t>
        </w:r>
      </w:hyperlink>
      <w:hyperlink r:id="rId99" w:history="1">
        <w:r w:rsidR="00A77B3E" w:rsidRPr="00136CDA">
          <w:rPr>
            <w:color w:val="auto"/>
            <w:lang w:val="en-US" w:eastAsia="en-US" w:bidi="ar-SA"/>
          </w:rPr>
          <w:t xml:space="preserve"> </w:t>
        </w:r>
      </w:hyperlink>
      <w:hyperlink r:id="rId100" w:history="1">
        <w:r w:rsidR="00A77B3E" w:rsidRPr="00136CDA">
          <w:rPr>
            <w:color w:val="auto"/>
            <w:lang w:val="en-US" w:eastAsia="en-US" w:bidi="ar-SA"/>
          </w:rPr>
          <w:t>Working</w:t>
        </w:r>
      </w:hyperlink>
      <w:hyperlink r:id="rId101" w:history="1">
        <w:r w:rsidR="00A77B3E" w:rsidRPr="00136CDA">
          <w:rPr>
            <w:color w:val="auto"/>
            <w:lang w:val="en-US" w:eastAsia="en-US" w:bidi="ar-SA"/>
          </w:rPr>
          <w:t xml:space="preserve"> </w:t>
        </w:r>
      </w:hyperlink>
      <w:hyperlink r:id="rId102" w:history="1">
        <w:r w:rsidR="00A77B3E" w:rsidRPr="00136CDA">
          <w:rPr>
            <w:color w:val="auto"/>
            <w:lang w:val="en-US" w:eastAsia="en-US" w:bidi="ar-SA"/>
          </w:rPr>
          <w:t>Capital</w:t>
        </w:r>
      </w:hyperlink>
      <w:hyperlink r:id="rId103" w:history="1">
        <w:r w:rsidR="00A77B3E" w:rsidRPr="00136CDA">
          <w:rPr>
            <w:color w:val="auto"/>
            <w:lang w:val="en-US" w:eastAsia="en-US" w:bidi="ar-SA"/>
          </w:rPr>
          <w:t xml:space="preserve"> </w:t>
        </w:r>
      </w:hyperlink>
      <w:hyperlink r:id="rId104" w:history="1">
        <w:r w:rsidR="00A77B3E" w:rsidRPr="00136CDA">
          <w:rPr>
            <w:color w:val="auto"/>
            <w:lang w:val="en-US" w:eastAsia="en-US" w:bidi="ar-SA"/>
          </w:rPr>
          <w:t>Reform</w:t>
        </w:r>
      </w:hyperlink>
      <w:hyperlink r:id="rId105" w:history="1">
        <w:r w:rsidR="00A77B3E" w:rsidRPr="00136CDA">
          <w:rPr>
            <w:color w:val="auto"/>
            <w:lang w:val="en-US" w:eastAsia="en-US" w:bidi="ar-SA"/>
          </w:rPr>
          <w:tab/>
          <w:t>18</w:t>
        </w:r>
      </w:hyperlink>
    </w:p>
    <w:p w14:paraId="3FA6A483" w14:textId="71A02181" w:rsidR="00A77B3E" w:rsidRPr="00136CDA" w:rsidRDefault="00A96C87">
      <w:pPr>
        <w:tabs>
          <w:tab w:val="right" w:pos="9350"/>
        </w:tabs>
        <w:spacing w:after="100"/>
        <w:ind w:left="240"/>
        <w:rPr>
          <w:rFonts w:ascii="Cambria" w:hAnsi="Cambria" w:cs="Cambria"/>
          <w:color w:val="auto"/>
          <w:lang w:val="en-US" w:bidi="ar-SA"/>
        </w:rPr>
      </w:pPr>
      <w:hyperlink r:id="rId106" w:history="1">
        <w:r w:rsidR="00A77B3E" w:rsidRPr="00136CDA">
          <w:rPr>
            <w:color w:val="auto"/>
            <w:lang w:val="en-US" w:eastAsia="en-US" w:bidi="ar-SA"/>
          </w:rPr>
          <w:t xml:space="preserve">3.4 </w:t>
        </w:r>
      </w:hyperlink>
      <w:hyperlink r:id="rId107" w:history="1">
        <w:r w:rsidR="00A77B3E" w:rsidRPr="00136CDA">
          <w:rPr>
            <w:color w:val="auto"/>
            <w:lang w:val="en-US" w:eastAsia="en-US" w:bidi="ar-SA"/>
          </w:rPr>
          <w:t>Short</w:t>
        </w:r>
      </w:hyperlink>
      <w:hyperlink r:id="rId108" w:history="1">
        <w:r w:rsidR="00A77B3E" w:rsidRPr="00136CDA">
          <w:rPr>
            <w:color w:val="auto"/>
            <w:lang w:val="en-US" w:eastAsia="en-US" w:bidi="ar-SA"/>
          </w:rPr>
          <w:t>-</w:t>
        </w:r>
      </w:hyperlink>
      <w:hyperlink r:id="rId109" w:history="1">
        <w:r w:rsidR="00A77B3E" w:rsidRPr="00136CDA">
          <w:rPr>
            <w:color w:val="auto"/>
            <w:lang w:val="en-US" w:eastAsia="en-US" w:bidi="ar-SA"/>
          </w:rPr>
          <w:t>term</w:t>
        </w:r>
      </w:hyperlink>
      <w:hyperlink r:id="rId110" w:history="1">
        <w:r w:rsidR="00A77B3E" w:rsidRPr="00136CDA">
          <w:rPr>
            <w:color w:val="auto"/>
            <w:lang w:val="en-US" w:eastAsia="en-US" w:bidi="ar-SA"/>
          </w:rPr>
          <w:t xml:space="preserve"> </w:t>
        </w:r>
      </w:hyperlink>
      <w:hyperlink r:id="rId111" w:history="1">
        <w:r w:rsidR="00A77B3E" w:rsidRPr="00136CDA">
          <w:rPr>
            <w:color w:val="auto"/>
            <w:lang w:val="en-US" w:eastAsia="en-US" w:bidi="ar-SA"/>
          </w:rPr>
          <w:t>and</w:t>
        </w:r>
      </w:hyperlink>
      <w:hyperlink r:id="rId112" w:history="1">
        <w:r w:rsidR="00A77B3E" w:rsidRPr="00136CDA">
          <w:rPr>
            <w:color w:val="auto"/>
            <w:lang w:val="en-US" w:eastAsia="en-US" w:bidi="ar-SA"/>
          </w:rPr>
          <w:t xml:space="preserve"> </w:t>
        </w:r>
      </w:hyperlink>
      <w:hyperlink r:id="rId113" w:history="1">
        <w:r w:rsidR="00A77B3E" w:rsidRPr="00136CDA">
          <w:rPr>
            <w:color w:val="auto"/>
            <w:lang w:val="en-US" w:eastAsia="en-US" w:bidi="ar-SA"/>
          </w:rPr>
          <w:t>Long</w:t>
        </w:r>
      </w:hyperlink>
      <w:hyperlink r:id="rId114" w:history="1">
        <w:r w:rsidR="00A77B3E" w:rsidRPr="00136CDA">
          <w:rPr>
            <w:color w:val="auto"/>
            <w:lang w:val="en-US" w:eastAsia="en-US" w:bidi="ar-SA"/>
          </w:rPr>
          <w:t>-</w:t>
        </w:r>
      </w:hyperlink>
      <w:hyperlink r:id="rId115" w:history="1">
        <w:r w:rsidR="00A77B3E" w:rsidRPr="00136CDA">
          <w:rPr>
            <w:color w:val="auto"/>
            <w:lang w:val="en-US" w:eastAsia="en-US" w:bidi="ar-SA"/>
          </w:rPr>
          <w:t>term</w:t>
        </w:r>
      </w:hyperlink>
      <w:hyperlink r:id="rId116" w:history="1">
        <w:r w:rsidR="00A77B3E" w:rsidRPr="00136CDA">
          <w:rPr>
            <w:color w:val="auto"/>
            <w:lang w:val="en-US" w:eastAsia="en-US" w:bidi="ar-SA"/>
          </w:rPr>
          <w:t xml:space="preserve"> </w:t>
        </w:r>
      </w:hyperlink>
      <w:hyperlink r:id="rId117" w:history="1">
        <w:r w:rsidR="00A77B3E" w:rsidRPr="00136CDA">
          <w:rPr>
            <w:color w:val="auto"/>
            <w:lang w:val="en-US" w:eastAsia="en-US" w:bidi="ar-SA"/>
          </w:rPr>
          <w:t>Financing</w:t>
        </w:r>
      </w:hyperlink>
      <w:hyperlink r:id="rId118" w:history="1">
        <w:r w:rsidR="00A77B3E" w:rsidRPr="00136CDA">
          <w:rPr>
            <w:color w:val="auto"/>
            <w:lang w:val="en-US" w:eastAsia="en-US" w:bidi="ar-SA"/>
          </w:rPr>
          <w:tab/>
          <w:t>19</w:t>
        </w:r>
      </w:hyperlink>
    </w:p>
    <w:p w14:paraId="77020F5A" w14:textId="7F81828E" w:rsidR="00A77B3E" w:rsidRPr="00136CDA" w:rsidRDefault="00A96C87">
      <w:pPr>
        <w:tabs>
          <w:tab w:val="right" w:pos="9350"/>
        </w:tabs>
        <w:spacing w:after="100"/>
        <w:rPr>
          <w:rFonts w:ascii="Cambria" w:hAnsi="Cambria" w:cs="Cambria"/>
          <w:color w:val="auto"/>
          <w:lang w:val="en-US" w:bidi="ar-SA"/>
        </w:rPr>
      </w:pPr>
      <w:hyperlink r:id="rId119" w:history="1">
        <w:r w:rsidR="00A77B3E" w:rsidRPr="00136CDA">
          <w:rPr>
            <w:color w:val="auto"/>
            <w:lang w:val="en-US" w:eastAsia="en-US" w:bidi="ar-SA"/>
          </w:rPr>
          <w:t xml:space="preserve">4. </w:t>
        </w:r>
      </w:hyperlink>
      <w:hyperlink r:id="rId120" w:history="1">
        <w:r w:rsidR="00A77B3E" w:rsidRPr="00136CDA">
          <w:rPr>
            <w:color w:val="auto"/>
            <w:lang w:val="en-US" w:eastAsia="en-US" w:bidi="ar-SA"/>
          </w:rPr>
          <w:t>Strategic</w:t>
        </w:r>
      </w:hyperlink>
      <w:hyperlink r:id="rId121" w:history="1">
        <w:r w:rsidR="00A77B3E" w:rsidRPr="00136CDA">
          <w:rPr>
            <w:color w:val="auto"/>
            <w:lang w:val="en-US" w:eastAsia="en-US" w:bidi="ar-SA"/>
          </w:rPr>
          <w:t xml:space="preserve"> </w:t>
        </w:r>
      </w:hyperlink>
      <w:hyperlink r:id="rId122" w:history="1">
        <w:r w:rsidR="00A77B3E" w:rsidRPr="00136CDA">
          <w:rPr>
            <w:color w:val="auto"/>
            <w:lang w:val="en-US" w:eastAsia="en-US" w:bidi="ar-SA"/>
          </w:rPr>
          <w:t>Financial</w:t>
        </w:r>
      </w:hyperlink>
      <w:hyperlink r:id="rId123" w:history="1">
        <w:r w:rsidR="00A77B3E" w:rsidRPr="00136CDA">
          <w:rPr>
            <w:color w:val="auto"/>
            <w:lang w:val="en-US" w:eastAsia="en-US" w:bidi="ar-SA"/>
          </w:rPr>
          <w:t xml:space="preserve"> </w:t>
        </w:r>
      </w:hyperlink>
      <w:hyperlink r:id="rId124" w:history="1">
        <w:r w:rsidR="00A77B3E" w:rsidRPr="00136CDA">
          <w:rPr>
            <w:color w:val="auto"/>
            <w:lang w:val="en-US" w:eastAsia="en-US" w:bidi="ar-SA"/>
          </w:rPr>
          <w:t>Restructuring</w:t>
        </w:r>
      </w:hyperlink>
      <w:hyperlink r:id="rId125" w:history="1">
        <w:r w:rsidR="00A77B3E" w:rsidRPr="00136CDA">
          <w:rPr>
            <w:color w:val="auto"/>
            <w:lang w:val="en-US" w:eastAsia="en-US" w:bidi="ar-SA"/>
          </w:rPr>
          <w:t xml:space="preserve"> </w:t>
        </w:r>
      </w:hyperlink>
      <w:hyperlink r:id="rId126" w:history="1">
        <w:r w:rsidR="00A77B3E" w:rsidRPr="00136CDA">
          <w:rPr>
            <w:color w:val="auto"/>
            <w:lang w:val="en-US" w:eastAsia="en-US" w:bidi="ar-SA"/>
          </w:rPr>
          <w:t>Plan</w:t>
        </w:r>
      </w:hyperlink>
      <w:hyperlink r:id="rId127" w:history="1">
        <w:r w:rsidR="00A77B3E" w:rsidRPr="00136CDA">
          <w:rPr>
            <w:color w:val="auto"/>
            <w:lang w:val="en-US" w:eastAsia="en-US" w:bidi="ar-SA"/>
          </w:rPr>
          <w:tab/>
          <w:t>19</w:t>
        </w:r>
      </w:hyperlink>
    </w:p>
    <w:p w14:paraId="2513E0C4" w14:textId="55827358" w:rsidR="00A77B3E" w:rsidRPr="00136CDA" w:rsidRDefault="00A96C87">
      <w:pPr>
        <w:tabs>
          <w:tab w:val="right" w:pos="9350"/>
        </w:tabs>
        <w:spacing w:after="100"/>
        <w:ind w:left="240"/>
        <w:rPr>
          <w:rFonts w:ascii="Cambria" w:hAnsi="Cambria" w:cs="Cambria"/>
          <w:color w:val="auto"/>
          <w:lang w:val="en-US" w:bidi="ar-SA"/>
        </w:rPr>
      </w:pPr>
      <w:hyperlink r:id="rId128" w:history="1">
        <w:r w:rsidR="00A77B3E" w:rsidRPr="00136CDA">
          <w:rPr>
            <w:color w:val="auto"/>
            <w:lang w:val="en-US" w:eastAsia="en-US" w:bidi="ar-SA"/>
          </w:rPr>
          <w:t xml:space="preserve">4.1 </w:t>
        </w:r>
      </w:hyperlink>
      <w:hyperlink r:id="rId129" w:history="1">
        <w:r w:rsidR="00A77B3E" w:rsidRPr="00136CDA">
          <w:rPr>
            <w:color w:val="auto"/>
            <w:lang w:val="en-US" w:eastAsia="en-US" w:bidi="ar-SA"/>
          </w:rPr>
          <w:t>Recommendation</w:t>
        </w:r>
      </w:hyperlink>
      <w:hyperlink r:id="rId130" w:history="1">
        <w:r w:rsidR="00A77B3E" w:rsidRPr="00136CDA">
          <w:rPr>
            <w:color w:val="auto"/>
            <w:lang w:val="en-US" w:eastAsia="en-US" w:bidi="ar-SA"/>
          </w:rPr>
          <w:tab/>
          <w:t>19</w:t>
        </w:r>
      </w:hyperlink>
    </w:p>
    <w:p w14:paraId="06A2766E" w14:textId="328C1FCA" w:rsidR="00A77B3E" w:rsidRPr="00136CDA" w:rsidRDefault="00A96C87">
      <w:pPr>
        <w:tabs>
          <w:tab w:val="right" w:pos="9350"/>
        </w:tabs>
        <w:spacing w:after="100"/>
        <w:ind w:left="240"/>
        <w:rPr>
          <w:rFonts w:ascii="Cambria" w:hAnsi="Cambria" w:cs="Cambria"/>
          <w:color w:val="auto"/>
          <w:lang w:val="en-US" w:bidi="ar-SA"/>
        </w:rPr>
      </w:pPr>
      <w:hyperlink r:id="rId131" w:history="1">
        <w:r w:rsidR="00A77B3E" w:rsidRPr="00136CDA">
          <w:rPr>
            <w:color w:val="auto"/>
            <w:lang w:val="en-US" w:eastAsia="en-US" w:bidi="ar-SA"/>
          </w:rPr>
          <w:t xml:space="preserve">4.2 </w:t>
        </w:r>
      </w:hyperlink>
      <w:hyperlink r:id="rId132" w:history="1">
        <w:r w:rsidR="00A77B3E" w:rsidRPr="00136CDA">
          <w:rPr>
            <w:color w:val="auto"/>
            <w:lang w:val="en-US" w:eastAsia="en-US" w:bidi="ar-SA"/>
          </w:rPr>
          <w:t>Restructuring</w:t>
        </w:r>
      </w:hyperlink>
      <w:hyperlink r:id="rId133" w:history="1">
        <w:r w:rsidR="00A77B3E" w:rsidRPr="00136CDA">
          <w:rPr>
            <w:color w:val="auto"/>
            <w:lang w:val="en-US" w:eastAsia="en-US" w:bidi="ar-SA"/>
          </w:rPr>
          <w:t xml:space="preserve"> </w:t>
        </w:r>
      </w:hyperlink>
      <w:hyperlink r:id="rId134" w:history="1">
        <w:r w:rsidR="00A77B3E" w:rsidRPr="00136CDA">
          <w:rPr>
            <w:color w:val="auto"/>
            <w:lang w:val="en-US" w:eastAsia="en-US" w:bidi="ar-SA"/>
          </w:rPr>
          <w:t>Strategy</w:t>
        </w:r>
      </w:hyperlink>
      <w:hyperlink r:id="rId135" w:history="1">
        <w:r w:rsidR="00A77B3E" w:rsidRPr="00136CDA">
          <w:rPr>
            <w:color w:val="auto"/>
            <w:lang w:val="en-US" w:eastAsia="en-US" w:bidi="ar-SA"/>
          </w:rPr>
          <w:t xml:space="preserve"> </w:t>
        </w:r>
      </w:hyperlink>
      <w:hyperlink r:id="rId136" w:history="1">
        <w:r w:rsidR="00A77B3E" w:rsidRPr="00136CDA">
          <w:rPr>
            <w:color w:val="auto"/>
            <w:lang w:val="en-US" w:eastAsia="en-US" w:bidi="ar-SA"/>
          </w:rPr>
          <w:t>Options</w:t>
        </w:r>
      </w:hyperlink>
      <w:hyperlink r:id="rId137" w:history="1">
        <w:r w:rsidR="00A77B3E" w:rsidRPr="00136CDA">
          <w:rPr>
            <w:color w:val="auto"/>
            <w:lang w:val="en-US" w:eastAsia="en-US" w:bidi="ar-SA"/>
          </w:rPr>
          <w:tab/>
          <w:t>19</w:t>
        </w:r>
      </w:hyperlink>
    </w:p>
    <w:p w14:paraId="21A6086B" w14:textId="3B78176B" w:rsidR="00A77B3E" w:rsidRPr="00136CDA" w:rsidRDefault="00A96C87">
      <w:pPr>
        <w:tabs>
          <w:tab w:val="right" w:pos="9350"/>
        </w:tabs>
        <w:spacing w:after="100"/>
        <w:ind w:left="240"/>
        <w:rPr>
          <w:rFonts w:ascii="Cambria" w:hAnsi="Cambria" w:cs="Cambria"/>
          <w:color w:val="auto"/>
          <w:lang w:val="en-US" w:bidi="ar-SA"/>
        </w:rPr>
      </w:pPr>
      <w:hyperlink r:id="rId138" w:history="1">
        <w:r w:rsidR="00A77B3E" w:rsidRPr="00136CDA">
          <w:rPr>
            <w:color w:val="auto"/>
            <w:lang w:val="en-US" w:eastAsia="en-US" w:bidi="ar-SA"/>
          </w:rPr>
          <w:t xml:space="preserve">4.3 </w:t>
        </w:r>
      </w:hyperlink>
      <w:hyperlink r:id="rId139" w:history="1">
        <w:r w:rsidR="00A77B3E" w:rsidRPr="00136CDA">
          <w:rPr>
            <w:color w:val="auto"/>
            <w:lang w:val="en-US" w:eastAsia="en-US" w:bidi="ar-SA"/>
          </w:rPr>
          <w:t>Impact</w:t>
        </w:r>
      </w:hyperlink>
      <w:hyperlink r:id="rId140" w:history="1">
        <w:r w:rsidR="00A77B3E" w:rsidRPr="00136CDA">
          <w:rPr>
            <w:color w:val="auto"/>
            <w:lang w:val="en-US" w:eastAsia="en-US" w:bidi="ar-SA"/>
          </w:rPr>
          <w:t xml:space="preserve"> </w:t>
        </w:r>
      </w:hyperlink>
      <w:hyperlink r:id="rId141" w:history="1">
        <w:r w:rsidR="00A77B3E" w:rsidRPr="00136CDA">
          <w:rPr>
            <w:color w:val="auto"/>
            <w:lang w:val="en-US" w:eastAsia="en-US" w:bidi="ar-SA"/>
          </w:rPr>
          <w:t>Evaluation</w:t>
        </w:r>
      </w:hyperlink>
      <w:hyperlink r:id="rId142" w:history="1">
        <w:r w:rsidR="00A77B3E" w:rsidRPr="00136CDA">
          <w:rPr>
            <w:color w:val="auto"/>
            <w:lang w:val="en-US" w:eastAsia="en-US" w:bidi="ar-SA"/>
          </w:rPr>
          <w:tab/>
          <w:t>22</w:t>
        </w:r>
      </w:hyperlink>
    </w:p>
    <w:p w14:paraId="799DBC05" w14:textId="7F713C22" w:rsidR="00A77B3E" w:rsidRPr="00136CDA" w:rsidRDefault="00A96C87">
      <w:pPr>
        <w:tabs>
          <w:tab w:val="right" w:pos="9350"/>
        </w:tabs>
        <w:spacing w:after="100"/>
        <w:ind w:left="240"/>
        <w:rPr>
          <w:rFonts w:ascii="Cambria" w:hAnsi="Cambria" w:cs="Cambria"/>
          <w:color w:val="auto"/>
          <w:lang w:val="en-US" w:bidi="ar-SA"/>
        </w:rPr>
      </w:pPr>
      <w:hyperlink r:id="rId143" w:history="1">
        <w:r w:rsidR="00A77B3E" w:rsidRPr="00136CDA">
          <w:rPr>
            <w:color w:val="auto"/>
            <w:lang w:val="en-US" w:eastAsia="en-US" w:bidi="ar-SA"/>
          </w:rPr>
          <w:t xml:space="preserve">4.4 </w:t>
        </w:r>
      </w:hyperlink>
      <w:hyperlink r:id="rId144" w:history="1">
        <w:r w:rsidR="00A77B3E" w:rsidRPr="00136CDA">
          <w:rPr>
            <w:color w:val="auto"/>
            <w:lang w:val="en-US" w:eastAsia="en-US" w:bidi="ar-SA"/>
          </w:rPr>
          <w:t>International</w:t>
        </w:r>
      </w:hyperlink>
      <w:hyperlink r:id="rId145" w:history="1">
        <w:r w:rsidR="00A77B3E" w:rsidRPr="00136CDA">
          <w:rPr>
            <w:color w:val="auto"/>
            <w:lang w:val="en-US" w:eastAsia="en-US" w:bidi="ar-SA"/>
          </w:rPr>
          <w:t xml:space="preserve"> </w:t>
        </w:r>
      </w:hyperlink>
      <w:hyperlink r:id="rId146" w:history="1">
        <w:r w:rsidR="00A77B3E" w:rsidRPr="00136CDA">
          <w:rPr>
            <w:color w:val="auto"/>
            <w:lang w:val="en-US" w:eastAsia="en-US" w:bidi="ar-SA"/>
          </w:rPr>
          <w:t>or</w:t>
        </w:r>
      </w:hyperlink>
      <w:hyperlink r:id="rId147" w:history="1">
        <w:r w:rsidR="00A77B3E" w:rsidRPr="00136CDA">
          <w:rPr>
            <w:color w:val="auto"/>
            <w:lang w:val="en-US" w:eastAsia="en-US" w:bidi="ar-SA"/>
          </w:rPr>
          <w:t xml:space="preserve"> </w:t>
        </w:r>
      </w:hyperlink>
      <w:hyperlink r:id="rId148" w:history="1">
        <w:r w:rsidR="00A77B3E" w:rsidRPr="00136CDA">
          <w:rPr>
            <w:color w:val="auto"/>
            <w:lang w:val="en-US" w:eastAsia="en-US" w:bidi="ar-SA"/>
          </w:rPr>
          <w:t>Ethical</w:t>
        </w:r>
      </w:hyperlink>
      <w:hyperlink r:id="rId149" w:history="1">
        <w:r w:rsidR="00A77B3E" w:rsidRPr="00136CDA">
          <w:rPr>
            <w:color w:val="auto"/>
            <w:lang w:val="en-US" w:eastAsia="en-US" w:bidi="ar-SA"/>
          </w:rPr>
          <w:t xml:space="preserve"> </w:t>
        </w:r>
      </w:hyperlink>
      <w:hyperlink r:id="rId150" w:history="1">
        <w:r w:rsidR="00A77B3E" w:rsidRPr="00136CDA">
          <w:rPr>
            <w:color w:val="auto"/>
            <w:lang w:val="en-US" w:eastAsia="en-US" w:bidi="ar-SA"/>
          </w:rPr>
          <w:t>Considerations</w:t>
        </w:r>
      </w:hyperlink>
      <w:hyperlink r:id="rId151" w:history="1">
        <w:r w:rsidR="00A77B3E" w:rsidRPr="00136CDA">
          <w:rPr>
            <w:color w:val="auto"/>
            <w:lang w:val="en-US" w:eastAsia="en-US" w:bidi="ar-SA"/>
          </w:rPr>
          <w:tab/>
          <w:t>23</w:t>
        </w:r>
      </w:hyperlink>
    </w:p>
    <w:p w14:paraId="33431323" w14:textId="1D3A7B64" w:rsidR="00A77B3E" w:rsidRPr="00136CDA" w:rsidRDefault="00A96C87">
      <w:pPr>
        <w:tabs>
          <w:tab w:val="right" w:pos="9350"/>
        </w:tabs>
        <w:spacing w:after="100"/>
        <w:rPr>
          <w:rFonts w:ascii="Cambria" w:hAnsi="Cambria" w:cs="Cambria"/>
          <w:color w:val="auto"/>
          <w:lang w:val="en-US" w:bidi="ar-SA"/>
        </w:rPr>
      </w:pPr>
      <w:hyperlink r:id="rId152" w:history="1">
        <w:r w:rsidR="00A77B3E" w:rsidRPr="00136CDA">
          <w:rPr>
            <w:color w:val="auto"/>
            <w:lang w:val="en-US" w:eastAsia="en-US" w:bidi="ar-SA"/>
          </w:rPr>
          <w:t xml:space="preserve">5. </w:t>
        </w:r>
      </w:hyperlink>
      <w:hyperlink r:id="rId153" w:history="1">
        <w:r w:rsidR="00A77B3E" w:rsidRPr="00136CDA">
          <w:rPr>
            <w:color w:val="auto"/>
            <w:lang w:val="en-US" w:eastAsia="en-US" w:bidi="ar-SA"/>
          </w:rPr>
          <w:t>Investment</w:t>
        </w:r>
      </w:hyperlink>
      <w:hyperlink r:id="rId154" w:history="1">
        <w:r w:rsidR="00A77B3E" w:rsidRPr="00136CDA">
          <w:rPr>
            <w:color w:val="auto"/>
            <w:lang w:val="en-US" w:eastAsia="en-US" w:bidi="ar-SA"/>
          </w:rPr>
          <w:t xml:space="preserve"> </w:t>
        </w:r>
      </w:hyperlink>
      <w:hyperlink r:id="rId155" w:history="1">
        <w:r w:rsidR="00A77B3E" w:rsidRPr="00136CDA">
          <w:rPr>
            <w:color w:val="auto"/>
            <w:lang w:val="en-US" w:eastAsia="en-US" w:bidi="ar-SA"/>
          </w:rPr>
          <w:t>Appraisal</w:t>
        </w:r>
      </w:hyperlink>
      <w:hyperlink r:id="rId156" w:history="1">
        <w:r w:rsidR="00A77B3E" w:rsidRPr="00136CDA">
          <w:rPr>
            <w:color w:val="auto"/>
            <w:lang w:val="en-US" w:eastAsia="en-US" w:bidi="ar-SA"/>
          </w:rPr>
          <w:t xml:space="preserve"> &amp; </w:t>
        </w:r>
      </w:hyperlink>
      <w:hyperlink r:id="rId157" w:history="1">
        <w:r w:rsidR="00A77B3E" w:rsidRPr="00136CDA">
          <w:rPr>
            <w:color w:val="auto"/>
            <w:lang w:val="en-US" w:eastAsia="en-US" w:bidi="ar-SA"/>
          </w:rPr>
          <w:t>Capital</w:t>
        </w:r>
      </w:hyperlink>
      <w:hyperlink r:id="rId158" w:history="1">
        <w:r w:rsidR="00A77B3E" w:rsidRPr="00136CDA">
          <w:rPr>
            <w:color w:val="auto"/>
            <w:lang w:val="en-US" w:eastAsia="en-US" w:bidi="ar-SA"/>
          </w:rPr>
          <w:t xml:space="preserve"> </w:t>
        </w:r>
      </w:hyperlink>
      <w:hyperlink r:id="rId159" w:history="1">
        <w:r w:rsidR="00A77B3E" w:rsidRPr="00136CDA">
          <w:rPr>
            <w:color w:val="auto"/>
            <w:lang w:val="en-US" w:eastAsia="en-US" w:bidi="ar-SA"/>
          </w:rPr>
          <w:t>Budgeting</w:t>
        </w:r>
      </w:hyperlink>
      <w:hyperlink r:id="rId160" w:history="1">
        <w:r w:rsidR="00A77B3E" w:rsidRPr="00136CDA">
          <w:rPr>
            <w:color w:val="auto"/>
            <w:lang w:val="en-US" w:eastAsia="en-US" w:bidi="ar-SA"/>
          </w:rPr>
          <w:tab/>
          <w:t>24</w:t>
        </w:r>
      </w:hyperlink>
    </w:p>
    <w:p w14:paraId="2F42015A" w14:textId="5D20DBFD" w:rsidR="00A77B3E" w:rsidRPr="00136CDA" w:rsidRDefault="00A96C87">
      <w:pPr>
        <w:tabs>
          <w:tab w:val="right" w:pos="9350"/>
        </w:tabs>
        <w:spacing w:after="100"/>
        <w:ind w:left="240"/>
        <w:rPr>
          <w:rFonts w:ascii="Cambria" w:hAnsi="Cambria" w:cs="Cambria"/>
          <w:color w:val="auto"/>
          <w:lang w:val="en-US" w:bidi="ar-SA"/>
        </w:rPr>
      </w:pPr>
      <w:hyperlink r:id="rId161" w:history="1">
        <w:r w:rsidR="00A77B3E" w:rsidRPr="00136CDA">
          <w:rPr>
            <w:color w:val="auto"/>
            <w:lang w:val="en-US" w:eastAsia="en-US" w:bidi="ar-SA"/>
          </w:rPr>
          <w:t xml:space="preserve">5.1 </w:t>
        </w:r>
      </w:hyperlink>
      <w:hyperlink r:id="rId162" w:history="1">
        <w:r w:rsidR="00A77B3E" w:rsidRPr="00136CDA">
          <w:rPr>
            <w:color w:val="auto"/>
            <w:lang w:val="en-US" w:eastAsia="en-US" w:bidi="ar-SA"/>
          </w:rPr>
          <w:t>Overview</w:t>
        </w:r>
      </w:hyperlink>
      <w:hyperlink r:id="rId163" w:history="1">
        <w:r w:rsidR="00A77B3E" w:rsidRPr="00136CDA">
          <w:rPr>
            <w:color w:val="auto"/>
            <w:lang w:val="en-US" w:eastAsia="en-US" w:bidi="ar-SA"/>
          </w:rPr>
          <w:t xml:space="preserve"> </w:t>
        </w:r>
      </w:hyperlink>
      <w:hyperlink r:id="rId164" w:history="1">
        <w:r w:rsidR="00A77B3E" w:rsidRPr="00136CDA">
          <w:rPr>
            <w:color w:val="auto"/>
            <w:lang w:val="en-US" w:eastAsia="en-US" w:bidi="ar-SA"/>
          </w:rPr>
          <w:t>of</w:t>
        </w:r>
      </w:hyperlink>
      <w:hyperlink r:id="rId165" w:history="1">
        <w:r w:rsidR="00A77B3E" w:rsidRPr="00136CDA">
          <w:rPr>
            <w:color w:val="auto"/>
            <w:lang w:val="en-US" w:eastAsia="en-US" w:bidi="ar-SA"/>
          </w:rPr>
          <w:t xml:space="preserve"> </w:t>
        </w:r>
      </w:hyperlink>
      <w:hyperlink r:id="rId166" w:history="1">
        <w:r w:rsidR="00A77B3E" w:rsidRPr="00136CDA">
          <w:rPr>
            <w:color w:val="auto"/>
            <w:lang w:val="en-US" w:eastAsia="en-US" w:bidi="ar-SA"/>
          </w:rPr>
          <w:t>Proposed</w:t>
        </w:r>
      </w:hyperlink>
      <w:hyperlink r:id="rId167" w:history="1">
        <w:r w:rsidR="00A77B3E" w:rsidRPr="00136CDA">
          <w:rPr>
            <w:color w:val="auto"/>
            <w:lang w:val="en-US" w:eastAsia="en-US" w:bidi="ar-SA"/>
          </w:rPr>
          <w:t xml:space="preserve"> </w:t>
        </w:r>
      </w:hyperlink>
      <w:hyperlink r:id="rId168" w:history="1">
        <w:r w:rsidR="00A77B3E" w:rsidRPr="00136CDA">
          <w:rPr>
            <w:color w:val="auto"/>
            <w:lang w:val="en-US" w:eastAsia="en-US" w:bidi="ar-SA"/>
          </w:rPr>
          <w:t>Projects</w:t>
        </w:r>
      </w:hyperlink>
      <w:hyperlink r:id="rId169" w:history="1">
        <w:r w:rsidR="00A77B3E" w:rsidRPr="00136CDA">
          <w:rPr>
            <w:color w:val="auto"/>
            <w:lang w:val="en-US" w:eastAsia="en-US" w:bidi="ar-SA"/>
          </w:rPr>
          <w:tab/>
          <w:t>24</w:t>
        </w:r>
      </w:hyperlink>
    </w:p>
    <w:p w14:paraId="123AB928" w14:textId="27D6A736" w:rsidR="00A77B3E" w:rsidRPr="00136CDA" w:rsidRDefault="00A96C87">
      <w:pPr>
        <w:tabs>
          <w:tab w:val="right" w:pos="9350"/>
        </w:tabs>
        <w:spacing w:after="100"/>
        <w:ind w:left="240"/>
        <w:rPr>
          <w:rFonts w:ascii="Cambria" w:hAnsi="Cambria" w:cs="Cambria"/>
          <w:color w:val="auto"/>
          <w:lang w:val="en-US" w:bidi="ar-SA"/>
        </w:rPr>
      </w:pPr>
      <w:hyperlink r:id="rId170" w:history="1">
        <w:r w:rsidR="00A77B3E" w:rsidRPr="00136CDA">
          <w:rPr>
            <w:color w:val="auto"/>
            <w:lang w:val="en-US" w:eastAsia="en-US" w:bidi="ar-SA"/>
          </w:rPr>
          <w:t xml:space="preserve">5.2 </w:t>
        </w:r>
      </w:hyperlink>
      <w:hyperlink r:id="rId171" w:history="1">
        <w:r w:rsidR="00A77B3E" w:rsidRPr="00136CDA">
          <w:rPr>
            <w:color w:val="auto"/>
            <w:lang w:val="en-US" w:eastAsia="en-US" w:bidi="ar-SA"/>
          </w:rPr>
          <w:t>Payback</w:t>
        </w:r>
      </w:hyperlink>
      <w:hyperlink r:id="rId172" w:history="1">
        <w:r w:rsidR="00A77B3E" w:rsidRPr="00136CDA">
          <w:rPr>
            <w:color w:val="auto"/>
            <w:lang w:val="en-US" w:eastAsia="en-US" w:bidi="ar-SA"/>
          </w:rPr>
          <w:t xml:space="preserve"> </w:t>
        </w:r>
      </w:hyperlink>
      <w:hyperlink r:id="rId173" w:history="1">
        <w:r w:rsidR="00A77B3E" w:rsidRPr="00136CDA">
          <w:rPr>
            <w:color w:val="auto"/>
            <w:lang w:val="en-US" w:eastAsia="en-US" w:bidi="ar-SA"/>
          </w:rPr>
          <w:t>Period</w:t>
        </w:r>
      </w:hyperlink>
      <w:hyperlink r:id="rId174" w:history="1">
        <w:r w:rsidR="00A77B3E" w:rsidRPr="00136CDA">
          <w:rPr>
            <w:color w:val="auto"/>
            <w:lang w:val="en-US" w:eastAsia="en-US" w:bidi="ar-SA"/>
          </w:rPr>
          <w:t xml:space="preserve"> (</w:t>
        </w:r>
      </w:hyperlink>
      <w:hyperlink r:id="rId175" w:history="1">
        <w:r w:rsidR="00A77B3E" w:rsidRPr="00136CDA">
          <w:rPr>
            <w:color w:val="auto"/>
            <w:lang w:val="en-US" w:eastAsia="en-US" w:bidi="ar-SA"/>
          </w:rPr>
          <w:t>PBP</w:t>
        </w:r>
      </w:hyperlink>
      <w:hyperlink r:id="rId176" w:history="1">
        <w:r w:rsidR="00A77B3E" w:rsidRPr="00136CDA">
          <w:rPr>
            <w:color w:val="auto"/>
            <w:lang w:val="en-US" w:eastAsia="en-US" w:bidi="ar-SA"/>
          </w:rPr>
          <w:t>)</w:t>
        </w:r>
        <w:r w:rsidR="00A77B3E" w:rsidRPr="00136CDA">
          <w:rPr>
            <w:color w:val="auto"/>
            <w:lang w:val="en-US" w:eastAsia="en-US" w:bidi="ar-SA"/>
          </w:rPr>
          <w:tab/>
          <w:t>24</w:t>
        </w:r>
      </w:hyperlink>
    </w:p>
    <w:p w14:paraId="71DDF6BD" w14:textId="415CBA4D" w:rsidR="00A77B3E" w:rsidRPr="00136CDA" w:rsidRDefault="00A96C87">
      <w:pPr>
        <w:tabs>
          <w:tab w:val="right" w:pos="9350"/>
        </w:tabs>
        <w:spacing w:after="100"/>
        <w:ind w:left="240"/>
        <w:rPr>
          <w:rFonts w:ascii="Cambria" w:hAnsi="Cambria" w:cs="Cambria"/>
          <w:color w:val="auto"/>
          <w:lang w:val="en-US" w:bidi="ar-SA"/>
        </w:rPr>
      </w:pPr>
      <w:hyperlink r:id="rId177" w:history="1">
        <w:r w:rsidR="00A77B3E" w:rsidRPr="00136CDA">
          <w:rPr>
            <w:color w:val="auto"/>
            <w:lang w:val="en-US" w:eastAsia="en-US" w:bidi="ar-SA"/>
          </w:rPr>
          <w:t xml:space="preserve">5.3 </w:t>
        </w:r>
      </w:hyperlink>
      <w:hyperlink r:id="rId178" w:history="1">
        <w:r w:rsidR="00A77B3E" w:rsidRPr="00136CDA">
          <w:rPr>
            <w:color w:val="auto"/>
            <w:lang w:val="en-US" w:eastAsia="en-US" w:bidi="ar-SA"/>
          </w:rPr>
          <w:t>Accounting</w:t>
        </w:r>
      </w:hyperlink>
      <w:hyperlink r:id="rId179" w:history="1">
        <w:r w:rsidR="00A77B3E" w:rsidRPr="00136CDA">
          <w:rPr>
            <w:color w:val="auto"/>
            <w:lang w:val="en-US" w:eastAsia="en-US" w:bidi="ar-SA"/>
          </w:rPr>
          <w:t xml:space="preserve"> </w:t>
        </w:r>
      </w:hyperlink>
      <w:hyperlink r:id="rId180" w:history="1">
        <w:r w:rsidR="00A77B3E" w:rsidRPr="00136CDA">
          <w:rPr>
            <w:color w:val="auto"/>
            <w:lang w:val="en-US" w:eastAsia="en-US" w:bidi="ar-SA"/>
          </w:rPr>
          <w:t>Rate</w:t>
        </w:r>
      </w:hyperlink>
      <w:hyperlink r:id="rId181" w:history="1">
        <w:r w:rsidR="00A77B3E" w:rsidRPr="00136CDA">
          <w:rPr>
            <w:color w:val="auto"/>
            <w:lang w:val="en-US" w:eastAsia="en-US" w:bidi="ar-SA"/>
          </w:rPr>
          <w:t xml:space="preserve"> </w:t>
        </w:r>
      </w:hyperlink>
      <w:hyperlink r:id="rId182" w:history="1">
        <w:r w:rsidR="00A77B3E" w:rsidRPr="00136CDA">
          <w:rPr>
            <w:color w:val="auto"/>
            <w:lang w:val="en-US" w:eastAsia="en-US" w:bidi="ar-SA"/>
          </w:rPr>
          <w:t>of</w:t>
        </w:r>
      </w:hyperlink>
      <w:hyperlink r:id="rId183" w:history="1">
        <w:r w:rsidR="00A77B3E" w:rsidRPr="00136CDA">
          <w:rPr>
            <w:color w:val="auto"/>
            <w:lang w:val="en-US" w:eastAsia="en-US" w:bidi="ar-SA"/>
          </w:rPr>
          <w:t xml:space="preserve"> </w:t>
        </w:r>
      </w:hyperlink>
      <w:hyperlink r:id="rId184" w:history="1">
        <w:r w:rsidR="00A77B3E" w:rsidRPr="00136CDA">
          <w:rPr>
            <w:color w:val="auto"/>
            <w:lang w:val="en-US" w:eastAsia="en-US" w:bidi="ar-SA"/>
          </w:rPr>
          <w:t>Return</w:t>
        </w:r>
      </w:hyperlink>
      <w:hyperlink r:id="rId185" w:history="1">
        <w:r w:rsidR="00A77B3E" w:rsidRPr="00136CDA">
          <w:rPr>
            <w:color w:val="auto"/>
            <w:lang w:val="en-US" w:eastAsia="en-US" w:bidi="ar-SA"/>
          </w:rPr>
          <w:t xml:space="preserve"> (</w:t>
        </w:r>
      </w:hyperlink>
      <w:hyperlink r:id="rId186" w:history="1">
        <w:r w:rsidR="00A77B3E" w:rsidRPr="00136CDA">
          <w:rPr>
            <w:color w:val="auto"/>
            <w:lang w:val="en-US" w:eastAsia="en-US" w:bidi="ar-SA"/>
          </w:rPr>
          <w:t>ARR</w:t>
        </w:r>
      </w:hyperlink>
      <w:hyperlink r:id="rId187" w:history="1">
        <w:r w:rsidR="00A77B3E" w:rsidRPr="00136CDA">
          <w:rPr>
            <w:color w:val="auto"/>
            <w:lang w:val="en-US" w:eastAsia="en-US" w:bidi="ar-SA"/>
          </w:rPr>
          <w:t>)</w:t>
        </w:r>
        <w:r w:rsidR="00A77B3E" w:rsidRPr="00136CDA">
          <w:rPr>
            <w:color w:val="auto"/>
            <w:lang w:val="en-US" w:eastAsia="en-US" w:bidi="ar-SA"/>
          </w:rPr>
          <w:tab/>
          <w:t>26</w:t>
        </w:r>
      </w:hyperlink>
    </w:p>
    <w:p w14:paraId="6B4FAE3D" w14:textId="7C73220B" w:rsidR="00A77B3E" w:rsidRPr="00136CDA" w:rsidRDefault="00A96C87">
      <w:pPr>
        <w:tabs>
          <w:tab w:val="right" w:pos="9350"/>
        </w:tabs>
        <w:spacing w:after="100"/>
        <w:ind w:left="240"/>
        <w:rPr>
          <w:rFonts w:ascii="Cambria" w:hAnsi="Cambria" w:cs="Cambria"/>
          <w:color w:val="auto"/>
          <w:lang w:val="en-US" w:bidi="ar-SA"/>
        </w:rPr>
      </w:pPr>
      <w:hyperlink r:id="rId188" w:history="1">
        <w:r w:rsidR="00A77B3E" w:rsidRPr="00136CDA">
          <w:rPr>
            <w:color w:val="auto"/>
            <w:lang w:val="en-US" w:eastAsia="en-US" w:bidi="ar-SA"/>
          </w:rPr>
          <w:t xml:space="preserve">5.4 </w:t>
        </w:r>
      </w:hyperlink>
      <w:hyperlink r:id="rId189" w:history="1">
        <w:r w:rsidR="00A77B3E" w:rsidRPr="00136CDA">
          <w:rPr>
            <w:color w:val="auto"/>
            <w:lang w:val="en-US" w:eastAsia="en-US" w:bidi="ar-SA"/>
          </w:rPr>
          <w:t>Net</w:t>
        </w:r>
      </w:hyperlink>
      <w:hyperlink r:id="rId190" w:history="1">
        <w:r w:rsidR="00A77B3E" w:rsidRPr="00136CDA">
          <w:rPr>
            <w:color w:val="auto"/>
            <w:lang w:val="en-US" w:eastAsia="en-US" w:bidi="ar-SA"/>
          </w:rPr>
          <w:t xml:space="preserve"> </w:t>
        </w:r>
      </w:hyperlink>
      <w:hyperlink r:id="rId191" w:history="1">
        <w:r w:rsidR="00A77B3E" w:rsidRPr="00136CDA">
          <w:rPr>
            <w:color w:val="auto"/>
            <w:lang w:val="en-US" w:eastAsia="en-US" w:bidi="ar-SA"/>
          </w:rPr>
          <w:t>Present</w:t>
        </w:r>
      </w:hyperlink>
      <w:hyperlink r:id="rId192" w:history="1">
        <w:r w:rsidR="00A77B3E" w:rsidRPr="00136CDA">
          <w:rPr>
            <w:color w:val="auto"/>
            <w:lang w:val="en-US" w:eastAsia="en-US" w:bidi="ar-SA"/>
          </w:rPr>
          <w:t xml:space="preserve"> </w:t>
        </w:r>
      </w:hyperlink>
      <w:hyperlink r:id="rId193" w:history="1">
        <w:r w:rsidR="00A77B3E" w:rsidRPr="00136CDA">
          <w:rPr>
            <w:color w:val="auto"/>
            <w:lang w:val="en-US" w:eastAsia="en-US" w:bidi="ar-SA"/>
          </w:rPr>
          <w:t>Value</w:t>
        </w:r>
      </w:hyperlink>
      <w:hyperlink r:id="rId194" w:history="1">
        <w:r w:rsidR="00A77B3E" w:rsidRPr="00136CDA">
          <w:rPr>
            <w:color w:val="auto"/>
            <w:lang w:val="en-US" w:eastAsia="en-US" w:bidi="ar-SA"/>
          </w:rPr>
          <w:t xml:space="preserve"> (</w:t>
        </w:r>
      </w:hyperlink>
      <w:hyperlink r:id="rId195" w:history="1">
        <w:r w:rsidR="00A77B3E" w:rsidRPr="00136CDA">
          <w:rPr>
            <w:color w:val="auto"/>
            <w:lang w:val="en-US" w:eastAsia="en-US" w:bidi="ar-SA"/>
          </w:rPr>
          <w:t>NPV</w:t>
        </w:r>
      </w:hyperlink>
      <w:hyperlink r:id="rId196" w:history="1">
        <w:r w:rsidR="00A77B3E" w:rsidRPr="00136CDA">
          <w:rPr>
            <w:color w:val="auto"/>
            <w:lang w:val="en-US" w:eastAsia="en-US" w:bidi="ar-SA"/>
          </w:rPr>
          <w:t>)</w:t>
        </w:r>
        <w:r w:rsidR="00A77B3E" w:rsidRPr="00136CDA">
          <w:rPr>
            <w:color w:val="auto"/>
            <w:lang w:val="en-US" w:eastAsia="en-US" w:bidi="ar-SA"/>
          </w:rPr>
          <w:tab/>
          <w:t>27</w:t>
        </w:r>
      </w:hyperlink>
    </w:p>
    <w:p w14:paraId="6ADC447B" w14:textId="72EC68E7" w:rsidR="00A77B3E" w:rsidRPr="00136CDA" w:rsidRDefault="00A96C87">
      <w:pPr>
        <w:tabs>
          <w:tab w:val="right" w:pos="9350"/>
        </w:tabs>
        <w:spacing w:after="100"/>
        <w:ind w:left="240"/>
        <w:rPr>
          <w:rFonts w:ascii="Cambria" w:hAnsi="Cambria" w:cs="Cambria"/>
          <w:color w:val="auto"/>
          <w:lang w:val="en-US" w:bidi="ar-SA"/>
        </w:rPr>
      </w:pPr>
      <w:hyperlink r:id="rId197" w:history="1">
        <w:r w:rsidR="00A77B3E" w:rsidRPr="00136CDA">
          <w:rPr>
            <w:color w:val="auto"/>
            <w:lang w:val="en-US" w:eastAsia="en-US" w:bidi="ar-SA"/>
          </w:rPr>
          <w:t xml:space="preserve">5.5 </w:t>
        </w:r>
      </w:hyperlink>
      <w:hyperlink r:id="rId198" w:history="1">
        <w:r w:rsidR="00A77B3E" w:rsidRPr="00136CDA">
          <w:rPr>
            <w:color w:val="auto"/>
            <w:lang w:val="en-US" w:eastAsia="en-US" w:bidi="ar-SA"/>
          </w:rPr>
          <w:t>Profitability</w:t>
        </w:r>
      </w:hyperlink>
      <w:hyperlink r:id="rId199" w:history="1">
        <w:r w:rsidR="00A77B3E" w:rsidRPr="00136CDA">
          <w:rPr>
            <w:color w:val="auto"/>
            <w:lang w:val="en-US" w:eastAsia="en-US" w:bidi="ar-SA"/>
          </w:rPr>
          <w:t xml:space="preserve"> </w:t>
        </w:r>
      </w:hyperlink>
      <w:hyperlink r:id="rId200" w:history="1">
        <w:r w:rsidR="00A77B3E" w:rsidRPr="00136CDA">
          <w:rPr>
            <w:color w:val="auto"/>
            <w:lang w:val="en-US" w:eastAsia="en-US" w:bidi="ar-SA"/>
          </w:rPr>
          <w:t>Index</w:t>
        </w:r>
      </w:hyperlink>
      <w:hyperlink r:id="rId201" w:history="1">
        <w:r w:rsidR="00A77B3E" w:rsidRPr="00136CDA">
          <w:rPr>
            <w:color w:val="auto"/>
            <w:lang w:val="en-US" w:eastAsia="en-US" w:bidi="ar-SA"/>
          </w:rPr>
          <w:t xml:space="preserve"> (</w:t>
        </w:r>
      </w:hyperlink>
      <w:hyperlink r:id="rId202" w:history="1">
        <w:r w:rsidR="00A77B3E" w:rsidRPr="00136CDA">
          <w:rPr>
            <w:color w:val="auto"/>
            <w:lang w:val="en-US" w:eastAsia="en-US" w:bidi="ar-SA"/>
          </w:rPr>
          <w:t>PI</w:t>
        </w:r>
      </w:hyperlink>
      <w:hyperlink r:id="rId203" w:history="1">
        <w:r w:rsidR="00A77B3E" w:rsidRPr="00136CDA">
          <w:rPr>
            <w:color w:val="auto"/>
            <w:lang w:val="en-US" w:eastAsia="en-US" w:bidi="ar-SA"/>
          </w:rPr>
          <w:t>)</w:t>
        </w:r>
        <w:r w:rsidR="00A77B3E" w:rsidRPr="00136CDA">
          <w:rPr>
            <w:color w:val="auto"/>
            <w:lang w:val="en-US" w:eastAsia="en-US" w:bidi="ar-SA"/>
          </w:rPr>
          <w:tab/>
          <w:t>28</w:t>
        </w:r>
      </w:hyperlink>
    </w:p>
    <w:p w14:paraId="1F3C194C" w14:textId="0C36A14F" w:rsidR="00A77B3E" w:rsidRPr="00136CDA" w:rsidRDefault="00A96C87">
      <w:pPr>
        <w:tabs>
          <w:tab w:val="right" w:pos="9350"/>
        </w:tabs>
        <w:spacing w:after="100"/>
        <w:ind w:left="240"/>
        <w:rPr>
          <w:rFonts w:ascii="Cambria" w:hAnsi="Cambria" w:cs="Cambria"/>
          <w:color w:val="auto"/>
          <w:lang w:val="en-US" w:bidi="ar-SA"/>
        </w:rPr>
      </w:pPr>
      <w:hyperlink r:id="rId204" w:history="1">
        <w:r w:rsidR="00A77B3E" w:rsidRPr="00136CDA">
          <w:rPr>
            <w:color w:val="auto"/>
            <w:lang w:val="en-US" w:eastAsia="en-US" w:bidi="ar-SA"/>
          </w:rPr>
          <w:t xml:space="preserve">5.6 </w:t>
        </w:r>
      </w:hyperlink>
      <w:hyperlink r:id="rId205" w:history="1">
        <w:r w:rsidR="00A77B3E" w:rsidRPr="00136CDA">
          <w:rPr>
            <w:color w:val="auto"/>
            <w:lang w:val="en-US" w:eastAsia="en-US" w:bidi="ar-SA"/>
          </w:rPr>
          <w:t>Internal</w:t>
        </w:r>
      </w:hyperlink>
      <w:hyperlink r:id="rId206" w:history="1">
        <w:r w:rsidR="00A77B3E" w:rsidRPr="00136CDA">
          <w:rPr>
            <w:color w:val="auto"/>
            <w:lang w:val="en-US" w:eastAsia="en-US" w:bidi="ar-SA"/>
          </w:rPr>
          <w:t xml:space="preserve"> </w:t>
        </w:r>
      </w:hyperlink>
      <w:hyperlink r:id="rId207" w:history="1">
        <w:r w:rsidR="00A77B3E" w:rsidRPr="00136CDA">
          <w:rPr>
            <w:color w:val="auto"/>
            <w:lang w:val="en-US" w:eastAsia="en-US" w:bidi="ar-SA"/>
          </w:rPr>
          <w:t>Rate</w:t>
        </w:r>
      </w:hyperlink>
      <w:hyperlink r:id="rId208" w:history="1">
        <w:r w:rsidR="00A77B3E" w:rsidRPr="00136CDA">
          <w:rPr>
            <w:color w:val="auto"/>
            <w:lang w:val="en-US" w:eastAsia="en-US" w:bidi="ar-SA"/>
          </w:rPr>
          <w:t xml:space="preserve"> </w:t>
        </w:r>
      </w:hyperlink>
      <w:hyperlink r:id="rId209" w:history="1">
        <w:r w:rsidR="00A77B3E" w:rsidRPr="00136CDA">
          <w:rPr>
            <w:color w:val="auto"/>
            <w:lang w:val="en-US" w:eastAsia="en-US" w:bidi="ar-SA"/>
          </w:rPr>
          <w:t>of</w:t>
        </w:r>
      </w:hyperlink>
      <w:hyperlink r:id="rId210" w:history="1">
        <w:r w:rsidR="00A77B3E" w:rsidRPr="00136CDA">
          <w:rPr>
            <w:color w:val="auto"/>
            <w:lang w:val="en-US" w:eastAsia="en-US" w:bidi="ar-SA"/>
          </w:rPr>
          <w:t xml:space="preserve"> </w:t>
        </w:r>
      </w:hyperlink>
      <w:hyperlink r:id="rId211" w:history="1">
        <w:r w:rsidR="00A77B3E" w:rsidRPr="00136CDA">
          <w:rPr>
            <w:color w:val="auto"/>
            <w:lang w:val="en-US" w:eastAsia="en-US" w:bidi="ar-SA"/>
          </w:rPr>
          <w:t>Return</w:t>
        </w:r>
      </w:hyperlink>
      <w:hyperlink r:id="rId212" w:history="1">
        <w:r w:rsidR="00A77B3E" w:rsidRPr="00136CDA">
          <w:rPr>
            <w:color w:val="auto"/>
            <w:lang w:val="en-US" w:eastAsia="en-US" w:bidi="ar-SA"/>
          </w:rPr>
          <w:t xml:space="preserve"> (</w:t>
        </w:r>
      </w:hyperlink>
      <w:hyperlink r:id="rId213" w:history="1">
        <w:r w:rsidR="00A77B3E" w:rsidRPr="00136CDA">
          <w:rPr>
            <w:color w:val="auto"/>
            <w:lang w:val="en-US" w:eastAsia="en-US" w:bidi="ar-SA"/>
          </w:rPr>
          <w:t>IRR</w:t>
        </w:r>
      </w:hyperlink>
      <w:hyperlink r:id="rId214" w:history="1">
        <w:r w:rsidR="00A77B3E" w:rsidRPr="00136CDA">
          <w:rPr>
            <w:color w:val="auto"/>
            <w:lang w:val="en-US" w:eastAsia="en-US" w:bidi="ar-SA"/>
          </w:rPr>
          <w:t>)</w:t>
        </w:r>
        <w:r w:rsidR="00A77B3E" w:rsidRPr="00136CDA">
          <w:rPr>
            <w:color w:val="auto"/>
            <w:lang w:val="en-US" w:eastAsia="en-US" w:bidi="ar-SA"/>
          </w:rPr>
          <w:tab/>
          <w:t>29</w:t>
        </w:r>
      </w:hyperlink>
    </w:p>
    <w:p w14:paraId="5FA340C4" w14:textId="0E9045BC" w:rsidR="00A77B3E" w:rsidRPr="00136CDA" w:rsidRDefault="00A96C87">
      <w:pPr>
        <w:tabs>
          <w:tab w:val="right" w:pos="9350"/>
        </w:tabs>
        <w:spacing w:after="100"/>
        <w:ind w:left="240"/>
        <w:rPr>
          <w:rFonts w:ascii="Cambria" w:hAnsi="Cambria" w:cs="Cambria"/>
          <w:color w:val="auto"/>
          <w:lang w:val="en-US" w:bidi="ar-SA"/>
        </w:rPr>
      </w:pPr>
      <w:hyperlink r:id="rId215" w:history="1">
        <w:r w:rsidR="00A77B3E" w:rsidRPr="00136CDA">
          <w:rPr>
            <w:color w:val="auto"/>
            <w:lang w:val="en-US" w:eastAsia="en-US" w:bidi="ar-SA"/>
          </w:rPr>
          <w:t xml:space="preserve">5.7 </w:t>
        </w:r>
      </w:hyperlink>
      <w:hyperlink r:id="rId216" w:history="1">
        <w:r w:rsidR="00A77B3E" w:rsidRPr="00136CDA">
          <w:rPr>
            <w:color w:val="auto"/>
            <w:lang w:val="en-US" w:eastAsia="en-US" w:bidi="ar-SA"/>
          </w:rPr>
          <w:t>Capital</w:t>
        </w:r>
      </w:hyperlink>
      <w:hyperlink r:id="rId217" w:history="1">
        <w:r w:rsidR="00A77B3E" w:rsidRPr="00136CDA">
          <w:rPr>
            <w:color w:val="auto"/>
            <w:lang w:val="en-US" w:eastAsia="en-US" w:bidi="ar-SA"/>
          </w:rPr>
          <w:t xml:space="preserve"> </w:t>
        </w:r>
      </w:hyperlink>
      <w:hyperlink r:id="rId218" w:history="1">
        <w:r w:rsidR="00A77B3E" w:rsidRPr="00136CDA">
          <w:rPr>
            <w:color w:val="auto"/>
            <w:lang w:val="en-US" w:eastAsia="en-US" w:bidi="ar-SA"/>
          </w:rPr>
          <w:t>Rationing</w:t>
        </w:r>
      </w:hyperlink>
      <w:hyperlink r:id="rId219" w:history="1">
        <w:r w:rsidR="00A77B3E" w:rsidRPr="00136CDA">
          <w:rPr>
            <w:color w:val="auto"/>
            <w:lang w:val="en-US" w:eastAsia="en-US" w:bidi="ar-SA"/>
          </w:rPr>
          <w:t xml:space="preserve"> </w:t>
        </w:r>
      </w:hyperlink>
      <w:hyperlink r:id="rId220" w:history="1">
        <w:r w:rsidR="00A77B3E" w:rsidRPr="00136CDA">
          <w:rPr>
            <w:color w:val="auto"/>
            <w:lang w:val="en-US" w:eastAsia="en-US" w:bidi="ar-SA"/>
          </w:rPr>
          <w:t>Decision</w:t>
        </w:r>
      </w:hyperlink>
      <w:hyperlink r:id="rId221" w:history="1">
        <w:r w:rsidR="00A77B3E" w:rsidRPr="00136CDA">
          <w:rPr>
            <w:color w:val="auto"/>
            <w:lang w:val="en-US" w:eastAsia="en-US" w:bidi="ar-SA"/>
          </w:rPr>
          <w:t xml:space="preserve"> (£60</w:t>
        </w:r>
      </w:hyperlink>
      <w:hyperlink r:id="rId222" w:history="1">
        <w:r w:rsidR="00A77B3E" w:rsidRPr="00136CDA">
          <w:rPr>
            <w:color w:val="auto"/>
            <w:lang w:val="en-US" w:eastAsia="en-US" w:bidi="ar-SA"/>
          </w:rPr>
          <w:t>m</w:t>
        </w:r>
      </w:hyperlink>
      <w:hyperlink r:id="rId223" w:history="1">
        <w:r w:rsidR="00A77B3E" w:rsidRPr="00136CDA">
          <w:rPr>
            <w:color w:val="auto"/>
            <w:lang w:val="en-US" w:eastAsia="en-US" w:bidi="ar-SA"/>
          </w:rPr>
          <w:t xml:space="preserve"> </w:t>
        </w:r>
      </w:hyperlink>
      <w:hyperlink r:id="rId224" w:history="1">
        <w:r w:rsidR="00A77B3E" w:rsidRPr="00136CDA">
          <w:rPr>
            <w:color w:val="auto"/>
            <w:lang w:val="en-US" w:eastAsia="en-US" w:bidi="ar-SA"/>
          </w:rPr>
          <w:t>Limit</w:t>
        </w:r>
      </w:hyperlink>
      <w:hyperlink r:id="rId225" w:history="1">
        <w:r w:rsidR="00A77B3E" w:rsidRPr="00136CDA">
          <w:rPr>
            <w:color w:val="auto"/>
            <w:lang w:val="en-US" w:eastAsia="en-US" w:bidi="ar-SA"/>
          </w:rPr>
          <w:t>)</w:t>
        </w:r>
        <w:r w:rsidR="00A77B3E" w:rsidRPr="00136CDA">
          <w:rPr>
            <w:color w:val="auto"/>
            <w:lang w:val="en-US" w:eastAsia="en-US" w:bidi="ar-SA"/>
          </w:rPr>
          <w:tab/>
          <w:t>30</w:t>
        </w:r>
      </w:hyperlink>
    </w:p>
    <w:p w14:paraId="14F875F9" w14:textId="6212FC39" w:rsidR="00A77B3E" w:rsidRPr="00136CDA" w:rsidRDefault="00A96C87">
      <w:pPr>
        <w:tabs>
          <w:tab w:val="right" w:pos="9350"/>
        </w:tabs>
        <w:spacing w:after="100"/>
        <w:ind w:left="240"/>
        <w:rPr>
          <w:rFonts w:ascii="Cambria" w:hAnsi="Cambria" w:cs="Cambria"/>
          <w:color w:val="auto"/>
          <w:lang w:val="en-US" w:bidi="ar-SA"/>
        </w:rPr>
      </w:pPr>
      <w:hyperlink r:id="rId226" w:history="1">
        <w:r w:rsidR="00A77B3E" w:rsidRPr="00136CDA">
          <w:rPr>
            <w:color w:val="auto"/>
            <w:lang w:val="en-US" w:eastAsia="en-US" w:bidi="ar-SA"/>
          </w:rPr>
          <w:t xml:space="preserve">5.8 </w:t>
        </w:r>
      </w:hyperlink>
      <w:hyperlink r:id="rId227" w:history="1">
        <w:r w:rsidR="00A77B3E" w:rsidRPr="00136CDA">
          <w:rPr>
            <w:color w:val="auto"/>
            <w:lang w:val="en-US" w:eastAsia="en-US" w:bidi="ar-SA"/>
          </w:rPr>
          <w:t>Final</w:t>
        </w:r>
      </w:hyperlink>
      <w:hyperlink r:id="rId228" w:history="1">
        <w:r w:rsidR="00A77B3E" w:rsidRPr="00136CDA">
          <w:rPr>
            <w:color w:val="auto"/>
            <w:lang w:val="en-US" w:eastAsia="en-US" w:bidi="ar-SA"/>
          </w:rPr>
          <w:t xml:space="preserve"> </w:t>
        </w:r>
      </w:hyperlink>
      <w:hyperlink r:id="rId229" w:history="1">
        <w:r w:rsidR="00A77B3E" w:rsidRPr="00136CDA">
          <w:rPr>
            <w:color w:val="auto"/>
            <w:lang w:val="en-US" w:eastAsia="en-US" w:bidi="ar-SA"/>
          </w:rPr>
          <w:t>Investment</w:t>
        </w:r>
      </w:hyperlink>
      <w:hyperlink r:id="rId230" w:history="1">
        <w:r w:rsidR="00A77B3E" w:rsidRPr="00136CDA">
          <w:rPr>
            <w:color w:val="auto"/>
            <w:lang w:val="en-US" w:eastAsia="en-US" w:bidi="ar-SA"/>
          </w:rPr>
          <w:t xml:space="preserve"> </w:t>
        </w:r>
      </w:hyperlink>
      <w:hyperlink r:id="rId231" w:history="1">
        <w:r w:rsidR="00A77B3E" w:rsidRPr="00136CDA">
          <w:rPr>
            <w:color w:val="auto"/>
            <w:lang w:val="en-US" w:eastAsia="en-US" w:bidi="ar-SA"/>
          </w:rPr>
          <w:t>Recommendation</w:t>
        </w:r>
      </w:hyperlink>
      <w:hyperlink r:id="rId232" w:history="1">
        <w:r w:rsidR="00A77B3E" w:rsidRPr="00136CDA">
          <w:rPr>
            <w:color w:val="auto"/>
            <w:lang w:val="en-US" w:eastAsia="en-US" w:bidi="ar-SA"/>
          </w:rPr>
          <w:tab/>
          <w:t>30</w:t>
        </w:r>
      </w:hyperlink>
    </w:p>
    <w:p w14:paraId="1AD291F9" w14:textId="0EA582F9" w:rsidR="00A77B3E" w:rsidRPr="00136CDA" w:rsidRDefault="00A96C87">
      <w:pPr>
        <w:tabs>
          <w:tab w:val="right" w:pos="9350"/>
        </w:tabs>
        <w:spacing w:after="100"/>
        <w:rPr>
          <w:rFonts w:ascii="Cambria" w:hAnsi="Cambria" w:cs="Cambria"/>
          <w:color w:val="auto"/>
          <w:lang w:val="en-US" w:bidi="ar-SA"/>
        </w:rPr>
      </w:pPr>
      <w:hyperlink r:id="rId233" w:history="1">
        <w:r w:rsidR="00A77B3E" w:rsidRPr="00136CDA">
          <w:rPr>
            <w:color w:val="auto"/>
            <w:lang w:val="en-US" w:eastAsia="en-US" w:bidi="ar-SA"/>
          </w:rPr>
          <w:t xml:space="preserve">6.0 </w:t>
        </w:r>
      </w:hyperlink>
      <w:hyperlink r:id="rId234" w:history="1">
        <w:r w:rsidR="00A77B3E" w:rsidRPr="00136CDA">
          <w:rPr>
            <w:color w:val="auto"/>
            <w:lang w:val="en-US" w:eastAsia="en-US" w:bidi="ar-SA"/>
          </w:rPr>
          <w:t>Conclusion</w:t>
        </w:r>
      </w:hyperlink>
      <w:hyperlink r:id="rId235" w:history="1">
        <w:r w:rsidR="00A77B3E" w:rsidRPr="00136CDA">
          <w:rPr>
            <w:color w:val="auto"/>
            <w:lang w:val="en-US" w:eastAsia="en-US" w:bidi="ar-SA"/>
          </w:rPr>
          <w:tab/>
          <w:t>31</w:t>
        </w:r>
      </w:hyperlink>
    </w:p>
    <w:p w14:paraId="1B36BFFF" w14:textId="77777777" w:rsidR="00A77B3E" w:rsidRPr="00136CDA" w:rsidRDefault="00A96C87">
      <w:pPr>
        <w:tabs>
          <w:tab w:val="right" w:pos="9350"/>
        </w:tabs>
        <w:spacing w:after="100"/>
        <w:rPr>
          <w:rFonts w:ascii="Cambria" w:hAnsi="Cambria" w:cs="Cambria"/>
          <w:color w:val="auto"/>
          <w:lang w:val="en-US" w:bidi="ar-SA"/>
        </w:rPr>
      </w:pPr>
      <w:hyperlink w:anchor="h.rghvoizb8wkm" w:history="1">
        <w:r w:rsidR="00A77B3E" w:rsidRPr="00136CDA">
          <w:rPr>
            <w:color w:val="auto"/>
            <w:lang w:val="en-US" w:eastAsia="en-US" w:bidi="ar-SA"/>
          </w:rPr>
          <w:t>Reference</w:t>
        </w:r>
      </w:hyperlink>
      <w:hyperlink w:anchor="h.rghvoizb8wkm" w:history="1">
        <w:r w:rsidR="00A77B3E" w:rsidRPr="00136CDA">
          <w:rPr>
            <w:color w:val="auto"/>
            <w:lang w:val="en-US" w:eastAsia="en-US" w:bidi="ar-SA"/>
          </w:rPr>
          <w:t xml:space="preserve"> </w:t>
        </w:r>
      </w:hyperlink>
      <w:hyperlink w:anchor="h.rghvoizb8wkm" w:history="1">
        <w:r w:rsidR="00A77B3E" w:rsidRPr="00136CDA">
          <w:rPr>
            <w:color w:val="auto"/>
            <w:lang w:val="en-US" w:eastAsia="en-US" w:bidi="ar-SA"/>
          </w:rPr>
          <w:t>List</w:t>
        </w:r>
      </w:hyperlink>
      <w:hyperlink w:anchor="h.rghvoizb8wkm" w:history="1">
        <w:r w:rsidR="00A77B3E" w:rsidRPr="00136CDA">
          <w:rPr>
            <w:color w:val="auto"/>
            <w:lang w:val="en-US" w:eastAsia="en-US" w:bidi="ar-SA"/>
          </w:rPr>
          <w:tab/>
          <w:t>32</w:t>
        </w:r>
      </w:hyperlink>
    </w:p>
    <w:p w14:paraId="1E705881" w14:textId="77777777" w:rsidR="00A77B3E" w:rsidRPr="00136CDA" w:rsidRDefault="00A96C87">
      <w:pPr>
        <w:tabs>
          <w:tab w:val="right" w:pos="9350"/>
        </w:tabs>
        <w:spacing w:after="100"/>
        <w:rPr>
          <w:rFonts w:ascii="Cambria" w:hAnsi="Cambria" w:cs="Cambria"/>
          <w:color w:val="auto"/>
          <w:lang w:val="en-US" w:bidi="ar-SA"/>
        </w:rPr>
      </w:pPr>
      <w:hyperlink w:anchor="h.po8etemibw1f" w:history="1">
        <w:r w:rsidR="00A77B3E" w:rsidRPr="00136CDA">
          <w:rPr>
            <w:color w:val="auto"/>
            <w:lang w:val="en-US" w:eastAsia="en-US" w:bidi="ar-SA"/>
          </w:rPr>
          <w:t>Appendices</w:t>
        </w:r>
      </w:hyperlink>
      <w:hyperlink w:anchor="h.po8etemibw1f" w:history="1">
        <w:r w:rsidR="00A77B3E" w:rsidRPr="00136CDA">
          <w:rPr>
            <w:color w:val="auto"/>
            <w:lang w:val="en-US" w:eastAsia="en-US" w:bidi="ar-SA"/>
          </w:rPr>
          <w:tab/>
          <w:t>38</w:t>
        </w:r>
      </w:hyperlink>
    </w:p>
    <w:p w14:paraId="57000F8C" w14:textId="77777777" w:rsidR="00A77B3E" w:rsidRPr="00136CDA" w:rsidRDefault="00A77B3E">
      <w:pPr>
        <w:rPr>
          <w:color w:val="auto"/>
          <w:lang w:val="en-US" w:bidi="ar-SA"/>
        </w:rPr>
      </w:pPr>
    </w:p>
    <w:p w14:paraId="38616106" w14:textId="77777777" w:rsidR="00A77B3E" w:rsidRPr="00136CDA" w:rsidRDefault="00A96C87">
      <w:pPr>
        <w:pStyle w:val="Heading1"/>
        <w:pageBreakBefore/>
        <w:spacing w:line="360" w:lineRule="auto"/>
        <w:rPr>
          <w:color w:val="auto"/>
          <w:lang w:val="en-US" w:bidi="ar-SA"/>
        </w:rPr>
      </w:pPr>
      <w:bookmarkStart w:id="1" w:name="h.25u4zulm7m1j"/>
      <w:bookmarkEnd w:id="1"/>
      <w:r w:rsidRPr="00136CDA">
        <w:rPr>
          <w:color w:val="auto"/>
          <w:lang w:val="en-US" w:eastAsia="en-US" w:bidi="ar-SA"/>
        </w:rPr>
        <w:lastRenderedPageBreak/>
        <w:t xml:space="preserve">1. Introduction </w:t>
      </w:r>
    </w:p>
    <w:p w14:paraId="0AD403FE" w14:textId="77777777" w:rsidR="00A77B3E" w:rsidRPr="00136CDA" w:rsidRDefault="00A96C87">
      <w:pPr>
        <w:rPr>
          <w:color w:val="auto"/>
          <w:lang w:val="en-US" w:bidi="ar-SA"/>
        </w:rPr>
      </w:pPr>
      <w:r w:rsidRPr="00136CDA">
        <w:rPr>
          <w:color w:val="auto"/>
          <w:lang w:val="en-US" w:eastAsia="en-US" w:bidi="ar-SA"/>
        </w:rPr>
        <w:t>The current CFO increasingly acts strategically outside of financial reporting, which involves value creation and crisis response. General Electronics (GE), which was once a formidable player in the world electronics, is currently suffering a dire financial run, with declining profits, increasing leverage, poor liquidity and unstable cash flows. This report evaluates the five-year financial performance of GE by evaluating its ratios, trends and forecasting that can predict failures to determine structural weaknesses. It further suggests a global-based financial restructuring strategy and analyses investment opportunities based on NPV, IRR, PI, ARR, as well as PBP to help GE recover.</w:t>
      </w:r>
    </w:p>
    <w:p w14:paraId="02A9CE77" w14:textId="77777777" w:rsidR="00A77B3E" w:rsidRPr="00136CDA" w:rsidRDefault="00A96C87">
      <w:pPr>
        <w:pStyle w:val="Heading1"/>
        <w:spacing w:line="360" w:lineRule="auto"/>
        <w:rPr>
          <w:color w:val="auto"/>
          <w:lang w:val="en-US" w:bidi="ar-SA"/>
        </w:rPr>
      </w:pPr>
      <w:bookmarkStart w:id="2" w:name="h.rk652pjcp7xh"/>
      <w:bookmarkEnd w:id="2"/>
      <w:r w:rsidRPr="00136CDA">
        <w:rPr>
          <w:color w:val="auto"/>
          <w:lang w:val="en-US" w:eastAsia="en-US" w:bidi="ar-SA"/>
        </w:rPr>
        <w:t xml:space="preserve">2. Financial Health Check </w:t>
      </w:r>
    </w:p>
    <w:p w14:paraId="47625EA2" w14:textId="77777777" w:rsidR="00A77B3E" w:rsidRPr="00136CDA" w:rsidRDefault="00A96C87">
      <w:pPr>
        <w:pStyle w:val="Heading2"/>
        <w:spacing w:line="360" w:lineRule="auto"/>
        <w:rPr>
          <w:color w:val="auto"/>
          <w:lang w:val="en-US" w:bidi="ar-SA"/>
        </w:rPr>
      </w:pPr>
      <w:bookmarkStart w:id="3" w:name="h.j6sgsy5no2q9"/>
      <w:bookmarkEnd w:id="3"/>
      <w:r w:rsidRPr="00136CDA">
        <w:rPr>
          <w:color w:val="auto"/>
          <w:lang w:val="en-US" w:eastAsia="en-US" w:bidi="ar-SA"/>
        </w:rPr>
        <w:t>2.1 Profitability Analysis</w:t>
      </w:r>
    </w:p>
    <w:p w14:paraId="23D5378F" w14:textId="77777777" w:rsidR="00A77B3E" w:rsidRPr="00136CDA" w:rsidRDefault="00A96C87">
      <w:pPr>
        <w:rPr>
          <w:color w:val="auto"/>
          <w:lang w:val="en-US" w:bidi="ar-SA"/>
        </w:rPr>
      </w:pPr>
      <w:r w:rsidRPr="00136CDA">
        <w:rPr>
          <w:color w:val="auto"/>
          <w:lang w:val="en-US" w:eastAsia="en-US" w:bidi="ar-SA"/>
        </w:rPr>
        <w:t>Profitability ratios indicate the profitability of the firm in terms of earnings generation out of the revenue base and asset structure (</w:t>
      </w:r>
      <w:r w:rsidRPr="00136CDA">
        <w:rPr>
          <w:color w:val="auto"/>
          <w:shd w:val="solid" w:color="FFFFFF" w:fill="FFFFFF"/>
          <w:lang w:val="en-US" w:eastAsia="en-US" w:bidi="ar-SA"/>
        </w:rPr>
        <w:t>Angelita and Saksono 2023</w:t>
      </w:r>
      <w:r w:rsidRPr="00136CDA">
        <w:rPr>
          <w:color w:val="auto"/>
          <w:lang w:val="en-US" w:eastAsia="en-US" w:bidi="ar-SA"/>
        </w:rPr>
        <w:t>). These five years have shown that General Electronics became weak in terms of profitability, and it is indicative of a crumbling cost structure, underutilisation of assets, and deteriorating competitive position.</w:t>
      </w:r>
    </w:p>
    <w:p w14:paraId="45C13719"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459D57BE" wp14:editId="403BEC84">
            <wp:extent cx="4819650" cy="3835400"/>
            <wp:effectExtent l="0" t="0" r="0"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rrowheads="1"/>
                    </pic:cNvPicPr>
                  </pic:nvPicPr>
                  <pic:blipFill>
                    <a:blip r:embed="rId236" r:link="rId237">
                      <a:extLst>
                        <a:ext uri="{28A0092B-C50C-407E-A947-70E740481C1C}">
                          <a14:useLocalDpi xmlns:a14="http://schemas.microsoft.com/office/drawing/2010/main" val="0"/>
                        </a:ext>
                      </a:extLst>
                    </a:blip>
                    <a:srcRect/>
                    <a:stretch>
                      <a:fillRect/>
                    </a:stretch>
                  </pic:blipFill>
                  <pic:spPr bwMode="auto">
                    <a:xfrm>
                      <a:off x="0" y="0"/>
                      <a:ext cx="4819650" cy="3835400"/>
                    </a:xfrm>
                    <a:prstGeom prst="rect">
                      <a:avLst/>
                    </a:prstGeom>
                    <a:noFill/>
                    <a:ln>
                      <a:noFill/>
                    </a:ln>
                  </pic:spPr>
                </pic:pic>
              </a:graphicData>
            </a:graphic>
          </wp:inline>
        </w:drawing>
      </w:r>
    </w:p>
    <w:p w14:paraId="206BA53B" w14:textId="77777777" w:rsidR="00A77B3E" w:rsidRPr="00136CDA" w:rsidRDefault="00A96C87">
      <w:pPr>
        <w:jc w:val="center"/>
        <w:rPr>
          <w:b/>
          <w:bCs/>
          <w:color w:val="auto"/>
          <w:lang w:val="en-US" w:bidi="ar-SA"/>
        </w:rPr>
      </w:pPr>
      <w:r w:rsidRPr="00136CDA">
        <w:rPr>
          <w:b/>
          <w:bCs/>
          <w:color w:val="auto"/>
          <w:lang w:val="en-US" w:eastAsia="en-US" w:bidi="ar-SA"/>
        </w:rPr>
        <w:t>Figure 1: Profitability Ratio</w:t>
      </w:r>
    </w:p>
    <w:p w14:paraId="5CAE9888" w14:textId="77777777" w:rsidR="00A77B3E" w:rsidRPr="00136CDA" w:rsidRDefault="00A96C87">
      <w:pPr>
        <w:jc w:val="center"/>
        <w:rPr>
          <w:color w:val="auto"/>
          <w:lang w:val="en-US" w:bidi="ar-SA"/>
        </w:rPr>
      </w:pPr>
      <w:r w:rsidRPr="00136CDA">
        <w:rPr>
          <w:color w:val="auto"/>
          <w:lang w:val="en-US" w:eastAsia="en-US" w:bidi="ar-SA"/>
        </w:rPr>
        <w:lastRenderedPageBreak/>
        <w:t>(Source: Self-created)</w:t>
      </w:r>
    </w:p>
    <w:p w14:paraId="311E79EA"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55ED4B49" wp14:editId="0B6E065D">
            <wp:extent cx="4756150" cy="2400300"/>
            <wp:effectExtent l="0" t="0" r="0" b="0"/>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rrowheads="1"/>
                    </pic:cNvPicPr>
                  </pic:nvPicPr>
                  <pic:blipFill>
                    <a:blip r:embed="rId238" r:link="rId239">
                      <a:extLst>
                        <a:ext uri="{28A0092B-C50C-407E-A947-70E740481C1C}">
                          <a14:useLocalDpi xmlns:a14="http://schemas.microsoft.com/office/drawing/2010/main" val="0"/>
                        </a:ext>
                      </a:extLst>
                    </a:blip>
                    <a:srcRect/>
                    <a:stretch>
                      <a:fillRect/>
                    </a:stretch>
                  </pic:blipFill>
                  <pic:spPr bwMode="auto">
                    <a:xfrm>
                      <a:off x="0" y="0"/>
                      <a:ext cx="4756150" cy="2400300"/>
                    </a:xfrm>
                    <a:prstGeom prst="rect">
                      <a:avLst/>
                    </a:prstGeom>
                    <a:noFill/>
                    <a:ln>
                      <a:noFill/>
                    </a:ln>
                  </pic:spPr>
                </pic:pic>
              </a:graphicData>
            </a:graphic>
          </wp:inline>
        </w:drawing>
      </w:r>
    </w:p>
    <w:p w14:paraId="7937DE0C" w14:textId="77777777" w:rsidR="00A77B3E" w:rsidRPr="00136CDA" w:rsidRDefault="00A96C87">
      <w:pPr>
        <w:rPr>
          <w:color w:val="auto"/>
          <w:lang w:val="en-US" w:bidi="ar-SA"/>
        </w:rPr>
      </w:pPr>
      <w:r w:rsidRPr="00136CDA">
        <w:rPr>
          <w:color w:val="auto"/>
          <w:shd w:val="solid" w:color="FFFFFF" w:fill="FFFFFF"/>
          <w:lang w:val="en-US" w:eastAsia="en-US" w:bidi="ar-SA"/>
        </w:rPr>
        <w:t>The Gross Profit Margin (GPM) measures the effectiveness of the company in managing production costs. In the period between 2020 and 2022, General Electronics saw a relatively stable GPM of 28.67%, 28.76% and 28.06% respectively, before plummeting to 23.20 in 2023 and coming back to 28.87 in 2024 (Dahal, 2023</w:t>
      </w:r>
      <w:r w:rsidRPr="00136CDA">
        <w:rPr>
          <w:color w:val="auto"/>
          <w:lang w:val="en-US" w:eastAsia="en-US" w:bidi="ar-SA"/>
        </w:rPr>
        <w:t>). The acute decline in 2023 implies high pressure on the input prices and active discounting, which implies low pricing power. GPM has improved in 2024, but this seems to be due to declining sales and not efficiency improvements: this is an indicator that General Electronics has not sorted out root cause cost structure issues.</w:t>
      </w:r>
    </w:p>
    <w:p w14:paraId="6F4E5C9B"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16F6E545" wp14:editId="18C6467C">
            <wp:extent cx="4292600" cy="2368550"/>
            <wp:effectExtent l="0" t="0" r="0" b="0"/>
            <wp:docPr id="3" name="Picture 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rrowheads="1"/>
                    </pic:cNvPicPr>
                  </pic:nvPicPr>
                  <pic:blipFill>
                    <a:blip r:embed="rId240" r:link="rId241">
                      <a:extLst>
                        <a:ext uri="{28A0092B-C50C-407E-A947-70E740481C1C}">
                          <a14:useLocalDpi xmlns:a14="http://schemas.microsoft.com/office/drawing/2010/main" val="0"/>
                        </a:ext>
                      </a:extLst>
                    </a:blip>
                    <a:srcRect/>
                    <a:stretch>
                      <a:fillRect/>
                    </a:stretch>
                  </pic:blipFill>
                  <pic:spPr bwMode="auto">
                    <a:xfrm>
                      <a:off x="0" y="0"/>
                      <a:ext cx="4292600" cy="2368550"/>
                    </a:xfrm>
                    <a:prstGeom prst="rect">
                      <a:avLst/>
                    </a:prstGeom>
                    <a:noFill/>
                    <a:ln>
                      <a:noFill/>
                    </a:ln>
                  </pic:spPr>
                </pic:pic>
              </a:graphicData>
            </a:graphic>
          </wp:inline>
        </w:drawing>
      </w:r>
    </w:p>
    <w:p w14:paraId="2C439607" w14:textId="77777777" w:rsidR="00A77B3E" w:rsidRPr="00136CDA" w:rsidRDefault="00A96C87">
      <w:pPr>
        <w:rPr>
          <w:color w:val="auto"/>
          <w:lang w:val="en-US" w:bidi="ar-SA"/>
        </w:rPr>
      </w:pPr>
      <w:r w:rsidRPr="00136CDA">
        <w:rPr>
          <w:color w:val="auto"/>
          <w:shd w:val="solid" w:color="FFFFFF" w:fill="FFFFFF"/>
          <w:lang w:val="en-US" w:eastAsia="en-US" w:bidi="ar-SA"/>
        </w:rPr>
        <w:t>The Net Profit Margin (NPM) deteriorated considerably as compared to 6.28% in 2020, to 0.88% in 2021, and 0.07 in 2023 and 2024, respectively. It means that high financing costs, high impairments, and extraordinary costs are destroying even minor operating performance gains (Putri 2024</w:t>
      </w:r>
      <w:r w:rsidRPr="00136CDA">
        <w:rPr>
          <w:color w:val="auto"/>
          <w:lang w:val="en-US" w:eastAsia="en-US" w:bidi="ar-SA"/>
        </w:rPr>
        <w:t xml:space="preserve">). </w:t>
      </w:r>
    </w:p>
    <w:p w14:paraId="37DF5DCA" w14:textId="77777777" w:rsidR="00A77B3E" w:rsidRPr="00136CDA" w:rsidRDefault="00A96C87">
      <w:pPr>
        <w:jc w:val="center"/>
        <w:rPr>
          <w:color w:val="auto"/>
          <w:lang w:val="en-US" w:bidi="ar-SA"/>
        </w:rPr>
      </w:pPr>
      <w:r w:rsidRPr="00136CDA">
        <w:rPr>
          <w:noProof/>
          <w:color w:val="auto"/>
          <w:lang w:val="en-GB" w:eastAsia="en-GB" w:bidi="ar-SA"/>
        </w:rPr>
        <w:lastRenderedPageBreak/>
        <w:drawing>
          <wp:inline distT="0" distB="0" distL="0" distR="0" wp14:anchorId="098AC24A" wp14:editId="2B4C500D">
            <wp:extent cx="3911600" cy="2152650"/>
            <wp:effectExtent l="0" t="0" r="0" b="0"/>
            <wp:docPr id="4" name="Picture 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rrowheads="1"/>
                    </pic:cNvPicPr>
                  </pic:nvPicPr>
                  <pic:blipFill>
                    <a:blip r:embed="rId242" r:link="rId243">
                      <a:extLst>
                        <a:ext uri="{28A0092B-C50C-407E-A947-70E740481C1C}">
                          <a14:useLocalDpi xmlns:a14="http://schemas.microsoft.com/office/drawing/2010/main" val="0"/>
                        </a:ext>
                      </a:extLst>
                    </a:blip>
                    <a:srcRect/>
                    <a:stretch>
                      <a:fillRect/>
                    </a:stretch>
                  </pic:blipFill>
                  <pic:spPr bwMode="auto">
                    <a:xfrm>
                      <a:off x="0" y="0"/>
                      <a:ext cx="3911600" cy="2152650"/>
                    </a:xfrm>
                    <a:prstGeom prst="rect">
                      <a:avLst/>
                    </a:prstGeom>
                    <a:noFill/>
                    <a:ln>
                      <a:noFill/>
                    </a:ln>
                  </pic:spPr>
                </pic:pic>
              </a:graphicData>
            </a:graphic>
          </wp:inline>
        </w:drawing>
      </w:r>
    </w:p>
    <w:p w14:paraId="0F1DE0A8" w14:textId="77777777" w:rsidR="00A77B3E" w:rsidRPr="00136CDA" w:rsidRDefault="00A96C87">
      <w:pPr>
        <w:rPr>
          <w:color w:val="auto"/>
          <w:lang w:val="en-US" w:bidi="ar-SA"/>
        </w:rPr>
      </w:pPr>
      <w:r w:rsidRPr="00136CDA">
        <w:rPr>
          <w:color w:val="auto"/>
          <w:lang w:val="en-US" w:eastAsia="en-US" w:bidi="ar-SA"/>
        </w:rPr>
        <w:t>Return on Assets (ROA) decreases radically to 1% in 2021 and 0% in 2022, and even worse to -28 in 2023 and -7 in 2024. This trend is an indicator of severe underutilization of assets, overcapacity in operation and poor investment choices.</w:t>
      </w:r>
    </w:p>
    <w:p w14:paraId="08405172" w14:textId="77777777" w:rsidR="00A77B3E" w:rsidRPr="00136CDA" w:rsidRDefault="00A96C87">
      <w:pPr>
        <w:pStyle w:val="Heading2"/>
        <w:spacing w:line="360" w:lineRule="auto"/>
        <w:rPr>
          <w:color w:val="auto"/>
          <w:lang w:val="en-US" w:bidi="ar-SA"/>
        </w:rPr>
      </w:pPr>
      <w:bookmarkStart w:id="4" w:name="h.yoewr866po4f"/>
      <w:bookmarkEnd w:id="4"/>
      <w:r w:rsidRPr="00136CDA">
        <w:rPr>
          <w:color w:val="auto"/>
          <w:lang w:val="en-US" w:eastAsia="en-US" w:bidi="ar-SA"/>
        </w:rPr>
        <w:t>2.2 Liquidity Analysis</w:t>
      </w:r>
    </w:p>
    <w:p w14:paraId="26812FAC" w14:textId="77777777" w:rsidR="00A77B3E" w:rsidRPr="00136CDA" w:rsidRDefault="00A96C87">
      <w:pPr>
        <w:rPr>
          <w:color w:val="auto"/>
          <w:lang w:val="en-US" w:bidi="ar-SA"/>
        </w:rPr>
      </w:pPr>
      <w:r w:rsidRPr="00136CDA">
        <w:rPr>
          <w:color w:val="auto"/>
          <w:lang w:val="en-US" w:eastAsia="en-US" w:bidi="ar-SA"/>
        </w:rPr>
        <w:t xml:space="preserve">Liquidity ratios can measure the short-term capacity of the firm to fulfill its short-term obligations. General Electronics is not in a strong liquidity status, but it is not in crisis yet. </w:t>
      </w:r>
    </w:p>
    <w:p w14:paraId="450EA83C"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29A7BAEC" wp14:editId="22BAAC0E">
            <wp:extent cx="4584700" cy="2654300"/>
            <wp:effectExtent l="0" t="0" r="0" b="0"/>
            <wp:docPr id="5" name="Picture 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rrowheads="1"/>
                    </pic:cNvPicPr>
                  </pic:nvPicPr>
                  <pic:blipFill>
                    <a:blip r:embed="rId244" r:link="rId245">
                      <a:extLst>
                        <a:ext uri="{28A0092B-C50C-407E-A947-70E740481C1C}">
                          <a14:useLocalDpi xmlns:a14="http://schemas.microsoft.com/office/drawing/2010/main" val="0"/>
                        </a:ext>
                      </a:extLst>
                    </a:blip>
                    <a:srcRect/>
                    <a:stretch>
                      <a:fillRect/>
                    </a:stretch>
                  </pic:blipFill>
                  <pic:spPr bwMode="auto">
                    <a:xfrm>
                      <a:off x="0" y="0"/>
                      <a:ext cx="4584700" cy="2654300"/>
                    </a:xfrm>
                    <a:prstGeom prst="rect">
                      <a:avLst/>
                    </a:prstGeom>
                    <a:noFill/>
                    <a:ln>
                      <a:noFill/>
                    </a:ln>
                  </pic:spPr>
                </pic:pic>
              </a:graphicData>
            </a:graphic>
          </wp:inline>
        </w:drawing>
      </w:r>
    </w:p>
    <w:p w14:paraId="5E58DBF6" w14:textId="77777777" w:rsidR="00A77B3E" w:rsidRPr="00136CDA" w:rsidRDefault="00A96C87">
      <w:pPr>
        <w:jc w:val="center"/>
        <w:rPr>
          <w:b/>
          <w:bCs/>
          <w:color w:val="auto"/>
          <w:lang w:val="en-US" w:bidi="ar-SA"/>
        </w:rPr>
      </w:pPr>
      <w:r w:rsidRPr="00136CDA">
        <w:rPr>
          <w:b/>
          <w:bCs/>
          <w:color w:val="auto"/>
          <w:lang w:val="en-US" w:eastAsia="en-US" w:bidi="ar-SA"/>
        </w:rPr>
        <w:t>Figure 2: Liquidity Ratio</w:t>
      </w:r>
    </w:p>
    <w:p w14:paraId="11FB683A" w14:textId="77777777" w:rsidR="00A77B3E" w:rsidRPr="00136CDA" w:rsidRDefault="00A96C87">
      <w:pPr>
        <w:jc w:val="center"/>
        <w:rPr>
          <w:color w:val="auto"/>
          <w:lang w:val="en-US" w:bidi="ar-SA"/>
        </w:rPr>
      </w:pPr>
      <w:r w:rsidRPr="00136CDA">
        <w:rPr>
          <w:color w:val="auto"/>
          <w:lang w:val="en-US" w:eastAsia="en-US" w:bidi="ar-SA"/>
        </w:rPr>
        <w:t>(Source: self-created)</w:t>
      </w:r>
    </w:p>
    <w:p w14:paraId="74DA3635" w14:textId="77777777" w:rsidR="00A77B3E" w:rsidRPr="00136CDA" w:rsidRDefault="00A96C87">
      <w:pPr>
        <w:jc w:val="center"/>
        <w:rPr>
          <w:color w:val="auto"/>
          <w:lang w:val="en-US" w:bidi="ar-SA"/>
        </w:rPr>
      </w:pPr>
      <w:r w:rsidRPr="00136CDA">
        <w:rPr>
          <w:noProof/>
          <w:color w:val="auto"/>
          <w:lang w:val="en-GB" w:eastAsia="en-GB" w:bidi="ar-SA"/>
        </w:rPr>
        <w:lastRenderedPageBreak/>
        <w:drawing>
          <wp:inline distT="0" distB="0" distL="0" distR="0" wp14:anchorId="6E675107" wp14:editId="0C9C5F60">
            <wp:extent cx="3848100" cy="2120900"/>
            <wp:effectExtent l="0" t="0" r="0" b="0"/>
            <wp:docPr id="6" name="Picture 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rrowheads="1"/>
                    </pic:cNvPicPr>
                  </pic:nvPicPr>
                  <pic:blipFill>
                    <a:blip r:embed="rId246" r:link="rId247">
                      <a:extLst>
                        <a:ext uri="{28A0092B-C50C-407E-A947-70E740481C1C}">
                          <a14:useLocalDpi xmlns:a14="http://schemas.microsoft.com/office/drawing/2010/main" val="0"/>
                        </a:ext>
                      </a:extLst>
                    </a:blip>
                    <a:srcRect/>
                    <a:stretch>
                      <a:fillRect/>
                    </a:stretch>
                  </pic:blipFill>
                  <pic:spPr bwMode="auto">
                    <a:xfrm>
                      <a:off x="0" y="0"/>
                      <a:ext cx="3848100" cy="2120900"/>
                    </a:xfrm>
                    <a:prstGeom prst="rect">
                      <a:avLst/>
                    </a:prstGeom>
                    <a:noFill/>
                    <a:ln>
                      <a:noFill/>
                    </a:ln>
                  </pic:spPr>
                </pic:pic>
              </a:graphicData>
            </a:graphic>
          </wp:inline>
        </w:drawing>
      </w:r>
    </w:p>
    <w:p w14:paraId="725E97D8" w14:textId="77777777" w:rsidR="00A77B3E" w:rsidRPr="00136CDA" w:rsidRDefault="00A96C87">
      <w:pPr>
        <w:rPr>
          <w:color w:val="auto"/>
          <w:lang w:val="en-US" w:bidi="ar-SA"/>
        </w:rPr>
      </w:pPr>
      <w:r w:rsidRPr="00136CDA">
        <w:rPr>
          <w:color w:val="auto"/>
          <w:shd w:val="solid" w:color="FFFFFF" w:fill="FFFFFF"/>
          <w:lang w:val="en-US" w:eastAsia="en-US" w:bidi="ar-SA"/>
        </w:rPr>
        <w:t xml:space="preserve">Current Ratio improved on the previous 1.82 (2020) to 1.56 (2021), and this trend continued to 1.61 in 2022, and 1.53 in 2024. Although a ratio of more than 1 is good to show that General Electronics can cover the obligations, the decreasing trend displays a declining base of current assets (Mursalini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2024</w:t>
      </w:r>
      <w:r w:rsidRPr="00136CDA">
        <w:rPr>
          <w:color w:val="auto"/>
          <w:lang w:val="en-US" w:eastAsia="en-US" w:bidi="ar-SA"/>
        </w:rPr>
        <w:t>). This indicates a decline in cash reserves and an increase in current liabilities that have been caused by reliance on supplier credit.</w:t>
      </w:r>
    </w:p>
    <w:p w14:paraId="31F43EC4"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660393A7" wp14:editId="32446D32">
            <wp:extent cx="4330700" cy="3181350"/>
            <wp:effectExtent l="0" t="0" r="0" b="0"/>
            <wp:docPr id="7" name="Picture 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rrowheads="1"/>
                    </pic:cNvPicPr>
                  </pic:nvPicPr>
                  <pic:blipFill>
                    <a:blip r:embed="rId248" r:link="rId249">
                      <a:extLst>
                        <a:ext uri="{28A0092B-C50C-407E-A947-70E740481C1C}">
                          <a14:useLocalDpi xmlns:a14="http://schemas.microsoft.com/office/drawing/2010/main" val="0"/>
                        </a:ext>
                      </a:extLst>
                    </a:blip>
                    <a:srcRect/>
                    <a:stretch>
                      <a:fillRect/>
                    </a:stretch>
                  </pic:blipFill>
                  <pic:spPr bwMode="auto">
                    <a:xfrm>
                      <a:off x="0" y="0"/>
                      <a:ext cx="4330700" cy="3181350"/>
                    </a:xfrm>
                    <a:prstGeom prst="rect">
                      <a:avLst/>
                    </a:prstGeom>
                    <a:noFill/>
                    <a:ln>
                      <a:noFill/>
                    </a:ln>
                  </pic:spPr>
                </pic:pic>
              </a:graphicData>
            </a:graphic>
          </wp:inline>
        </w:drawing>
      </w:r>
    </w:p>
    <w:p w14:paraId="0218C471" w14:textId="77777777" w:rsidR="00A77B3E" w:rsidRPr="00136CDA" w:rsidRDefault="00A96C87">
      <w:pPr>
        <w:rPr>
          <w:color w:val="auto"/>
          <w:lang w:val="en-US" w:bidi="ar-SA"/>
        </w:rPr>
      </w:pPr>
      <w:r w:rsidRPr="00136CDA">
        <w:rPr>
          <w:color w:val="auto"/>
          <w:shd w:val="solid" w:color="FFFFFF" w:fill="FFFFFF"/>
          <w:lang w:val="en-US" w:eastAsia="en-US" w:bidi="ar-SA"/>
        </w:rPr>
        <w:t>The liquidity is tighter with the Quick Ratio, which omits inventories. It decreased to 1.15 (2020) to 0.93 (2021) and 0.91 (2022), and then increased to 1.06 (2023) and reduced slightly to 1.03 (2024). A ratio around 1 indicates a low access to liquidity to cover debt which indicates that the company is susceptible to being affected by cash-flow (Blessing, and Sakouvogui, 2023</w:t>
      </w:r>
      <w:r w:rsidRPr="00136CDA">
        <w:rPr>
          <w:color w:val="auto"/>
          <w:lang w:val="en-US" w:eastAsia="en-US" w:bidi="ar-SA"/>
        </w:rPr>
        <w:t xml:space="preserve">). On the whole, the deterioration of liquidity is caused by the reduction in cash flows, increasing </w:t>
      </w:r>
      <w:r w:rsidRPr="00136CDA">
        <w:rPr>
          <w:color w:val="auto"/>
          <w:lang w:val="en-US" w:eastAsia="en-US" w:bidi="ar-SA"/>
        </w:rPr>
        <w:lastRenderedPageBreak/>
        <w:t>payables, and ineffective working capital practices. The capacity of General Electronics to fulfill short term likely will not be lost but rather weaken which puts the firm at risk of liquidity shocks, credit tightening and difficulties with refinancing.</w:t>
      </w:r>
    </w:p>
    <w:p w14:paraId="0B34D15C" w14:textId="7B67D694" w:rsidR="00A77B3E" w:rsidRPr="00136CDA" w:rsidRDefault="00A96C87">
      <w:pPr>
        <w:pStyle w:val="Heading2"/>
        <w:spacing w:line="360" w:lineRule="auto"/>
        <w:rPr>
          <w:color w:val="auto"/>
          <w:lang w:val="en-US" w:bidi="ar-SA"/>
        </w:rPr>
      </w:pPr>
      <w:bookmarkStart w:id="5" w:name="h.lr4c0c5i8w3u"/>
      <w:bookmarkEnd w:id="5"/>
      <w:r w:rsidRPr="00136CDA">
        <w:rPr>
          <w:color w:val="auto"/>
          <w:lang w:val="en-US" w:eastAsia="en-US" w:bidi="ar-SA"/>
        </w:rPr>
        <w:t>2.3 Efficiency (Asset Utilization) Analysis</w:t>
      </w:r>
    </w:p>
    <w:p w14:paraId="045073A5" w14:textId="637AA576" w:rsidR="00A77B3E" w:rsidRPr="00136CDA" w:rsidRDefault="00A96C87">
      <w:pPr>
        <w:rPr>
          <w:color w:val="auto"/>
          <w:lang w:val="en-US" w:bidi="ar-SA"/>
        </w:rPr>
      </w:pPr>
      <w:r w:rsidRPr="00136CDA">
        <w:rPr>
          <w:color w:val="auto"/>
          <w:shd w:val="solid" w:color="FFFFFF" w:fill="FFFFFF"/>
          <w:lang w:val="en-US" w:eastAsia="en-US" w:bidi="ar-SA"/>
        </w:rPr>
        <w:t>Efficiency ratios help to determine the efficiency in terms of utilization of resources and control of working capital (Hasidi e</w:t>
      </w:r>
      <w:r w:rsidRPr="00136CDA">
        <w:rPr>
          <w:i/>
          <w:iCs/>
          <w:color w:val="auto"/>
          <w:shd w:val="solid" w:color="FFFFFF" w:fill="FFFFFF"/>
          <w:lang w:val="en-US" w:eastAsia="en-US" w:bidi="ar-SA"/>
        </w:rPr>
        <w:t>t al.</w:t>
      </w:r>
      <w:r w:rsidRPr="00136CDA">
        <w:rPr>
          <w:color w:val="auto"/>
          <w:shd w:val="solid" w:color="FFFFFF" w:fill="FFFFFF"/>
          <w:lang w:val="en-US" w:eastAsia="en-US" w:bidi="ar-SA"/>
        </w:rPr>
        <w:t xml:space="preserve"> 2024</w:t>
      </w:r>
      <w:r w:rsidRPr="00136CDA">
        <w:rPr>
          <w:color w:val="auto"/>
          <w:lang w:val="en-US" w:eastAsia="en-US" w:bidi="ar-SA"/>
        </w:rPr>
        <w:t xml:space="preserve">). The efficiency indicators of General Electronics show that the operating cycle is getting worse and the production and supply chain discipline is becoming weak. </w:t>
      </w:r>
    </w:p>
    <w:p w14:paraId="1D713469"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061DF6DA" wp14:editId="4693BAF3">
            <wp:extent cx="4940300" cy="3130550"/>
            <wp:effectExtent l="0" t="0" r="0" b="0"/>
            <wp:docPr id="8" name="Picture 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rrowheads="1"/>
                    </pic:cNvPicPr>
                  </pic:nvPicPr>
                  <pic:blipFill>
                    <a:blip r:embed="rId250" r:link="rId251">
                      <a:extLst>
                        <a:ext uri="{28A0092B-C50C-407E-A947-70E740481C1C}">
                          <a14:useLocalDpi xmlns:a14="http://schemas.microsoft.com/office/drawing/2010/main" val="0"/>
                        </a:ext>
                      </a:extLst>
                    </a:blip>
                    <a:srcRect/>
                    <a:stretch>
                      <a:fillRect/>
                    </a:stretch>
                  </pic:blipFill>
                  <pic:spPr bwMode="auto">
                    <a:xfrm>
                      <a:off x="0" y="0"/>
                      <a:ext cx="4940300" cy="3130550"/>
                    </a:xfrm>
                    <a:prstGeom prst="rect">
                      <a:avLst/>
                    </a:prstGeom>
                    <a:noFill/>
                    <a:ln>
                      <a:noFill/>
                    </a:ln>
                  </pic:spPr>
                </pic:pic>
              </a:graphicData>
            </a:graphic>
          </wp:inline>
        </w:drawing>
      </w:r>
    </w:p>
    <w:p w14:paraId="1AF46290" w14:textId="77777777" w:rsidR="00A77B3E" w:rsidRPr="00136CDA" w:rsidRDefault="00A96C87">
      <w:pPr>
        <w:jc w:val="center"/>
        <w:rPr>
          <w:b/>
          <w:bCs/>
          <w:color w:val="auto"/>
          <w:lang w:val="en-US" w:bidi="ar-SA"/>
        </w:rPr>
      </w:pPr>
      <w:r w:rsidRPr="00136CDA">
        <w:rPr>
          <w:b/>
          <w:bCs/>
          <w:color w:val="auto"/>
          <w:lang w:val="en-US" w:eastAsia="en-US" w:bidi="ar-SA"/>
        </w:rPr>
        <w:t>Figure 3: Efficiency Ratio</w:t>
      </w:r>
    </w:p>
    <w:p w14:paraId="2C75E6A9" w14:textId="77777777" w:rsidR="00A77B3E" w:rsidRPr="00136CDA" w:rsidRDefault="00A96C87">
      <w:pPr>
        <w:jc w:val="center"/>
        <w:rPr>
          <w:color w:val="auto"/>
          <w:lang w:val="en-US" w:bidi="ar-SA"/>
        </w:rPr>
      </w:pPr>
      <w:r w:rsidRPr="00136CDA">
        <w:rPr>
          <w:color w:val="auto"/>
          <w:lang w:val="en-US" w:eastAsia="en-US" w:bidi="ar-SA"/>
        </w:rPr>
        <w:t>(Source: self-created)</w:t>
      </w:r>
    </w:p>
    <w:p w14:paraId="421EABA6"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2C77C722" wp14:editId="0A1F2870">
            <wp:extent cx="4152900" cy="2095500"/>
            <wp:effectExtent l="0" t="0" r="0" b="0"/>
            <wp:docPr id="9" name="Picture 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rrowheads="1"/>
                    </pic:cNvPicPr>
                  </pic:nvPicPr>
                  <pic:blipFill>
                    <a:blip r:embed="rId252" r:link="rId253">
                      <a:extLst>
                        <a:ext uri="{28A0092B-C50C-407E-A947-70E740481C1C}">
                          <a14:useLocalDpi xmlns:a14="http://schemas.microsoft.com/office/drawing/2010/main" val="0"/>
                        </a:ext>
                      </a:extLst>
                    </a:blip>
                    <a:srcRect/>
                    <a:stretch>
                      <a:fillRect/>
                    </a:stretch>
                  </pic:blipFill>
                  <pic:spPr bwMode="auto">
                    <a:xfrm>
                      <a:off x="0" y="0"/>
                      <a:ext cx="4152900" cy="2095500"/>
                    </a:xfrm>
                    <a:prstGeom prst="rect">
                      <a:avLst/>
                    </a:prstGeom>
                    <a:noFill/>
                    <a:ln>
                      <a:noFill/>
                    </a:ln>
                  </pic:spPr>
                </pic:pic>
              </a:graphicData>
            </a:graphic>
          </wp:inline>
        </w:drawing>
      </w:r>
    </w:p>
    <w:p w14:paraId="2DABD95F" w14:textId="77777777" w:rsidR="00A77B3E" w:rsidRPr="00136CDA" w:rsidRDefault="00A96C87">
      <w:pPr>
        <w:rPr>
          <w:color w:val="auto"/>
          <w:lang w:val="en-US" w:bidi="ar-SA"/>
        </w:rPr>
      </w:pPr>
      <w:r w:rsidRPr="00136CDA">
        <w:rPr>
          <w:color w:val="auto"/>
          <w:shd w:val="solid" w:color="FFFFFF" w:fill="FFFFFF"/>
          <w:lang w:val="en-US" w:eastAsia="en-US" w:bidi="ar-SA"/>
        </w:rPr>
        <w:lastRenderedPageBreak/>
        <w:t xml:space="preserve">The inventory Turnover Days were much higher in 2021 (115) and 2022 (131) than in 2020 (100), but then returning to 100 (2023) and then improving to 103(2024). High and variable inventory days are indicative of excessive production, ineffective forecasting, and slow sales (Cobandag Guloglu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2022</w:t>
      </w:r>
      <w:r w:rsidRPr="00136CDA">
        <w:rPr>
          <w:color w:val="auto"/>
          <w:lang w:val="en-US" w:eastAsia="en-US" w:bidi="ar-SA"/>
        </w:rPr>
        <w:t>). The presence of write-downs and the risk of obsolescence is due to high inventory holding cost, particularly in electronics.</w:t>
      </w:r>
    </w:p>
    <w:p w14:paraId="34BED1BA"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685F164B" wp14:editId="22E731A3">
            <wp:extent cx="4438650" cy="2152650"/>
            <wp:effectExtent l="0" t="0" r="0" b="0"/>
            <wp:docPr id="10" name="Picture 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rrowheads="1"/>
                    </pic:cNvPicPr>
                  </pic:nvPicPr>
                  <pic:blipFill>
                    <a:blip r:embed="rId254" r:link="rId255">
                      <a:extLst>
                        <a:ext uri="{28A0092B-C50C-407E-A947-70E740481C1C}">
                          <a14:useLocalDpi xmlns:a14="http://schemas.microsoft.com/office/drawing/2010/main" val="0"/>
                        </a:ext>
                      </a:extLst>
                    </a:blip>
                    <a:srcRect/>
                    <a:stretch>
                      <a:fillRect/>
                    </a:stretch>
                  </pic:blipFill>
                  <pic:spPr bwMode="auto">
                    <a:xfrm>
                      <a:off x="0" y="0"/>
                      <a:ext cx="4438650" cy="2152650"/>
                    </a:xfrm>
                    <a:prstGeom prst="rect">
                      <a:avLst/>
                    </a:prstGeom>
                    <a:noFill/>
                    <a:ln>
                      <a:noFill/>
                    </a:ln>
                  </pic:spPr>
                </pic:pic>
              </a:graphicData>
            </a:graphic>
          </wp:inline>
        </w:drawing>
      </w:r>
    </w:p>
    <w:p w14:paraId="17809999"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Days receivable rose to 77 (2020) and then 78 (2021) and then soared to 76 in 2022, 2023 and 2024. The steep increase of 2022-2024 is a symptom of lax credit conditions, poor collection procedures and probably customer financial strain (Abdulkareem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2021</w:t>
      </w:r>
      <w:r w:rsidRPr="00136CDA">
        <w:rPr>
          <w:color w:val="auto"/>
          <w:lang w:val="en-US" w:eastAsia="en-US" w:bidi="ar-SA"/>
        </w:rPr>
        <w:t>). The increased periods of the receivable cycles directly limit the operating cash flows and increase the credit risk.</w:t>
      </w:r>
    </w:p>
    <w:p w14:paraId="3B9151EF"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1A67ED65" wp14:editId="200AF17E">
            <wp:extent cx="3416300" cy="1727200"/>
            <wp:effectExtent l="0" t="0" r="0" b="0"/>
            <wp:docPr id="11" name="Picture 1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rrowheads="1"/>
                    </pic:cNvPicPr>
                  </pic:nvPicPr>
                  <pic:blipFill>
                    <a:blip r:embed="rId256" r:link="rId257">
                      <a:extLst>
                        <a:ext uri="{28A0092B-C50C-407E-A947-70E740481C1C}">
                          <a14:useLocalDpi xmlns:a14="http://schemas.microsoft.com/office/drawing/2010/main" val="0"/>
                        </a:ext>
                      </a:extLst>
                    </a:blip>
                    <a:srcRect/>
                    <a:stretch>
                      <a:fillRect/>
                    </a:stretch>
                  </pic:blipFill>
                  <pic:spPr bwMode="auto">
                    <a:xfrm>
                      <a:off x="0" y="0"/>
                      <a:ext cx="3416300" cy="1727200"/>
                    </a:xfrm>
                    <a:prstGeom prst="rect">
                      <a:avLst/>
                    </a:prstGeom>
                    <a:noFill/>
                    <a:ln>
                      <a:noFill/>
                    </a:ln>
                  </pic:spPr>
                </pic:pic>
              </a:graphicData>
            </a:graphic>
          </wp:inline>
        </w:drawing>
      </w:r>
    </w:p>
    <w:p w14:paraId="5100FF03"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Payable Days dropped to 69 (2020) to 79 (2021), and to 64 (2022), and increased by a massive 94 in 2024. This acceleration in 2024 is a good indication of deteriorating liquidity as the company is postponing payments to suppliers (Andrabi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2021</w:t>
      </w:r>
      <w:r w:rsidRPr="00136CDA">
        <w:rPr>
          <w:color w:val="auto"/>
          <w:lang w:val="en-US" w:eastAsia="en-US" w:bidi="ar-SA"/>
        </w:rPr>
        <w:t>). Although temporary extension of payables is beneficial in the short run in reverting to cash flow, it risks supplier relations and could result in tightening credit terms or an increment in cost.</w:t>
      </w:r>
    </w:p>
    <w:p w14:paraId="2E43F0FB" w14:textId="77777777" w:rsidR="00A77B3E" w:rsidRPr="00136CDA" w:rsidRDefault="00A96C87">
      <w:pPr>
        <w:jc w:val="center"/>
        <w:rPr>
          <w:color w:val="auto"/>
          <w:lang w:val="en-US" w:bidi="ar-SA"/>
        </w:rPr>
      </w:pPr>
      <w:r w:rsidRPr="00136CDA">
        <w:rPr>
          <w:noProof/>
          <w:color w:val="auto"/>
          <w:lang w:val="en-GB" w:eastAsia="en-GB" w:bidi="ar-SA"/>
        </w:rPr>
        <w:lastRenderedPageBreak/>
        <w:drawing>
          <wp:inline distT="0" distB="0" distL="0" distR="0" wp14:anchorId="5EDF3248" wp14:editId="3398E73F">
            <wp:extent cx="3416300" cy="1727200"/>
            <wp:effectExtent l="0" t="0" r="0" b="0"/>
            <wp:docPr id="12" name="Picture 1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rrowheads="1"/>
                    </pic:cNvPicPr>
                  </pic:nvPicPr>
                  <pic:blipFill>
                    <a:blip r:embed="rId258" r:link="rId259">
                      <a:extLst>
                        <a:ext uri="{28A0092B-C50C-407E-A947-70E740481C1C}">
                          <a14:useLocalDpi xmlns:a14="http://schemas.microsoft.com/office/drawing/2010/main" val="0"/>
                        </a:ext>
                      </a:extLst>
                    </a:blip>
                    <a:srcRect/>
                    <a:stretch>
                      <a:fillRect/>
                    </a:stretch>
                  </pic:blipFill>
                  <pic:spPr bwMode="auto">
                    <a:xfrm>
                      <a:off x="0" y="0"/>
                      <a:ext cx="3416300" cy="1727200"/>
                    </a:xfrm>
                    <a:prstGeom prst="rect">
                      <a:avLst/>
                    </a:prstGeom>
                    <a:noFill/>
                    <a:ln>
                      <a:noFill/>
                    </a:ln>
                  </pic:spPr>
                </pic:pic>
              </a:graphicData>
            </a:graphic>
          </wp:inline>
        </w:drawing>
      </w:r>
    </w:p>
    <w:p w14:paraId="7F808D52"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Total Asset Turnover Ratio decreased to 1.20 (2020) and 1.08 (2022), after which it slowly grew to 1.18 (2023) and 1.22 (2024). The recovery is however, majorly due to write-downs in the total assets and not due to better operational efficiency. All in all, the efficiency ratios of General Electronics indicate the deteriorating operational discipline (Yulianti, and Waworuntu 2025). </w:t>
      </w:r>
      <w:r w:rsidRPr="00136CDA">
        <w:rPr>
          <w:color w:val="auto"/>
          <w:lang w:val="en-US" w:eastAsia="en-US" w:bidi="ar-SA"/>
        </w:rPr>
        <w:t>The fact that the receivable and payable periods are longer and the inventory turnover is slower means that there is ineffective supply chain management to boost the liquidity and overall competitiveness of the firms.</w:t>
      </w:r>
    </w:p>
    <w:p w14:paraId="01BA6F37" w14:textId="77777777" w:rsidR="00A77B3E" w:rsidRPr="00136CDA" w:rsidRDefault="00A96C87">
      <w:pPr>
        <w:pStyle w:val="Heading2"/>
        <w:spacing w:line="360" w:lineRule="auto"/>
        <w:rPr>
          <w:color w:val="auto"/>
          <w:lang w:val="en-US" w:bidi="ar-SA"/>
        </w:rPr>
      </w:pPr>
      <w:bookmarkStart w:id="6" w:name="h.q7z3rlvb54nr"/>
      <w:bookmarkEnd w:id="6"/>
      <w:r w:rsidRPr="00136CDA">
        <w:rPr>
          <w:color w:val="auto"/>
          <w:lang w:val="en-US" w:eastAsia="en-US" w:bidi="ar-SA"/>
        </w:rPr>
        <w:t>2.4 Gearing (Leverage) Analysis</w:t>
      </w:r>
    </w:p>
    <w:p w14:paraId="68493E29" w14:textId="77777777" w:rsidR="00A77B3E" w:rsidRPr="00136CDA" w:rsidRDefault="00A96C87">
      <w:pPr>
        <w:rPr>
          <w:color w:val="auto"/>
          <w:lang w:val="en-US" w:bidi="ar-SA"/>
        </w:rPr>
      </w:pPr>
      <w:r w:rsidRPr="00136CDA">
        <w:rPr>
          <w:color w:val="auto"/>
          <w:lang w:val="en-US" w:eastAsia="en-US" w:bidi="ar-SA"/>
        </w:rPr>
        <w:t>The leverage ratios are used to measure the long-term financial stability and exposure to risk. The increase in leverage and poor profitability of General Electronics increases the solvency risk considerably.</w:t>
      </w:r>
    </w:p>
    <w:p w14:paraId="5CE2990A"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0BEC35BB" wp14:editId="7FD5F23D">
            <wp:extent cx="4584700" cy="3371850"/>
            <wp:effectExtent l="0" t="0" r="0" b="0"/>
            <wp:docPr id="13" name="Picture 1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rrowheads="1"/>
                    </pic:cNvPicPr>
                  </pic:nvPicPr>
                  <pic:blipFill>
                    <a:blip r:embed="rId260" r:link="rId261">
                      <a:extLst>
                        <a:ext uri="{28A0092B-C50C-407E-A947-70E740481C1C}">
                          <a14:useLocalDpi xmlns:a14="http://schemas.microsoft.com/office/drawing/2010/main" val="0"/>
                        </a:ext>
                      </a:extLst>
                    </a:blip>
                    <a:srcRect/>
                    <a:stretch>
                      <a:fillRect/>
                    </a:stretch>
                  </pic:blipFill>
                  <pic:spPr bwMode="auto">
                    <a:xfrm>
                      <a:off x="0" y="0"/>
                      <a:ext cx="4584700" cy="3371850"/>
                    </a:xfrm>
                    <a:prstGeom prst="rect">
                      <a:avLst/>
                    </a:prstGeom>
                    <a:noFill/>
                    <a:ln>
                      <a:noFill/>
                    </a:ln>
                  </pic:spPr>
                </pic:pic>
              </a:graphicData>
            </a:graphic>
          </wp:inline>
        </w:drawing>
      </w:r>
    </w:p>
    <w:p w14:paraId="7C1605EC" w14:textId="77777777" w:rsidR="00A77B3E" w:rsidRPr="00136CDA" w:rsidRDefault="00A96C87">
      <w:pPr>
        <w:jc w:val="center"/>
        <w:rPr>
          <w:b/>
          <w:bCs/>
          <w:color w:val="auto"/>
          <w:lang w:val="en-US" w:bidi="ar-SA"/>
        </w:rPr>
      </w:pPr>
      <w:r w:rsidRPr="00136CDA">
        <w:rPr>
          <w:b/>
          <w:bCs/>
          <w:color w:val="auto"/>
          <w:lang w:val="en-US" w:eastAsia="en-US" w:bidi="ar-SA"/>
        </w:rPr>
        <w:lastRenderedPageBreak/>
        <w:t>Figure 4: Gearing Ratio</w:t>
      </w:r>
    </w:p>
    <w:p w14:paraId="73EE2126" w14:textId="77777777" w:rsidR="00A77B3E" w:rsidRPr="00136CDA" w:rsidRDefault="00A96C87">
      <w:pPr>
        <w:jc w:val="center"/>
        <w:rPr>
          <w:color w:val="auto"/>
          <w:lang w:val="en-US" w:bidi="ar-SA"/>
        </w:rPr>
      </w:pPr>
      <w:r w:rsidRPr="00136CDA">
        <w:rPr>
          <w:color w:val="auto"/>
          <w:lang w:val="en-US" w:eastAsia="en-US" w:bidi="ar-SA"/>
        </w:rPr>
        <w:t>(Source: self-created)</w:t>
      </w:r>
    </w:p>
    <w:p w14:paraId="117A96BC"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4DBB0DEA" wp14:editId="1C11984F">
            <wp:extent cx="4216400" cy="2127250"/>
            <wp:effectExtent l="0" t="0" r="0" b="0"/>
            <wp:docPr id="14" name="Picture 1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rrowheads="1"/>
                    </pic:cNvPicPr>
                  </pic:nvPicPr>
                  <pic:blipFill>
                    <a:blip r:embed="rId262" r:link="rId263">
                      <a:extLst>
                        <a:ext uri="{28A0092B-C50C-407E-A947-70E740481C1C}">
                          <a14:useLocalDpi xmlns:a14="http://schemas.microsoft.com/office/drawing/2010/main" val="0"/>
                        </a:ext>
                      </a:extLst>
                    </a:blip>
                    <a:srcRect/>
                    <a:stretch>
                      <a:fillRect/>
                    </a:stretch>
                  </pic:blipFill>
                  <pic:spPr bwMode="auto">
                    <a:xfrm>
                      <a:off x="0" y="0"/>
                      <a:ext cx="4216400" cy="2127250"/>
                    </a:xfrm>
                    <a:prstGeom prst="rect">
                      <a:avLst/>
                    </a:prstGeom>
                    <a:noFill/>
                    <a:ln>
                      <a:noFill/>
                    </a:ln>
                  </pic:spPr>
                </pic:pic>
              </a:graphicData>
            </a:graphic>
          </wp:inline>
        </w:drawing>
      </w:r>
    </w:p>
    <w:p w14:paraId="26F55B60" w14:textId="77777777" w:rsidR="00A77B3E" w:rsidRPr="00136CDA" w:rsidRDefault="00A96C87">
      <w:pPr>
        <w:rPr>
          <w:color w:val="auto"/>
          <w:lang w:val="en-US" w:bidi="ar-SA"/>
        </w:rPr>
      </w:pPr>
      <w:r w:rsidRPr="00136CDA">
        <w:rPr>
          <w:color w:val="auto"/>
          <w:shd w:val="solid" w:color="FFFFFF" w:fill="FFFFFF"/>
          <w:lang w:val="en-US" w:eastAsia="en-US" w:bidi="ar-SA"/>
        </w:rPr>
        <w:t>The Debt-to-Equity Ratio grew continuously since 0.63 (2020) to 0.85 (2021), 0.99 (2023) and 1.11 (2024). A ratio that is greater than 1 means that a firm is more financed through debt than equity. Increasing leverage is an indicator of accumulating losses, deteriorating equity and growing dependence on debt capital (Umoh 2024</w:t>
      </w:r>
      <w:r w:rsidRPr="00136CDA">
        <w:rPr>
          <w:color w:val="auto"/>
          <w:lang w:val="en-US" w:eastAsia="en-US" w:bidi="ar-SA"/>
        </w:rPr>
        <w:t>). This trend severely restricts the financial flexibility of the company and increases its exposure to the rise in interest rate.</w:t>
      </w:r>
    </w:p>
    <w:p w14:paraId="2DBF4ABE"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6A0CE16B" wp14:editId="0B30B418">
            <wp:extent cx="4286250" cy="2165350"/>
            <wp:effectExtent l="0" t="0" r="0" b="0"/>
            <wp:docPr id="15" name="Picture 1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rrowheads="1"/>
                    </pic:cNvPicPr>
                  </pic:nvPicPr>
                  <pic:blipFill>
                    <a:blip r:embed="rId264" r:link="rId265">
                      <a:extLst>
                        <a:ext uri="{28A0092B-C50C-407E-A947-70E740481C1C}">
                          <a14:useLocalDpi xmlns:a14="http://schemas.microsoft.com/office/drawing/2010/main" val="0"/>
                        </a:ext>
                      </a:extLst>
                    </a:blip>
                    <a:srcRect/>
                    <a:stretch>
                      <a:fillRect/>
                    </a:stretch>
                  </pic:blipFill>
                  <pic:spPr bwMode="auto">
                    <a:xfrm>
                      <a:off x="0" y="0"/>
                      <a:ext cx="4286250" cy="2165350"/>
                    </a:xfrm>
                    <a:prstGeom prst="rect">
                      <a:avLst/>
                    </a:prstGeom>
                    <a:noFill/>
                    <a:ln>
                      <a:noFill/>
                    </a:ln>
                  </pic:spPr>
                </pic:pic>
              </a:graphicData>
            </a:graphic>
          </wp:inline>
        </w:drawing>
      </w:r>
    </w:p>
    <w:p w14:paraId="1EA31ED6" w14:textId="77777777" w:rsidR="00A77B3E" w:rsidRPr="00136CDA" w:rsidRDefault="00A96C87">
      <w:pPr>
        <w:rPr>
          <w:color w:val="auto"/>
          <w:lang w:val="en-US" w:bidi="ar-SA"/>
        </w:rPr>
      </w:pPr>
      <w:r w:rsidRPr="00136CDA">
        <w:rPr>
          <w:color w:val="auto"/>
          <w:lang w:val="en-US" w:eastAsia="en-US" w:bidi="ar-SA"/>
        </w:rPr>
        <w:t>The most threatening trend is represented by the Interest Coverage Ratio. In 2020 (–26.21), 2021 (–41.08), and 2022 (–6.61), General Electronics has been experiencing an artificially negative credit quality of covering interest payments, and only in 2023 has it begun to become artificially positive at 19.69. The positive ratios are still far below industry standards, indicating the inability to service debt sustainably without restructuring.</w:t>
      </w:r>
    </w:p>
    <w:p w14:paraId="72E2B9FA" w14:textId="77777777" w:rsidR="00A77B3E" w:rsidRPr="00136CDA" w:rsidRDefault="00A96C87">
      <w:pPr>
        <w:pStyle w:val="Heading2"/>
        <w:spacing w:line="360" w:lineRule="auto"/>
        <w:rPr>
          <w:color w:val="auto"/>
          <w:lang w:val="en-US" w:bidi="ar-SA"/>
        </w:rPr>
      </w:pPr>
      <w:bookmarkStart w:id="7" w:name="h.182eenil38ws"/>
      <w:bookmarkEnd w:id="7"/>
      <w:r w:rsidRPr="00136CDA">
        <w:rPr>
          <w:color w:val="auto"/>
          <w:lang w:val="en-US" w:eastAsia="en-US" w:bidi="ar-SA"/>
        </w:rPr>
        <w:lastRenderedPageBreak/>
        <w:t>2.5 Investment Ratios</w:t>
      </w:r>
    </w:p>
    <w:p w14:paraId="7F059B89" w14:textId="77777777" w:rsidR="00A77B3E" w:rsidRPr="00136CDA" w:rsidRDefault="00A96C87">
      <w:pPr>
        <w:rPr>
          <w:color w:val="auto"/>
          <w:lang w:val="en-US" w:bidi="ar-SA"/>
        </w:rPr>
      </w:pPr>
      <w:r w:rsidRPr="00136CDA">
        <w:rPr>
          <w:color w:val="auto"/>
          <w:lang w:val="en-US" w:eastAsia="en-US" w:bidi="ar-SA"/>
        </w:rPr>
        <w:t>Shareholder returns and market confidence is reflected in investment ratios. The trend in the Earnings per Share (EPS) at General Electronics is highly negative and it indicates widespread value destruction.</w:t>
      </w:r>
    </w:p>
    <w:p w14:paraId="152CD062"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6679B79C" wp14:editId="6685D308">
            <wp:extent cx="4603750" cy="2736850"/>
            <wp:effectExtent l="0" t="0" r="0" b="0"/>
            <wp:docPr id="16" name="Picture 1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rrowheads="1"/>
                    </pic:cNvPicPr>
                  </pic:nvPicPr>
                  <pic:blipFill>
                    <a:blip r:embed="rId266" r:link="rId267">
                      <a:extLst>
                        <a:ext uri="{28A0092B-C50C-407E-A947-70E740481C1C}">
                          <a14:useLocalDpi xmlns:a14="http://schemas.microsoft.com/office/drawing/2010/main" val="0"/>
                        </a:ext>
                      </a:extLst>
                    </a:blip>
                    <a:srcRect/>
                    <a:stretch>
                      <a:fillRect/>
                    </a:stretch>
                  </pic:blipFill>
                  <pic:spPr bwMode="auto">
                    <a:xfrm>
                      <a:off x="0" y="0"/>
                      <a:ext cx="4603750" cy="2736850"/>
                    </a:xfrm>
                    <a:prstGeom prst="rect">
                      <a:avLst/>
                    </a:prstGeom>
                    <a:noFill/>
                    <a:ln>
                      <a:noFill/>
                    </a:ln>
                  </pic:spPr>
                </pic:pic>
              </a:graphicData>
            </a:graphic>
          </wp:inline>
        </w:drawing>
      </w:r>
    </w:p>
    <w:p w14:paraId="7342EB95" w14:textId="77777777" w:rsidR="00A77B3E" w:rsidRPr="00136CDA" w:rsidRDefault="00A96C87">
      <w:pPr>
        <w:jc w:val="center"/>
        <w:rPr>
          <w:b/>
          <w:bCs/>
          <w:color w:val="auto"/>
          <w:lang w:val="en-US" w:bidi="ar-SA"/>
        </w:rPr>
      </w:pPr>
      <w:r w:rsidRPr="00136CDA">
        <w:rPr>
          <w:b/>
          <w:bCs/>
          <w:color w:val="auto"/>
          <w:lang w:val="en-US" w:eastAsia="en-US" w:bidi="ar-SA"/>
        </w:rPr>
        <w:t>Figure 5: EPS</w:t>
      </w:r>
    </w:p>
    <w:p w14:paraId="6954A4DE" w14:textId="77777777" w:rsidR="00A77B3E" w:rsidRPr="00136CDA" w:rsidRDefault="00A96C87">
      <w:pPr>
        <w:jc w:val="center"/>
        <w:rPr>
          <w:color w:val="auto"/>
          <w:lang w:val="en-US" w:bidi="ar-SA"/>
        </w:rPr>
      </w:pPr>
      <w:r w:rsidRPr="00136CDA">
        <w:rPr>
          <w:color w:val="auto"/>
          <w:lang w:val="en-US" w:eastAsia="en-US" w:bidi="ar-SA"/>
        </w:rPr>
        <w:t>(Source: self-created)</w:t>
      </w:r>
    </w:p>
    <w:p w14:paraId="6F45CEA8"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36FDC14F" wp14:editId="3FEDC0A7">
            <wp:extent cx="4197350" cy="1193800"/>
            <wp:effectExtent l="0" t="0" r="0" b="0"/>
            <wp:docPr id="17" name="Picture 1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rrowheads="1"/>
                    </pic:cNvPicPr>
                  </pic:nvPicPr>
                  <pic:blipFill>
                    <a:blip r:embed="rId268" r:link="rId269">
                      <a:extLst>
                        <a:ext uri="{28A0092B-C50C-407E-A947-70E740481C1C}">
                          <a14:useLocalDpi xmlns:a14="http://schemas.microsoft.com/office/drawing/2010/main" val="0"/>
                        </a:ext>
                      </a:extLst>
                    </a:blip>
                    <a:srcRect/>
                    <a:stretch>
                      <a:fillRect/>
                    </a:stretch>
                  </pic:blipFill>
                  <pic:spPr bwMode="auto">
                    <a:xfrm>
                      <a:off x="0" y="0"/>
                      <a:ext cx="4197350" cy="1193800"/>
                    </a:xfrm>
                    <a:prstGeom prst="rect">
                      <a:avLst/>
                    </a:prstGeom>
                    <a:noFill/>
                    <a:ln>
                      <a:noFill/>
                    </a:ln>
                  </pic:spPr>
                </pic:pic>
              </a:graphicData>
            </a:graphic>
          </wp:inline>
        </w:drawing>
      </w:r>
    </w:p>
    <w:p w14:paraId="64160674" w14:textId="77777777" w:rsidR="00A77B3E" w:rsidRPr="00136CDA" w:rsidRDefault="00A96C87">
      <w:pPr>
        <w:rPr>
          <w:color w:val="auto"/>
          <w:lang w:val="en-US" w:bidi="ar-SA"/>
        </w:rPr>
      </w:pPr>
      <w:r w:rsidRPr="00136CDA">
        <w:rPr>
          <w:color w:val="auto"/>
          <w:lang w:val="en-US" w:eastAsia="en-US" w:bidi="ar-SA"/>
        </w:rPr>
        <w:t>EPS decreased 2.78 (2020) to 0.39 (2021) and then had an apocalyptic fall to 0.03 (2022) and -7.64 (2023) and -1.85 (2024). Negative EPS is a long-running pattern which indicates recurring losses, high impairment charges, and failure to realize sustainable returns on the asset base.</w:t>
      </w:r>
    </w:p>
    <w:p w14:paraId="3C02810F" w14:textId="77777777" w:rsidR="00A77B3E" w:rsidRPr="00136CDA" w:rsidRDefault="00A96C87">
      <w:pPr>
        <w:rPr>
          <w:color w:val="auto"/>
          <w:lang w:val="en-US" w:bidi="ar-SA"/>
        </w:rPr>
      </w:pPr>
      <w:r w:rsidRPr="00136CDA">
        <w:rPr>
          <w:color w:val="auto"/>
          <w:shd w:val="solid" w:color="FFFFFF" w:fill="FFFFFF"/>
          <w:lang w:val="en-US" w:eastAsia="en-US" w:bidi="ar-SA"/>
        </w:rPr>
        <w:t xml:space="preserve">To investors, this reduction is a sign of extreme loss of profitability, dividend ability and increased risks of bankruptcy (Shafiquea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2021</w:t>
      </w:r>
      <w:r w:rsidRPr="00136CDA">
        <w:rPr>
          <w:color w:val="auto"/>
          <w:lang w:val="en-US" w:eastAsia="en-US" w:bidi="ar-SA"/>
        </w:rPr>
        <w:t>). The decreasing tendency of the EPS and its high volatility discourage the future investment and lack of confidence in shareholders.</w:t>
      </w:r>
    </w:p>
    <w:p w14:paraId="471DEC06" w14:textId="77777777" w:rsidR="00A77B3E" w:rsidRPr="00136CDA" w:rsidRDefault="00A96C87">
      <w:pPr>
        <w:pStyle w:val="Heading2"/>
        <w:spacing w:line="360" w:lineRule="auto"/>
        <w:rPr>
          <w:color w:val="auto"/>
          <w:lang w:val="en-US" w:bidi="ar-SA"/>
        </w:rPr>
      </w:pPr>
      <w:bookmarkStart w:id="8" w:name="h.37scarmys73"/>
      <w:bookmarkEnd w:id="8"/>
      <w:r w:rsidRPr="00136CDA">
        <w:rPr>
          <w:color w:val="auto"/>
          <w:lang w:val="en-US" w:eastAsia="en-US" w:bidi="ar-SA"/>
        </w:rPr>
        <w:t>2.6 Cash Flow Analysis</w:t>
      </w:r>
    </w:p>
    <w:p w14:paraId="61F47845" w14:textId="77777777" w:rsidR="00A77B3E" w:rsidRPr="00136CDA" w:rsidRDefault="00A96C87">
      <w:pPr>
        <w:rPr>
          <w:color w:val="auto"/>
          <w:lang w:val="en-US" w:bidi="ar-SA"/>
        </w:rPr>
      </w:pPr>
      <w:r w:rsidRPr="00136CDA">
        <w:rPr>
          <w:color w:val="auto"/>
          <w:lang w:val="en-US" w:eastAsia="en-US" w:bidi="ar-SA"/>
        </w:rPr>
        <w:t xml:space="preserve">Cash flow ratios show the quality of earnings and the capacity of the firm to finance the operations. The Operating Cash Flow (OCF) at General Electronics is highly volatile, declining </w:t>
      </w:r>
      <w:r w:rsidRPr="00136CDA">
        <w:rPr>
          <w:color w:val="auto"/>
          <w:lang w:val="en-US" w:eastAsia="en-US" w:bidi="ar-SA"/>
        </w:rPr>
        <w:lastRenderedPageBreak/>
        <w:t>between 2020 and 2021 to 2022 to £73,392m, 10,926m and 25,190m before decreasing again to 14,822m in 2020 and 2021 and 2023, respectively. Such instability is a sign of poor quality of earnings and reliance on changes in working capital.</w:t>
      </w:r>
    </w:p>
    <w:p w14:paraId="7AB6E3F4"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1F048F0D" wp14:editId="0CF0AB09">
            <wp:extent cx="4552950" cy="2660650"/>
            <wp:effectExtent l="0" t="0" r="0" b="0"/>
            <wp:docPr id="18" name="Picture 1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rrowheads="1"/>
                    </pic:cNvPicPr>
                  </pic:nvPicPr>
                  <pic:blipFill>
                    <a:blip r:embed="rId270" r:link="rId271">
                      <a:extLst>
                        <a:ext uri="{28A0092B-C50C-407E-A947-70E740481C1C}">
                          <a14:useLocalDpi xmlns:a14="http://schemas.microsoft.com/office/drawing/2010/main" val="0"/>
                        </a:ext>
                      </a:extLst>
                    </a:blip>
                    <a:srcRect/>
                    <a:stretch>
                      <a:fillRect/>
                    </a:stretch>
                  </pic:blipFill>
                  <pic:spPr bwMode="auto">
                    <a:xfrm>
                      <a:off x="0" y="0"/>
                      <a:ext cx="4552950" cy="2660650"/>
                    </a:xfrm>
                    <a:prstGeom prst="rect">
                      <a:avLst/>
                    </a:prstGeom>
                    <a:noFill/>
                    <a:ln>
                      <a:noFill/>
                    </a:ln>
                  </pic:spPr>
                </pic:pic>
              </a:graphicData>
            </a:graphic>
          </wp:inline>
        </w:drawing>
      </w:r>
    </w:p>
    <w:p w14:paraId="5553EF44" w14:textId="77777777" w:rsidR="00A77B3E" w:rsidRPr="00136CDA" w:rsidRDefault="00A96C87">
      <w:pPr>
        <w:jc w:val="center"/>
        <w:rPr>
          <w:b/>
          <w:bCs/>
          <w:color w:val="auto"/>
          <w:lang w:val="en-US" w:bidi="ar-SA"/>
        </w:rPr>
      </w:pPr>
      <w:r w:rsidRPr="00136CDA">
        <w:rPr>
          <w:b/>
          <w:bCs/>
          <w:color w:val="auto"/>
          <w:lang w:val="en-US" w:eastAsia="en-US" w:bidi="ar-SA"/>
        </w:rPr>
        <w:t>Figure 6: Operating Cash Flow</w:t>
      </w:r>
    </w:p>
    <w:p w14:paraId="100EE5A3" w14:textId="77777777" w:rsidR="00A77B3E" w:rsidRPr="00136CDA" w:rsidRDefault="00A96C87">
      <w:pPr>
        <w:jc w:val="center"/>
        <w:rPr>
          <w:color w:val="auto"/>
          <w:lang w:val="en-US" w:bidi="ar-SA"/>
        </w:rPr>
      </w:pPr>
      <w:r w:rsidRPr="00136CDA">
        <w:rPr>
          <w:color w:val="auto"/>
          <w:lang w:val="en-US" w:eastAsia="en-US" w:bidi="ar-SA"/>
        </w:rPr>
        <w:t>(Source: self-created)</w:t>
      </w:r>
    </w:p>
    <w:p w14:paraId="268C6134" w14:textId="77777777" w:rsidR="00A77B3E" w:rsidRPr="00136CDA" w:rsidRDefault="00A77B3E">
      <w:pPr>
        <w:jc w:val="center"/>
        <w:rPr>
          <w:color w:val="auto"/>
          <w:lang w:val="en-US" w:bidi="ar-SA"/>
        </w:rPr>
      </w:pPr>
    </w:p>
    <w:p w14:paraId="7279CA33"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07DE2C6C" wp14:editId="715AEEE4">
            <wp:extent cx="3683000" cy="1860550"/>
            <wp:effectExtent l="0" t="0" r="0" b="0"/>
            <wp:docPr id="19" name="Picture 1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rrowheads="1"/>
                    </pic:cNvPicPr>
                  </pic:nvPicPr>
                  <pic:blipFill>
                    <a:blip r:embed="rId272" r:link="rId273">
                      <a:extLst>
                        <a:ext uri="{28A0092B-C50C-407E-A947-70E740481C1C}">
                          <a14:useLocalDpi xmlns:a14="http://schemas.microsoft.com/office/drawing/2010/main" val="0"/>
                        </a:ext>
                      </a:extLst>
                    </a:blip>
                    <a:srcRect/>
                    <a:stretch>
                      <a:fillRect/>
                    </a:stretch>
                  </pic:blipFill>
                  <pic:spPr bwMode="auto">
                    <a:xfrm>
                      <a:off x="0" y="0"/>
                      <a:ext cx="3683000" cy="1860550"/>
                    </a:xfrm>
                    <a:prstGeom prst="rect">
                      <a:avLst/>
                    </a:prstGeom>
                    <a:noFill/>
                    <a:ln>
                      <a:noFill/>
                    </a:ln>
                  </pic:spPr>
                </pic:pic>
              </a:graphicData>
            </a:graphic>
          </wp:inline>
        </w:drawing>
      </w:r>
    </w:p>
    <w:p w14:paraId="454EFD37" w14:textId="77777777" w:rsidR="00A77B3E" w:rsidRPr="00136CDA" w:rsidRDefault="00A96C87">
      <w:pPr>
        <w:rPr>
          <w:color w:val="auto"/>
          <w:lang w:val="en-US" w:bidi="ar-SA"/>
        </w:rPr>
      </w:pPr>
      <w:r w:rsidRPr="00136CDA">
        <w:rPr>
          <w:color w:val="auto"/>
          <w:lang w:val="en-US" w:eastAsia="en-US" w:bidi="ar-SA"/>
        </w:rPr>
        <w:t>Operating Cash Flow Ratio decreased to 0.19 (2021) and 0.05 (2022) and then slightly increased to 0.16 (2023) and decreased to 0.09(2024). The values always below 1 imply that General Electronics is not generating sufficient operating cash to meet the expenses in the short term and therefore more and more depends on external borrowing.</w:t>
      </w:r>
    </w:p>
    <w:p w14:paraId="0254F609" w14:textId="77777777" w:rsidR="00A77B3E" w:rsidRPr="00136CDA" w:rsidRDefault="00A96C87">
      <w:pPr>
        <w:pStyle w:val="Heading2"/>
        <w:spacing w:line="360" w:lineRule="auto"/>
        <w:rPr>
          <w:color w:val="auto"/>
          <w:lang w:val="en-US" w:bidi="ar-SA"/>
        </w:rPr>
      </w:pPr>
      <w:bookmarkStart w:id="9" w:name="h.wkd9tml54l9q"/>
      <w:bookmarkEnd w:id="9"/>
      <w:r w:rsidRPr="00136CDA">
        <w:rPr>
          <w:color w:val="auto"/>
          <w:lang w:val="en-US" w:eastAsia="en-US" w:bidi="ar-SA"/>
        </w:rPr>
        <w:lastRenderedPageBreak/>
        <w:t>2.7 Corporate Failure Prediction (Altman Z-Score)</w:t>
      </w:r>
    </w:p>
    <w:p w14:paraId="106F5C96"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488BA1DB" wp14:editId="2FCD204F">
            <wp:extent cx="4572000" cy="2743200"/>
            <wp:effectExtent l="0" t="0" r="0" b="0"/>
            <wp:docPr id="20" name="Picture 2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0"/>
                    <pic:cNvPicPr>
                      <a:picLocks noChangeArrowheads="1"/>
                    </pic:cNvPicPr>
                  </pic:nvPicPr>
                  <pic:blipFill>
                    <a:blip r:embed="rId274" r:link="rId275">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1B3FAB82"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6B5D30B1" wp14:editId="7121E6C4">
            <wp:extent cx="4483100" cy="1873250"/>
            <wp:effectExtent l="0" t="0" r="0" b="0"/>
            <wp:docPr id="21" name="Picture 21" descr="Altman Z-Scor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1" descr="Altman Z-Score"/>
                    <pic:cNvPicPr>
                      <a:picLocks noChangeArrowheads="1"/>
                    </pic:cNvPicPr>
                  </pic:nvPicPr>
                  <pic:blipFill>
                    <a:blip r:embed="rId276" r:link="rId277">
                      <a:extLst>
                        <a:ext uri="{28A0092B-C50C-407E-A947-70E740481C1C}">
                          <a14:useLocalDpi xmlns:a14="http://schemas.microsoft.com/office/drawing/2010/main" val="0"/>
                        </a:ext>
                      </a:extLst>
                    </a:blip>
                    <a:srcRect/>
                    <a:stretch>
                      <a:fillRect/>
                    </a:stretch>
                  </pic:blipFill>
                  <pic:spPr bwMode="auto">
                    <a:xfrm>
                      <a:off x="0" y="0"/>
                      <a:ext cx="4483100" cy="1873250"/>
                    </a:xfrm>
                    <a:prstGeom prst="rect">
                      <a:avLst/>
                    </a:prstGeom>
                    <a:noFill/>
                    <a:ln>
                      <a:noFill/>
                    </a:ln>
                  </pic:spPr>
                </pic:pic>
              </a:graphicData>
            </a:graphic>
          </wp:inline>
        </w:drawing>
      </w:r>
    </w:p>
    <w:p w14:paraId="74A34981" w14:textId="77777777" w:rsidR="00A77B3E" w:rsidRPr="00136CDA" w:rsidRDefault="00A96C87">
      <w:pPr>
        <w:jc w:val="center"/>
        <w:rPr>
          <w:b/>
          <w:bCs/>
          <w:color w:val="auto"/>
          <w:lang w:val="en-US" w:bidi="ar-SA"/>
        </w:rPr>
      </w:pPr>
      <w:r w:rsidRPr="00136CDA">
        <w:rPr>
          <w:b/>
          <w:bCs/>
          <w:color w:val="auto"/>
          <w:lang w:val="en-US" w:eastAsia="en-US" w:bidi="ar-SA"/>
        </w:rPr>
        <w:t>Figure 7: Altman Z</w:t>
      </w:r>
    </w:p>
    <w:p w14:paraId="3747CB4E" w14:textId="77777777" w:rsidR="00A77B3E" w:rsidRPr="00136CDA" w:rsidRDefault="00A96C87">
      <w:pPr>
        <w:jc w:val="center"/>
        <w:rPr>
          <w:color w:val="auto"/>
          <w:lang w:val="en-US" w:bidi="ar-SA"/>
        </w:rPr>
      </w:pPr>
      <w:r w:rsidRPr="00136CDA">
        <w:rPr>
          <w:color w:val="auto"/>
          <w:lang w:val="en-US" w:eastAsia="en-US" w:bidi="ar-SA"/>
        </w:rPr>
        <w:t>(Source: Self-created)</w:t>
      </w:r>
    </w:p>
    <w:p w14:paraId="584F4979" w14:textId="77777777" w:rsidR="00A77B3E" w:rsidRPr="00136CDA" w:rsidRDefault="00A96C87">
      <w:pPr>
        <w:rPr>
          <w:color w:val="auto"/>
          <w:lang w:val="en-US" w:bidi="ar-SA"/>
        </w:rPr>
      </w:pPr>
      <w:r w:rsidRPr="00136CDA">
        <w:rPr>
          <w:color w:val="auto"/>
          <w:shd w:val="solid" w:color="FFFFFF" w:fill="FFFFFF"/>
          <w:lang w:val="en-US" w:eastAsia="en-US" w:bidi="ar-SA"/>
        </w:rPr>
        <w:t>The Altman Z-scores at General Electronics went down to 2.88 (2023) after 3.79 (2020) and improved to 2.98 (2024). The two years are in the grey zone (&lt; 2.99), which suggests increasing distress risk owing to negative EBIT, weaker working capital, small retained earnings, and greater leverage, which are not above the industry standard of &gt;3.5</w:t>
      </w:r>
      <w:r w:rsidRPr="00136CDA">
        <w:rPr>
          <w:b/>
          <w:bCs/>
          <w:i/>
          <w:iCs/>
          <w:color w:val="auto"/>
          <w:shd w:val="solid" w:color="FFFFFF" w:fill="FFFFFF"/>
          <w:lang w:val="en-US" w:eastAsia="en-US" w:bidi="ar-SA"/>
        </w:rPr>
        <w:t>[Referred to appendix 3]</w:t>
      </w:r>
      <w:r w:rsidRPr="00136CDA">
        <w:rPr>
          <w:color w:val="auto"/>
          <w:lang w:val="en-US" w:eastAsia="en-US" w:bidi="ar-SA"/>
        </w:rPr>
        <w:t>.</w:t>
      </w:r>
    </w:p>
    <w:p w14:paraId="74C29480" w14:textId="77777777" w:rsidR="00A77B3E" w:rsidRPr="00136CDA" w:rsidRDefault="00A96C87">
      <w:pPr>
        <w:pStyle w:val="Heading2"/>
        <w:spacing w:line="360" w:lineRule="auto"/>
        <w:rPr>
          <w:color w:val="auto"/>
          <w:lang w:val="en-US" w:bidi="ar-SA"/>
        </w:rPr>
      </w:pPr>
      <w:bookmarkStart w:id="10" w:name="h.x5rle6161z91"/>
      <w:bookmarkEnd w:id="10"/>
      <w:r w:rsidRPr="00136CDA">
        <w:rPr>
          <w:color w:val="auto"/>
          <w:lang w:val="en-US" w:eastAsia="en-US" w:bidi="ar-SA"/>
        </w:rPr>
        <w:t>2.8 Summary of Financial Health</w:t>
      </w:r>
    </w:p>
    <w:p w14:paraId="67C7E1C4" w14:textId="77777777" w:rsidR="00A77B3E" w:rsidRPr="00136CDA" w:rsidRDefault="00A96C87">
      <w:pPr>
        <w:rPr>
          <w:color w:val="auto"/>
          <w:lang w:val="en-US" w:bidi="ar-SA"/>
        </w:rPr>
      </w:pPr>
      <w:r w:rsidRPr="00136CDA">
        <w:rPr>
          <w:color w:val="auto"/>
          <w:shd w:val="solid" w:color="FFFFFF" w:fill="FFFFFF"/>
          <w:lang w:val="en-US" w:eastAsia="en-US" w:bidi="ar-SA"/>
        </w:rPr>
        <w:t xml:space="preserve">General Electronics is performing dismally in all aspects of its dominant financial dimensions. Profits are dismal, liquidity reserves are declining, the efficiency ratios exhibit an upward trend in the number of working-capital blockage, and the leverage is very high. The instability in cash flow and the grey zone Z-score implies the high risk of bankruptcy </w:t>
      </w:r>
      <w:r w:rsidRPr="00136CDA">
        <w:rPr>
          <w:b/>
          <w:bCs/>
          <w:i/>
          <w:iCs/>
          <w:color w:val="auto"/>
          <w:shd w:val="solid" w:color="FFFFFF" w:fill="FFFFFF"/>
          <w:lang w:val="en-US" w:eastAsia="en-US" w:bidi="ar-SA"/>
        </w:rPr>
        <w:t>[Referred to appendix 1]</w:t>
      </w:r>
      <w:r w:rsidRPr="00136CDA">
        <w:rPr>
          <w:color w:val="auto"/>
          <w:lang w:val="en-US" w:eastAsia="en-US" w:bidi="ar-SA"/>
        </w:rPr>
        <w:t xml:space="preserve">. </w:t>
      </w:r>
    </w:p>
    <w:p w14:paraId="7A2D125D" w14:textId="77777777" w:rsidR="00A77B3E" w:rsidRPr="00136CDA" w:rsidRDefault="00A96C87">
      <w:pPr>
        <w:pStyle w:val="Heading1"/>
        <w:spacing w:line="360" w:lineRule="auto"/>
        <w:rPr>
          <w:color w:val="auto"/>
          <w:lang w:val="en-US" w:bidi="ar-SA"/>
        </w:rPr>
      </w:pPr>
      <w:bookmarkStart w:id="11" w:name="h.f3uhf8sc2vtt"/>
      <w:bookmarkEnd w:id="11"/>
      <w:r w:rsidRPr="00136CDA">
        <w:rPr>
          <w:color w:val="auto"/>
          <w:lang w:val="en-US" w:eastAsia="en-US" w:bidi="ar-SA"/>
        </w:rPr>
        <w:lastRenderedPageBreak/>
        <w:t xml:space="preserve">3. Working Capital Management </w:t>
      </w:r>
    </w:p>
    <w:p w14:paraId="2E2664C9" w14:textId="77777777" w:rsidR="00A77B3E" w:rsidRPr="00136CDA" w:rsidRDefault="00A96C87">
      <w:pPr>
        <w:pStyle w:val="Heading2"/>
        <w:spacing w:line="360" w:lineRule="auto"/>
        <w:rPr>
          <w:color w:val="auto"/>
          <w:lang w:val="en-US" w:bidi="ar-SA"/>
        </w:rPr>
      </w:pPr>
      <w:bookmarkStart w:id="12" w:name="h.bt66fz3xuy4m"/>
      <w:bookmarkEnd w:id="12"/>
      <w:r w:rsidRPr="00136CDA">
        <w:rPr>
          <w:color w:val="auto"/>
          <w:lang w:val="en-US" w:eastAsia="en-US" w:bidi="ar-SA"/>
        </w:rPr>
        <w:t xml:space="preserve">3.1 Cash Conversion Cycle (CCC) Analysis </w:t>
      </w:r>
    </w:p>
    <w:p w14:paraId="11F5352F" w14:textId="77777777" w:rsidR="00A77B3E" w:rsidRPr="00136CDA" w:rsidRDefault="00A96C87">
      <w:pPr>
        <w:rPr>
          <w:color w:val="auto"/>
          <w:lang w:val="en-US" w:bidi="ar-SA"/>
        </w:rPr>
      </w:pPr>
      <w:r w:rsidRPr="00136CDA">
        <w:rPr>
          <w:color w:val="auto"/>
          <w:shd w:val="solid" w:color="FFFFFF" w:fill="FFFFFF"/>
          <w:lang w:val="en-US" w:eastAsia="en-US" w:bidi="ar-SA"/>
        </w:rPr>
        <w:t>Cash Conversion Cycle is a statistic of how quick the inventory and receivables are turned into cash (Karim, 02024</w:t>
      </w:r>
      <w:r w:rsidRPr="00136CDA">
        <w:rPr>
          <w:color w:val="auto"/>
          <w:lang w:val="en-US" w:eastAsia="en-US" w:bidi="ar-SA"/>
        </w:rPr>
        <w:t>). The GE CCC is also highly volatile, over a five-year period, which shows that the company lacks efficient operational control and decreasing working-capital efficiency.</w:t>
      </w:r>
    </w:p>
    <w:p w14:paraId="07060E77"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3C9EDFC5" wp14:editId="35FB5811">
            <wp:extent cx="4584700" cy="2755900"/>
            <wp:effectExtent l="0" t="0" r="0" b="0"/>
            <wp:docPr id="22" name="Picture 2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2"/>
                    <pic:cNvPicPr>
                      <a:picLocks noChangeArrowheads="1"/>
                    </pic:cNvPicPr>
                  </pic:nvPicPr>
                  <pic:blipFill>
                    <a:blip r:embed="rId278" r:link="rId279">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a:ln>
                      <a:noFill/>
                    </a:ln>
                  </pic:spPr>
                </pic:pic>
              </a:graphicData>
            </a:graphic>
          </wp:inline>
        </w:drawing>
      </w:r>
    </w:p>
    <w:p w14:paraId="0E659C29"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066E534E" wp14:editId="517E839E">
            <wp:extent cx="5975350" cy="831850"/>
            <wp:effectExtent l="0" t="0" r="0" b="0"/>
            <wp:docPr id="23" name="Picture 2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rrowheads="1"/>
                    </pic:cNvPicPr>
                  </pic:nvPicPr>
                  <pic:blipFill>
                    <a:blip r:embed="rId280" r:link="rId281">
                      <a:extLst>
                        <a:ext uri="{28A0092B-C50C-407E-A947-70E740481C1C}">
                          <a14:useLocalDpi xmlns:a14="http://schemas.microsoft.com/office/drawing/2010/main" val="0"/>
                        </a:ext>
                      </a:extLst>
                    </a:blip>
                    <a:srcRect/>
                    <a:stretch>
                      <a:fillRect/>
                    </a:stretch>
                  </pic:blipFill>
                  <pic:spPr bwMode="auto">
                    <a:xfrm>
                      <a:off x="0" y="0"/>
                      <a:ext cx="5975350" cy="831850"/>
                    </a:xfrm>
                    <a:prstGeom prst="rect">
                      <a:avLst/>
                    </a:prstGeom>
                    <a:noFill/>
                    <a:ln>
                      <a:noFill/>
                    </a:ln>
                  </pic:spPr>
                </pic:pic>
              </a:graphicData>
            </a:graphic>
          </wp:inline>
        </w:drawing>
      </w:r>
    </w:p>
    <w:p w14:paraId="6B249BD2" w14:textId="77777777" w:rsidR="00A77B3E" w:rsidRPr="00136CDA" w:rsidRDefault="00A96C87">
      <w:pPr>
        <w:jc w:val="center"/>
        <w:rPr>
          <w:b/>
          <w:bCs/>
          <w:color w:val="auto"/>
          <w:lang w:val="en-US" w:bidi="ar-SA"/>
        </w:rPr>
      </w:pPr>
      <w:r w:rsidRPr="00136CDA">
        <w:rPr>
          <w:b/>
          <w:bCs/>
          <w:color w:val="auto"/>
          <w:lang w:val="en-US" w:eastAsia="en-US" w:bidi="ar-SA"/>
        </w:rPr>
        <w:t>Figure 8: Cash Conversion Cycle (CCC)</w:t>
      </w:r>
    </w:p>
    <w:p w14:paraId="767AB9B4" w14:textId="77777777" w:rsidR="00A77B3E" w:rsidRPr="00136CDA" w:rsidRDefault="00A96C87">
      <w:pPr>
        <w:jc w:val="center"/>
        <w:rPr>
          <w:color w:val="auto"/>
          <w:lang w:val="en-US" w:bidi="ar-SA"/>
        </w:rPr>
      </w:pPr>
      <w:r w:rsidRPr="00136CDA">
        <w:rPr>
          <w:color w:val="auto"/>
          <w:lang w:val="en-US" w:eastAsia="en-US" w:bidi="ar-SA"/>
        </w:rPr>
        <w:t>(Source: self-created)</w:t>
      </w:r>
    </w:p>
    <w:p w14:paraId="5D331651" w14:textId="77777777" w:rsidR="00A77B3E" w:rsidRPr="00136CDA" w:rsidRDefault="00A96C87">
      <w:pPr>
        <w:rPr>
          <w:color w:val="auto"/>
          <w:lang w:val="en-US" w:bidi="ar-SA"/>
        </w:rPr>
      </w:pPr>
      <w:r w:rsidRPr="00136CDA">
        <w:rPr>
          <w:color w:val="auto"/>
          <w:shd w:val="solid" w:color="FFFFFF" w:fill="FFFFFF"/>
          <w:lang w:val="en-US" w:eastAsia="en-US" w:bidi="ar-SA"/>
        </w:rPr>
        <w:t>The working-capital efficiency of GE has been on the decline. The number of days of inventory turnover increased to 131 (2022) at its peak (100 in 2020) and then to 113 (2024), which shows that the company is not good at predicting demand and maintaining stocks. The increase of receivables days was considerable as it rose to 106 (2024) in comparison with 76 (2022), and it indicates insufficient control over credit and limited operating cash flows, which rely more on external sources (Zaher, and Illescas 2022)</w:t>
      </w:r>
      <w:r w:rsidRPr="00136CDA">
        <w:rPr>
          <w:color w:val="auto"/>
          <w:lang w:val="en-US" w:eastAsia="en-US" w:bidi="ar-SA"/>
        </w:rPr>
        <w:t>. The payables days also continued to increase significantly to 94 days in 2024 showing a liquidity pressure. Although payment delays may provide temporary funds reprieve in the short-term, it may cause harm to the relationship with suppliers, raise purchasing expenses, and reduce future trade credit availability.</w:t>
      </w:r>
    </w:p>
    <w:p w14:paraId="0BEBF8DF" w14:textId="77777777" w:rsidR="00A77B3E" w:rsidRPr="00136CDA" w:rsidRDefault="00A96C87">
      <w:pPr>
        <w:jc w:val="center"/>
        <w:rPr>
          <w:color w:val="auto"/>
          <w:lang w:val="en-US" w:bidi="ar-SA"/>
        </w:rPr>
      </w:pPr>
      <w:r w:rsidRPr="00136CDA">
        <w:rPr>
          <w:noProof/>
          <w:color w:val="auto"/>
          <w:lang w:val="en-GB" w:eastAsia="en-GB" w:bidi="ar-SA"/>
        </w:rPr>
        <w:lastRenderedPageBreak/>
        <w:drawing>
          <wp:inline distT="0" distB="0" distL="0" distR="0" wp14:anchorId="7D8C2BA5" wp14:editId="057364B0">
            <wp:extent cx="4159250" cy="2159000"/>
            <wp:effectExtent l="0" t="0" r="0" b="0"/>
            <wp:docPr id="24" name="Picture 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rrowheads="1"/>
                    </pic:cNvPicPr>
                  </pic:nvPicPr>
                  <pic:blipFill>
                    <a:blip r:embed="rId282" r:link="rId283">
                      <a:extLst>
                        <a:ext uri="{28A0092B-C50C-407E-A947-70E740481C1C}">
                          <a14:useLocalDpi xmlns:a14="http://schemas.microsoft.com/office/drawing/2010/main" val="0"/>
                        </a:ext>
                      </a:extLst>
                    </a:blip>
                    <a:srcRect/>
                    <a:stretch>
                      <a:fillRect/>
                    </a:stretch>
                  </pic:blipFill>
                  <pic:spPr bwMode="auto">
                    <a:xfrm>
                      <a:off x="0" y="0"/>
                      <a:ext cx="4159250" cy="2159000"/>
                    </a:xfrm>
                    <a:prstGeom prst="rect">
                      <a:avLst/>
                    </a:prstGeom>
                    <a:noFill/>
                    <a:ln>
                      <a:noFill/>
                    </a:ln>
                  </pic:spPr>
                </pic:pic>
              </a:graphicData>
            </a:graphic>
          </wp:inline>
        </w:drawing>
      </w:r>
    </w:p>
    <w:p w14:paraId="76B73583"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total Cash Conversion Cycle worsened significantly: 46days (2020), 43days (2021) 11days (2022), 62days (2023), 96days (2024). The very short CCC in 2022 should be considered as an anomaly that was probably caused by a payables turnover that was higher than usual or by the quick clearance of sales at that time. Nonetheless, the drastic increase to 62 days in 2023 and 96 days in 2024 shows that there is a significant failure in efficiency (Ghabban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2024</w:t>
      </w:r>
      <w:r w:rsidRPr="00136CDA">
        <w:rPr>
          <w:color w:val="auto"/>
          <w:lang w:val="en-US" w:eastAsia="en-US" w:bidi="ar-SA"/>
        </w:rPr>
        <w:t>). The 96-day CCC implies that GE takes over three months to turn investments into cash within the operations, which causes major cash blockages, restricts liquidity, and dependence on debt.</w:t>
      </w:r>
    </w:p>
    <w:p w14:paraId="6D8CCCC3" w14:textId="77777777" w:rsidR="00A77B3E" w:rsidRPr="00136CDA" w:rsidRDefault="00A96C87">
      <w:pPr>
        <w:pStyle w:val="Heading2"/>
        <w:spacing w:line="360" w:lineRule="auto"/>
        <w:rPr>
          <w:color w:val="auto"/>
          <w:lang w:val="en-US" w:bidi="ar-SA"/>
        </w:rPr>
      </w:pPr>
      <w:bookmarkStart w:id="13" w:name="h.iourg95nydf9"/>
      <w:bookmarkEnd w:id="13"/>
      <w:r w:rsidRPr="00136CDA">
        <w:rPr>
          <w:color w:val="auto"/>
          <w:lang w:val="en-US" w:eastAsia="en-US" w:bidi="ar-SA"/>
        </w:rPr>
        <w:t>3.2 Working capital problems identified</w:t>
      </w:r>
    </w:p>
    <w:p w14:paraId="4D983D84" w14:textId="77777777" w:rsidR="00A77B3E" w:rsidRPr="00136CDA" w:rsidRDefault="00A96C87">
      <w:pPr>
        <w:rPr>
          <w:color w:val="auto"/>
          <w:lang w:val="en-US" w:bidi="ar-SA"/>
        </w:rPr>
      </w:pPr>
      <w:r w:rsidRPr="00136CDA">
        <w:rPr>
          <w:color w:val="auto"/>
          <w:lang w:val="en-US" w:eastAsia="en-US" w:bidi="ar-SA"/>
        </w:rPr>
        <w:t>The five-year analysis indicates that there are four fundamental working-capital issues that have led to a decrease in liquidity witnessed in GE.</w:t>
      </w:r>
    </w:p>
    <w:p w14:paraId="647CC159"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36EA5E46" wp14:editId="582F6EF5">
            <wp:extent cx="4572000" cy="2743200"/>
            <wp:effectExtent l="0" t="0" r="0" b="0"/>
            <wp:docPr id="25" name="Picture 2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rrowheads="1"/>
                    </pic:cNvPicPr>
                  </pic:nvPicPr>
                  <pic:blipFill>
                    <a:blip r:embed="rId284" r:link="rId285">
                      <a:extLst>
                        <a:ext uri="{28A0092B-C50C-407E-A947-70E740481C1C}">
                          <a14:useLocalDpi xmlns:a14="http://schemas.microsoft.com/office/drawing/2010/main" val="0"/>
                        </a:ext>
                      </a:extLst>
                    </a:blip>
                    <a:srcRect/>
                    <a:stretch>
                      <a:fillRect/>
                    </a:stretch>
                  </pic:blipFill>
                  <pic:spPr bwMode="auto">
                    <a:xfrm>
                      <a:off x="0" y="0"/>
                      <a:ext cx="4572000" cy="2743200"/>
                    </a:xfrm>
                    <a:prstGeom prst="rect">
                      <a:avLst/>
                    </a:prstGeom>
                    <a:noFill/>
                    <a:ln>
                      <a:noFill/>
                    </a:ln>
                  </pic:spPr>
                </pic:pic>
              </a:graphicData>
            </a:graphic>
          </wp:inline>
        </w:drawing>
      </w:r>
    </w:p>
    <w:p w14:paraId="21126FB7" w14:textId="77777777" w:rsidR="00A77B3E" w:rsidRPr="00136CDA" w:rsidRDefault="00A96C87">
      <w:pPr>
        <w:jc w:val="center"/>
        <w:rPr>
          <w:color w:val="auto"/>
          <w:lang w:val="en-US" w:bidi="ar-SA"/>
        </w:rPr>
      </w:pPr>
      <w:r w:rsidRPr="00136CDA">
        <w:rPr>
          <w:noProof/>
          <w:color w:val="auto"/>
          <w:lang w:val="en-GB" w:eastAsia="en-GB" w:bidi="ar-SA"/>
        </w:rPr>
        <w:lastRenderedPageBreak/>
        <w:drawing>
          <wp:inline distT="0" distB="0" distL="0" distR="0" wp14:anchorId="2EC08A71" wp14:editId="2B8BD7EF">
            <wp:extent cx="3924300" cy="1714500"/>
            <wp:effectExtent l="0" t="0" r="0" b="0"/>
            <wp:docPr id="26" name="Picture 2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6"/>
                    <pic:cNvPicPr>
                      <a:picLocks noChangeArrowheads="1"/>
                    </pic:cNvPicPr>
                  </pic:nvPicPr>
                  <pic:blipFill>
                    <a:blip r:embed="rId286" r:link="rId287">
                      <a:extLst>
                        <a:ext uri="{28A0092B-C50C-407E-A947-70E740481C1C}">
                          <a14:useLocalDpi xmlns:a14="http://schemas.microsoft.com/office/drawing/2010/main" val="0"/>
                        </a:ext>
                      </a:extLst>
                    </a:blip>
                    <a:srcRect/>
                    <a:stretch>
                      <a:fillRect/>
                    </a:stretch>
                  </pic:blipFill>
                  <pic:spPr bwMode="auto">
                    <a:xfrm>
                      <a:off x="0" y="0"/>
                      <a:ext cx="3924300" cy="1714500"/>
                    </a:xfrm>
                    <a:prstGeom prst="rect">
                      <a:avLst/>
                    </a:prstGeom>
                    <a:noFill/>
                    <a:ln>
                      <a:noFill/>
                    </a:ln>
                  </pic:spPr>
                </pic:pic>
              </a:graphicData>
            </a:graphic>
          </wp:inline>
        </w:drawing>
      </w:r>
    </w:p>
    <w:p w14:paraId="5B548709" w14:textId="77777777" w:rsidR="00A77B3E" w:rsidRPr="00136CDA" w:rsidRDefault="00A96C87">
      <w:pPr>
        <w:jc w:val="center"/>
        <w:rPr>
          <w:b/>
          <w:bCs/>
          <w:color w:val="auto"/>
          <w:lang w:val="en-US" w:bidi="ar-SA"/>
        </w:rPr>
      </w:pPr>
      <w:r w:rsidRPr="00136CDA">
        <w:rPr>
          <w:b/>
          <w:bCs/>
          <w:color w:val="auto"/>
          <w:lang w:val="en-US" w:eastAsia="en-US" w:bidi="ar-SA"/>
        </w:rPr>
        <w:t>Figure 9: Working Capital</w:t>
      </w:r>
    </w:p>
    <w:p w14:paraId="54CD5004" w14:textId="77777777" w:rsidR="00A77B3E" w:rsidRPr="00136CDA" w:rsidRDefault="00A96C87">
      <w:pPr>
        <w:jc w:val="center"/>
        <w:rPr>
          <w:color w:val="auto"/>
          <w:lang w:val="en-US" w:bidi="ar-SA"/>
        </w:rPr>
      </w:pPr>
      <w:r w:rsidRPr="00136CDA">
        <w:rPr>
          <w:color w:val="auto"/>
          <w:lang w:val="en-US" w:eastAsia="en-US" w:bidi="ar-SA"/>
        </w:rPr>
        <w:t>(Source: self-created)</w:t>
      </w:r>
    </w:p>
    <w:p w14:paraId="63838AEF"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2EE7BF39" wp14:editId="0B9FA78E">
            <wp:extent cx="4349750" cy="2197100"/>
            <wp:effectExtent l="0" t="0" r="0" b="0"/>
            <wp:docPr id="27" name="Picture 2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rrowheads="1"/>
                    </pic:cNvPicPr>
                  </pic:nvPicPr>
                  <pic:blipFill>
                    <a:blip r:embed="rId288" r:link="rId289">
                      <a:extLst>
                        <a:ext uri="{28A0092B-C50C-407E-A947-70E740481C1C}">
                          <a14:useLocalDpi xmlns:a14="http://schemas.microsoft.com/office/drawing/2010/main" val="0"/>
                        </a:ext>
                      </a:extLst>
                    </a:blip>
                    <a:srcRect/>
                    <a:stretch>
                      <a:fillRect/>
                    </a:stretch>
                  </pic:blipFill>
                  <pic:spPr bwMode="auto">
                    <a:xfrm>
                      <a:off x="0" y="0"/>
                      <a:ext cx="4349750" cy="2197100"/>
                    </a:xfrm>
                    <a:prstGeom prst="rect">
                      <a:avLst/>
                    </a:prstGeom>
                    <a:noFill/>
                    <a:ln>
                      <a:noFill/>
                    </a:ln>
                  </pic:spPr>
                </pic:pic>
              </a:graphicData>
            </a:graphic>
          </wp:inline>
        </w:drawing>
      </w:r>
    </w:p>
    <w:p w14:paraId="4875D8BA" w14:textId="77777777" w:rsidR="00A77B3E" w:rsidRPr="00136CDA" w:rsidRDefault="00A96C87">
      <w:pPr>
        <w:rPr>
          <w:b/>
          <w:bCs/>
          <w:i/>
          <w:iCs/>
          <w:color w:val="auto"/>
          <w:lang w:val="en-US" w:bidi="ar-SA"/>
        </w:rPr>
      </w:pPr>
      <w:r w:rsidRPr="00136CDA">
        <w:rPr>
          <w:b/>
          <w:bCs/>
          <w:i/>
          <w:iCs/>
          <w:color w:val="auto"/>
          <w:lang w:val="en-US" w:eastAsia="en-US" w:bidi="ar-SA"/>
        </w:rPr>
        <w:t>1. Lack of Effective Inventory Management:</w:t>
      </w:r>
    </w:p>
    <w:p w14:paraId="6C08329B" w14:textId="77777777" w:rsidR="00A77B3E" w:rsidRPr="00136CDA" w:rsidRDefault="00A96C87">
      <w:pPr>
        <w:rPr>
          <w:color w:val="auto"/>
          <w:lang w:val="en-US" w:bidi="ar-SA"/>
        </w:rPr>
      </w:pPr>
      <w:r w:rsidRPr="00136CDA">
        <w:rPr>
          <w:color w:val="auto"/>
          <w:lang w:val="en-US" w:eastAsia="en-US" w:bidi="ar-SA"/>
        </w:rPr>
        <w:t>Low demand forecasting, inventory days, and sub-sale lines of products reduce the cash and disclose the storage and obsolescence risks (Katira, 2021).</w:t>
      </w:r>
    </w:p>
    <w:p w14:paraId="118A58C0" w14:textId="77777777" w:rsidR="00A77B3E" w:rsidRPr="00136CDA" w:rsidRDefault="00A96C87">
      <w:pPr>
        <w:rPr>
          <w:b/>
          <w:bCs/>
          <w:i/>
          <w:iCs/>
          <w:color w:val="auto"/>
          <w:lang w:val="en-US" w:bidi="ar-SA"/>
        </w:rPr>
      </w:pPr>
      <w:r w:rsidRPr="00136CDA">
        <w:rPr>
          <w:b/>
          <w:bCs/>
          <w:i/>
          <w:iCs/>
          <w:color w:val="auto"/>
          <w:lang w:val="en-US" w:eastAsia="en-US" w:bidi="ar-SA"/>
        </w:rPr>
        <w:t>2. Slow Receivables Recovery:</w:t>
      </w:r>
    </w:p>
    <w:p w14:paraId="037B7BB8" w14:textId="77777777" w:rsidR="00A77B3E" w:rsidRPr="00136CDA" w:rsidRDefault="00A96C87">
      <w:pPr>
        <w:rPr>
          <w:color w:val="auto"/>
          <w:lang w:val="en-US" w:bidi="ar-SA"/>
        </w:rPr>
      </w:pPr>
      <w:r w:rsidRPr="00136CDA">
        <w:rPr>
          <w:color w:val="auto"/>
          <w:lang w:val="en-US" w:eastAsia="en-US" w:bidi="ar-SA"/>
        </w:rPr>
        <w:t>The high days of 106 in the year 2024 indicates the poor credit control and collections and increased bad-debt and cash-flow risks.</w:t>
      </w:r>
    </w:p>
    <w:p w14:paraId="3345FDA3" w14:textId="77777777" w:rsidR="00A77B3E" w:rsidRPr="00136CDA" w:rsidRDefault="00A96C87">
      <w:pPr>
        <w:rPr>
          <w:b/>
          <w:bCs/>
          <w:i/>
          <w:iCs/>
          <w:color w:val="auto"/>
          <w:lang w:val="en-US" w:bidi="ar-SA"/>
        </w:rPr>
      </w:pPr>
      <w:r w:rsidRPr="00136CDA">
        <w:rPr>
          <w:b/>
          <w:bCs/>
          <w:i/>
          <w:iCs/>
          <w:color w:val="auto"/>
          <w:lang w:val="en-US" w:eastAsia="en-US" w:bidi="ar-SA"/>
        </w:rPr>
        <w:t>3. Ineffective Supplier Conditions and Late Payments:</w:t>
      </w:r>
    </w:p>
    <w:p w14:paraId="1F202E1C" w14:textId="77777777" w:rsidR="00A77B3E" w:rsidRPr="00136CDA" w:rsidRDefault="00A96C87">
      <w:pPr>
        <w:rPr>
          <w:color w:val="auto"/>
          <w:lang w:val="en-US" w:bidi="ar-SA"/>
        </w:rPr>
      </w:pPr>
      <w:r w:rsidRPr="00136CDA">
        <w:rPr>
          <w:color w:val="auto"/>
          <w:lang w:val="en-US" w:eastAsia="en-US" w:bidi="ar-SA"/>
        </w:rPr>
        <w:t>The 94 days payables mean it is put under pressure when it comes to liquidity and there is a risk of being dissatisfied by its suppliers, fined, as well as being subject to strict procurement policies in the future.</w:t>
      </w:r>
    </w:p>
    <w:p w14:paraId="30959E1F" w14:textId="77777777" w:rsidR="00A77B3E" w:rsidRPr="00136CDA" w:rsidRDefault="00A96C87">
      <w:pPr>
        <w:rPr>
          <w:b/>
          <w:bCs/>
          <w:i/>
          <w:iCs/>
          <w:color w:val="auto"/>
          <w:lang w:val="en-US" w:bidi="ar-SA"/>
        </w:rPr>
      </w:pPr>
      <w:r w:rsidRPr="00136CDA">
        <w:rPr>
          <w:b/>
          <w:bCs/>
          <w:i/>
          <w:iCs/>
          <w:color w:val="auto"/>
          <w:lang w:val="en-US" w:eastAsia="en-US" w:bidi="ar-SA"/>
        </w:rPr>
        <w:t>4. Unproductive Cash in Operations:</w:t>
      </w:r>
    </w:p>
    <w:p w14:paraId="76DFDCB5"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working capital decreased to 84,203m of 2024, which indicates that it does not effectively transform the operations into cash and ineffective working-capital management (Akgün and Memiş Karataş, 2021) </w:t>
      </w:r>
      <w:r w:rsidRPr="00136CDA">
        <w:rPr>
          <w:b/>
          <w:bCs/>
          <w:i/>
          <w:iCs/>
          <w:color w:val="auto"/>
          <w:shd w:val="solid" w:color="FFFFFF" w:fill="FFFFFF"/>
          <w:lang w:val="en-US" w:eastAsia="en-US" w:bidi="ar-SA"/>
        </w:rPr>
        <w:t>[Referred to appendix 2]</w:t>
      </w:r>
      <w:r w:rsidRPr="00136CDA">
        <w:rPr>
          <w:color w:val="auto"/>
          <w:lang w:val="en-US" w:eastAsia="en-US" w:bidi="ar-SA"/>
        </w:rPr>
        <w:t>.</w:t>
      </w:r>
    </w:p>
    <w:p w14:paraId="0522F69B" w14:textId="77777777" w:rsidR="00A77B3E" w:rsidRPr="00136CDA" w:rsidRDefault="00A96C87">
      <w:pPr>
        <w:pStyle w:val="Heading2"/>
        <w:spacing w:line="360" w:lineRule="auto"/>
        <w:rPr>
          <w:color w:val="auto"/>
          <w:lang w:val="en-US" w:bidi="ar-SA"/>
        </w:rPr>
      </w:pPr>
      <w:bookmarkStart w:id="14" w:name="h.eoswnyv1zxdh"/>
      <w:bookmarkEnd w:id="14"/>
      <w:r w:rsidRPr="00136CDA">
        <w:rPr>
          <w:color w:val="auto"/>
          <w:lang w:val="en-US" w:eastAsia="en-US" w:bidi="ar-SA"/>
        </w:rPr>
        <w:lastRenderedPageBreak/>
        <w:t>3.3 Initiatives to enhance Liquidity using Working Capital Reform</w:t>
      </w:r>
    </w:p>
    <w:p w14:paraId="295B4CAF" w14:textId="77777777" w:rsidR="00A77B3E" w:rsidRPr="00136CDA" w:rsidRDefault="00A96C87">
      <w:pPr>
        <w:rPr>
          <w:color w:val="auto"/>
          <w:lang w:val="en-US" w:bidi="ar-SA"/>
        </w:rPr>
      </w:pPr>
      <w:r w:rsidRPr="00136CDA">
        <w:rPr>
          <w:color w:val="auto"/>
          <w:lang w:val="en-US" w:eastAsia="en-US" w:bidi="ar-SA"/>
        </w:rPr>
        <w:t>GE needs to introduce systematic working-capital reforms in inventory, receivables and payables in order to rejuvenate liquidity and operational control.</w:t>
      </w:r>
    </w:p>
    <w:p w14:paraId="2E99AE24" w14:textId="77777777" w:rsidR="00A77B3E" w:rsidRPr="00136CDA" w:rsidRDefault="00A96C87">
      <w:pPr>
        <w:rPr>
          <w:b/>
          <w:bCs/>
          <w:color w:val="auto"/>
          <w:lang w:val="en-US" w:bidi="ar-SA"/>
        </w:rPr>
      </w:pPr>
      <w:r w:rsidRPr="00136CDA">
        <w:rPr>
          <w:b/>
          <w:bCs/>
          <w:color w:val="auto"/>
          <w:lang w:val="en-US" w:eastAsia="en-US" w:bidi="ar-SA"/>
        </w:rPr>
        <w:t>A. Inventory Solutions</w:t>
      </w:r>
    </w:p>
    <w:p w14:paraId="58BA6961" w14:textId="77777777" w:rsidR="00A77B3E" w:rsidRPr="00136CDA" w:rsidRDefault="00A96C87">
      <w:pPr>
        <w:rPr>
          <w:b/>
          <w:bCs/>
          <w:i/>
          <w:iCs/>
          <w:color w:val="auto"/>
          <w:lang w:val="en-US" w:bidi="ar-SA"/>
        </w:rPr>
      </w:pPr>
      <w:r w:rsidRPr="00136CDA">
        <w:rPr>
          <w:b/>
          <w:bCs/>
          <w:i/>
          <w:iCs/>
          <w:color w:val="auto"/>
          <w:lang w:val="en-US" w:eastAsia="en-US" w:bidi="ar-SA"/>
        </w:rPr>
        <w:t>Implementation of lean inventory.</w:t>
      </w:r>
    </w:p>
    <w:p w14:paraId="026980F7"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implementation of lean concepts can minimize waste and surplus production, enhance the movement of goods, and harmonize production with demand (Rey-Ares </w:t>
      </w:r>
      <w:r w:rsidRPr="00136CDA">
        <w:rPr>
          <w:i/>
          <w:iCs/>
          <w:color w:val="auto"/>
          <w:shd w:val="solid" w:color="FFFFFF" w:fill="FFFFFF"/>
          <w:lang w:val="en-US" w:eastAsia="en-US" w:bidi="ar-SA"/>
        </w:rPr>
        <w:t>et al</w:t>
      </w:r>
      <w:r w:rsidRPr="00136CDA">
        <w:rPr>
          <w:color w:val="auto"/>
          <w:lang w:val="en-US" w:eastAsia="en-US" w:bidi="ar-SA"/>
        </w:rPr>
        <w:t>., 2021).</w:t>
      </w:r>
    </w:p>
    <w:p w14:paraId="2485253A" w14:textId="77777777" w:rsidR="00A77B3E" w:rsidRPr="00136CDA" w:rsidRDefault="00A96C87">
      <w:pPr>
        <w:rPr>
          <w:b/>
          <w:bCs/>
          <w:i/>
          <w:iCs/>
          <w:color w:val="auto"/>
          <w:lang w:val="en-US" w:bidi="ar-SA"/>
        </w:rPr>
      </w:pPr>
      <w:r w:rsidRPr="00136CDA">
        <w:rPr>
          <w:b/>
          <w:bCs/>
          <w:i/>
          <w:iCs/>
          <w:color w:val="auto"/>
          <w:lang w:val="en-US" w:eastAsia="en-US" w:bidi="ar-SA"/>
        </w:rPr>
        <w:t>Forecasting improvement</w:t>
      </w:r>
    </w:p>
    <w:p w14:paraId="22F1DCF8" w14:textId="77777777" w:rsidR="00A77B3E" w:rsidRPr="00136CDA" w:rsidRDefault="00A96C87">
      <w:pPr>
        <w:rPr>
          <w:color w:val="auto"/>
          <w:lang w:val="en-US" w:bidi="ar-SA"/>
        </w:rPr>
      </w:pPr>
      <w:r w:rsidRPr="00136CDA">
        <w:rPr>
          <w:color w:val="auto"/>
          <w:lang w:val="en-US" w:eastAsia="en-US" w:bidi="ar-SA"/>
        </w:rPr>
        <w:t>The AI-driven demand prediction improves inventory precision, decreases the quantities of unnecessary stocks, and boosts responsiveness in the supply chain, decreasing holding costs (Petrusevich, 2021).</w:t>
      </w:r>
    </w:p>
    <w:p w14:paraId="33B6D7BB" w14:textId="77777777" w:rsidR="00A77B3E" w:rsidRPr="00136CDA" w:rsidRDefault="00A96C87">
      <w:pPr>
        <w:rPr>
          <w:b/>
          <w:bCs/>
          <w:i/>
          <w:iCs/>
          <w:color w:val="auto"/>
          <w:lang w:val="en-US" w:bidi="ar-SA"/>
        </w:rPr>
      </w:pPr>
      <w:r w:rsidRPr="00136CDA">
        <w:rPr>
          <w:b/>
          <w:bCs/>
          <w:i/>
          <w:iCs/>
          <w:color w:val="auto"/>
          <w:lang w:val="en-US" w:eastAsia="en-US" w:bidi="ar-SA"/>
        </w:rPr>
        <w:t>Product rationalisation</w:t>
      </w:r>
    </w:p>
    <w:p w14:paraId="087EFF46" w14:textId="77777777" w:rsidR="00A77B3E" w:rsidRPr="00136CDA" w:rsidRDefault="00A96C87">
      <w:pPr>
        <w:rPr>
          <w:color w:val="auto"/>
          <w:lang w:val="en-US" w:bidi="ar-SA"/>
        </w:rPr>
      </w:pPr>
      <w:r w:rsidRPr="00136CDA">
        <w:rPr>
          <w:color w:val="auto"/>
          <w:lang w:val="en-US" w:eastAsia="en-US" w:bidi="ar-SA"/>
        </w:rPr>
        <w:t>Eliminating low margin or obsolete products and standardisation of components reduces the inventory days and concentrates on the high velocity products (Appelbaum and Albin, 2024)..</w:t>
      </w:r>
    </w:p>
    <w:p w14:paraId="0B13C7D8" w14:textId="77777777" w:rsidR="00A77B3E" w:rsidRPr="00136CDA" w:rsidRDefault="00A96C87">
      <w:pPr>
        <w:rPr>
          <w:color w:val="auto"/>
          <w:lang w:val="en-US" w:bidi="ar-SA"/>
        </w:rPr>
      </w:pPr>
      <w:r w:rsidRPr="00136CDA">
        <w:rPr>
          <w:b/>
          <w:bCs/>
          <w:i/>
          <w:iCs/>
          <w:color w:val="auto"/>
          <w:shd w:val="solid" w:color="FFFFFF" w:fill="FFFFFF"/>
          <w:lang w:val="en-US" w:eastAsia="en-US" w:bidi="ar-SA"/>
        </w:rPr>
        <w:t>B. Receivables Solutions</w:t>
      </w:r>
    </w:p>
    <w:p w14:paraId="10E671C7" w14:textId="77777777" w:rsidR="00A77B3E" w:rsidRPr="00136CDA" w:rsidRDefault="00A96C87">
      <w:pPr>
        <w:rPr>
          <w:b/>
          <w:bCs/>
          <w:i/>
          <w:iCs/>
          <w:color w:val="auto"/>
          <w:lang w:val="en-US" w:bidi="ar-SA"/>
        </w:rPr>
      </w:pPr>
      <w:r w:rsidRPr="00136CDA">
        <w:rPr>
          <w:b/>
          <w:bCs/>
          <w:i/>
          <w:iCs/>
          <w:color w:val="auto"/>
          <w:lang w:val="en-US" w:eastAsia="en-US" w:bidi="ar-SA"/>
        </w:rPr>
        <w:t>Credit Policy Tightening:</w:t>
      </w:r>
    </w:p>
    <w:p w14:paraId="73A79DA1" w14:textId="77777777" w:rsidR="00A77B3E" w:rsidRPr="00136CDA" w:rsidRDefault="00A96C87">
      <w:pPr>
        <w:rPr>
          <w:color w:val="auto"/>
          <w:lang w:val="en-US" w:bidi="ar-SA"/>
        </w:rPr>
      </w:pPr>
      <w:r w:rsidRPr="00136CDA">
        <w:rPr>
          <w:color w:val="auto"/>
          <w:shd w:val="solid" w:color="FFFFFF" w:fill="FFFFFF"/>
          <w:lang w:val="en-US" w:eastAsia="en-US" w:bidi="ar-SA"/>
        </w:rPr>
        <w:t xml:space="preserve">GE needs to re-evaluate credit conditions, tighten up credit checks and instill risk based credit limits (Bosshardt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2024</w:t>
      </w:r>
      <w:r w:rsidRPr="00136CDA">
        <w:rPr>
          <w:color w:val="auto"/>
          <w:lang w:val="en-US" w:eastAsia="en-US" w:bidi="ar-SA"/>
        </w:rPr>
        <w:t>). Stricter policies maximize the control of outstanding payments and bad debts.</w:t>
      </w:r>
    </w:p>
    <w:p w14:paraId="00572E7D" w14:textId="77777777" w:rsidR="00A77B3E" w:rsidRPr="00136CDA" w:rsidRDefault="00A96C87">
      <w:pPr>
        <w:rPr>
          <w:b/>
          <w:bCs/>
          <w:i/>
          <w:iCs/>
          <w:color w:val="auto"/>
          <w:lang w:val="en-US" w:bidi="ar-SA"/>
        </w:rPr>
      </w:pPr>
      <w:r w:rsidRPr="00136CDA">
        <w:rPr>
          <w:b/>
          <w:bCs/>
          <w:i/>
          <w:iCs/>
          <w:color w:val="auto"/>
          <w:lang w:val="en-US" w:eastAsia="en-US" w:bidi="ar-SA"/>
        </w:rPr>
        <w:t>Early-Payment Incentives:</w:t>
      </w:r>
    </w:p>
    <w:p w14:paraId="2B9F34C6" w14:textId="77777777" w:rsidR="00A77B3E" w:rsidRPr="00136CDA" w:rsidRDefault="00A96C87">
      <w:pPr>
        <w:rPr>
          <w:color w:val="auto"/>
          <w:lang w:val="en-US" w:bidi="ar-SA"/>
        </w:rPr>
      </w:pPr>
      <w:r w:rsidRPr="00136CDA">
        <w:rPr>
          <w:color w:val="auto"/>
          <w:lang w:val="en-US" w:eastAsia="en-US" w:bidi="ar-SA"/>
        </w:rPr>
        <w:t>To provide small discounts in advance payment will fasten the cash flow and increase the days in which receivables turn over, particularly with large business clients.</w:t>
      </w:r>
    </w:p>
    <w:p w14:paraId="15B84EB9" w14:textId="77777777" w:rsidR="00A77B3E" w:rsidRPr="00136CDA" w:rsidRDefault="00A96C87">
      <w:pPr>
        <w:rPr>
          <w:b/>
          <w:bCs/>
          <w:i/>
          <w:iCs/>
          <w:color w:val="auto"/>
          <w:lang w:val="en-US" w:bidi="ar-SA"/>
        </w:rPr>
      </w:pPr>
      <w:r w:rsidRPr="00136CDA">
        <w:rPr>
          <w:b/>
          <w:bCs/>
          <w:i/>
          <w:iCs/>
          <w:color w:val="auto"/>
          <w:lang w:val="en-US" w:eastAsia="en-US" w:bidi="ar-SA"/>
        </w:rPr>
        <w:t>Invoicing Systems using technology:</w:t>
      </w:r>
    </w:p>
    <w:p w14:paraId="5AB0D94F" w14:textId="77777777" w:rsidR="00A77B3E" w:rsidRPr="00136CDA" w:rsidRDefault="00A96C87">
      <w:pPr>
        <w:rPr>
          <w:color w:val="auto"/>
          <w:lang w:val="en-US" w:bidi="ar-SA"/>
        </w:rPr>
      </w:pPr>
      <w:r w:rsidRPr="00136CDA">
        <w:rPr>
          <w:color w:val="auto"/>
          <w:lang w:val="en-US" w:eastAsia="en-US" w:bidi="ar-SA"/>
        </w:rPr>
        <w:t>The use of electronic billing and online methods of collecting bills has the potential to decrease the invoicing waiting period, enhance precision, and simplify the payment process.</w:t>
      </w:r>
    </w:p>
    <w:p w14:paraId="4D8D9E30" w14:textId="77777777" w:rsidR="00A77B3E" w:rsidRPr="00136CDA" w:rsidRDefault="00A96C87">
      <w:pPr>
        <w:rPr>
          <w:b/>
          <w:bCs/>
          <w:color w:val="auto"/>
          <w:lang w:val="en-US" w:bidi="ar-SA"/>
        </w:rPr>
      </w:pPr>
      <w:r w:rsidRPr="00136CDA">
        <w:rPr>
          <w:b/>
          <w:bCs/>
          <w:color w:val="auto"/>
          <w:lang w:val="en-US" w:eastAsia="en-US" w:bidi="ar-SA"/>
        </w:rPr>
        <w:t>C. Payables Solutions</w:t>
      </w:r>
    </w:p>
    <w:p w14:paraId="4CFA8642" w14:textId="77777777" w:rsidR="00A77B3E" w:rsidRPr="00136CDA" w:rsidRDefault="00A96C87">
      <w:pPr>
        <w:rPr>
          <w:b/>
          <w:bCs/>
          <w:i/>
          <w:iCs/>
          <w:color w:val="auto"/>
          <w:lang w:val="en-US" w:bidi="ar-SA"/>
        </w:rPr>
      </w:pPr>
      <w:r w:rsidRPr="00136CDA">
        <w:rPr>
          <w:b/>
          <w:bCs/>
          <w:i/>
          <w:iCs/>
          <w:color w:val="auto"/>
          <w:lang w:val="en-US" w:eastAsia="en-US" w:bidi="ar-SA"/>
        </w:rPr>
        <w:t>Supplier Renegotiation:</w:t>
      </w:r>
    </w:p>
    <w:p w14:paraId="41FD5E41" w14:textId="77777777" w:rsidR="00A77B3E" w:rsidRPr="00136CDA" w:rsidRDefault="00A96C87">
      <w:pPr>
        <w:rPr>
          <w:color w:val="auto"/>
          <w:lang w:val="en-US" w:bidi="ar-SA"/>
        </w:rPr>
      </w:pPr>
      <w:r w:rsidRPr="00136CDA">
        <w:rPr>
          <w:color w:val="auto"/>
          <w:shd w:val="solid" w:color="FFFFFF" w:fill="FFFFFF"/>
          <w:lang w:val="en-US" w:eastAsia="en-US" w:bidi="ar-SA"/>
        </w:rPr>
        <w:t>GE ought to strike longer credit, volume-based and less stringent payment schedules (Nie 2025</w:t>
      </w:r>
      <w:r w:rsidRPr="00136CDA">
        <w:rPr>
          <w:color w:val="auto"/>
          <w:lang w:val="en-US" w:eastAsia="en-US" w:bidi="ar-SA"/>
        </w:rPr>
        <w:t>). Enhanced communication will enable maintaining trust with suppliers even when payment terms are extended.</w:t>
      </w:r>
    </w:p>
    <w:p w14:paraId="3015BA02" w14:textId="77777777" w:rsidR="00A77B3E" w:rsidRPr="00136CDA" w:rsidRDefault="00A96C87">
      <w:pPr>
        <w:rPr>
          <w:b/>
          <w:bCs/>
          <w:i/>
          <w:iCs/>
          <w:color w:val="auto"/>
          <w:lang w:val="en-US" w:bidi="ar-SA"/>
        </w:rPr>
      </w:pPr>
      <w:r w:rsidRPr="00136CDA">
        <w:rPr>
          <w:b/>
          <w:bCs/>
          <w:i/>
          <w:iCs/>
          <w:color w:val="auto"/>
          <w:lang w:val="en-US" w:eastAsia="en-US" w:bidi="ar-SA"/>
        </w:rPr>
        <w:t>Dynamic Discounting:</w:t>
      </w:r>
    </w:p>
    <w:p w14:paraId="4C8DA2C3" w14:textId="77777777" w:rsidR="00A77B3E" w:rsidRPr="00136CDA" w:rsidRDefault="00A96C87">
      <w:pPr>
        <w:rPr>
          <w:color w:val="auto"/>
          <w:lang w:val="en-US" w:bidi="ar-SA"/>
        </w:rPr>
      </w:pPr>
      <w:r w:rsidRPr="00136CDA">
        <w:rPr>
          <w:color w:val="auto"/>
          <w:shd w:val="solid" w:color="FFFFFF" w:fill="FFFFFF"/>
          <w:lang w:val="en-US" w:eastAsia="en-US" w:bidi="ar-SA"/>
        </w:rPr>
        <w:lastRenderedPageBreak/>
        <w:t xml:space="preserve">GE is able to make the decision of paying suppliers early provided they can be given a discount when the liquidity allows (Feng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2024</w:t>
      </w:r>
      <w:r w:rsidRPr="00136CDA">
        <w:rPr>
          <w:color w:val="auto"/>
          <w:lang w:val="en-US" w:eastAsia="en-US" w:bidi="ar-SA"/>
        </w:rPr>
        <w:t>). This maximises cash outflow and enhances relations with suppliers. All of these measures will be implemented to make the CCC shorter, increase the operating cash flow, and decrease reliance on external borrowing.</w:t>
      </w:r>
    </w:p>
    <w:p w14:paraId="70A9E9FB" w14:textId="77777777" w:rsidR="00A77B3E" w:rsidRPr="00136CDA" w:rsidRDefault="00A96C87">
      <w:pPr>
        <w:pStyle w:val="Heading2"/>
        <w:spacing w:line="360" w:lineRule="auto"/>
        <w:rPr>
          <w:color w:val="auto"/>
          <w:lang w:val="en-US" w:bidi="ar-SA"/>
        </w:rPr>
      </w:pPr>
      <w:bookmarkStart w:id="15" w:name="h.58knzeb5si2y"/>
      <w:bookmarkEnd w:id="15"/>
      <w:r w:rsidRPr="00136CDA">
        <w:rPr>
          <w:color w:val="auto"/>
          <w:lang w:val="en-US" w:eastAsia="en-US" w:bidi="ar-SA"/>
        </w:rPr>
        <w:t>3.4 Short-term and Long-term Financing</w:t>
      </w:r>
    </w:p>
    <w:p w14:paraId="4182258A" w14:textId="77777777" w:rsidR="00A77B3E" w:rsidRPr="00136CDA" w:rsidRDefault="00A96C87">
      <w:pPr>
        <w:rPr>
          <w:color w:val="auto"/>
          <w:lang w:val="en-US" w:bidi="ar-SA"/>
        </w:rPr>
      </w:pPr>
      <w:r w:rsidRPr="00136CDA">
        <w:rPr>
          <w:color w:val="auto"/>
          <w:lang w:val="en-US" w:eastAsia="en-US" w:bidi="ar-SA"/>
        </w:rPr>
        <w:t>In the deteriorated liquidity status and long-term cash conversion ratio of GE, the firm should pursue a balanced financing strategy that will cater to the urgent cash requirements and reopen the long-term debt structure.</w:t>
      </w:r>
    </w:p>
    <w:p w14:paraId="38E6F394" w14:textId="77777777" w:rsidR="00A77B3E" w:rsidRPr="00136CDA" w:rsidRDefault="00A96C87">
      <w:pPr>
        <w:rPr>
          <w:b/>
          <w:bCs/>
          <w:i/>
          <w:iCs/>
          <w:color w:val="auto"/>
          <w:lang w:val="en-US" w:bidi="ar-SA"/>
        </w:rPr>
      </w:pPr>
      <w:r w:rsidRPr="00136CDA">
        <w:rPr>
          <w:b/>
          <w:bCs/>
          <w:i/>
          <w:iCs/>
          <w:color w:val="auto"/>
          <w:lang w:val="en-US" w:eastAsia="en-US" w:bidi="ar-SA"/>
        </w:rPr>
        <w:t>Short-term funding</w:t>
      </w:r>
    </w:p>
    <w:p w14:paraId="0F1B4372"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credit lines, commercial papers, and short-term bank loans should be used by GE to address the working-capital gaps but a greater cost of borrowing indicates its high risk profile (Laliberte </w:t>
      </w:r>
      <w:r w:rsidRPr="00136CDA">
        <w:rPr>
          <w:i/>
          <w:iCs/>
          <w:color w:val="auto"/>
          <w:shd w:val="solid" w:color="FFFFFF" w:fill="FFFFFF"/>
          <w:lang w:val="en-US" w:eastAsia="en-US" w:bidi="ar-SA"/>
        </w:rPr>
        <w:t>et al.</w:t>
      </w:r>
      <w:r w:rsidRPr="00136CDA">
        <w:rPr>
          <w:color w:val="auto"/>
          <w:lang w:val="en-US" w:eastAsia="en-US" w:bidi="ar-SA"/>
        </w:rPr>
        <w:t>, 2023).</w:t>
      </w:r>
    </w:p>
    <w:p w14:paraId="23F71541" w14:textId="77777777" w:rsidR="00A77B3E" w:rsidRPr="00136CDA" w:rsidRDefault="00A96C87">
      <w:pPr>
        <w:rPr>
          <w:b/>
          <w:bCs/>
          <w:i/>
          <w:iCs/>
          <w:color w:val="auto"/>
          <w:lang w:val="en-US" w:bidi="ar-SA"/>
        </w:rPr>
      </w:pPr>
      <w:r w:rsidRPr="00136CDA">
        <w:rPr>
          <w:b/>
          <w:bCs/>
          <w:i/>
          <w:iCs/>
          <w:color w:val="auto"/>
          <w:lang w:val="en-US" w:eastAsia="en-US" w:bidi="ar-SA"/>
        </w:rPr>
        <w:t>Long-term funding</w:t>
      </w:r>
    </w:p>
    <w:p w14:paraId="58F711DD" w14:textId="77777777" w:rsidR="00A77B3E" w:rsidRPr="00136CDA" w:rsidRDefault="00A96C87">
      <w:pPr>
        <w:rPr>
          <w:color w:val="auto"/>
          <w:lang w:val="en-US" w:bidi="ar-SA"/>
        </w:rPr>
      </w:pPr>
      <w:r w:rsidRPr="00136CDA">
        <w:rPr>
          <w:color w:val="auto"/>
          <w:shd w:val="solid" w:color="FFFFFF" w:fill="FFFFFF"/>
          <w:lang w:val="en-US" w:eastAsia="en-US" w:bidi="ar-SA"/>
        </w:rPr>
        <w:t xml:space="preserve">Restructuring of debts, refinancing, and possible equity injections can help to alleviate the pressure on repayment and improve solvency as well as balance-sheet resilience and extend maturities and reduce leverage (O’Mahoney </w:t>
      </w:r>
      <w:r w:rsidRPr="00136CDA">
        <w:rPr>
          <w:i/>
          <w:iCs/>
          <w:color w:val="auto"/>
          <w:shd w:val="solid" w:color="FFFFFF" w:fill="FFFFFF"/>
          <w:lang w:val="en-US" w:eastAsia="en-US" w:bidi="ar-SA"/>
        </w:rPr>
        <w:t>et al.,</w:t>
      </w:r>
      <w:r w:rsidRPr="00136CDA">
        <w:rPr>
          <w:color w:val="auto"/>
          <w:lang w:val="en-US" w:eastAsia="en-US" w:bidi="ar-SA"/>
        </w:rPr>
        <w:t xml:space="preserve"> 2023).</w:t>
      </w:r>
    </w:p>
    <w:p w14:paraId="19752E6B" w14:textId="77777777" w:rsidR="00A77B3E" w:rsidRPr="00136CDA" w:rsidRDefault="00A96C87">
      <w:pPr>
        <w:rPr>
          <w:b/>
          <w:bCs/>
          <w:i/>
          <w:iCs/>
          <w:color w:val="auto"/>
          <w:lang w:val="en-US" w:bidi="ar-SA"/>
        </w:rPr>
      </w:pPr>
      <w:r w:rsidRPr="00136CDA">
        <w:rPr>
          <w:b/>
          <w:bCs/>
          <w:i/>
          <w:iCs/>
          <w:color w:val="auto"/>
          <w:lang w:val="en-US" w:eastAsia="en-US" w:bidi="ar-SA"/>
        </w:rPr>
        <w:t>Recommendation:</w:t>
      </w:r>
    </w:p>
    <w:p w14:paraId="3F827E43" w14:textId="77777777" w:rsidR="00A77B3E" w:rsidRPr="00136CDA" w:rsidRDefault="00A96C87">
      <w:pPr>
        <w:rPr>
          <w:color w:val="auto"/>
          <w:lang w:val="en-US" w:bidi="ar-SA"/>
        </w:rPr>
      </w:pPr>
      <w:r w:rsidRPr="00136CDA">
        <w:rPr>
          <w:color w:val="auto"/>
          <w:lang w:val="en-US" w:eastAsia="en-US" w:bidi="ar-SA"/>
        </w:rPr>
        <w:t>It is considering the liquidity and negative profitability of GE, a two-fold approach of short-term credit and long-term restructuring is the necessary step towards a stable operation that will enable it to recuperate and become solvent again.</w:t>
      </w:r>
    </w:p>
    <w:p w14:paraId="0C329D72" w14:textId="77777777" w:rsidR="00A77B3E" w:rsidRPr="00136CDA" w:rsidRDefault="00A96C87">
      <w:pPr>
        <w:pStyle w:val="Heading1"/>
        <w:spacing w:line="360" w:lineRule="auto"/>
        <w:rPr>
          <w:color w:val="auto"/>
          <w:lang w:val="en-US" w:bidi="ar-SA"/>
        </w:rPr>
      </w:pPr>
      <w:bookmarkStart w:id="16" w:name="h.o100ytgijo41"/>
      <w:bookmarkEnd w:id="16"/>
      <w:r w:rsidRPr="00136CDA">
        <w:rPr>
          <w:color w:val="auto"/>
          <w:lang w:val="en-US" w:eastAsia="en-US" w:bidi="ar-SA"/>
        </w:rPr>
        <w:t xml:space="preserve">4. Strategic Financial Restructuring Plan </w:t>
      </w:r>
    </w:p>
    <w:p w14:paraId="0CCECE5F" w14:textId="77777777" w:rsidR="00A77B3E" w:rsidRPr="00136CDA" w:rsidRDefault="00A96C87">
      <w:pPr>
        <w:pStyle w:val="Heading2"/>
        <w:spacing w:line="360" w:lineRule="auto"/>
        <w:rPr>
          <w:color w:val="auto"/>
          <w:lang w:val="en-US" w:bidi="ar-SA"/>
        </w:rPr>
      </w:pPr>
      <w:bookmarkStart w:id="17" w:name="h.xpccmc90pf7v"/>
      <w:bookmarkEnd w:id="17"/>
      <w:r w:rsidRPr="00136CDA">
        <w:rPr>
          <w:color w:val="auto"/>
          <w:lang w:val="en-US" w:eastAsia="en-US" w:bidi="ar-SA"/>
        </w:rPr>
        <w:t>4.1 Recommendation</w:t>
      </w:r>
    </w:p>
    <w:p w14:paraId="74CFCF93" w14:textId="77777777" w:rsidR="00A77B3E" w:rsidRPr="00136CDA" w:rsidRDefault="00A96C87">
      <w:pPr>
        <w:rPr>
          <w:b/>
          <w:bCs/>
          <w:i/>
          <w:iCs/>
          <w:color w:val="auto"/>
          <w:lang w:val="en-US" w:bidi="ar-SA"/>
        </w:rPr>
      </w:pPr>
      <w:r w:rsidRPr="00136CDA">
        <w:rPr>
          <w:color w:val="auto"/>
          <w:shd w:val="solid" w:color="FFFFFF" w:fill="FFFFFF"/>
          <w:lang w:val="en-US" w:eastAsia="en-US" w:bidi="ar-SA"/>
        </w:rPr>
        <w:t>GE has structural cost problems such as chronically high cost overruns, old-fashioned production technologies and inefficient product line. These increase the cost of doing business, reduce profits and undermine the competitive capability of the firm in the international arena of electronic products. Unless these structural inefficiencies are addressed, GE will face the danger of decreasing margins, market share, and difficulties with long-term operational and financial performance sustainability.</w:t>
      </w:r>
    </w:p>
    <w:p w14:paraId="635B3C07" w14:textId="77777777" w:rsidR="00A77B3E" w:rsidRPr="00136CDA" w:rsidRDefault="00A96C87">
      <w:pPr>
        <w:pStyle w:val="Heading2"/>
        <w:spacing w:line="360" w:lineRule="auto"/>
        <w:rPr>
          <w:color w:val="auto"/>
          <w:lang w:val="en-US" w:bidi="ar-SA"/>
        </w:rPr>
      </w:pPr>
      <w:bookmarkStart w:id="18" w:name="h.dbdb7egp40dc"/>
      <w:bookmarkEnd w:id="18"/>
      <w:r w:rsidRPr="00136CDA">
        <w:rPr>
          <w:color w:val="auto"/>
          <w:lang w:val="en-US" w:eastAsia="en-US" w:bidi="ar-SA"/>
        </w:rPr>
        <w:t xml:space="preserve">4.2 Restructuring Strategy Options </w:t>
      </w:r>
    </w:p>
    <w:p w14:paraId="3E1ABBAC" w14:textId="77777777" w:rsidR="00A77B3E" w:rsidRPr="00136CDA" w:rsidRDefault="00A96C87">
      <w:pPr>
        <w:rPr>
          <w:b/>
          <w:bCs/>
          <w:color w:val="auto"/>
          <w:lang w:val="en-US" w:bidi="ar-SA"/>
        </w:rPr>
      </w:pPr>
      <w:r w:rsidRPr="00136CDA">
        <w:rPr>
          <w:b/>
          <w:bCs/>
          <w:color w:val="auto"/>
          <w:lang w:val="en-US" w:eastAsia="en-US" w:bidi="ar-SA"/>
        </w:rPr>
        <w:t>A. Operational Restructurin</w:t>
      </w:r>
    </w:p>
    <w:p w14:paraId="229E9B3D" w14:textId="77777777" w:rsidR="00A77B3E" w:rsidRPr="00136CDA" w:rsidRDefault="00A96C87">
      <w:pPr>
        <w:rPr>
          <w:b/>
          <w:bCs/>
          <w:i/>
          <w:iCs/>
          <w:color w:val="auto"/>
          <w:lang w:val="en-US" w:bidi="ar-SA"/>
        </w:rPr>
      </w:pPr>
      <w:r w:rsidRPr="00136CDA">
        <w:rPr>
          <w:b/>
          <w:bCs/>
          <w:i/>
          <w:iCs/>
          <w:color w:val="auto"/>
          <w:lang w:val="en-US" w:eastAsia="en-US" w:bidi="ar-SA"/>
        </w:rPr>
        <w:t>Margin Collapse:</w:t>
      </w:r>
    </w:p>
    <w:p w14:paraId="39B64043" w14:textId="77777777" w:rsidR="00A77B3E" w:rsidRPr="00136CDA" w:rsidRDefault="00A96C87">
      <w:pPr>
        <w:rPr>
          <w:color w:val="auto"/>
          <w:lang w:val="en-US" w:bidi="ar-SA"/>
        </w:rPr>
      </w:pPr>
      <w:r w:rsidRPr="00136CDA">
        <w:rPr>
          <w:color w:val="auto"/>
          <w:shd w:val="solid" w:color="FFFFFF" w:fill="FFFFFF"/>
          <w:lang w:val="en-US" w:eastAsia="en-US" w:bidi="ar-SA"/>
        </w:rPr>
        <w:lastRenderedPageBreak/>
        <w:t>Margins of the firm have deteriorated significantly, with negative operating income in 2023 and 2024, and a substantial decline in net profit margins. This crunch has been caused by increased cost of production, efficiency of the manufacturing process, lack of pricing discipline, and decreasing economies of scale (Chu 2024</w:t>
      </w:r>
      <w:r w:rsidRPr="00136CDA">
        <w:rPr>
          <w:color w:val="auto"/>
          <w:lang w:val="en-US" w:eastAsia="en-US" w:bidi="ar-SA"/>
        </w:rPr>
        <w:t>). The margin structure has become unsustainable as the revenues decrease and the fixed overheads are high.</w:t>
      </w:r>
    </w:p>
    <w:p w14:paraId="1FCC20A9" w14:textId="77777777" w:rsidR="00A77B3E" w:rsidRPr="00136CDA" w:rsidRDefault="00A96C87">
      <w:pPr>
        <w:rPr>
          <w:b/>
          <w:bCs/>
          <w:i/>
          <w:iCs/>
          <w:color w:val="auto"/>
          <w:lang w:val="en-US" w:bidi="ar-SA"/>
        </w:rPr>
      </w:pPr>
      <w:r w:rsidRPr="00136CDA">
        <w:rPr>
          <w:b/>
          <w:bCs/>
          <w:i/>
          <w:iCs/>
          <w:color w:val="auto"/>
          <w:lang w:val="en-US" w:eastAsia="en-US" w:bidi="ar-SA"/>
        </w:rPr>
        <w:t>Cost Optimisation:</w:t>
      </w:r>
    </w:p>
    <w:p w14:paraId="750DB075" w14:textId="77777777" w:rsidR="00A77B3E" w:rsidRPr="00136CDA" w:rsidRDefault="00A96C87">
      <w:pPr>
        <w:rPr>
          <w:color w:val="auto"/>
          <w:lang w:val="en-US" w:bidi="ar-SA"/>
        </w:rPr>
      </w:pPr>
      <w:r w:rsidRPr="00136CDA">
        <w:rPr>
          <w:color w:val="auto"/>
          <w:shd w:val="solid" w:color="FFFFFF" w:fill="FFFFFF"/>
          <w:lang w:val="en-US" w:eastAsia="en-US" w:bidi="ar-SA"/>
        </w:rPr>
        <w:t>GE needs to minimise the structural costs by taking specific measures like minimising overheads, reducing workforce, consolidating procurements and lean production (Zavidna 2024</w:t>
      </w:r>
      <w:r w:rsidRPr="00136CDA">
        <w:rPr>
          <w:color w:val="auto"/>
          <w:lang w:val="en-US" w:eastAsia="en-US" w:bidi="ar-SA"/>
        </w:rPr>
        <w:t>). Operating costs can be cut and productivity made better by rationalising non-important expenses and automating regular tasks. Also, outsourcing low-value activities strategically will allow internal resources to be used in high-impact operations.</w:t>
      </w:r>
    </w:p>
    <w:p w14:paraId="29377A22" w14:textId="77777777" w:rsidR="00A77B3E" w:rsidRPr="00136CDA" w:rsidRDefault="00A96C87">
      <w:pPr>
        <w:rPr>
          <w:b/>
          <w:bCs/>
          <w:i/>
          <w:iCs/>
          <w:color w:val="auto"/>
          <w:lang w:val="en-US" w:bidi="ar-SA"/>
        </w:rPr>
      </w:pPr>
      <w:r w:rsidRPr="00136CDA">
        <w:rPr>
          <w:b/>
          <w:bCs/>
          <w:i/>
          <w:iCs/>
          <w:color w:val="auto"/>
          <w:lang w:val="en-US" w:eastAsia="en-US" w:bidi="ar-SA"/>
        </w:rPr>
        <w:t>Portfolio Rationalisation:</w:t>
      </w:r>
    </w:p>
    <w:p w14:paraId="5055271E" w14:textId="77777777" w:rsidR="00A77B3E" w:rsidRPr="00136CDA" w:rsidRDefault="00A96C87">
      <w:pPr>
        <w:rPr>
          <w:color w:val="auto"/>
          <w:lang w:val="en-US" w:bidi="ar-SA"/>
        </w:rPr>
      </w:pPr>
      <w:r w:rsidRPr="00136CDA">
        <w:rPr>
          <w:color w:val="auto"/>
          <w:shd w:val="solid" w:color="FFFFFF" w:fill="FFFFFF"/>
          <w:lang w:val="en-US" w:eastAsia="en-US" w:bidi="ar-SA"/>
        </w:rPr>
        <w:t>The immense range of products that GE sells has some low-margin products or those that are on the downward trend that are eroding profitability. Carrying out a portfolio review will reveal poor performing segments that can be done away with (Ho 2022</w:t>
      </w:r>
      <w:r w:rsidRPr="00136CDA">
        <w:rPr>
          <w:color w:val="auto"/>
          <w:lang w:val="en-US" w:eastAsia="en-US" w:bidi="ar-SA"/>
        </w:rPr>
        <w:t>). Differentiation will help the company increase the pricing power, lower inventory stock and optimize operation.</w:t>
      </w:r>
    </w:p>
    <w:p w14:paraId="6DCA8FA6" w14:textId="77777777" w:rsidR="00A77B3E" w:rsidRPr="00136CDA" w:rsidRDefault="00A96C87">
      <w:pPr>
        <w:rPr>
          <w:b/>
          <w:bCs/>
          <w:i/>
          <w:iCs/>
          <w:color w:val="auto"/>
          <w:lang w:val="en-US" w:bidi="ar-SA"/>
        </w:rPr>
      </w:pPr>
      <w:r w:rsidRPr="00136CDA">
        <w:rPr>
          <w:b/>
          <w:bCs/>
          <w:i/>
          <w:iCs/>
          <w:color w:val="auto"/>
          <w:lang w:val="en-US" w:eastAsia="en-US" w:bidi="ar-SA"/>
        </w:rPr>
        <w:t>Inadequate Working Capital Management:</w:t>
      </w:r>
    </w:p>
    <w:p w14:paraId="0EF5C6C6"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cycles of inventory, receivable and payable have been re-adjusting negatively resulting in a 2024 CCC of 96 days (Spratt,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2021</w:t>
      </w:r>
      <w:r w:rsidRPr="00136CDA">
        <w:rPr>
          <w:color w:val="auto"/>
          <w:lang w:val="en-US" w:eastAsia="en-US" w:bidi="ar-SA"/>
        </w:rPr>
        <w:t>). Liquidity is aggravated by too much cash as inventory and delays in collecting receivables are liabilities that forces GE to use supplier credit and short-term borrowing.</w:t>
      </w:r>
    </w:p>
    <w:p w14:paraId="05D749F6" w14:textId="77777777" w:rsidR="00A77B3E" w:rsidRPr="00136CDA" w:rsidRDefault="00A96C87">
      <w:pPr>
        <w:rPr>
          <w:b/>
          <w:bCs/>
          <w:i/>
          <w:iCs/>
          <w:color w:val="auto"/>
          <w:lang w:val="en-US" w:bidi="ar-SA"/>
        </w:rPr>
      </w:pPr>
      <w:r w:rsidRPr="00136CDA">
        <w:rPr>
          <w:b/>
          <w:bCs/>
          <w:i/>
          <w:iCs/>
          <w:color w:val="auto"/>
          <w:lang w:val="en-US" w:eastAsia="en-US" w:bidi="ar-SA"/>
        </w:rPr>
        <w:t>Supply Chain Redesign:</w:t>
      </w:r>
    </w:p>
    <w:p w14:paraId="2F3D2667" w14:textId="77777777" w:rsidR="00A77B3E" w:rsidRPr="00136CDA" w:rsidRDefault="00A96C87">
      <w:pPr>
        <w:rPr>
          <w:color w:val="auto"/>
          <w:lang w:val="en-US" w:bidi="ar-SA"/>
        </w:rPr>
      </w:pPr>
      <w:r w:rsidRPr="00136CDA">
        <w:rPr>
          <w:color w:val="auto"/>
          <w:shd w:val="solid" w:color="FFFFFF" w:fill="FFFFFF"/>
          <w:lang w:val="en-US" w:eastAsia="en-US" w:bidi="ar-SA"/>
        </w:rPr>
        <w:t xml:space="preserve">Ineffectiveness in the supply chain within GE is what adds to the inventory days and delays in production (Moallic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2025</w:t>
      </w:r>
      <w:r w:rsidRPr="00136CDA">
        <w:rPr>
          <w:color w:val="auto"/>
          <w:lang w:val="en-US" w:eastAsia="en-US" w:bidi="ar-SA"/>
        </w:rPr>
        <w:t>). The introduction of integrated supply chain model, enhancement of supplier contracts, diversification of sourcing geographies and incorporation of real time inventory systems will enhance resilience and lower working-capital needs. Nearshoring or dual sourcing can also help in eliminating geopolitical and logistics risks.</w:t>
      </w:r>
    </w:p>
    <w:p w14:paraId="57F7148F" w14:textId="77777777" w:rsidR="00A77B3E" w:rsidRPr="00136CDA" w:rsidRDefault="00A96C87">
      <w:pPr>
        <w:rPr>
          <w:b/>
          <w:bCs/>
          <w:color w:val="auto"/>
          <w:lang w:val="en-US" w:bidi="ar-SA"/>
        </w:rPr>
      </w:pPr>
      <w:r w:rsidRPr="00136CDA">
        <w:rPr>
          <w:b/>
          <w:bCs/>
          <w:color w:val="auto"/>
          <w:lang w:val="en-US" w:eastAsia="en-US" w:bidi="ar-SA"/>
        </w:rPr>
        <w:t>B. Financial Restructuring</w:t>
      </w:r>
    </w:p>
    <w:p w14:paraId="3CDC954E" w14:textId="77777777" w:rsidR="00A77B3E" w:rsidRPr="00136CDA" w:rsidRDefault="00A96C87">
      <w:pPr>
        <w:rPr>
          <w:b/>
          <w:bCs/>
          <w:i/>
          <w:iCs/>
          <w:color w:val="auto"/>
          <w:lang w:val="en-US" w:bidi="ar-SA"/>
        </w:rPr>
      </w:pPr>
      <w:r w:rsidRPr="00136CDA">
        <w:rPr>
          <w:b/>
          <w:bCs/>
          <w:i/>
          <w:iCs/>
          <w:color w:val="auto"/>
          <w:lang w:val="en-US" w:eastAsia="en-US" w:bidi="ar-SA"/>
        </w:rPr>
        <w:t>High Debt:</w:t>
      </w:r>
    </w:p>
    <w:p w14:paraId="7558A5A1"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fact that the debt-equity ratio of GE is going to exceed 1.0 in 2024 is indicative of a very unsafe reliance on the borrowed capital (Djubaedi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2023</w:t>
      </w:r>
      <w:r w:rsidRPr="00136CDA">
        <w:rPr>
          <w:color w:val="auto"/>
          <w:lang w:val="en-US" w:eastAsia="en-US" w:bidi="ar-SA"/>
        </w:rPr>
        <w:t xml:space="preserve">). The company is subjected to high </w:t>
      </w:r>
      <w:r w:rsidRPr="00136CDA">
        <w:rPr>
          <w:color w:val="auto"/>
          <w:lang w:val="en-US" w:eastAsia="en-US" w:bidi="ar-SA"/>
        </w:rPr>
        <w:lastRenderedPageBreak/>
        <w:t>interest payment, the borrowing level is low and chances of breach of covenant is high. Its solvency is also threatened in a compounding way by weak profitability.</w:t>
      </w:r>
    </w:p>
    <w:p w14:paraId="64D6F896" w14:textId="77777777" w:rsidR="00A77B3E" w:rsidRPr="00136CDA" w:rsidRDefault="00A96C87">
      <w:pPr>
        <w:rPr>
          <w:b/>
          <w:bCs/>
          <w:i/>
          <w:iCs/>
          <w:color w:val="auto"/>
          <w:lang w:val="en-US" w:bidi="ar-SA"/>
        </w:rPr>
      </w:pPr>
      <w:r w:rsidRPr="00136CDA">
        <w:rPr>
          <w:b/>
          <w:bCs/>
          <w:i/>
          <w:iCs/>
          <w:color w:val="auto"/>
          <w:lang w:val="en-US" w:eastAsia="en-US" w:bidi="ar-SA"/>
        </w:rPr>
        <w:t>Weak Operating Cash Flows:</w:t>
      </w:r>
    </w:p>
    <w:p w14:paraId="260B904C" w14:textId="77777777" w:rsidR="00A77B3E" w:rsidRPr="00136CDA" w:rsidRDefault="00A96C87">
      <w:pPr>
        <w:rPr>
          <w:color w:val="auto"/>
          <w:lang w:val="en-US" w:bidi="ar-SA"/>
        </w:rPr>
      </w:pPr>
      <w:r w:rsidRPr="00136CDA">
        <w:rPr>
          <w:color w:val="auto"/>
          <w:lang w:val="en-US" w:eastAsia="en-US" w:bidi="ar-SA"/>
        </w:rPr>
        <w:t>The operating cash flows have significantly decreased in the five years and the cash generated is not enough to sustain the current liabilities in the short run. Cash flow volatility represents the absence of quality of earnings, high working-capital strains and ineffective business operations.</w:t>
      </w:r>
    </w:p>
    <w:p w14:paraId="24AB8C7A" w14:textId="77777777" w:rsidR="00A77B3E" w:rsidRPr="00136CDA" w:rsidRDefault="00A96C87">
      <w:pPr>
        <w:jc w:val="center"/>
        <w:rPr>
          <w:b/>
          <w:bCs/>
          <w:color w:val="auto"/>
          <w:lang w:val="en-US" w:bidi="ar-SA"/>
        </w:rPr>
      </w:pPr>
      <w:r w:rsidRPr="00136CDA">
        <w:rPr>
          <w:noProof/>
          <w:color w:val="auto"/>
          <w:lang w:val="en-GB" w:eastAsia="en-GB" w:bidi="ar-SA"/>
        </w:rPr>
        <w:drawing>
          <wp:inline distT="0" distB="0" distL="0" distR="0" wp14:anchorId="06EBAEC2" wp14:editId="1A9BF67C">
            <wp:extent cx="5238750" cy="3708400"/>
            <wp:effectExtent l="0" t="0" r="0" b="0"/>
            <wp:docPr id="28" name="Picture 2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rrowheads="1"/>
                    </pic:cNvPicPr>
                  </pic:nvPicPr>
                  <pic:blipFill>
                    <a:blip r:embed="rId290" r:link="rId291">
                      <a:extLst>
                        <a:ext uri="{28A0092B-C50C-407E-A947-70E740481C1C}">
                          <a14:useLocalDpi xmlns:a14="http://schemas.microsoft.com/office/drawing/2010/main" val="0"/>
                        </a:ext>
                      </a:extLst>
                    </a:blip>
                    <a:srcRect/>
                    <a:stretch>
                      <a:fillRect/>
                    </a:stretch>
                  </pic:blipFill>
                  <pic:spPr bwMode="auto">
                    <a:xfrm>
                      <a:off x="0" y="0"/>
                      <a:ext cx="5238750" cy="3708400"/>
                    </a:xfrm>
                    <a:prstGeom prst="rect">
                      <a:avLst/>
                    </a:prstGeom>
                    <a:noFill/>
                    <a:ln>
                      <a:noFill/>
                    </a:ln>
                  </pic:spPr>
                </pic:pic>
              </a:graphicData>
            </a:graphic>
          </wp:inline>
        </w:drawing>
      </w:r>
    </w:p>
    <w:p w14:paraId="6438E821" w14:textId="77777777" w:rsidR="00A77B3E" w:rsidRPr="00136CDA" w:rsidRDefault="00A96C87">
      <w:pPr>
        <w:jc w:val="center"/>
        <w:rPr>
          <w:b/>
          <w:bCs/>
          <w:color w:val="auto"/>
          <w:lang w:val="en-US" w:bidi="ar-SA"/>
        </w:rPr>
      </w:pPr>
      <w:r w:rsidRPr="00136CDA">
        <w:rPr>
          <w:b/>
          <w:bCs/>
          <w:color w:val="auto"/>
          <w:lang w:val="en-US" w:eastAsia="en-US" w:bidi="ar-SA"/>
        </w:rPr>
        <w:t>Fig 10: Debt renegotiation impact chart</w:t>
      </w:r>
    </w:p>
    <w:p w14:paraId="762E2296" w14:textId="77777777" w:rsidR="00A77B3E" w:rsidRPr="00136CDA" w:rsidRDefault="00A96C87">
      <w:pPr>
        <w:jc w:val="center"/>
        <w:rPr>
          <w:color w:val="auto"/>
          <w:lang w:val="en-US" w:bidi="ar-SA"/>
        </w:rPr>
      </w:pPr>
      <w:r w:rsidRPr="00136CDA">
        <w:rPr>
          <w:color w:val="auto"/>
          <w:shd w:val="solid" w:color="FFFFFF" w:fill="FFFFFF"/>
          <w:lang w:val="en-US" w:eastAsia="en-US" w:bidi="ar-SA"/>
        </w:rPr>
        <w:t xml:space="preserve">(Source: Eça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2024)</w:t>
      </w:r>
    </w:p>
    <w:p w14:paraId="62F1C435" w14:textId="77777777" w:rsidR="00A77B3E" w:rsidRPr="00136CDA" w:rsidRDefault="00A96C87">
      <w:pPr>
        <w:rPr>
          <w:b/>
          <w:bCs/>
          <w:i/>
          <w:iCs/>
          <w:color w:val="auto"/>
          <w:lang w:val="en-US" w:bidi="ar-SA"/>
        </w:rPr>
      </w:pPr>
      <w:r w:rsidRPr="00136CDA">
        <w:rPr>
          <w:b/>
          <w:bCs/>
          <w:i/>
          <w:iCs/>
          <w:color w:val="auto"/>
          <w:lang w:val="en-US" w:eastAsia="en-US" w:bidi="ar-SA"/>
        </w:rPr>
        <w:t>Debt Renegotiation:</w:t>
      </w:r>
    </w:p>
    <w:p w14:paraId="70011EDC" w14:textId="77777777" w:rsidR="00A77B3E" w:rsidRPr="00136CDA" w:rsidRDefault="00A96C87">
      <w:pPr>
        <w:rPr>
          <w:color w:val="auto"/>
          <w:lang w:val="en-US" w:bidi="ar-SA"/>
        </w:rPr>
      </w:pPr>
      <w:r w:rsidRPr="00136CDA">
        <w:rPr>
          <w:color w:val="auto"/>
          <w:shd w:val="solid" w:color="FFFFFF" w:fill="FFFFFF"/>
          <w:lang w:val="en-US" w:eastAsia="en-US" w:bidi="ar-SA"/>
        </w:rPr>
        <w:t xml:space="preserve">Considering that the firm has a high leverage with poor interest coverage, it is necessary to renegotiate the interest rates and increase the maturity of the loans (Eça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2024</w:t>
      </w:r>
      <w:r w:rsidRPr="00136CDA">
        <w:rPr>
          <w:color w:val="auto"/>
          <w:lang w:val="en-US" w:eastAsia="en-US" w:bidi="ar-SA"/>
        </w:rPr>
        <w:t>). GE needs to also involve creditors to alter repayment plans, turn short-term debt into long-term positions and waiver covenants where applicable. Such actions minimize a short-term cash expenditure and increase solvency.</w:t>
      </w:r>
    </w:p>
    <w:p w14:paraId="7609D68E" w14:textId="77777777" w:rsidR="00A77B3E" w:rsidRPr="00136CDA" w:rsidRDefault="00A96C87">
      <w:pPr>
        <w:rPr>
          <w:b/>
          <w:bCs/>
          <w:i/>
          <w:iCs/>
          <w:color w:val="auto"/>
          <w:lang w:val="en-US" w:bidi="ar-SA"/>
        </w:rPr>
      </w:pPr>
      <w:r w:rsidRPr="00136CDA">
        <w:rPr>
          <w:b/>
          <w:bCs/>
          <w:i/>
          <w:iCs/>
          <w:color w:val="auto"/>
          <w:lang w:val="en-US" w:eastAsia="en-US" w:bidi="ar-SA"/>
        </w:rPr>
        <w:t>Equity Injection:</w:t>
      </w:r>
    </w:p>
    <w:p w14:paraId="7278F082" w14:textId="77777777" w:rsidR="00A77B3E" w:rsidRPr="00136CDA" w:rsidRDefault="00A96C87">
      <w:pPr>
        <w:rPr>
          <w:color w:val="auto"/>
          <w:lang w:val="en-US" w:bidi="ar-SA"/>
        </w:rPr>
      </w:pPr>
      <w:r w:rsidRPr="00136CDA">
        <w:rPr>
          <w:color w:val="auto"/>
          <w:lang w:val="en-US" w:eastAsia="en-US" w:bidi="ar-SA"/>
        </w:rPr>
        <w:lastRenderedPageBreak/>
        <w:t>Specific equity issue, such as a rights issue, a placement or a strategic investment, would bolster the balance sheet and deleverage the company. Investment in such key areas as technology improvements and product innovation can also be facilitated by equity infusion.</w:t>
      </w:r>
    </w:p>
    <w:p w14:paraId="24AF8CDC" w14:textId="77777777" w:rsidR="00A77B3E" w:rsidRPr="00136CDA" w:rsidRDefault="00A96C87">
      <w:pPr>
        <w:rPr>
          <w:b/>
          <w:bCs/>
          <w:i/>
          <w:iCs/>
          <w:color w:val="auto"/>
          <w:lang w:val="en-US" w:bidi="ar-SA"/>
        </w:rPr>
      </w:pPr>
      <w:r w:rsidRPr="00136CDA">
        <w:rPr>
          <w:b/>
          <w:bCs/>
          <w:i/>
          <w:iCs/>
          <w:color w:val="auto"/>
          <w:lang w:val="en-US" w:eastAsia="en-US" w:bidi="ar-SA"/>
        </w:rPr>
        <w:t>Asset Sale Program:</w:t>
      </w:r>
    </w:p>
    <w:p w14:paraId="7DBBA178" w14:textId="77777777" w:rsidR="00A77B3E" w:rsidRPr="00136CDA" w:rsidRDefault="00A96C87">
      <w:pPr>
        <w:rPr>
          <w:color w:val="auto"/>
          <w:lang w:val="en-US" w:bidi="ar-SA"/>
        </w:rPr>
      </w:pPr>
      <w:r w:rsidRPr="00136CDA">
        <w:rPr>
          <w:color w:val="auto"/>
          <w:shd w:val="solid" w:color="FFFFFF" w:fill="FFFFFF"/>
          <w:lang w:val="en-US" w:eastAsia="en-US" w:bidi="ar-SA"/>
        </w:rPr>
        <w:t>GE has several underutilised assets such as non-core divisions and excess fixed assets. The sale of these assets will provide liquidity in the short run, alleviate financing strain and re-prioritize the business on segments that are strategic (Yang and Zhu, 2023</w:t>
      </w:r>
      <w:r w:rsidRPr="00136CDA">
        <w:rPr>
          <w:color w:val="auto"/>
          <w:lang w:val="en-US" w:eastAsia="en-US" w:bidi="ar-SA"/>
        </w:rPr>
        <w:t>). This will also aid in funding the restructuring expenses and reduce dependence on foreign borrowing.</w:t>
      </w:r>
    </w:p>
    <w:p w14:paraId="222E78B9" w14:textId="77777777" w:rsidR="00A77B3E" w:rsidRPr="00136CDA" w:rsidRDefault="00A96C87">
      <w:pPr>
        <w:rPr>
          <w:color w:val="auto"/>
          <w:lang w:val="en-US" w:bidi="ar-SA"/>
        </w:rPr>
      </w:pPr>
      <w:r w:rsidRPr="00136CDA">
        <w:rPr>
          <w:b/>
          <w:bCs/>
          <w:color w:val="auto"/>
          <w:shd w:val="solid" w:color="FFFFFF" w:fill="FFFFFF"/>
          <w:lang w:val="en-US" w:eastAsia="en-US" w:bidi="ar-SA"/>
        </w:rPr>
        <w:t>C. Strategic Restructuring</w:t>
      </w:r>
    </w:p>
    <w:p w14:paraId="6BDA1C0F" w14:textId="77777777" w:rsidR="00A77B3E" w:rsidRPr="00136CDA" w:rsidRDefault="00A96C87">
      <w:pPr>
        <w:rPr>
          <w:b/>
          <w:bCs/>
          <w:i/>
          <w:iCs/>
          <w:color w:val="auto"/>
          <w:lang w:val="en-US" w:bidi="ar-SA"/>
        </w:rPr>
      </w:pPr>
      <w:r w:rsidRPr="00136CDA">
        <w:rPr>
          <w:b/>
          <w:bCs/>
          <w:i/>
          <w:iCs/>
          <w:color w:val="auto"/>
          <w:lang w:val="en-US" w:eastAsia="en-US" w:bidi="ar-SA"/>
        </w:rPr>
        <w:t>Divestitures:</w:t>
      </w:r>
    </w:p>
    <w:p w14:paraId="297356E6" w14:textId="77777777" w:rsidR="00A77B3E" w:rsidRPr="00136CDA" w:rsidRDefault="00A96C87">
      <w:pPr>
        <w:rPr>
          <w:color w:val="auto"/>
          <w:lang w:val="en-US" w:bidi="ar-SA"/>
        </w:rPr>
      </w:pPr>
      <w:r w:rsidRPr="00136CDA">
        <w:rPr>
          <w:color w:val="auto"/>
          <w:lang w:val="en-US" w:eastAsia="en-US" w:bidi="ar-SA"/>
        </w:rPr>
        <w:t>The divested subsidiaries or non-performing business units will enable GE to invest in high growth areas. Divestitures are beneficial in that they enhance cash flow, operations and greater strategic clarity.</w:t>
      </w:r>
    </w:p>
    <w:p w14:paraId="48D97B50" w14:textId="77777777" w:rsidR="00A77B3E" w:rsidRPr="00136CDA" w:rsidRDefault="00A96C87">
      <w:pPr>
        <w:rPr>
          <w:b/>
          <w:bCs/>
          <w:i/>
          <w:iCs/>
          <w:color w:val="auto"/>
          <w:lang w:val="en-US" w:bidi="ar-SA"/>
        </w:rPr>
      </w:pPr>
      <w:r w:rsidRPr="00136CDA">
        <w:rPr>
          <w:b/>
          <w:bCs/>
          <w:i/>
          <w:iCs/>
          <w:color w:val="auto"/>
          <w:lang w:val="en-US" w:eastAsia="en-US" w:bidi="ar-SA"/>
        </w:rPr>
        <w:t>Strategic Alliances:</w:t>
      </w:r>
    </w:p>
    <w:p w14:paraId="5A5C8A05" w14:textId="77777777" w:rsidR="00A77B3E" w:rsidRPr="00136CDA" w:rsidRDefault="00A96C87">
      <w:pPr>
        <w:rPr>
          <w:color w:val="auto"/>
          <w:lang w:val="en-US" w:bidi="ar-SA"/>
        </w:rPr>
      </w:pPr>
      <w:r w:rsidRPr="00136CDA">
        <w:rPr>
          <w:color w:val="auto"/>
          <w:lang w:val="en-US" w:eastAsia="en-US" w:bidi="ar-SA"/>
        </w:rPr>
        <w:t>Collaboration with international technology companies, service providers or distributors of components may create economies of scale, facilitate transfer of technology and expand market coverage. Alliances also have the capability of mitigating operational risk, as well as increasing innovation.</w:t>
      </w:r>
    </w:p>
    <w:p w14:paraId="2B27D97A" w14:textId="77777777" w:rsidR="00A77B3E" w:rsidRPr="00136CDA" w:rsidRDefault="00A96C87">
      <w:pPr>
        <w:rPr>
          <w:b/>
          <w:bCs/>
          <w:i/>
          <w:iCs/>
          <w:color w:val="auto"/>
          <w:lang w:val="en-US" w:bidi="ar-SA"/>
        </w:rPr>
      </w:pPr>
      <w:r w:rsidRPr="00136CDA">
        <w:rPr>
          <w:b/>
          <w:bCs/>
          <w:i/>
          <w:iCs/>
          <w:color w:val="auto"/>
          <w:lang w:val="en-US" w:eastAsia="en-US" w:bidi="ar-SA"/>
        </w:rPr>
        <w:t>Possible Merger or Acquisition:</w:t>
      </w:r>
    </w:p>
    <w:p w14:paraId="32CEFA3C" w14:textId="77777777" w:rsidR="00A77B3E" w:rsidRPr="00136CDA" w:rsidRDefault="00A96C87">
      <w:pPr>
        <w:rPr>
          <w:color w:val="auto"/>
          <w:lang w:val="en-US" w:bidi="ar-SA"/>
        </w:rPr>
      </w:pPr>
      <w:r w:rsidRPr="00136CDA">
        <w:rPr>
          <w:color w:val="auto"/>
          <w:shd w:val="solid" w:color="FFFFFF" w:fill="FFFFFF"/>
          <w:lang w:val="en-US" w:eastAsia="en-US" w:bidi="ar-SA"/>
        </w:rPr>
        <w:t>A consolidation with a complementary company may offer functional economies of scale, economies of cost sharing and more robust market presence (Hossain 2021</w:t>
      </w:r>
      <w:r w:rsidRPr="00136CDA">
        <w:rPr>
          <w:color w:val="auto"/>
          <w:lang w:val="en-US" w:eastAsia="en-US" w:bidi="ar-SA"/>
        </w:rPr>
        <w:t>). Alternatively, a smaller technology-oriented company can be acquired to enhance the ability of GE to innovate products and compete in the long-term.</w:t>
      </w:r>
    </w:p>
    <w:p w14:paraId="49628C44" w14:textId="77777777" w:rsidR="00A77B3E" w:rsidRPr="00136CDA" w:rsidRDefault="00A96C87">
      <w:pPr>
        <w:pStyle w:val="Heading2"/>
        <w:spacing w:line="360" w:lineRule="auto"/>
        <w:rPr>
          <w:color w:val="auto"/>
          <w:lang w:val="en-US" w:bidi="ar-SA"/>
        </w:rPr>
      </w:pPr>
      <w:bookmarkStart w:id="19" w:name="h.f0wfastvhhu"/>
      <w:bookmarkEnd w:id="19"/>
      <w:r w:rsidRPr="00136CDA">
        <w:rPr>
          <w:color w:val="auto"/>
          <w:lang w:val="en-US" w:eastAsia="en-US" w:bidi="ar-SA"/>
        </w:rPr>
        <w:t>4.3 Impact Evaluation</w:t>
      </w:r>
    </w:p>
    <w:p w14:paraId="64ABD695" w14:textId="77777777" w:rsidR="00A77B3E" w:rsidRPr="00136CDA" w:rsidRDefault="00A96C87">
      <w:pPr>
        <w:rPr>
          <w:b/>
          <w:bCs/>
          <w:i/>
          <w:iCs/>
          <w:color w:val="auto"/>
          <w:lang w:val="en-US" w:bidi="ar-SA"/>
        </w:rPr>
      </w:pPr>
      <w:r w:rsidRPr="00136CDA">
        <w:rPr>
          <w:b/>
          <w:bCs/>
          <w:i/>
          <w:iCs/>
          <w:color w:val="auto"/>
          <w:lang w:val="en-US" w:eastAsia="en-US" w:bidi="ar-SA"/>
        </w:rPr>
        <w:t>Shareholder Value:</w:t>
      </w:r>
    </w:p>
    <w:p w14:paraId="2F53EFB7" w14:textId="77777777" w:rsidR="00A77B3E" w:rsidRPr="00136CDA" w:rsidRDefault="00A96C87">
      <w:pPr>
        <w:rPr>
          <w:color w:val="auto"/>
          <w:lang w:val="en-US" w:bidi="ar-SA"/>
        </w:rPr>
      </w:pPr>
      <w:r w:rsidRPr="00136CDA">
        <w:rPr>
          <w:color w:val="auto"/>
          <w:shd w:val="solid" w:color="FFFFFF" w:fill="FFFFFF"/>
          <w:lang w:val="en-US" w:eastAsia="en-US" w:bidi="ar-SA"/>
        </w:rPr>
        <w:t xml:space="preserve">In the short run, value can fall because of the restructuring expenses, selling off of assets and possible dilution of equity. Nevertheless, in the long run, its value is projected to increase in terms of better profitability, increased margins and strategic focus (Cumming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2023</w:t>
      </w:r>
      <w:r w:rsidRPr="00136CDA">
        <w:rPr>
          <w:color w:val="auto"/>
          <w:lang w:val="en-US" w:eastAsia="en-US" w:bidi="ar-SA"/>
        </w:rPr>
        <w:t>). Shareholders usually punish companies that have plausible turnaround measures.</w:t>
      </w:r>
    </w:p>
    <w:p w14:paraId="4220144D" w14:textId="77777777" w:rsidR="00A77B3E" w:rsidRPr="00136CDA" w:rsidRDefault="00A96C87">
      <w:pPr>
        <w:rPr>
          <w:b/>
          <w:bCs/>
          <w:i/>
          <w:iCs/>
          <w:color w:val="auto"/>
          <w:lang w:val="en-US" w:bidi="ar-SA"/>
        </w:rPr>
      </w:pPr>
      <w:r w:rsidRPr="00136CDA">
        <w:rPr>
          <w:b/>
          <w:bCs/>
          <w:i/>
          <w:iCs/>
          <w:color w:val="auto"/>
          <w:lang w:val="en-US" w:eastAsia="en-US" w:bidi="ar-SA"/>
        </w:rPr>
        <w:t>Debt Structure:</w:t>
      </w:r>
    </w:p>
    <w:p w14:paraId="63B79920" w14:textId="77777777" w:rsidR="00A77B3E" w:rsidRPr="00136CDA" w:rsidRDefault="00A96C87">
      <w:pPr>
        <w:rPr>
          <w:color w:val="auto"/>
          <w:lang w:val="en-US" w:bidi="ar-SA"/>
        </w:rPr>
      </w:pPr>
      <w:r w:rsidRPr="00136CDA">
        <w:rPr>
          <w:color w:val="auto"/>
          <w:lang w:val="en-US" w:eastAsia="en-US" w:bidi="ar-SA"/>
        </w:rPr>
        <w:lastRenderedPageBreak/>
        <w:t>Restructuring of financial will alleviate short-term repayment expectations, enhance the interest coverage and lengthening debt maturities. Reduction in leverage improves credit worthiness, decreases the risk of refinancing and improves the solvency profile of the firm.</w:t>
      </w:r>
    </w:p>
    <w:p w14:paraId="157A4196" w14:textId="77777777" w:rsidR="00A77B3E" w:rsidRPr="00136CDA" w:rsidRDefault="00A96C87">
      <w:pPr>
        <w:rPr>
          <w:b/>
          <w:bCs/>
          <w:i/>
          <w:iCs/>
          <w:color w:val="auto"/>
          <w:lang w:val="en-US" w:bidi="ar-SA"/>
        </w:rPr>
      </w:pPr>
      <w:r w:rsidRPr="00136CDA">
        <w:rPr>
          <w:b/>
          <w:bCs/>
          <w:i/>
          <w:iCs/>
          <w:color w:val="auto"/>
          <w:lang w:val="en-US" w:eastAsia="en-US" w:bidi="ar-SA"/>
        </w:rPr>
        <w:t>Risk Profile:</w:t>
      </w:r>
    </w:p>
    <w:p w14:paraId="0E32CC9F"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earnings will be stabilised through operational and strategic reforms, which will minimise volatility and expose the supply chain (Metwaly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2022</w:t>
      </w:r>
      <w:r w:rsidRPr="00136CDA">
        <w:rPr>
          <w:color w:val="auto"/>
          <w:lang w:val="en-US" w:eastAsia="en-US" w:bidi="ar-SA"/>
        </w:rPr>
        <w:t>). GE can also minimise operational and financial risk by diversifying partnerships, enhancing sourcing, and rationalising the portfolio.</w:t>
      </w:r>
    </w:p>
    <w:p w14:paraId="4DE09AEB" w14:textId="77777777" w:rsidR="00A77B3E" w:rsidRPr="00136CDA" w:rsidRDefault="00A96C87">
      <w:pPr>
        <w:rPr>
          <w:b/>
          <w:bCs/>
          <w:i/>
          <w:iCs/>
          <w:color w:val="auto"/>
          <w:lang w:val="en-US" w:bidi="ar-SA"/>
        </w:rPr>
      </w:pPr>
      <w:r w:rsidRPr="00136CDA">
        <w:rPr>
          <w:b/>
          <w:bCs/>
          <w:i/>
          <w:iCs/>
          <w:color w:val="auto"/>
          <w:lang w:val="en-US" w:eastAsia="en-US" w:bidi="ar-SA"/>
        </w:rPr>
        <w:t>Profitability:</w:t>
      </w:r>
    </w:p>
    <w:p w14:paraId="3CA41B30" w14:textId="77777777" w:rsidR="00A77B3E" w:rsidRPr="00136CDA" w:rsidRDefault="00A96C87">
      <w:pPr>
        <w:rPr>
          <w:color w:val="auto"/>
          <w:lang w:val="en-US" w:bidi="ar-SA"/>
        </w:rPr>
      </w:pPr>
      <w:r w:rsidRPr="00136CDA">
        <w:rPr>
          <w:color w:val="auto"/>
          <w:shd w:val="solid" w:color="FFFFFF" w:fill="FFFFFF"/>
          <w:lang w:val="en-US" w:eastAsia="en-US" w:bidi="ar-SA"/>
        </w:rPr>
        <w:t>Operating margins will be directly improved through cost optimisation, enhanced pricing discipline, and rationalisation of the portfolio (Almashhadani 2021</w:t>
      </w:r>
      <w:r w:rsidRPr="00136CDA">
        <w:rPr>
          <w:color w:val="auto"/>
          <w:lang w:val="en-US" w:eastAsia="en-US" w:bidi="ar-SA"/>
        </w:rPr>
        <w:t>). The increased production and supply chain processes will further improve efficiency, generating increased medium-term profitability.</w:t>
      </w:r>
    </w:p>
    <w:p w14:paraId="7EB3D6E7" w14:textId="77777777" w:rsidR="00A77B3E" w:rsidRPr="00136CDA" w:rsidRDefault="00A96C87">
      <w:pPr>
        <w:rPr>
          <w:b/>
          <w:bCs/>
          <w:i/>
          <w:iCs/>
          <w:color w:val="auto"/>
          <w:lang w:val="en-US" w:bidi="ar-SA"/>
        </w:rPr>
      </w:pPr>
      <w:r w:rsidRPr="00136CDA">
        <w:rPr>
          <w:b/>
          <w:bCs/>
          <w:i/>
          <w:iCs/>
          <w:color w:val="auto"/>
          <w:lang w:val="en-US" w:eastAsia="en-US" w:bidi="ar-SA"/>
        </w:rPr>
        <w:t>Operational Flexibility:</w:t>
      </w:r>
    </w:p>
    <w:p w14:paraId="54484D49" w14:textId="77777777" w:rsidR="00A77B3E" w:rsidRPr="00136CDA" w:rsidRDefault="00A96C87">
      <w:pPr>
        <w:rPr>
          <w:color w:val="auto"/>
          <w:lang w:val="en-US" w:bidi="ar-SA"/>
        </w:rPr>
      </w:pPr>
      <w:r w:rsidRPr="00136CDA">
        <w:rPr>
          <w:color w:val="auto"/>
          <w:lang w:val="en-US" w:eastAsia="en-US" w:bidi="ar-SA"/>
        </w:rPr>
        <w:t>Minimised organisational structures, improved working-capital management, and updated supply-chain systems will allow GE to react faster to market changes. This enhanced nimbleness is critical in competing in the competitive global electronic markets.</w:t>
      </w:r>
    </w:p>
    <w:p w14:paraId="74C9BC9D" w14:textId="77777777" w:rsidR="00A77B3E" w:rsidRPr="00136CDA" w:rsidRDefault="00A96C87">
      <w:pPr>
        <w:pStyle w:val="Heading2"/>
        <w:spacing w:line="360" w:lineRule="auto"/>
        <w:rPr>
          <w:color w:val="auto"/>
          <w:lang w:val="en-US" w:bidi="ar-SA"/>
        </w:rPr>
      </w:pPr>
      <w:bookmarkStart w:id="20" w:name="h.8qt2sln4k7rq"/>
      <w:bookmarkEnd w:id="20"/>
      <w:r w:rsidRPr="00136CDA">
        <w:rPr>
          <w:color w:val="auto"/>
          <w:lang w:val="en-US" w:eastAsia="en-US" w:bidi="ar-SA"/>
        </w:rPr>
        <w:t>4.4 International or Ethical Considerations</w:t>
      </w:r>
    </w:p>
    <w:p w14:paraId="7A55BDBB" w14:textId="77777777" w:rsidR="00A77B3E" w:rsidRPr="00136CDA" w:rsidRDefault="00A96C87">
      <w:pPr>
        <w:rPr>
          <w:b/>
          <w:bCs/>
          <w:i/>
          <w:iCs/>
          <w:color w:val="auto"/>
          <w:lang w:val="en-US" w:bidi="ar-SA"/>
        </w:rPr>
      </w:pPr>
      <w:r w:rsidRPr="00136CDA">
        <w:rPr>
          <w:b/>
          <w:bCs/>
          <w:i/>
          <w:iCs/>
          <w:color w:val="auto"/>
          <w:lang w:val="en-US" w:eastAsia="en-US" w:bidi="ar-SA"/>
        </w:rPr>
        <w:t>Cross-Currency Exposure:</w:t>
      </w:r>
    </w:p>
    <w:p w14:paraId="465CA1F3" w14:textId="77777777" w:rsidR="00A77B3E" w:rsidRPr="00136CDA" w:rsidRDefault="00A96C87">
      <w:pPr>
        <w:rPr>
          <w:color w:val="auto"/>
          <w:lang w:val="en-US" w:bidi="ar-SA"/>
        </w:rPr>
      </w:pPr>
      <w:r w:rsidRPr="00136CDA">
        <w:rPr>
          <w:color w:val="auto"/>
          <w:shd w:val="solid" w:color="FFFFFF" w:fill="FFFFFF"/>
          <w:lang w:val="en-US" w:eastAsia="en-US" w:bidi="ar-SA"/>
        </w:rPr>
        <w:t>GE has various markets, and the volatility of the exchange rates will impact revenues, costs, and assets (Gnoatto and Seiffert 2021</w:t>
      </w:r>
      <w:r w:rsidRPr="00136CDA">
        <w:rPr>
          <w:color w:val="auto"/>
          <w:lang w:val="en-US" w:eastAsia="en-US" w:bidi="ar-SA"/>
        </w:rPr>
        <w:t>). Currency risk during the restructuring process requires hedging instruments like forward contracts, currency swaps in order to reduce the risk.</w:t>
      </w:r>
    </w:p>
    <w:p w14:paraId="6ABDBA38" w14:textId="77777777" w:rsidR="00A77B3E" w:rsidRPr="00136CDA" w:rsidRDefault="00A96C87">
      <w:pPr>
        <w:rPr>
          <w:b/>
          <w:bCs/>
          <w:i/>
          <w:iCs/>
          <w:color w:val="auto"/>
          <w:lang w:val="en-US" w:bidi="ar-SA"/>
        </w:rPr>
      </w:pPr>
      <w:r w:rsidRPr="00136CDA">
        <w:rPr>
          <w:b/>
          <w:bCs/>
          <w:i/>
          <w:iCs/>
          <w:color w:val="auto"/>
          <w:lang w:val="en-US" w:eastAsia="en-US" w:bidi="ar-SA"/>
        </w:rPr>
        <w:t>Global Tax Structure:</w:t>
      </w:r>
    </w:p>
    <w:p w14:paraId="0B9DF979" w14:textId="77777777" w:rsidR="00A77B3E" w:rsidRPr="00136CDA" w:rsidRDefault="00A96C87">
      <w:pPr>
        <w:rPr>
          <w:color w:val="auto"/>
          <w:lang w:val="en-US" w:bidi="ar-SA"/>
        </w:rPr>
      </w:pPr>
      <w:r w:rsidRPr="00136CDA">
        <w:rPr>
          <w:color w:val="auto"/>
          <w:shd w:val="solid" w:color="FFFFFF" w:fill="FFFFFF"/>
          <w:lang w:val="en-US" w:eastAsia="en-US" w:bidi="ar-SA"/>
        </w:rPr>
        <w:t>The restructuring choices, such as the divestiture, the equity injection, or the cross-border alliance, should respond to international taxation (Chen 2025</w:t>
      </w:r>
      <w:r w:rsidRPr="00136CDA">
        <w:rPr>
          <w:color w:val="auto"/>
          <w:lang w:val="en-US" w:eastAsia="en-US" w:bidi="ar-SA"/>
        </w:rPr>
        <w:t>). Post-restructuring earnings can be enhanced by optimising tax structures by adhering to transfer pricing requirements, financing with tax efficiency, and analysing the jurisdiction.</w:t>
      </w:r>
    </w:p>
    <w:p w14:paraId="4678457D" w14:textId="77777777" w:rsidR="00A77B3E" w:rsidRPr="00136CDA" w:rsidRDefault="00A96C87">
      <w:pPr>
        <w:rPr>
          <w:b/>
          <w:bCs/>
          <w:i/>
          <w:iCs/>
          <w:color w:val="auto"/>
          <w:lang w:val="en-US" w:bidi="ar-SA"/>
        </w:rPr>
      </w:pPr>
      <w:r w:rsidRPr="00136CDA">
        <w:rPr>
          <w:b/>
          <w:bCs/>
          <w:i/>
          <w:iCs/>
          <w:color w:val="auto"/>
          <w:lang w:val="en-US" w:eastAsia="en-US" w:bidi="ar-SA"/>
        </w:rPr>
        <w:t>Inflation Risk:</w:t>
      </w:r>
    </w:p>
    <w:p w14:paraId="0F0E9E89" w14:textId="77777777" w:rsidR="00A77B3E" w:rsidRPr="00136CDA" w:rsidRDefault="00A96C87">
      <w:pPr>
        <w:rPr>
          <w:color w:val="auto"/>
          <w:lang w:val="en-US" w:bidi="ar-SA"/>
        </w:rPr>
      </w:pPr>
      <w:r w:rsidRPr="00136CDA">
        <w:rPr>
          <w:color w:val="auto"/>
          <w:shd w:val="solid" w:color="FFFFFF" w:fill="FFFFFF"/>
          <w:lang w:val="en-US" w:eastAsia="en-US" w:bidi="ar-SA"/>
        </w:rPr>
        <w:t>Inflation in raw materials supply areas is high, which makes production more expensive and interferes with inventory planning (Georgievska 2022</w:t>
      </w:r>
      <w:r w:rsidRPr="00136CDA">
        <w:rPr>
          <w:color w:val="auto"/>
          <w:lang w:val="en-US" w:eastAsia="en-US" w:bidi="ar-SA"/>
        </w:rPr>
        <w:t>). GE needs to renew cost-plus agreements, change pricing policies, and diversify to control the inflation pressures.</w:t>
      </w:r>
    </w:p>
    <w:p w14:paraId="3EE4A43E" w14:textId="77777777" w:rsidR="00A77B3E" w:rsidRPr="00136CDA" w:rsidRDefault="00A96C87">
      <w:pPr>
        <w:rPr>
          <w:b/>
          <w:bCs/>
          <w:i/>
          <w:iCs/>
          <w:color w:val="auto"/>
          <w:lang w:val="en-US" w:bidi="ar-SA"/>
        </w:rPr>
      </w:pPr>
      <w:r w:rsidRPr="00136CDA">
        <w:rPr>
          <w:b/>
          <w:bCs/>
          <w:i/>
          <w:iCs/>
          <w:color w:val="auto"/>
          <w:lang w:val="en-US" w:eastAsia="en-US" w:bidi="ar-SA"/>
        </w:rPr>
        <w:lastRenderedPageBreak/>
        <w:t>Ethical Restructuring:</w:t>
      </w:r>
    </w:p>
    <w:p w14:paraId="647DBA62" w14:textId="77777777" w:rsidR="00A77B3E" w:rsidRPr="00136CDA" w:rsidRDefault="00A96C87">
      <w:pPr>
        <w:rPr>
          <w:color w:val="auto"/>
          <w:lang w:val="en-US" w:bidi="ar-SA"/>
        </w:rPr>
      </w:pPr>
      <w:r w:rsidRPr="00136CDA">
        <w:rPr>
          <w:color w:val="auto"/>
          <w:lang w:val="en-US" w:eastAsia="en-US" w:bidi="ar-SA"/>
        </w:rPr>
        <w:t>Redesigning can include downsizing of the workforce, shutdown of plants, or shifts in its operations. The right severance packages, retraining scheme, clear lines of communication, and adherence to CSR are crucial to the preservation of corporate image and stakeholder confidence. The turnaround strategy must be based on sustainable operations.</w:t>
      </w:r>
    </w:p>
    <w:p w14:paraId="466435F7" w14:textId="77777777" w:rsidR="00A77B3E" w:rsidRPr="00136CDA" w:rsidRDefault="00A96C87">
      <w:pPr>
        <w:pStyle w:val="Heading1"/>
        <w:spacing w:line="360" w:lineRule="auto"/>
        <w:rPr>
          <w:color w:val="auto"/>
          <w:lang w:val="en-US" w:bidi="ar-SA"/>
        </w:rPr>
      </w:pPr>
      <w:bookmarkStart w:id="21" w:name="h.53tvz8aq47sj"/>
      <w:bookmarkEnd w:id="21"/>
      <w:r w:rsidRPr="00136CDA">
        <w:rPr>
          <w:color w:val="auto"/>
          <w:lang w:val="en-US" w:eastAsia="en-US" w:bidi="ar-SA"/>
        </w:rPr>
        <w:t>5. Investment Appraisal &amp; Capital Budgeting</w:t>
      </w:r>
    </w:p>
    <w:p w14:paraId="0D7721F2" w14:textId="77777777" w:rsidR="00A77B3E" w:rsidRPr="00136CDA" w:rsidRDefault="00A96C87">
      <w:pPr>
        <w:pStyle w:val="Heading2"/>
        <w:spacing w:line="360" w:lineRule="auto"/>
        <w:rPr>
          <w:color w:val="auto"/>
          <w:lang w:val="en-US" w:bidi="ar-SA"/>
        </w:rPr>
      </w:pPr>
      <w:bookmarkStart w:id="22" w:name="h.9wyy46u1iq9e"/>
      <w:bookmarkEnd w:id="22"/>
      <w:r w:rsidRPr="00136CDA">
        <w:rPr>
          <w:color w:val="auto"/>
          <w:shd w:val="solid" w:color="FFFFFF" w:fill="FFFFFF"/>
          <w:lang w:val="en-US" w:eastAsia="en-US" w:bidi="ar-SA"/>
        </w:rPr>
        <w:t>5.1 Overview of Proposed Projects</w:t>
      </w:r>
    </w:p>
    <w:p w14:paraId="2E5DF2E5"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three projects A, B, and C are mutually exclusive capital investment projects that the company is contemplating as the company has a five year horizon but each has a very significant difference in initial investment, risk profile and the financial return profiles. Project A will need an initial outlay of £40, mill billion and will give rise to rising inflows during the first three years then will reduce towards the end of the period (Awodire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2023). It is cash-flow trend is moderate-risk and predictable returns. Project B has less initial investment of 30 million pounds, and the inflows are fixed at 6 million pound per year, which means that it is less volatile, but the potential upside, at the same time, is also less high. Project C requires most investment with the purchase of £50million and offers much higher and disproportionate inflows with a sharp rise in the second and third year</w:t>
      </w:r>
      <w:r w:rsidRPr="00136CDA">
        <w:rPr>
          <w:color w:val="auto"/>
          <w:lang w:val="en-US" w:eastAsia="en-US" w:bidi="ar-SA"/>
        </w:rPr>
        <w:t xml:space="preserve">s. </w:t>
      </w:r>
    </w:p>
    <w:p w14:paraId="653BF496" w14:textId="77777777" w:rsidR="00A77B3E" w:rsidRPr="00136CDA" w:rsidRDefault="00A96C87">
      <w:pPr>
        <w:pStyle w:val="Heading2"/>
        <w:spacing w:line="360" w:lineRule="auto"/>
        <w:rPr>
          <w:color w:val="auto"/>
          <w:lang w:val="en-US" w:bidi="ar-SA"/>
        </w:rPr>
      </w:pPr>
      <w:bookmarkStart w:id="23" w:name="h.67vxeoxye3jl"/>
      <w:bookmarkEnd w:id="23"/>
      <w:r w:rsidRPr="00136CDA">
        <w:rPr>
          <w:color w:val="auto"/>
          <w:lang w:val="en-US" w:eastAsia="en-US" w:bidi="ar-SA"/>
        </w:rPr>
        <w:t>5.2 Payback Period (PBP)</w:t>
      </w:r>
    </w:p>
    <w:p w14:paraId="4822FD93"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6C4BBAC0" wp14:editId="3048516F">
            <wp:extent cx="5391150" cy="3155950"/>
            <wp:effectExtent l="0" t="0" r="0" b="0"/>
            <wp:docPr id="29" name="Picture 29"/>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9"/>
                    <pic:cNvPicPr>
                      <a:picLocks noChangeArrowheads="1"/>
                    </pic:cNvPicPr>
                  </pic:nvPicPr>
                  <pic:blipFill>
                    <a:blip r:embed="rId292" r:link="rId293">
                      <a:extLst>
                        <a:ext uri="{28A0092B-C50C-407E-A947-70E740481C1C}">
                          <a14:useLocalDpi xmlns:a14="http://schemas.microsoft.com/office/drawing/2010/main" val="0"/>
                        </a:ext>
                      </a:extLst>
                    </a:blip>
                    <a:srcRect/>
                    <a:stretch>
                      <a:fillRect/>
                    </a:stretch>
                  </pic:blipFill>
                  <pic:spPr bwMode="auto">
                    <a:xfrm>
                      <a:off x="0" y="0"/>
                      <a:ext cx="5391150" cy="3155950"/>
                    </a:xfrm>
                    <a:prstGeom prst="rect">
                      <a:avLst/>
                    </a:prstGeom>
                    <a:noFill/>
                    <a:ln>
                      <a:noFill/>
                    </a:ln>
                  </pic:spPr>
                </pic:pic>
              </a:graphicData>
            </a:graphic>
          </wp:inline>
        </w:drawing>
      </w:r>
    </w:p>
    <w:p w14:paraId="0166DD81" w14:textId="77777777" w:rsidR="00A77B3E" w:rsidRPr="00136CDA" w:rsidRDefault="00A96C87">
      <w:pPr>
        <w:jc w:val="center"/>
        <w:rPr>
          <w:color w:val="auto"/>
          <w:lang w:val="en-US" w:bidi="ar-SA"/>
        </w:rPr>
      </w:pPr>
      <w:r w:rsidRPr="00136CDA">
        <w:rPr>
          <w:noProof/>
          <w:color w:val="auto"/>
          <w:lang w:val="en-GB" w:eastAsia="en-GB" w:bidi="ar-SA"/>
        </w:rPr>
        <w:lastRenderedPageBreak/>
        <w:drawing>
          <wp:inline distT="0" distB="0" distL="0" distR="0" wp14:anchorId="6168E890" wp14:editId="10AEC2F8">
            <wp:extent cx="4756150" cy="1854200"/>
            <wp:effectExtent l="0" t="0" r="0" b="0"/>
            <wp:docPr id="30" name="Picture 30" descr="How to Calculate Payback Period | PBB Formula &amp; Overview"/>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0" descr="How to Calculate Payback Period | PBB Formula &amp; Overview"/>
                    <pic:cNvPicPr>
                      <a:picLocks noChangeArrowheads="1"/>
                    </pic:cNvPicPr>
                  </pic:nvPicPr>
                  <pic:blipFill>
                    <a:blip r:embed="rId294" r:link="rId295">
                      <a:extLst>
                        <a:ext uri="{28A0092B-C50C-407E-A947-70E740481C1C}">
                          <a14:useLocalDpi xmlns:a14="http://schemas.microsoft.com/office/drawing/2010/main" val="0"/>
                        </a:ext>
                      </a:extLst>
                    </a:blip>
                    <a:srcRect/>
                    <a:stretch>
                      <a:fillRect/>
                    </a:stretch>
                  </pic:blipFill>
                  <pic:spPr bwMode="auto">
                    <a:xfrm>
                      <a:off x="0" y="0"/>
                      <a:ext cx="4756150" cy="1854200"/>
                    </a:xfrm>
                    <a:prstGeom prst="rect">
                      <a:avLst/>
                    </a:prstGeom>
                    <a:noFill/>
                    <a:ln>
                      <a:noFill/>
                    </a:ln>
                  </pic:spPr>
                </pic:pic>
              </a:graphicData>
            </a:graphic>
          </wp:inline>
        </w:drawing>
      </w:r>
    </w:p>
    <w:p w14:paraId="624C3CF5" w14:textId="77777777" w:rsidR="00A77B3E" w:rsidRPr="00136CDA" w:rsidRDefault="00A96C87">
      <w:pPr>
        <w:jc w:val="center"/>
        <w:rPr>
          <w:b/>
          <w:bCs/>
          <w:color w:val="auto"/>
          <w:lang w:val="en-US" w:bidi="ar-SA"/>
        </w:rPr>
      </w:pPr>
      <w:r w:rsidRPr="00136CDA">
        <w:rPr>
          <w:b/>
          <w:bCs/>
          <w:color w:val="auto"/>
          <w:lang w:val="en-US" w:eastAsia="en-US" w:bidi="ar-SA"/>
        </w:rPr>
        <w:t>Figure 11: Formula of Payback Period (PBP)</w:t>
      </w:r>
    </w:p>
    <w:p w14:paraId="21CB6B75" w14:textId="77777777" w:rsidR="00A77B3E" w:rsidRPr="00136CDA" w:rsidRDefault="00A96C87">
      <w:pPr>
        <w:jc w:val="center"/>
        <w:rPr>
          <w:color w:val="auto"/>
          <w:lang w:val="en-US" w:bidi="ar-SA"/>
        </w:rPr>
      </w:pPr>
      <w:r w:rsidRPr="00136CDA">
        <w:rPr>
          <w:color w:val="auto"/>
          <w:lang w:val="en-US" w:eastAsia="en-US" w:bidi="ar-SA"/>
        </w:rPr>
        <w:t xml:space="preserve">(Source: www.orbacloudcfo.com) </w:t>
      </w:r>
    </w:p>
    <w:p w14:paraId="13E62E64" w14:textId="77777777" w:rsidR="00A77B3E" w:rsidRPr="00136CDA" w:rsidRDefault="00A77B3E">
      <w:pPr>
        <w:rPr>
          <w:color w:val="auto"/>
          <w:lang w:val="en-US" w:bidi="ar-SA"/>
        </w:rPr>
      </w:pPr>
    </w:p>
    <w:p w14:paraId="008E5F5D" w14:textId="77777777" w:rsidR="00A77B3E" w:rsidRPr="00136CDA" w:rsidRDefault="00A96C87">
      <w:pPr>
        <w:rPr>
          <w:color w:val="auto"/>
          <w:lang w:val="en-US" w:bidi="ar-SA"/>
        </w:rPr>
      </w:pPr>
      <w:r w:rsidRPr="00136CDA">
        <w:rPr>
          <w:color w:val="auto"/>
          <w:shd w:val="solid" w:color="FFFFFF" w:fill="FFFFFF"/>
          <w:lang w:val="en-US" w:eastAsia="en-US" w:bidi="ar-SA"/>
        </w:rPr>
        <w:t xml:space="preserve">Project A has the lowest payback period of 3.40 years, which is mainly because it has high cash inflows during its initial years. The latter feature renders it especially appropriate to companies that face liquidity issues since the expedited recovery of the invested capital minimizes the need of external funding and eliminates the risks of cash-flow shortage in the short run. </w:t>
      </w:r>
      <w:r w:rsidRPr="00136CDA">
        <w:rPr>
          <w:color w:val="auto"/>
          <w:lang w:val="en-US" w:eastAsia="en-US" w:bidi="ar-SA"/>
        </w:rPr>
        <w:t>The high initial flows also offer the flexibility to make reinvestment or expansion of operation which strengthens the financial stability of the firm.</w:t>
      </w:r>
    </w:p>
    <w:p w14:paraId="70ED2CA1" w14:textId="77777777" w:rsidR="00A77B3E" w:rsidRPr="00136CDA" w:rsidRDefault="00A96C87">
      <w:pPr>
        <w:rPr>
          <w:color w:val="auto"/>
          <w:lang w:val="en-US" w:bidi="ar-SA"/>
        </w:rPr>
      </w:pPr>
      <w:r w:rsidRPr="00136CDA">
        <w:rPr>
          <w:color w:val="auto"/>
          <w:shd w:val="solid" w:color="FFFFFF" w:fill="FFFFFF"/>
          <w:lang w:val="en-US" w:eastAsia="en-US" w:bidi="ar-SA"/>
        </w:rPr>
        <w:t xml:space="preserve">Project B is the slowest with a payback period of 5 years. This protracted duration adds into the exposure financial expenses, interest payment and the risk of uncertain future cash payment. </w:t>
      </w:r>
      <w:r w:rsidRPr="00136CDA">
        <w:rPr>
          <w:color w:val="auto"/>
          <w:lang w:val="en-US" w:eastAsia="en-US" w:bidi="ar-SA"/>
        </w:rPr>
        <w:t>Also, the small cash inflows in the early stages do not allow the firm to finance other projects or operational requirements.</w:t>
      </w:r>
    </w:p>
    <w:p w14:paraId="55D5FF05" w14:textId="77777777" w:rsidR="00A77B3E" w:rsidRPr="00136CDA" w:rsidRDefault="00A96C87">
      <w:pPr>
        <w:rPr>
          <w:color w:val="auto"/>
          <w:lang w:val="en-US" w:bidi="ar-SA"/>
        </w:rPr>
      </w:pPr>
      <w:r w:rsidRPr="00136CDA">
        <w:rPr>
          <w:color w:val="auto"/>
          <w:shd w:val="solid" w:color="FFFFFF" w:fill="FFFFFF"/>
          <w:lang w:val="en-US" w:eastAsia="en-US" w:bidi="ar-SA"/>
        </w:rPr>
        <w:t xml:space="preserve">Project C is close behind with a payback period of 3.60 years as it has high inflows in Years 3 and 4 despite the large amount of capital outlay in relation to Project A. </w:t>
      </w:r>
      <w:r w:rsidRPr="00136CDA">
        <w:rPr>
          <w:color w:val="auto"/>
          <w:lang w:val="en-US" w:eastAsia="en-US" w:bidi="ar-SA"/>
        </w:rPr>
        <w:t>Although the payback is a bit longer, indicating a slight increase in the exposure to financial risk during the initial years, the substantial inflows during later years make it appealing to the firms with a certain degree of tolerability to liquidity delay.</w:t>
      </w:r>
    </w:p>
    <w:p w14:paraId="0DA542CE" w14:textId="77777777" w:rsidR="00A77B3E" w:rsidRPr="00136CDA" w:rsidRDefault="00A96C87">
      <w:pPr>
        <w:rPr>
          <w:color w:val="auto"/>
          <w:lang w:val="en-US" w:bidi="ar-SA"/>
        </w:rPr>
      </w:pPr>
      <w:r w:rsidRPr="00136CDA">
        <w:rPr>
          <w:color w:val="auto"/>
          <w:lang w:val="en-US" w:eastAsia="en-US" w:bidi="ar-SA"/>
        </w:rPr>
        <w:t>The payback method is very popular when it comes to pre-screening, as it is very easy to use and deals more with liquidity it is also limited. It does not take into account the time value of money, does not discount future cash flow and also does not account any inflows after the payback threshold. Thus, payback analysis can be used in quick comparison, but it is necessary to complement it with more generalized tools like NPV or IRR to evaluate the overall profitability and risk of the projects.</w:t>
      </w:r>
    </w:p>
    <w:p w14:paraId="1800801A" w14:textId="77777777" w:rsidR="00A77B3E" w:rsidRPr="00136CDA" w:rsidRDefault="00A96C87">
      <w:pPr>
        <w:pStyle w:val="Heading2"/>
        <w:spacing w:line="360" w:lineRule="auto"/>
        <w:rPr>
          <w:color w:val="auto"/>
          <w:lang w:val="en-US" w:bidi="ar-SA"/>
        </w:rPr>
      </w:pPr>
      <w:bookmarkStart w:id="24" w:name="h.e0ultd6aptll"/>
      <w:bookmarkEnd w:id="24"/>
      <w:r w:rsidRPr="00136CDA">
        <w:rPr>
          <w:color w:val="auto"/>
          <w:shd w:val="solid" w:color="FFFFFF" w:fill="FFFFFF"/>
          <w:lang w:val="en-US" w:eastAsia="en-US" w:bidi="ar-SA"/>
        </w:rPr>
        <w:lastRenderedPageBreak/>
        <w:t>5.3 Accounting Rate of Return (ARR)</w:t>
      </w:r>
    </w:p>
    <w:p w14:paraId="663F1FD0"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1B7A51BA" wp14:editId="3E9E17CC">
            <wp:extent cx="5753100" cy="4000500"/>
            <wp:effectExtent l="0" t="0" r="0" b="0"/>
            <wp:docPr id="31" name="Picture 3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rrowheads="1"/>
                    </pic:cNvPicPr>
                  </pic:nvPicPr>
                  <pic:blipFill>
                    <a:blip r:embed="rId292" r:link="rId296">
                      <a:extLst>
                        <a:ext uri="{28A0092B-C50C-407E-A947-70E740481C1C}">
                          <a14:useLocalDpi xmlns:a14="http://schemas.microsoft.com/office/drawing/2010/main" val="0"/>
                        </a:ext>
                      </a:extLst>
                    </a:blip>
                    <a:srcRect/>
                    <a:stretch>
                      <a:fillRect/>
                    </a:stretch>
                  </pic:blipFill>
                  <pic:spPr bwMode="auto">
                    <a:xfrm>
                      <a:off x="0" y="0"/>
                      <a:ext cx="5753100" cy="4000500"/>
                    </a:xfrm>
                    <a:prstGeom prst="rect">
                      <a:avLst/>
                    </a:prstGeom>
                    <a:noFill/>
                    <a:ln>
                      <a:noFill/>
                    </a:ln>
                  </pic:spPr>
                </pic:pic>
              </a:graphicData>
            </a:graphic>
          </wp:inline>
        </w:drawing>
      </w:r>
    </w:p>
    <w:p w14:paraId="1EB45B83"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5203D509" wp14:editId="781091A2">
            <wp:extent cx="3886200" cy="2393950"/>
            <wp:effectExtent l="0" t="0" r="0" b="0"/>
            <wp:docPr id="32" name="Picture 32" descr="Accounting Rate of Return - Overview, Formula, and Use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2" descr="Accounting Rate of Return - Overview, Formula, and Uses"/>
                    <pic:cNvPicPr>
                      <a:picLocks noChangeArrowheads="1"/>
                    </pic:cNvPicPr>
                  </pic:nvPicPr>
                  <pic:blipFill>
                    <a:blip r:embed="rId297" r:link="rId298">
                      <a:extLst>
                        <a:ext uri="{28A0092B-C50C-407E-A947-70E740481C1C}">
                          <a14:useLocalDpi xmlns:a14="http://schemas.microsoft.com/office/drawing/2010/main" val="0"/>
                        </a:ext>
                      </a:extLst>
                    </a:blip>
                    <a:srcRect/>
                    <a:stretch>
                      <a:fillRect/>
                    </a:stretch>
                  </pic:blipFill>
                  <pic:spPr bwMode="auto">
                    <a:xfrm>
                      <a:off x="0" y="0"/>
                      <a:ext cx="3886200" cy="2393950"/>
                    </a:xfrm>
                    <a:prstGeom prst="rect">
                      <a:avLst/>
                    </a:prstGeom>
                    <a:noFill/>
                    <a:ln>
                      <a:noFill/>
                    </a:ln>
                  </pic:spPr>
                </pic:pic>
              </a:graphicData>
            </a:graphic>
          </wp:inline>
        </w:drawing>
      </w:r>
    </w:p>
    <w:p w14:paraId="0827681E" w14:textId="77777777" w:rsidR="00A77B3E" w:rsidRPr="00136CDA" w:rsidRDefault="00A96C87">
      <w:pPr>
        <w:jc w:val="center"/>
        <w:rPr>
          <w:b/>
          <w:bCs/>
          <w:color w:val="auto"/>
          <w:lang w:val="en-US" w:bidi="ar-SA"/>
        </w:rPr>
      </w:pPr>
      <w:r w:rsidRPr="00136CDA">
        <w:rPr>
          <w:b/>
          <w:bCs/>
          <w:color w:val="auto"/>
          <w:lang w:val="en-US" w:eastAsia="en-US" w:bidi="ar-SA"/>
        </w:rPr>
        <w:t>Figure 12: Formula for Accounting Rate of Return (ARR)</w:t>
      </w:r>
    </w:p>
    <w:p w14:paraId="6AD1EADD" w14:textId="77777777" w:rsidR="00A77B3E" w:rsidRPr="00136CDA" w:rsidRDefault="00A96C87">
      <w:pPr>
        <w:jc w:val="center"/>
        <w:rPr>
          <w:color w:val="auto"/>
          <w:lang w:val="en-US" w:bidi="ar-SA"/>
        </w:rPr>
      </w:pPr>
      <w:r w:rsidRPr="00136CDA">
        <w:rPr>
          <w:color w:val="auto"/>
          <w:lang w:val="en-US" w:eastAsia="en-US" w:bidi="ar-SA"/>
        </w:rPr>
        <w:t>(Source: cdn.corporatefinanceinstitute.com)</w:t>
      </w:r>
    </w:p>
    <w:p w14:paraId="122C0152" w14:textId="77777777" w:rsidR="00A77B3E" w:rsidRPr="00136CDA" w:rsidRDefault="00A96C87">
      <w:pPr>
        <w:rPr>
          <w:color w:val="auto"/>
          <w:lang w:val="en-US" w:bidi="ar-SA"/>
        </w:rPr>
      </w:pPr>
      <w:r w:rsidRPr="00136CDA">
        <w:rPr>
          <w:color w:val="auto"/>
          <w:lang w:val="en-US" w:eastAsia="en-US" w:bidi="ar-SA"/>
        </w:rPr>
        <w:t xml:space="preserve">Project B has the largest Accounting Rate of Return (ARR) of 60 because it has a stable cash inflow and the initial investment is relatively low as compared to Project A. This accounts appeal of the appearance, with steady profitability during the life of the project. Project C and C are the </w:t>
      </w:r>
      <w:r w:rsidRPr="00136CDA">
        <w:rPr>
          <w:color w:val="auto"/>
          <w:lang w:val="en-US" w:eastAsia="en-US" w:bidi="ar-SA"/>
        </w:rPr>
        <w:lastRenderedPageBreak/>
        <w:t>ones with the highest ARR 44 and 36 with a strong and slightly more unstable returns, whereas Project A is the third one 36 with less accounting-based profitability but faster initial payback.</w:t>
      </w:r>
    </w:p>
    <w:p w14:paraId="3D3B62F5" w14:textId="77777777" w:rsidR="00A77B3E" w:rsidRPr="00136CDA" w:rsidRDefault="00A96C87">
      <w:pPr>
        <w:rPr>
          <w:color w:val="auto"/>
          <w:lang w:val="en-US" w:bidi="ar-SA"/>
        </w:rPr>
      </w:pPr>
      <w:r w:rsidRPr="00136CDA">
        <w:rPr>
          <w:color w:val="auto"/>
          <w:shd w:val="solid" w:color="FFFFFF" w:fill="FFFFFF"/>
          <w:lang w:val="en-US" w:eastAsia="en-US" w:bidi="ar-SA"/>
        </w:rPr>
        <w:t>There are significant limitations associated with ARR as a decision-making tool. It does not account the time value of money, which considers all returns as equal irrespective of the timing, and uses accounting profits as opposed to the cash flows. This means that ARR may also underestimate or misrepresent the actual value-creation to the shareholders, which renders it inadequate as a metric in itself. It works best when it is combined with discounted techniques like NPV or IRR which determine the true financial feasibility of projects</w:t>
      </w:r>
      <w:r w:rsidRPr="00136CDA">
        <w:rPr>
          <w:color w:val="auto"/>
          <w:lang w:val="en-US" w:eastAsia="en-US" w:bidi="ar-SA"/>
        </w:rPr>
        <w:t>.</w:t>
      </w:r>
    </w:p>
    <w:p w14:paraId="2A502560" w14:textId="77777777" w:rsidR="00A77B3E" w:rsidRPr="00136CDA" w:rsidRDefault="00A96C87">
      <w:pPr>
        <w:pStyle w:val="Heading2"/>
        <w:spacing w:line="360" w:lineRule="auto"/>
        <w:rPr>
          <w:color w:val="auto"/>
          <w:lang w:val="en-US" w:bidi="ar-SA"/>
        </w:rPr>
      </w:pPr>
      <w:bookmarkStart w:id="25" w:name="h.k5sfe3pp3bp6"/>
      <w:bookmarkEnd w:id="25"/>
      <w:r w:rsidRPr="00136CDA">
        <w:rPr>
          <w:color w:val="auto"/>
          <w:lang w:val="en-US" w:eastAsia="en-US" w:bidi="ar-SA"/>
        </w:rPr>
        <w:t>5.4 Net Present Value (NPV)</w:t>
      </w:r>
    </w:p>
    <w:p w14:paraId="5FB69B94"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2EAFEC1D" wp14:editId="2E01DC8B">
            <wp:extent cx="4559300" cy="3505200"/>
            <wp:effectExtent l="0" t="0" r="0" b="0"/>
            <wp:docPr id="33" name="Picture 33"/>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rrowheads="1"/>
                    </pic:cNvPicPr>
                  </pic:nvPicPr>
                  <pic:blipFill>
                    <a:blip r:embed="rId292" r:link="rId299">
                      <a:extLst>
                        <a:ext uri="{28A0092B-C50C-407E-A947-70E740481C1C}">
                          <a14:useLocalDpi xmlns:a14="http://schemas.microsoft.com/office/drawing/2010/main" val="0"/>
                        </a:ext>
                      </a:extLst>
                    </a:blip>
                    <a:srcRect/>
                    <a:stretch>
                      <a:fillRect/>
                    </a:stretch>
                  </pic:blipFill>
                  <pic:spPr bwMode="auto">
                    <a:xfrm>
                      <a:off x="0" y="0"/>
                      <a:ext cx="4559300" cy="3505200"/>
                    </a:xfrm>
                    <a:prstGeom prst="rect">
                      <a:avLst/>
                    </a:prstGeom>
                    <a:noFill/>
                    <a:ln>
                      <a:noFill/>
                    </a:ln>
                  </pic:spPr>
                </pic:pic>
              </a:graphicData>
            </a:graphic>
          </wp:inline>
        </w:drawing>
      </w:r>
    </w:p>
    <w:p w14:paraId="7B7B7672"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18768954" wp14:editId="167F2446">
            <wp:extent cx="3886200" cy="1504950"/>
            <wp:effectExtent l="0" t="0" r="0" b="0"/>
            <wp:docPr id="34" name="Picture 34" descr="Net Present Value Formula (with Calculato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4" descr="Net Present Value Formula (with Calculator)"/>
                    <pic:cNvPicPr>
                      <a:picLocks noChangeArrowheads="1"/>
                    </pic:cNvPicPr>
                  </pic:nvPicPr>
                  <pic:blipFill>
                    <a:blip r:embed="rId300" r:link="rId301">
                      <a:extLst>
                        <a:ext uri="{28A0092B-C50C-407E-A947-70E740481C1C}">
                          <a14:useLocalDpi xmlns:a14="http://schemas.microsoft.com/office/drawing/2010/main" val="0"/>
                        </a:ext>
                      </a:extLst>
                    </a:blip>
                    <a:srcRect/>
                    <a:stretch>
                      <a:fillRect/>
                    </a:stretch>
                  </pic:blipFill>
                  <pic:spPr bwMode="auto">
                    <a:xfrm>
                      <a:off x="0" y="0"/>
                      <a:ext cx="3886200" cy="1504950"/>
                    </a:xfrm>
                    <a:prstGeom prst="rect">
                      <a:avLst/>
                    </a:prstGeom>
                    <a:noFill/>
                    <a:ln>
                      <a:noFill/>
                    </a:ln>
                  </pic:spPr>
                </pic:pic>
              </a:graphicData>
            </a:graphic>
          </wp:inline>
        </w:drawing>
      </w:r>
    </w:p>
    <w:p w14:paraId="4A7BF304" w14:textId="77777777" w:rsidR="00A77B3E" w:rsidRPr="00136CDA" w:rsidRDefault="00A96C87">
      <w:pPr>
        <w:jc w:val="center"/>
        <w:rPr>
          <w:b/>
          <w:bCs/>
          <w:color w:val="auto"/>
          <w:lang w:val="en-US" w:bidi="ar-SA"/>
        </w:rPr>
      </w:pPr>
      <w:r w:rsidRPr="00136CDA">
        <w:rPr>
          <w:b/>
          <w:bCs/>
          <w:color w:val="auto"/>
          <w:lang w:val="en-US" w:eastAsia="en-US" w:bidi="ar-SA"/>
        </w:rPr>
        <w:t>Figure 13: Formula for NPV</w:t>
      </w:r>
    </w:p>
    <w:p w14:paraId="1026C72F" w14:textId="77777777" w:rsidR="00A77B3E" w:rsidRPr="00136CDA" w:rsidRDefault="00A96C87">
      <w:pPr>
        <w:jc w:val="center"/>
        <w:rPr>
          <w:color w:val="auto"/>
          <w:lang w:val="en-US" w:bidi="ar-SA"/>
        </w:rPr>
      </w:pPr>
      <w:r w:rsidRPr="00136CDA">
        <w:rPr>
          <w:color w:val="auto"/>
          <w:lang w:val="en-US" w:eastAsia="en-US" w:bidi="ar-SA"/>
        </w:rPr>
        <w:t>(Source: self-created)</w:t>
      </w:r>
    </w:p>
    <w:p w14:paraId="3AB40AAD" w14:textId="77777777" w:rsidR="00A77B3E" w:rsidRPr="00136CDA" w:rsidRDefault="00A77B3E">
      <w:pPr>
        <w:jc w:val="center"/>
        <w:rPr>
          <w:color w:val="auto"/>
          <w:lang w:val="en-US" w:bidi="ar-SA"/>
        </w:rPr>
      </w:pPr>
    </w:p>
    <w:p w14:paraId="280A55F5" w14:textId="77777777" w:rsidR="00A77B3E" w:rsidRPr="00136CDA" w:rsidRDefault="00A96C87">
      <w:pPr>
        <w:rPr>
          <w:color w:val="auto"/>
          <w:lang w:val="en-US" w:bidi="ar-SA"/>
        </w:rPr>
      </w:pPr>
      <w:r w:rsidRPr="00136CDA">
        <w:rPr>
          <w:color w:val="auto"/>
          <w:shd w:val="solid" w:color="FFFFFF" w:fill="FFFFFF"/>
          <w:lang w:val="en-US" w:eastAsia="en-US" w:bidi="ar-SA"/>
        </w:rPr>
        <w:t xml:space="preserve">NPV offers the best foundation on which to decide on investment because it takes the time value of money as well as the absolute value added to the firm. Project A has a positive NPV of a small figure of 1.32 million, representing a marginal contribution to the shareholder value and the cost-effectiveness of the risk and capital expenditure might not be worthwhile. Project B on the other hand does not reflect this because the negative NPV is -7.26 million pounds and </w:t>
      </w:r>
      <w:r w:rsidRPr="00136CDA">
        <w:rPr>
          <w:color w:val="auto"/>
          <w:lang w:val="en-US" w:eastAsia="en-US" w:bidi="ar-SA"/>
        </w:rPr>
        <w:t>this is a clear indication that this project would ruin value should it be implemented and should be avoided at all costs.</w:t>
      </w:r>
    </w:p>
    <w:p w14:paraId="2F9059F1" w14:textId="77777777" w:rsidR="00A77B3E" w:rsidRPr="00136CDA" w:rsidRDefault="00A96C87">
      <w:pPr>
        <w:rPr>
          <w:color w:val="auto"/>
          <w:lang w:val="en-US" w:bidi="ar-SA"/>
        </w:rPr>
      </w:pPr>
      <w:r w:rsidRPr="00136CDA">
        <w:rPr>
          <w:color w:val="auto"/>
          <w:shd w:val="solid" w:color="FFFFFF" w:fill="FFFFFF"/>
          <w:lang w:val="en-US" w:eastAsia="en-US" w:bidi="ar-SA"/>
        </w:rPr>
        <w:t>Project C is the most financially appealing project, as it has an NPV of £4.23million, which is the highest discounted returns among the other alternatives. Although its cash-flow is volatile, it is the most favorable and value-generating option of General Electronics due to its high value-creation potential with the support of discounted measures, which is in line with long-term strategic and financial plans.</w:t>
      </w:r>
    </w:p>
    <w:p w14:paraId="4FD74665" w14:textId="77777777" w:rsidR="00A77B3E" w:rsidRPr="00136CDA" w:rsidRDefault="00A96C87">
      <w:pPr>
        <w:pStyle w:val="Heading2"/>
        <w:spacing w:line="360" w:lineRule="auto"/>
        <w:rPr>
          <w:color w:val="auto"/>
          <w:lang w:val="en-US" w:bidi="ar-SA"/>
        </w:rPr>
      </w:pPr>
      <w:bookmarkStart w:id="26" w:name="h.vhv5kq55v70x"/>
      <w:bookmarkEnd w:id="26"/>
      <w:r w:rsidRPr="00136CDA">
        <w:rPr>
          <w:color w:val="auto"/>
          <w:lang w:val="en-US" w:eastAsia="en-US" w:bidi="ar-SA"/>
        </w:rPr>
        <w:t>5.5 Profitability Index (PI)</w:t>
      </w:r>
    </w:p>
    <w:p w14:paraId="10B47459"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269F5338" wp14:editId="49485140">
            <wp:extent cx="5353050" cy="2774950"/>
            <wp:effectExtent l="0" t="0" r="0" b="0"/>
            <wp:docPr id="35" name="Picture 35"/>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rrowheads="1"/>
                    </pic:cNvPicPr>
                  </pic:nvPicPr>
                  <pic:blipFill>
                    <a:blip r:embed="rId292" r:link="rId302">
                      <a:extLst>
                        <a:ext uri="{28A0092B-C50C-407E-A947-70E740481C1C}">
                          <a14:useLocalDpi xmlns:a14="http://schemas.microsoft.com/office/drawing/2010/main" val="0"/>
                        </a:ext>
                      </a:extLst>
                    </a:blip>
                    <a:srcRect/>
                    <a:stretch>
                      <a:fillRect/>
                    </a:stretch>
                  </pic:blipFill>
                  <pic:spPr bwMode="auto">
                    <a:xfrm>
                      <a:off x="0" y="0"/>
                      <a:ext cx="5353050" cy="2774950"/>
                    </a:xfrm>
                    <a:prstGeom prst="rect">
                      <a:avLst/>
                    </a:prstGeom>
                    <a:noFill/>
                    <a:ln>
                      <a:noFill/>
                    </a:ln>
                  </pic:spPr>
                </pic:pic>
              </a:graphicData>
            </a:graphic>
          </wp:inline>
        </w:drawing>
      </w:r>
    </w:p>
    <w:p w14:paraId="75E04422"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7661F025" wp14:editId="2646AADD">
            <wp:extent cx="5924550" cy="1066800"/>
            <wp:effectExtent l="0" t="0" r="0" b="0"/>
            <wp:docPr id="36" name="Picture 36"/>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6"/>
                    <pic:cNvPicPr>
                      <a:picLocks noChangeArrowheads="1"/>
                    </pic:cNvPicPr>
                  </pic:nvPicPr>
                  <pic:blipFill>
                    <a:blip r:embed="rId303" r:link="rId304">
                      <a:extLst>
                        <a:ext uri="{28A0092B-C50C-407E-A947-70E740481C1C}">
                          <a14:useLocalDpi xmlns:a14="http://schemas.microsoft.com/office/drawing/2010/main" val="0"/>
                        </a:ext>
                      </a:extLst>
                    </a:blip>
                    <a:srcRect/>
                    <a:stretch>
                      <a:fillRect/>
                    </a:stretch>
                  </pic:blipFill>
                  <pic:spPr bwMode="auto">
                    <a:xfrm>
                      <a:off x="0" y="0"/>
                      <a:ext cx="5924550" cy="1066800"/>
                    </a:xfrm>
                    <a:prstGeom prst="rect">
                      <a:avLst/>
                    </a:prstGeom>
                    <a:noFill/>
                    <a:ln>
                      <a:noFill/>
                    </a:ln>
                  </pic:spPr>
                </pic:pic>
              </a:graphicData>
            </a:graphic>
          </wp:inline>
        </w:drawing>
      </w:r>
    </w:p>
    <w:p w14:paraId="37A2C955" w14:textId="77777777" w:rsidR="00A77B3E" w:rsidRPr="00136CDA" w:rsidRDefault="00A96C87">
      <w:pPr>
        <w:jc w:val="center"/>
        <w:rPr>
          <w:b/>
          <w:bCs/>
          <w:color w:val="auto"/>
          <w:lang w:val="en-US" w:bidi="ar-SA"/>
        </w:rPr>
      </w:pPr>
      <w:r w:rsidRPr="00136CDA">
        <w:rPr>
          <w:b/>
          <w:bCs/>
          <w:color w:val="auto"/>
          <w:lang w:val="en-US" w:eastAsia="en-US" w:bidi="ar-SA"/>
        </w:rPr>
        <w:t>Figure 14: Formula for Profitability Index (PI)</w:t>
      </w:r>
    </w:p>
    <w:p w14:paraId="7B129AD1" w14:textId="77777777" w:rsidR="00A77B3E" w:rsidRPr="00136CDA" w:rsidRDefault="00A96C87">
      <w:pPr>
        <w:jc w:val="center"/>
        <w:rPr>
          <w:color w:val="auto"/>
          <w:lang w:val="en-US" w:bidi="ar-SA"/>
        </w:rPr>
      </w:pPr>
      <w:r w:rsidRPr="00136CDA">
        <w:rPr>
          <w:color w:val="auto"/>
          <w:lang w:val="en-US" w:eastAsia="en-US" w:bidi="ar-SA"/>
        </w:rPr>
        <w:t>(Source: cdn.corporatefinanceinstitute.com)</w:t>
      </w:r>
    </w:p>
    <w:p w14:paraId="13CA3512" w14:textId="77777777" w:rsidR="00A77B3E" w:rsidRPr="00136CDA" w:rsidRDefault="00A77B3E">
      <w:pPr>
        <w:jc w:val="center"/>
        <w:rPr>
          <w:color w:val="auto"/>
          <w:lang w:val="en-US" w:bidi="ar-SA"/>
        </w:rPr>
      </w:pPr>
    </w:p>
    <w:p w14:paraId="4F62B1CE" w14:textId="77777777" w:rsidR="00A77B3E" w:rsidRPr="00136CDA" w:rsidRDefault="00A96C87">
      <w:pPr>
        <w:rPr>
          <w:color w:val="auto"/>
          <w:lang w:val="en-US" w:bidi="ar-SA"/>
        </w:rPr>
      </w:pPr>
      <w:r w:rsidRPr="00136CDA">
        <w:rPr>
          <w:color w:val="auto"/>
          <w:shd w:val="solid" w:color="FFFFFF" w:fill="FFFFFF"/>
          <w:lang w:val="en-US" w:eastAsia="en-US" w:bidi="ar-SA"/>
        </w:rPr>
        <w:t xml:space="preserve">The Profitability Index is an index of efficiency that offers a measure of value created per pound invested (Pani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2021). Project C using the provided figures has the largest PI of 0.08 and then project A of 0.03. The project B that causes a negative PI of -0.22 once again happens to be the weakest project. The ranking is similar to the NPV analysis though all PI values are comparatively low. Project A and C values of PI which are positive reiterate the capability to bring about values, and the negative PI of Project B orphan its capital expenditure with the production of value (Di Fraia </w:t>
      </w:r>
      <w:r w:rsidRPr="00136CDA">
        <w:rPr>
          <w:i/>
          <w:iCs/>
          <w:color w:val="auto"/>
          <w:shd w:val="solid" w:color="FFFFFF" w:fill="FFFFFF"/>
          <w:lang w:val="en-US" w:eastAsia="en-US" w:bidi="ar-SA"/>
        </w:rPr>
        <w:t>et al.</w:t>
      </w:r>
      <w:r w:rsidRPr="00136CDA">
        <w:rPr>
          <w:color w:val="auto"/>
          <w:shd w:val="solid" w:color="FFFFFF" w:fill="FFFFFF"/>
          <w:lang w:val="en-US" w:eastAsia="en-US" w:bidi="ar-SA"/>
        </w:rPr>
        <w:t xml:space="preserve"> 2023</w:t>
      </w:r>
      <w:r w:rsidRPr="00136CDA">
        <w:rPr>
          <w:color w:val="auto"/>
          <w:lang w:val="en-US" w:eastAsia="en-US" w:bidi="ar-SA"/>
        </w:rPr>
        <w:t>). By making a comparison between projects of dissimilar scale of investment, PI is a complement beneficial in endorsing Project C.</w:t>
      </w:r>
    </w:p>
    <w:p w14:paraId="184C0381" w14:textId="77777777" w:rsidR="00A77B3E" w:rsidRPr="00136CDA" w:rsidRDefault="00A96C87">
      <w:pPr>
        <w:pStyle w:val="Heading2"/>
        <w:spacing w:line="360" w:lineRule="auto"/>
        <w:rPr>
          <w:color w:val="auto"/>
          <w:lang w:val="en-US" w:bidi="ar-SA"/>
        </w:rPr>
      </w:pPr>
      <w:bookmarkStart w:id="27" w:name="h.w0ftyc9fm60k"/>
      <w:bookmarkEnd w:id="27"/>
      <w:r w:rsidRPr="00136CDA">
        <w:rPr>
          <w:color w:val="auto"/>
          <w:lang w:val="en-US" w:eastAsia="en-US" w:bidi="ar-SA"/>
        </w:rPr>
        <w:t>5.6 Internal Rate of Return (IRR)</w:t>
      </w:r>
    </w:p>
    <w:p w14:paraId="372F3345"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001597A9" wp14:editId="5767EAC9">
            <wp:extent cx="5638800" cy="3397250"/>
            <wp:effectExtent l="0" t="0" r="0" b="0"/>
            <wp:docPr id="37" name="Picture 37"/>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rrowheads="1"/>
                    </pic:cNvPicPr>
                  </pic:nvPicPr>
                  <pic:blipFill>
                    <a:blip r:embed="rId292" r:link="rId305">
                      <a:extLst>
                        <a:ext uri="{28A0092B-C50C-407E-A947-70E740481C1C}">
                          <a14:useLocalDpi xmlns:a14="http://schemas.microsoft.com/office/drawing/2010/main" val="0"/>
                        </a:ext>
                      </a:extLst>
                    </a:blip>
                    <a:srcRect/>
                    <a:stretch>
                      <a:fillRect/>
                    </a:stretch>
                  </pic:blipFill>
                  <pic:spPr bwMode="auto">
                    <a:xfrm>
                      <a:off x="0" y="0"/>
                      <a:ext cx="5638800" cy="3397250"/>
                    </a:xfrm>
                    <a:prstGeom prst="rect">
                      <a:avLst/>
                    </a:prstGeom>
                    <a:noFill/>
                    <a:ln>
                      <a:noFill/>
                    </a:ln>
                  </pic:spPr>
                </pic:pic>
              </a:graphicData>
            </a:graphic>
          </wp:inline>
        </w:drawing>
      </w:r>
    </w:p>
    <w:p w14:paraId="28CEBBE1" w14:textId="77777777" w:rsidR="00A77B3E" w:rsidRPr="00136CDA" w:rsidRDefault="00A96C87">
      <w:pPr>
        <w:jc w:val="center"/>
        <w:rPr>
          <w:color w:val="auto"/>
          <w:lang w:val="en-US" w:bidi="ar-SA"/>
        </w:rPr>
      </w:pPr>
      <w:r w:rsidRPr="00136CDA">
        <w:rPr>
          <w:noProof/>
          <w:color w:val="auto"/>
          <w:lang w:val="en-GB" w:eastAsia="en-GB" w:bidi="ar-SA"/>
        </w:rPr>
        <w:drawing>
          <wp:inline distT="0" distB="0" distL="0" distR="0" wp14:anchorId="48A70A4C" wp14:editId="4B42CE97">
            <wp:extent cx="3568700" cy="1758950"/>
            <wp:effectExtent l="0" t="0" r="0" b="0"/>
            <wp:docPr id="38" name="Picture 38" descr="Internal Rate of Return in Investments - Assetmonk"/>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38" descr="Internal Rate of Return in Investments - Assetmonk"/>
                    <pic:cNvPicPr>
                      <a:picLocks noChangeArrowheads="1"/>
                    </pic:cNvPicPr>
                  </pic:nvPicPr>
                  <pic:blipFill>
                    <a:blip r:embed="rId306" r:link="rId307">
                      <a:extLst>
                        <a:ext uri="{28A0092B-C50C-407E-A947-70E740481C1C}">
                          <a14:useLocalDpi xmlns:a14="http://schemas.microsoft.com/office/drawing/2010/main" val="0"/>
                        </a:ext>
                      </a:extLst>
                    </a:blip>
                    <a:srcRect/>
                    <a:stretch>
                      <a:fillRect/>
                    </a:stretch>
                  </pic:blipFill>
                  <pic:spPr bwMode="auto">
                    <a:xfrm>
                      <a:off x="0" y="0"/>
                      <a:ext cx="3568700" cy="1758950"/>
                    </a:xfrm>
                    <a:prstGeom prst="rect">
                      <a:avLst/>
                    </a:prstGeom>
                    <a:noFill/>
                    <a:ln>
                      <a:noFill/>
                    </a:ln>
                  </pic:spPr>
                </pic:pic>
              </a:graphicData>
            </a:graphic>
          </wp:inline>
        </w:drawing>
      </w:r>
    </w:p>
    <w:p w14:paraId="1E0A6A1A" w14:textId="77777777" w:rsidR="00A77B3E" w:rsidRPr="00136CDA" w:rsidRDefault="00A96C87">
      <w:pPr>
        <w:jc w:val="center"/>
        <w:rPr>
          <w:b/>
          <w:bCs/>
          <w:color w:val="auto"/>
          <w:lang w:val="en-US" w:bidi="ar-SA"/>
        </w:rPr>
      </w:pPr>
      <w:r w:rsidRPr="00136CDA">
        <w:rPr>
          <w:b/>
          <w:bCs/>
          <w:color w:val="auto"/>
          <w:lang w:val="en-US" w:eastAsia="en-US" w:bidi="ar-SA"/>
        </w:rPr>
        <w:t>Figure 15: Formula for IRR</w:t>
      </w:r>
    </w:p>
    <w:p w14:paraId="1095263D" w14:textId="77777777" w:rsidR="00A77B3E" w:rsidRPr="00136CDA" w:rsidRDefault="00A96C87">
      <w:pPr>
        <w:jc w:val="center"/>
        <w:rPr>
          <w:color w:val="auto"/>
          <w:lang w:val="en-US" w:bidi="ar-SA"/>
        </w:rPr>
      </w:pPr>
      <w:r w:rsidRPr="00136CDA">
        <w:rPr>
          <w:color w:val="auto"/>
          <w:lang w:val="en-US" w:eastAsia="en-US" w:bidi="ar-SA"/>
        </w:rPr>
        <w:lastRenderedPageBreak/>
        <w:t>(Source: assetmonk.com)</w:t>
      </w:r>
    </w:p>
    <w:p w14:paraId="44E8ADE1" w14:textId="77777777" w:rsidR="00A77B3E" w:rsidRPr="00136CDA" w:rsidRDefault="00A96C87">
      <w:pPr>
        <w:rPr>
          <w:color w:val="auto"/>
          <w:lang w:val="en-US" w:bidi="ar-SA"/>
        </w:rPr>
      </w:pPr>
      <w:r w:rsidRPr="00136CDA">
        <w:rPr>
          <w:color w:val="auto"/>
          <w:shd w:val="solid" w:color="FFFFFF" w:fill="FFFFFF"/>
          <w:lang w:val="en-US" w:eastAsia="en-US" w:bidi="ar-SA"/>
        </w:rPr>
        <w:t>Project A is associated with IRR of 11 which is slightly higher than the 10 rate of the hurdle rate meaning that it will not bring significant returns though economical. Project B has an IRR of 0, which obviously does not satisfy the necessary return and does not add value to the project and, therefore, is not the right investment. Project C has the highest IRR, 13 percent, more than the hurdle rate, and can be perceived as having a high potential of creating shareholder value</w:t>
      </w:r>
      <w:r w:rsidRPr="00136CDA">
        <w:rPr>
          <w:color w:val="auto"/>
          <w:lang w:val="en-US" w:eastAsia="en-US" w:bidi="ar-SA"/>
        </w:rPr>
        <w:t>. Despite the increased volatility in the cash flows of Project C, the high-return and the capability to produce an economic value makes it the most preferable investment of the three options.</w:t>
      </w:r>
    </w:p>
    <w:p w14:paraId="2D6361AA" w14:textId="77777777" w:rsidR="00A77B3E" w:rsidRPr="00136CDA" w:rsidRDefault="00A96C87">
      <w:pPr>
        <w:pStyle w:val="Heading2"/>
        <w:spacing w:line="360" w:lineRule="auto"/>
        <w:rPr>
          <w:color w:val="auto"/>
          <w:lang w:val="en-US" w:bidi="ar-SA"/>
        </w:rPr>
      </w:pPr>
      <w:bookmarkStart w:id="28" w:name="h.7r1lwvm8lp09"/>
      <w:bookmarkEnd w:id="28"/>
      <w:r w:rsidRPr="00136CDA">
        <w:rPr>
          <w:color w:val="auto"/>
          <w:lang w:val="en-US" w:eastAsia="en-US" w:bidi="ar-SA"/>
        </w:rPr>
        <w:t>5.7 Capital Rationing Decision (£60m Limit)</w:t>
      </w:r>
    </w:p>
    <w:p w14:paraId="58A670D3" w14:textId="77777777" w:rsidR="00A77B3E" w:rsidRPr="00136CDA" w:rsidRDefault="00A96C87">
      <w:pPr>
        <w:rPr>
          <w:color w:val="auto"/>
          <w:lang w:val="en-US" w:bidi="ar-SA"/>
        </w:rPr>
      </w:pPr>
      <w:r w:rsidRPr="00136CDA">
        <w:rPr>
          <w:color w:val="auto"/>
          <w:shd w:val="solid" w:color="FFFFFF" w:fill="FFFFFF"/>
          <w:lang w:val="en-US" w:eastAsia="en-US" w:bidi="ar-SA"/>
        </w:rPr>
        <w:t xml:space="preserve">In a capital limit of 60 million pounds, General Electronics can only adopt a single-project selection strategy. With this limitation, it is important to select the project that will benefit the firm in terms of economic value as well as the financial stability of the firm. The best option would be project C with the best Net Present Value (NPV) of 4.23 million, which is far much better than project A (NPV 1.32 million) and project B (negative NPV -7.26 million), which is performing poorly. </w:t>
      </w:r>
      <w:r w:rsidRPr="00136CDA">
        <w:rPr>
          <w:color w:val="auto"/>
          <w:lang w:val="en-US" w:eastAsia="en-US" w:bidi="ar-SA"/>
        </w:rPr>
        <w:t>This shows that Project C will have the greatest contribution to the shareholder wealth and create value that will be significant in the long term.</w:t>
      </w:r>
    </w:p>
    <w:p w14:paraId="04434618" w14:textId="77777777" w:rsidR="00A77B3E" w:rsidRPr="00136CDA" w:rsidRDefault="00A96C87">
      <w:pPr>
        <w:rPr>
          <w:color w:val="auto"/>
          <w:lang w:val="en-US" w:bidi="ar-SA"/>
        </w:rPr>
      </w:pPr>
      <w:r w:rsidRPr="00136CDA">
        <w:rPr>
          <w:color w:val="auto"/>
          <w:shd w:val="solid" w:color="FFFFFF" w:fill="FFFFFF"/>
          <w:lang w:val="en-US" w:eastAsia="en-US" w:bidi="ar-SA"/>
        </w:rPr>
        <w:t>In a capital-rationed setting, the choice of Project C is especially beneficial since it does not only contribute to better discounted cash flows but also makes sure that scarce resources are used on the most profitable investment. This will improve financial strength of the firm, help recover the losses suffered in the past and put GE in a position to grow sustainably hence Project C is the best and strategic investment within the current capital constraints</w:t>
      </w:r>
      <w:r w:rsidRPr="00136CDA">
        <w:rPr>
          <w:color w:val="auto"/>
          <w:lang w:val="en-US" w:eastAsia="en-US" w:bidi="ar-SA"/>
        </w:rPr>
        <w:t>.</w:t>
      </w:r>
    </w:p>
    <w:p w14:paraId="23E4A85D" w14:textId="77777777" w:rsidR="00A77B3E" w:rsidRPr="00136CDA" w:rsidRDefault="00A96C87">
      <w:pPr>
        <w:pStyle w:val="Heading2"/>
        <w:spacing w:line="360" w:lineRule="auto"/>
        <w:rPr>
          <w:color w:val="auto"/>
          <w:lang w:val="en-US" w:bidi="ar-SA"/>
        </w:rPr>
      </w:pPr>
      <w:bookmarkStart w:id="29" w:name="h.b5wso1ud4wo5"/>
      <w:bookmarkEnd w:id="29"/>
      <w:r w:rsidRPr="00136CDA">
        <w:rPr>
          <w:color w:val="auto"/>
          <w:lang w:val="en-US" w:eastAsia="en-US" w:bidi="ar-SA"/>
        </w:rPr>
        <w:t>5.8 Final Investment Recommendation</w:t>
      </w:r>
    </w:p>
    <w:p w14:paraId="161BC09E" w14:textId="77777777" w:rsidR="00A77B3E" w:rsidRPr="00136CDA" w:rsidRDefault="00A96C87">
      <w:pPr>
        <w:rPr>
          <w:color w:val="auto"/>
          <w:lang w:val="en-US" w:bidi="ar-SA"/>
        </w:rPr>
      </w:pPr>
      <w:r w:rsidRPr="00136CDA">
        <w:rPr>
          <w:color w:val="auto"/>
          <w:shd w:val="solid" w:color="FFFFFF" w:fill="FFFFFF"/>
          <w:lang w:val="en-US" w:eastAsia="en-US" w:bidi="ar-SA"/>
        </w:rPr>
        <w:t xml:space="preserve">It is considering all the proposed projects, Project C is the best economically and strategically feasible one for General Electronics. It gives the best Net Present Value (NPV), meaning that it will contribute to the highest value to the firm and also attains the best Internal Rate of Return (IRR) and Profitability Index (PI), that is, high efficiency in returning on the investment. </w:t>
      </w:r>
      <w:r w:rsidRPr="00136CDA">
        <w:rPr>
          <w:color w:val="auto"/>
          <w:lang w:val="en-US" w:eastAsia="en-US" w:bidi="ar-SA"/>
        </w:rPr>
        <w:t>Even though the cash-flow volatility of Project C is higher than that of Project A, the payback time of 3.60 years is decent and represents a compromise between the liquidity issues and the long-term profitability.</w:t>
      </w:r>
    </w:p>
    <w:p w14:paraId="41B93627" w14:textId="77777777" w:rsidR="00A77B3E" w:rsidRPr="00136CDA" w:rsidRDefault="00A96C87">
      <w:pPr>
        <w:rPr>
          <w:color w:val="auto"/>
          <w:lang w:val="en-US" w:bidi="ar-SA"/>
        </w:rPr>
      </w:pPr>
      <w:r w:rsidRPr="00136CDA">
        <w:rPr>
          <w:color w:val="auto"/>
          <w:lang w:val="en-US" w:eastAsia="en-US" w:bidi="ar-SA"/>
        </w:rPr>
        <w:t xml:space="preserve">Project A, although shorter with a payback of 3.40 years offers comparatively low value of discounted cash flows and strategic value. Project B has weak performances in NPV, IRR and PI, </w:t>
      </w:r>
      <w:r w:rsidRPr="00136CDA">
        <w:rPr>
          <w:color w:val="auto"/>
          <w:lang w:val="en-US" w:eastAsia="en-US" w:bidi="ar-SA"/>
        </w:rPr>
        <w:lastRenderedPageBreak/>
        <w:t>meaning that it is not as appealing financially and is also risky because it takes long to recover capital.</w:t>
      </w:r>
    </w:p>
    <w:p w14:paraId="795F5E51" w14:textId="77777777" w:rsidR="00A77B3E" w:rsidRPr="00136CDA" w:rsidRDefault="00A96C87">
      <w:pPr>
        <w:rPr>
          <w:color w:val="auto"/>
          <w:lang w:val="en-US" w:bidi="ar-SA"/>
        </w:rPr>
      </w:pPr>
      <w:r w:rsidRPr="00136CDA">
        <w:rPr>
          <w:color w:val="auto"/>
          <w:lang w:val="en-US" w:eastAsia="en-US" w:bidi="ar-SA"/>
        </w:rPr>
        <w:t>General Electronics should choose Project C because it will maximize shareholder value, enable long-term growth goals, and allow the company to balance between cash recovery and strategic expansion and, thus, is the best investment decision.</w:t>
      </w:r>
    </w:p>
    <w:p w14:paraId="5AB235B2" w14:textId="77777777" w:rsidR="00A77B3E" w:rsidRPr="00136CDA" w:rsidRDefault="00A96C87">
      <w:pPr>
        <w:pStyle w:val="Heading1"/>
        <w:spacing w:line="360" w:lineRule="auto"/>
        <w:rPr>
          <w:color w:val="auto"/>
          <w:lang w:val="en-US" w:bidi="ar-SA"/>
        </w:rPr>
      </w:pPr>
      <w:bookmarkStart w:id="30" w:name="h.at0qmb9ze5xq"/>
      <w:bookmarkEnd w:id="30"/>
      <w:r w:rsidRPr="00136CDA">
        <w:rPr>
          <w:color w:val="auto"/>
          <w:lang w:val="en-US" w:eastAsia="en-US" w:bidi="ar-SA"/>
        </w:rPr>
        <w:t>6.0 Conclusion</w:t>
      </w:r>
    </w:p>
    <w:p w14:paraId="01C2D9A4" w14:textId="77777777" w:rsidR="00A77B3E" w:rsidRPr="00136CDA" w:rsidRDefault="00A96C87">
      <w:pPr>
        <w:rPr>
          <w:color w:val="auto"/>
          <w:lang w:val="en-US" w:bidi="ar-SA"/>
        </w:rPr>
      </w:pPr>
      <w:r w:rsidRPr="00136CDA">
        <w:rPr>
          <w:color w:val="auto"/>
          <w:lang w:val="en-US" w:eastAsia="en-US" w:bidi="ar-SA"/>
        </w:rPr>
        <w:t xml:space="preserve">The financial status at GE shows a high level of erosion of profitability, liquidity weakness, and working-capital cycle inefficiency and increased leverage risks. There is a trend towards increasing distress with no drastic restructuring expected. It is necessary to increase cash flows, working-capital operations, and consider strategic debt re-engineering of GE to regain stability, instill discipline into operations, and get the company on a course to recover in the long run. </w:t>
      </w:r>
    </w:p>
    <w:p w14:paraId="2B24123D" w14:textId="77777777" w:rsidR="00A77B3E" w:rsidRPr="00136CDA" w:rsidRDefault="00A96C87">
      <w:pPr>
        <w:pStyle w:val="Heading1"/>
        <w:pageBreakBefore/>
        <w:spacing w:line="360" w:lineRule="auto"/>
        <w:rPr>
          <w:color w:val="auto"/>
          <w:lang w:val="en-US" w:bidi="ar-SA"/>
        </w:rPr>
      </w:pPr>
      <w:bookmarkStart w:id="31" w:name="h.rghvoizb8wkm"/>
      <w:bookmarkEnd w:id="31"/>
      <w:r w:rsidRPr="00136CDA">
        <w:rPr>
          <w:color w:val="auto"/>
          <w:lang w:val="en-US" w:eastAsia="en-US" w:bidi="ar-SA"/>
        </w:rPr>
        <w:lastRenderedPageBreak/>
        <w:t xml:space="preserve">Reference List </w:t>
      </w:r>
    </w:p>
    <w:p w14:paraId="21DC87B4"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Abdelhady, S., 2021. Performance and cost evaluation of solar dish power plant: sensitivity analysis of levelized cost of electricity (LCOE) and net present value (NPV). </w:t>
      </w:r>
      <w:r w:rsidRPr="00136CDA">
        <w:rPr>
          <w:i/>
          <w:iCs/>
          <w:color w:val="auto"/>
          <w:shd w:val="solid" w:color="FFFFFF" w:fill="FFFFFF"/>
          <w:lang w:val="en-US" w:eastAsia="en-US" w:bidi="ar-SA"/>
        </w:rPr>
        <w:t>Renewable Energy</w:t>
      </w:r>
      <w:r w:rsidRPr="00136CDA">
        <w:rPr>
          <w:color w:val="auto"/>
          <w:shd w:val="solid" w:color="FFFFFF" w:fill="FFFFFF"/>
          <w:lang w:val="en-US" w:eastAsia="en-US" w:bidi="ar-SA"/>
        </w:rPr>
        <w:t>, </w:t>
      </w:r>
      <w:r w:rsidRPr="00136CDA">
        <w:rPr>
          <w:i/>
          <w:iCs/>
          <w:color w:val="auto"/>
          <w:shd w:val="solid" w:color="FFFFFF" w:fill="FFFFFF"/>
          <w:lang w:val="en-US" w:eastAsia="en-US" w:bidi="ar-SA"/>
        </w:rPr>
        <w:t>168</w:t>
      </w:r>
      <w:r w:rsidRPr="00136CDA">
        <w:rPr>
          <w:color w:val="auto"/>
          <w:shd w:val="solid" w:color="FFFFFF" w:fill="FFFFFF"/>
          <w:lang w:val="en-US" w:eastAsia="en-US" w:bidi="ar-SA"/>
        </w:rPr>
        <w:t xml:space="preserve">, pp.332-342. </w:t>
      </w:r>
    </w:p>
    <w:p w14:paraId="244ED132" w14:textId="77777777" w:rsidR="00A77B3E" w:rsidRPr="00136CDA" w:rsidRDefault="00A96C87">
      <w:pPr>
        <w:rPr>
          <w:color w:val="auto"/>
          <w:sz w:val="32"/>
          <w:szCs w:val="32"/>
          <w:shd w:val="solid" w:color="FFFFFF" w:fill="FFFFFF"/>
          <w:lang w:val="en-US" w:bidi="ar-SA"/>
        </w:rPr>
      </w:pPr>
      <w:r w:rsidRPr="00136CDA">
        <w:rPr>
          <w:color w:val="auto"/>
          <w:shd w:val="solid" w:color="FFFFFF" w:fill="FFFFFF"/>
          <w:lang w:val="en-US" w:eastAsia="en-US" w:bidi="ar-SA"/>
        </w:rPr>
        <w:t>Abdulkareem, A.M. and Nagvadiya, B.R., 2021. An Analytical Study of Profitability and Liquidity Postions of Selected Life Insurance Companies in India. </w:t>
      </w:r>
      <w:r w:rsidRPr="00136CDA">
        <w:rPr>
          <w:i/>
          <w:iCs/>
          <w:color w:val="auto"/>
          <w:shd w:val="solid" w:color="FFFFFF" w:fill="FFFFFF"/>
          <w:lang w:val="en-US" w:eastAsia="en-US" w:bidi="ar-SA"/>
        </w:rPr>
        <w:t>International Journal of Finance and Banking Research</w:t>
      </w:r>
      <w:r w:rsidRPr="00136CDA">
        <w:rPr>
          <w:color w:val="auto"/>
          <w:shd w:val="solid" w:color="FFFFFF" w:fill="FFFFFF"/>
          <w:lang w:val="en-US" w:eastAsia="en-US" w:bidi="ar-SA"/>
        </w:rPr>
        <w:t>, </w:t>
      </w:r>
      <w:r w:rsidRPr="00136CDA">
        <w:rPr>
          <w:i/>
          <w:iCs/>
          <w:color w:val="auto"/>
          <w:shd w:val="solid" w:color="FFFFFF" w:fill="FFFFFF"/>
          <w:lang w:val="en-US" w:eastAsia="en-US" w:bidi="ar-SA"/>
        </w:rPr>
        <w:t>7</w:t>
      </w:r>
      <w:r w:rsidRPr="00136CDA">
        <w:rPr>
          <w:color w:val="auto"/>
          <w:shd w:val="solid" w:color="FFFFFF" w:fill="FFFFFF"/>
          <w:lang w:val="en-US" w:eastAsia="en-US" w:bidi="ar-SA"/>
        </w:rPr>
        <w:t>(2), p.28.</w:t>
      </w:r>
    </w:p>
    <w:p w14:paraId="7EBC259B"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Agustin, H., Indrastuti, S., Sundari, E. and Yusrawati, Y., 2023. Feasibility Analysis of Boutique Business Development “Myfashionproject” In Pekanbaru. </w:t>
      </w:r>
      <w:r w:rsidRPr="00136CDA">
        <w:rPr>
          <w:i/>
          <w:iCs/>
          <w:color w:val="auto"/>
          <w:shd w:val="solid" w:color="FFFFFF" w:fill="FFFFFF"/>
          <w:lang w:val="en-US" w:eastAsia="en-US" w:bidi="ar-SA"/>
        </w:rPr>
        <w:t>Journal of System and Management Science</w:t>
      </w:r>
      <w:r w:rsidRPr="00136CDA">
        <w:rPr>
          <w:color w:val="auto"/>
          <w:shd w:val="solid" w:color="FFFFFF" w:fill="FFFFFF"/>
          <w:lang w:val="en-US" w:eastAsia="en-US" w:bidi="ar-SA"/>
        </w:rPr>
        <w:t>, </w:t>
      </w:r>
      <w:r w:rsidRPr="00136CDA">
        <w:rPr>
          <w:i/>
          <w:iCs/>
          <w:color w:val="auto"/>
          <w:shd w:val="solid" w:color="FFFFFF" w:fill="FFFFFF"/>
          <w:lang w:val="en-US" w:eastAsia="en-US" w:bidi="ar-SA"/>
        </w:rPr>
        <w:t>13</w:t>
      </w:r>
      <w:r w:rsidRPr="00136CDA">
        <w:rPr>
          <w:color w:val="auto"/>
          <w:shd w:val="solid" w:color="FFFFFF" w:fill="FFFFFF"/>
          <w:lang w:val="en-US" w:eastAsia="en-US" w:bidi="ar-SA"/>
        </w:rPr>
        <w:t xml:space="preserve">(1), pp.85-102. </w:t>
      </w:r>
    </w:p>
    <w:p w14:paraId="12FB9F3A"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Akgün, A.I. and Memiş Karataş, A., 2021. Investigating the relationship between working capital management and business performance: Evidence from the 2008 financial crisis of EU-28. </w:t>
      </w:r>
      <w:r w:rsidRPr="00136CDA">
        <w:rPr>
          <w:i/>
          <w:iCs/>
          <w:color w:val="auto"/>
          <w:shd w:val="solid" w:color="FFFFFF" w:fill="FFFFFF"/>
          <w:lang w:val="en-US" w:eastAsia="en-US" w:bidi="ar-SA"/>
        </w:rPr>
        <w:t>International Journal of Managerial Finance</w:t>
      </w:r>
      <w:r w:rsidRPr="00136CDA">
        <w:rPr>
          <w:color w:val="auto"/>
          <w:shd w:val="solid" w:color="FFFFFF" w:fill="FFFFFF"/>
          <w:lang w:val="en-US" w:eastAsia="en-US" w:bidi="ar-SA"/>
        </w:rPr>
        <w:t>, </w:t>
      </w:r>
      <w:r w:rsidRPr="00136CDA">
        <w:rPr>
          <w:i/>
          <w:iCs/>
          <w:color w:val="auto"/>
          <w:shd w:val="solid" w:color="FFFFFF" w:fill="FFFFFF"/>
          <w:lang w:val="en-US" w:eastAsia="en-US" w:bidi="ar-SA"/>
        </w:rPr>
        <w:t>17</w:t>
      </w:r>
      <w:r w:rsidRPr="00136CDA">
        <w:rPr>
          <w:color w:val="auto"/>
          <w:shd w:val="solid" w:color="FFFFFF" w:fill="FFFFFF"/>
          <w:lang w:val="en-US" w:eastAsia="en-US" w:bidi="ar-SA"/>
        </w:rPr>
        <w:t xml:space="preserve">(4), pp.545-567. </w:t>
      </w:r>
    </w:p>
    <w:p w14:paraId="5A18278B"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Al Wahaibi, M.A.K., Hussainy, S.S., Rajan, R. and Younas, A., 2024. SMEs capital budgeting practices: A review article. </w:t>
      </w:r>
      <w:r w:rsidRPr="00136CDA">
        <w:rPr>
          <w:i/>
          <w:iCs/>
          <w:color w:val="auto"/>
          <w:shd w:val="solid" w:color="FFFFFF" w:fill="FFFFFF"/>
          <w:lang w:val="en-US" w:eastAsia="en-US" w:bidi="ar-SA"/>
        </w:rPr>
        <w:t>Journal of Ecohumanism</w:t>
      </w:r>
      <w:r w:rsidRPr="00136CDA">
        <w:rPr>
          <w:color w:val="auto"/>
          <w:shd w:val="solid" w:color="FFFFFF" w:fill="FFFFFF"/>
          <w:lang w:val="en-US" w:eastAsia="en-US" w:bidi="ar-SA"/>
        </w:rPr>
        <w:t>, </w:t>
      </w:r>
      <w:r w:rsidRPr="00136CDA">
        <w:rPr>
          <w:i/>
          <w:iCs/>
          <w:color w:val="auto"/>
          <w:shd w:val="solid" w:color="FFFFFF" w:fill="FFFFFF"/>
          <w:lang w:val="en-US" w:eastAsia="en-US" w:bidi="ar-SA"/>
        </w:rPr>
        <w:t>3</w:t>
      </w:r>
      <w:r w:rsidRPr="00136CDA">
        <w:rPr>
          <w:color w:val="auto"/>
          <w:shd w:val="solid" w:color="FFFFFF" w:fill="FFFFFF"/>
          <w:lang w:val="en-US" w:eastAsia="en-US" w:bidi="ar-SA"/>
        </w:rPr>
        <w:t>(7), pp.2426-2430.</w:t>
      </w:r>
    </w:p>
    <w:p w14:paraId="6BB1F787"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Almashhadani, M., 2021. A brief review of corporate governance structure and corporate profitability in developed and developing economy: A review. </w:t>
      </w:r>
      <w:r w:rsidRPr="00136CDA">
        <w:rPr>
          <w:i/>
          <w:iCs/>
          <w:color w:val="auto"/>
          <w:shd w:val="solid" w:color="FFFFFF" w:fill="FFFFFF"/>
          <w:lang w:val="en-US" w:eastAsia="en-US" w:bidi="ar-SA"/>
        </w:rPr>
        <w:t>International Journal of Business and Management Invention</w:t>
      </w:r>
      <w:r w:rsidRPr="00136CDA">
        <w:rPr>
          <w:color w:val="auto"/>
          <w:shd w:val="solid" w:color="FFFFFF" w:fill="FFFFFF"/>
          <w:lang w:val="en-US" w:eastAsia="en-US" w:bidi="ar-SA"/>
        </w:rPr>
        <w:t>, </w:t>
      </w:r>
      <w:r w:rsidRPr="00136CDA">
        <w:rPr>
          <w:i/>
          <w:iCs/>
          <w:color w:val="auto"/>
          <w:shd w:val="solid" w:color="FFFFFF" w:fill="FFFFFF"/>
          <w:lang w:val="en-US" w:eastAsia="en-US" w:bidi="ar-SA"/>
        </w:rPr>
        <w:t>10</w:t>
      </w:r>
      <w:r w:rsidRPr="00136CDA">
        <w:rPr>
          <w:color w:val="auto"/>
          <w:shd w:val="solid" w:color="FFFFFF" w:fill="FFFFFF"/>
          <w:lang w:val="en-US" w:eastAsia="en-US" w:bidi="ar-SA"/>
        </w:rPr>
        <w:t xml:space="preserve">(11), pp.42-46. </w:t>
      </w:r>
    </w:p>
    <w:p w14:paraId="2571F5CC"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Andon, P., Baxter, J. and Chua, W.F., 2024. Affect and reason in uncertain accounting settings: The case of capital investment appraisal. </w:t>
      </w:r>
      <w:r w:rsidRPr="00136CDA">
        <w:rPr>
          <w:i/>
          <w:iCs/>
          <w:color w:val="auto"/>
          <w:shd w:val="solid" w:color="FFFFFF" w:fill="FFFFFF"/>
          <w:lang w:val="en-US" w:eastAsia="en-US" w:bidi="ar-SA"/>
        </w:rPr>
        <w:t>Accounting &amp; Finance</w:t>
      </w:r>
      <w:r w:rsidRPr="00136CDA">
        <w:rPr>
          <w:color w:val="auto"/>
          <w:shd w:val="solid" w:color="FFFFFF" w:fill="FFFFFF"/>
          <w:lang w:val="en-US" w:eastAsia="en-US" w:bidi="ar-SA"/>
        </w:rPr>
        <w:t>, </w:t>
      </w:r>
      <w:r w:rsidRPr="00136CDA">
        <w:rPr>
          <w:i/>
          <w:iCs/>
          <w:color w:val="auto"/>
          <w:shd w:val="solid" w:color="FFFFFF" w:fill="FFFFFF"/>
          <w:lang w:val="en-US" w:eastAsia="en-US" w:bidi="ar-SA"/>
        </w:rPr>
        <w:t>64</w:t>
      </w:r>
      <w:r w:rsidRPr="00136CDA">
        <w:rPr>
          <w:color w:val="auto"/>
          <w:shd w:val="solid" w:color="FFFFFF" w:fill="FFFFFF"/>
          <w:lang w:val="en-US" w:eastAsia="en-US" w:bidi="ar-SA"/>
        </w:rPr>
        <w:t xml:space="preserve">(2), pp.1439-1470. </w:t>
      </w:r>
    </w:p>
    <w:p w14:paraId="1FEF6169"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Andrabi, S.R.I., Brindha, G. and Ul Islam Rather, K., 2021. Empirical Study Of Liquidity Risk Indicators In Indian Private Banks. </w:t>
      </w:r>
      <w:r w:rsidRPr="00136CDA">
        <w:rPr>
          <w:i/>
          <w:iCs/>
          <w:color w:val="auto"/>
          <w:shd w:val="solid" w:color="FFFFFF" w:fill="FFFFFF"/>
          <w:lang w:val="en-US" w:eastAsia="en-US" w:bidi="ar-SA"/>
        </w:rPr>
        <w:t>Turkish Online Journal of Qualitative Inquiry</w:t>
      </w:r>
      <w:r w:rsidRPr="00136CDA">
        <w:rPr>
          <w:color w:val="auto"/>
          <w:shd w:val="solid" w:color="FFFFFF" w:fill="FFFFFF"/>
          <w:lang w:val="en-US" w:eastAsia="en-US" w:bidi="ar-SA"/>
        </w:rPr>
        <w:t>, </w:t>
      </w:r>
      <w:r w:rsidRPr="00136CDA">
        <w:rPr>
          <w:i/>
          <w:iCs/>
          <w:color w:val="auto"/>
          <w:shd w:val="solid" w:color="FFFFFF" w:fill="FFFFFF"/>
          <w:lang w:val="en-US" w:eastAsia="en-US" w:bidi="ar-SA"/>
        </w:rPr>
        <w:t>12</w:t>
      </w:r>
      <w:r w:rsidRPr="00136CDA">
        <w:rPr>
          <w:color w:val="auto"/>
          <w:shd w:val="solid" w:color="FFFFFF" w:fill="FFFFFF"/>
          <w:lang w:val="en-US" w:eastAsia="en-US" w:bidi="ar-SA"/>
        </w:rPr>
        <w:t xml:space="preserve">(9). </w:t>
      </w:r>
    </w:p>
    <w:p w14:paraId="3D78CBDE"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Angelita, G. and Saksono, E., 2023. The Role of Communication Corporate to Save the Reputation of PT. Garuda Indonesia, TBK (BUMN Companies Restructure &amp; BJR Implementation). </w:t>
      </w:r>
      <w:r w:rsidRPr="00136CDA">
        <w:rPr>
          <w:i/>
          <w:iCs/>
          <w:color w:val="auto"/>
          <w:shd w:val="solid" w:color="FFFFFF" w:fill="FFFFFF"/>
          <w:lang w:val="en-US" w:eastAsia="en-US" w:bidi="ar-SA"/>
        </w:rPr>
        <w:t>American Journal of Humanities and Social Sciences</w:t>
      </w:r>
      <w:r w:rsidRPr="00136CDA">
        <w:rPr>
          <w:color w:val="auto"/>
          <w:shd w:val="solid" w:color="FFFFFF" w:fill="FFFFFF"/>
          <w:lang w:val="en-US" w:eastAsia="en-US" w:bidi="ar-SA"/>
        </w:rPr>
        <w:t xml:space="preserve">, pp.64-73. </w:t>
      </w:r>
    </w:p>
    <w:p w14:paraId="5E31CB81"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Appelbaum, E. and Albin, P., 2024. Computer rationalization and the transformation of work: lessons from the insurance industry. In </w:t>
      </w:r>
      <w:r w:rsidRPr="00136CDA">
        <w:rPr>
          <w:i/>
          <w:iCs/>
          <w:color w:val="auto"/>
          <w:shd w:val="solid" w:color="FFFFFF" w:fill="FFFFFF"/>
          <w:lang w:val="en-US" w:eastAsia="en-US" w:bidi="ar-SA"/>
        </w:rPr>
        <w:t>The transformation of work?</w:t>
      </w:r>
      <w:r w:rsidRPr="00136CDA">
        <w:rPr>
          <w:color w:val="auto"/>
          <w:shd w:val="solid" w:color="FFFFFF" w:fill="FFFFFF"/>
          <w:lang w:val="en-US" w:eastAsia="en-US" w:bidi="ar-SA"/>
        </w:rPr>
        <w:t xml:space="preserve"> (pp. 247-265). Routledge. </w:t>
      </w:r>
    </w:p>
    <w:p w14:paraId="3758F51F"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Awodire, M., Agboola, O., Ogundojutimi, O. and Odumuwagun, O., 2023. Capital Budgeting and Financial Investment Appraisal: A Review of Archival Literature. </w:t>
      </w:r>
      <w:r w:rsidRPr="00136CDA">
        <w:rPr>
          <w:i/>
          <w:iCs/>
          <w:color w:val="auto"/>
          <w:shd w:val="solid" w:color="FFFFFF" w:fill="FFFFFF"/>
          <w:lang w:val="en-US" w:eastAsia="en-US" w:bidi="ar-SA"/>
        </w:rPr>
        <w:t>American Journal of Multidisciplinary Research in Africa</w:t>
      </w:r>
      <w:r w:rsidRPr="00136CDA">
        <w:rPr>
          <w:color w:val="auto"/>
          <w:shd w:val="solid" w:color="FFFFFF" w:fill="FFFFFF"/>
          <w:lang w:val="en-US" w:eastAsia="en-US" w:bidi="ar-SA"/>
        </w:rPr>
        <w:t>, </w:t>
      </w:r>
      <w:r w:rsidRPr="00136CDA">
        <w:rPr>
          <w:i/>
          <w:iCs/>
          <w:color w:val="auto"/>
          <w:shd w:val="solid" w:color="FFFFFF" w:fill="FFFFFF"/>
          <w:lang w:val="en-US" w:eastAsia="en-US" w:bidi="ar-SA"/>
        </w:rPr>
        <w:t>3</w:t>
      </w:r>
      <w:r w:rsidRPr="00136CDA">
        <w:rPr>
          <w:color w:val="auto"/>
          <w:shd w:val="solid" w:color="FFFFFF" w:fill="FFFFFF"/>
          <w:lang w:val="en-US" w:eastAsia="en-US" w:bidi="ar-SA"/>
        </w:rPr>
        <w:t xml:space="preserve">(10.58314). </w:t>
      </w:r>
    </w:p>
    <w:p w14:paraId="6AC07742"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lastRenderedPageBreak/>
        <w:t>Bakri, A., Fifield, S.G. and Power, D.M., 2022. Capital budgeting practices and political risk: evidence from Lebanon. </w:t>
      </w:r>
      <w:r w:rsidRPr="00136CDA">
        <w:rPr>
          <w:i/>
          <w:iCs/>
          <w:color w:val="auto"/>
          <w:shd w:val="solid" w:color="FFFFFF" w:fill="FFFFFF"/>
          <w:lang w:val="en-US" w:eastAsia="en-US" w:bidi="ar-SA"/>
        </w:rPr>
        <w:t>Qualitative Research in Financial Markets</w:t>
      </w:r>
      <w:r w:rsidRPr="00136CDA">
        <w:rPr>
          <w:color w:val="auto"/>
          <w:shd w:val="solid" w:color="FFFFFF" w:fill="FFFFFF"/>
          <w:lang w:val="en-US" w:eastAsia="en-US" w:bidi="ar-SA"/>
        </w:rPr>
        <w:t>, </w:t>
      </w:r>
      <w:r w:rsidRPr="00136CDA">
        <w:rPr>
          <w:i/>
          <w:iCs/>
          <w:color w:val="auto"/>
          <w:shd w:val="solid" w:color="FFFFFF" w:fill="FFFFFF"/>
          <w:lang w:val="en-US" w:eastAsia="en-US" w:bidi="ar-SA"/>
        </w:rPr>
        <w:t>14</w:t>
      </w:r>
      <w:r w:rsidRPr="00136CDA">
        <w:rPr>
          <w:color w:val="auto"/>
          <w:shd w:val="solid" w:color="FFFFFF" w:fill="FFFFFF"/>
          <w:lang w:val="en-US" w:eastAsia="en-US" w:bidi="ar-SA"/>
        </w:rPr>
        <w:t>(3), pp.483-504.</w:t>
      </w:r>
    </w:p>
    <w:p w14:paraId="74AC0660"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 xml:space="preserve">Baldacchino, P.J., Fenech, M., Ellul, L., Tabone, N. and Grima, S., 2025. Maltese listed entity CFOs and their role in business development. </w:t>
      </w:r>
    </w:p>
    <w:p w14:paraId="067D8432"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Blessing, H. and Sakouvogui, G., 2023. Impact of liquidity and solvency ratios on financial performance: a comprehensive analysis. </w:t>
      </w:r>
      <w:r w:rsidRPr="00136CDA">
        <w:rPr>
          <w:i/>
          <w:iCs/>
          <w:color w:val="auto"/>
          <w:shd w:val="solid" w:color="FFFFFF" w:fill="FFFFFF"/>
          <w:lang w:val="en-US" w:eastAsia="en-US" w:bidi="ar-SA"/>
        </w:rPr>
        <w:t>Indonesia Auditing Research Journal</w:t>
      </w:r>
      <w:r w:rsidRPr="00136CDA">
        <w:rPr>
          <w:color w:val="auto"/>
          <w:shd w:val="solid" w:color="FFFFFF" w:fill="FFFFFF"/>
          <w:lang w:val="en-US" w:eastAsia="en-US" w:bidi="ar-SA"/>
        </w:rPr>
        <w:t>, </w:t>
      </w:r>
      <w:r w:rsidRPr="00136CDA">
        <w:rPr>
          <w:i/>
          <w:iCs/>
          <w:color w:val="auto"/>
          <w:shd w:val="solid" w:color="FFFFFF" w:fill="FFFFFF"/>
          <w:lang w:val="en-US" w:eastAsia="en-US" w:bidi="ar-SA"/>
        </w:rPr>
        <w:t>12</w:t>
      </w:r>
      <w:r w:rsidRPr="00136CDA">
        <w:rPr>
          <w:color w:val="auto"/>
          <w:shd w:val="solid" w:color="FFFFFF" w:fill="FFFFFF"/>
          <w:lang w:val="en-US" w:eastAsia="en-US" w:bidi="ar-SA"/>
        </w:rPr>
        <w:t xml:space="preserve">(3), pp.102-115. </w:t>
      </w:r>
    </w:p>
    <w:p w14:paraId="18451442" w14:textId="77777777" w:rsidR="00A77B3E" w:rsidRPr="00136CDA" w:rsidRDefault="00A96C87">
      <w:pPr>
        <w:rPr>
          <w:color w:val="auto"/>
          <w:sz w:val="40"/>
          <w:szCs w:val="40"/>
          <w:shd w:val="solid" w:color="FFFFFF" w:fill="FFFFFF"/>
          <w:lang w:val="en-US" w:bidi="ar-SA"/>
        </w:rPr>
      </w:pPr>
      <w:r w:rsidRPr="00136CDA">
        <w:rPr>
          <w:color w:val="auto"/>
          <w:shd w:val="solid" w:color="FFFFFF" w:fill="FFFFFF"/>
          <w:lang w:val="en-US" w:eastAsia="en-US" w:bidi="ar-SA"/>
        </w:rPr>
        <w:t>Boreiko, D. and Lombardo, S., 2024. The Italian SPACs regulatory regime: An empirical analysis of AIM Italia SPACs. </w:t>
      </w:r>
      <w:r w:rsidRPr="00136CDA">
        <w:rPr>
          <w:i/>
          <w:iCs/>
          <w:color w:val="auto"/>
          <w:shd w:val="solid" w:color="FFFFFF" w:fill="FFFFFF"/>
          <w:lang w:val="en-US" w:eastAsia="en-US" w:bidi="ar-SA"/>
        </w:rPr>
        <w:t>European Corporate Governance Institute-Law Working Paper</w:t>
      </w:r>
      <w:r w:rsidRPr="00136CDA">
        <w:rPr>
          <w:color w:val="auto"/>
          <w:shd w:val="solid" w:color="FFFFFF" w:fill="FFFFFF"/>
          <w:lang w:val="en-US" w:eastAsia="en-US" w:bidi="ar-SA"/>
        </w:rPr>
        <w:t>, (772).</w:t>
      </w:r>
    </w:p>
    <w:p w14:paraId="2D26F441"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Bosshardt, J., Di Maggio, M., Kakhbod, A. and Kermani, A., 2024. The credit supply channel of monetary policy tightening and its distributional impacts. </w:t>
      </w:r>
      <w:r w:rsidRPr="00136CDA">
        <w:rPr>
          <w:i/>
          <w:iCs/>
          <w:color w:val="auto"/>
          <w:shd w:val="solid" w:color="FFFFFF" w:fill="FFFFFF"/>
          <w:lang w:val="en-US" w:eastAsia="en-US" w:bidi="ar-SA"/>
        </w:rPr>
        <w:t>Journal of Financial Economics</w:t>
      </w:r>
      <w:r w:rsidRPr="00136CDA">
        <w:rPr>
          <w:color w:val="auto"/>
          <w:shd w:val="solid" w:color="FFFFFF" w:fill="FFFFFF"/>
          <w:lang w:val="en-US" w:eastAsia="en-US" w:bidi="ar-SA"/>
        </w:rPr>
        <w:t>, </w:t>
      </w:r>
      <w:r w:rsidRPr="00136CDA">
        <w:rPr>
          <w:i/>
          <w:iCs/>
          <w:color w:val="auto"/>
          <w:shd w:val="solid" w:color="FFFFFF" w:fill="FFFFFF"/>
          <w:lang w:val="en-US" w:eastAsia="en-US" w:bidi="ar-SA"/>
        </w:rPr>
        <w:t>160</w:t>
      </w:r>
      <w:r w:rsidRPr="00136CDA">
        <w:rPr>
          <w:color w:val="auto"/>
          <w:shd w:val="solid" w:color="FFFFFF" w:fill="FFFFFF"/>
          <w:lang w:val="en-US" w:eastAsia="en-US" w:bidi="ar-SA"/>
        </w:rPr>
        <w:t xml:space="preserve">, p.103914. </w:t>
      </w:r>
    </w:p>
    <w:p w14:paraId="4A753801"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Braunsberger, C. and Aschauer, E., 2025. Corporate Failure Prediction: A Literature Review of Altman Z-Score and Machine Learning Models Within a Technology Adoption Framework. </w:t>
      </w:r>
      <w:r w:rsidRPr="00136CDA">
        <w:rPr>
          <w:i/>
          <w:iCs/>
          <w:color w:val="auto"/>
          <w:shd w:val="solid" w:color="FFFFFF" w:fill="FFFFFF"/>
          <w:lang w:val="en-US" w:eastAsia="en-US" w:bidi="ar-SA"/>
        </w:rPr>
        <w:t>Journal of Risk and Financial Management</w:t>
      </w:r>
      <w:r w:rsidRPr="00136CDA">
        <w:rPr>
          <w:color w:val="auto"/>
          <w:shd w:val="solid" w:color="FFFFFF" w:fill="FFFFFF"/>
          <w:lang w:val="en-US" w:eastAsia="en-US" w:bidi="ar-SA"/>
        </w:rPr>
        <w:t>, </w:t>
      </w:r>
      <w:r w:rsidRPr="00136CDA">
        <w:rPr>
          <w:i/>
          <w:iCs/>
          <w:color w:val="auto"/>
          <w:shd w:val="solid" w:color="FFFFFF" w:fill="FFFFFF"/>
          <w:lang w:val="en-US" w:eastAsia="en-US" w:bidi="ar-SA"/>
        </w:rPr>
        <w:t>18</w:t>
      </w:r>
      <w:r w:rsidRPr="00136CDA">
        <w:rPr>
          <w:color w:val="auto"/>
          <w:shd w:val="solid" w:color="FFFFFF" w:fill="FFFFFF"/>
          <w:lang w:val="en-US" w:eastAsia="en-US" w:bidi="ar-SA"/>
        </w:rPr>
        <w:t xml:space="preserve">(8), p.465. </w:t>
      </w:r>
    </w:p>
    <w:p w14:paraId="0DF268C4"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Chen, Y., 2025, August. Exchange Rate Risk Exposure Measurement and Hedging Strategy Optimization for Multinational Enterprises. In </w:t>
      </w:r>
      <w:r w:rsidRPr="00136CDA">
        <w:rPr>
          <w:i/>
          <w:iCs/>
          <w:color w:val="auto"/>
          <w:shd w:val="solid" w:color="FFFFFF" w:fill="FFFFFF"/>
          <w:lang w:val="en-US" w:eastAsia="en-US" w:bidi="ar-SA"/>
        </w:rPr>
        <w:t>2025 5th International Conference on Enterprise Management and Economic Development (ICEMED 2025)</w:t>
      </w:r>
      <w:r w:rsidRPr="00136CDA">
        <w:rPr>
          <w:color w:val="auto"/>
          <w:shd w:val="solid" w:color="FFFFFF" w:fill="FFFFFF"/>
          <w:lang w:val="en-US" w:eastAsia="en-US" w:bidi="ar-SA"/>
        </w:rPr>
        <w:t> (pp. 163-171). Atlantis Press.</w:t>
      </w:r>
    </w:p>
    <w:p w14:paraId="27A9D7FC"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Chu, Z., 2024. Research on the Cultivation Path of Core Competencies of Finance Major Based on Modern Information Technology. </w:t>
      </w:r>
      <w:r w:rsidRPr="00136CDA">
        <w:rPr>
          <w:i/>
          <w:iCs/>
          <w:color w:val="auto"/>
          <w:shd w:val="solid" w:color="FFFFFF" w:fill="FFFFFF"/>
          <w:lang w:val="en-US" w:eastAsia="en-US" w:bidi="ar-SA"/>
        </w:rPr>
        <w:t>Frontiers in Educational Research</w:t>
      </w:r>
      <w:r w:rsidRPr="00136CDA">
        <w:rPr>
          <w:color w:val="auto"/>
          <w:shd w:val="solid" w:color="FFFFFF" w:fill="FFFFFF"/>
          <w:lang w:val="en-US" w:eastAsia="en-US" w:bidi="ar-SA"/>
        </w:rPr>
        <w:t>, </w:t>
      </w:r>
      <w:r w:rsidRPr="00136CDA">
        <w:rPr>
          <w:i/>
          <w:iCs/>
          <w:color w:val="auto"/>
          <w:shd w:val="solid" w:color="FFFFFF" w:fill="FFFFFF"/>
          <w:lang w:val="en-US" w:eastAsia="en-US" w:bidi="ar-SA"/>
        </w:rPr>
        <w:t>7</w:t>
      </w:r>
      <w:r w:rsidRPr="00136CDA">
        <w:rPr>
          <w:color w:val="auto"/>
          <w:shd w:val="solid" w:color="FFFFFF" w:fill="FFFFFF"/>
          <w:lang w:val="en-US" w:eastAsia="en-US" w:bidi="ar-SA"/>
        </w:rPr>
        <w:t xml:space="preserve">(3). </w:t>
      </w:r>
    </w:p>
    <w:p w14:paraId="39CF9B8A"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Cındık, Z. and Armutlulu, I.H., 2021. A revision of Altman Z-Score model and a comparative analysis of Turkish companies’ financial distress prediction. </w:t>
      </w:r>
      <w:r w:rsidRPr="00136CDA">
        <w:rPr>
          <w:i/>
          <w:iCs/>
          <w:color w:val="auto"/>
          <w:shd w:val="solid" w:color="FFFFFF" w:fill="FFFFFF"/>
          <w:lang w:val="en-US" w:eastAsia="en-US" w:bidi="ar-SA"/>
        </w:rPr>
        <w:t>National Accounting Review</w:t>
      </w:r>
      <w:r w:rsidRPr="00136CDA">
        <w:rPr>
          <w:color w:val="auto"/>
          <w:shd w:val="solid" w:color="FFFFFF" w:fill="FFFFFF"/>
          <w:lang w:val="en-US" w:eastAsia="en-US" w:bidi="ar-SA"/>
        </w:rPr>
        <w:t>, </w:t>
      </w:r>
      <w:r w:rsidRPr="00136CDA">
        <w:rPr>
          <w:i/>
          <w:iCs/>
          <w:color w:val="auto"/>
          <w:shd w:val="solid" w:color="FFFFFF" w:fill="FFFFFF"/>
          <w:lang w:val="en-US" w:eastAsia="en-US" w:bidi="ar-SA"/>
        </w:rPr>
        <w:t>3</w:t>
      </w:r>
      <w:r w:rsidRPr="00136CDA">
        <w:rPr>
          <w:color w:val="auto"/>
          <w:shd w:val="solid" w:color="FFFFFF" w:fill="FFFFFF"/>
          <w:lang w:val="en-US" w:eastAsia="en-US" w:bidi="ar-SA"/>
        </w:rPr>
        <w:t xml:space="preserve">(2), pp.237-255. </w:t>
      </w:r>
    </w:p>
    <w:p w14:paraId="6C8ED16D"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Cobandag Guloglu, Z. and Ekinci, C., 2022. Liquidity measurement: A comparative review of the literature with a focus on high frequency. </w:t>
      </w:r>
      <w:r w:rsidRPr="00136CDA">
        <w:rPr>
          <w:i/>
          <w:iCs/>
          <w:color w:val="auto"/>
          <w:shd w:val="solid" w:color="FFFFFF" w:fill="FFFFFF"/>
          <w:lang w:val="en-US" w:eastAsia="en-US" w:bidi="ar-SA"/>
        </w:rPr>
        <w:t>Journal of Economic Surveys</w:t>
      </w:r>
      <w:r w:rsidRPr="00136CDA">
        <w:rPr>
          <w:color w:val="auto"/>
          <w:shd w:val="solid" w:color="FFFFFF" w:fill="FFFFFF"/>
          <w:lang w:val="en-US" w:eastAsia="en-US" w:bidi="ar-SA"/>
        </w:rPr>
        <w:t>, </w:t>
      </w:r>
      <w:r w:rsidRPr="00136CDA">
        <w:rPr>
          <w:i/>
          <w:iCs/>
          <w:color w:val="auto"/>
          <w:shd w:val="solid" w:color="FFFFFF" w:fill="FFFFFF"/>
          <w:lang w:val="en-US" w:eastAsia="en-US" w:bidi="ar-SA"/>
        </w:rPr>
        <w:t>36</w:t>
      </w:r>
      <w:r w:rsidRPr="00136CDA">
        <w:rPr>
          <w:color w:val="auto"/>
          <w:shd w:val="solid" w:color="FFFFFF" w:fill="FFFFFF"/>
          <w:lang w:val="en-US" w:eastAsia="en-US" w:bidi="ar-SA"/>
        </w:rPr>
        <w:t xml:space="preserve">(1), pp.41-74. </w:t>
      </w:r>
    </w:p>
    <w:p w14:paraId="3E0529B3"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Cumming, D., Jindal, V., Kumar, S. and Pandey, N., 2023. Mergers and acquisitions research in finance and accounting: Past, present, and future. </w:t>
      </w:r>
      <w:r w:rsidRPr="00136CDA">
        <w:rPr>
          <w:i/>
          <w:iCs/>
          <w:color w:val="auto"/>
          <w:shd w:val="solid" w:color="FFFFFF" w:fill="FFFFFF"/>
          <w:lang w:val="en-US" w:eastAsia="en-US" w:bidi="ar-SA"/>
        </w:rPr>
        <w:t>European Financial Management</w:t>
      </w:r>
      <w:r w:rsidRPr="00136CDA">
        <w:rPr>
          <w:color w:val="auto"/>
          <w:shd w:val="solid" w:color="FFFFFF" w:fill="FFFFFF"/>
          <w:lang w:val="en-US" w:eastAsia="en-US" w:bidi="ar-SA"/>
        </w:rPr>
        <w:t>, </w:t>
      </w:r>
      <w:r w:rsidRPr="00136CDA">
        <w:rPr>
          <w:i/>
          <w:iCs/>
          <w:color w:val="auto"/>
          <w:shd w:val="solid" w:color="FFFFFF" w:fill="FFFFFF"/>
          <w:lang w:val="en-US" w:eastAsia="en-US" w:bidi="ar-SA"/>
        </w:rPr>
        <w:t>29</w:t>
      </w:r>
      <w:r w:rsidRPr="00136CDA">
        <w:rPr>
          <w:color w:val="auto"/>
          <w:shd w:val="solid" w:color="FFFFFF" w:fill="FFFFFF"/>
          <w:lang w:val="en-US" w:eastAsia="en-US" w:bidi="ar-SA"/>
        </w:rPr>
        <w:t xml:space="preserve">(5), pp.1464-1504. </w:t>
      </w:r>
    </w:p>
    <w:p w14:paraId="671D8F77"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lastRenderedPageBreak/>
        <w:t>Dahal, P., 2023. Impact of non-performing assets on profitability: A panel regression analysis of commercial banks in Nepal. </w:t>
      </w:r>
      <w:r w:rsidRPr="00136CDA">
        <w:rPr>
          <w:i/>
          <w:iCs/>
          <w:color w:val="auto"/>
          <w:shd w:val="solid" w:color="FFFFFF" w:fill="FFFFFF"/>
          <w:lang w:val="en-US" w:eastAsia="en-US" w:bidi="ar-SA"/>
        </w:rPr>
        <w:t>Global Journal of Commerce and Management Perspective</w:t>
      </w:r>
      <w:r w:rsidRPr="00136CDA">
        <w:rPr>
          <w:color w:val="auto"/>
          <w:shd w:val="solid" w:color="FFFFFF" w:fill="FFFFFF"/>
          <w:lang w:val="en-US" w:eastAsia="en-US" w:bidi="ar-SA"/>
        </w:rPr>
        <w:t>, </w:t>
      </w:r>
      <w:r w:rsidRPr="00136CDA">
        <w:rPr>
          <w:i/>
          <w:iCs/>
          <w:color w:val="auto"/>
          <w:shd w:val="solid" w:color="FFFFFF" w:fill="FFFFFF"/>
          <w:lang w:val="en-US" w:eastAsia="en-US" w:bidi="ar-SA"/>
        </w:rPr>
        <w:t>12</w:t>
      </w:r>
      <w:r w:rsidRPr="00136CDA">
        <w:rPr>
          <w:color w:val="auto"/>
          <w:shd w:val="solid" w:color="FFFFFF" w:fill="FFFFFF"/>
          <w:lang w:val="en-US" w:eastAsia="en-US" w:bidi="ar-SA"/>
        </w:rPr>
        <w:t xml:space="preserve">(4), pp.1-9. </w:t>
      </w:r>
    </w:p>
    <w:p w14:paraId="7415C775"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Destriwanti, O., Sintha, L., Bertuah, E. and Munandar, A., 2022. Analyzing the impact of Good Corporate Governance and Financial Performance on predicting Financial Distress using the modified Altman Z Score model. </w:t>
      </w:r>
      <w:r w:rsidRPr="00136CDA">
        <w:rPr>
          <w:i/>
          <w:iCs/>
          <w:color w:val="auto"/>
          <w:shd w:val="solid" w:color="FFFFFF" w:fill="FFFFFF"/>
          <w:lang w:val="en-US" w:eastAsia="en-US" w:bidi="ar-SA"/>
        </w:rPr>
        <w:t>American International Journal of Business Management (AIJBM)</w:t>
      </w:r>
      <w:r w:rsidRPr="00136CDA">
        <w:rPr>
          <w:color w:val="auto"/>
          <w:shd w:val="solid" w:color="FFFFFF" w:fill="FFFFFF"/>
          <w:lang w:val="en-US" w:eastAsia="en-US" w:bidi="ar-SA"/>
        </w:rPr>
        <w:t>, </w:t>
      </w:r>
      <w:r w:rsidRPr="00136CDA">
        <w:rPr>
          <w:i/>
          <w:iCs/>
          <w:color w:val="auto"/>
          <w:shd w:val="solid" w:color="FFFFFF" w:fill="FFFFFF"/>
          <w:lang w:val="en-US" w:eastAsia="en-US" w:bidi="ar-SA"/>
        </w:rPr>
        <w:t>5</w:t>
      </w:r>
      <w:r w:rsidRPr="00136CDA">
        <w:rPr>
          <w:color w:val="auto"/>
          <w:shd w:val="solid" w:color="FFFFFF" w:fill="FFFFFF"/>
          <w:lang w:val="en-US" w:eastAsia="en-US" w:bidi="ar-SA"/>
        </w:rPr>
        <w:t xml:space="preserve">(2), pp.27-36. </w:t>
      </w:r>
    </w:p>
    <w:p w14:paraId="0291BDAE"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Di Fraia, S., Shah, M. and Vanoli, L., 2023. A biomass-based polygeneration system for a historical building: A techno-economic and environmental analysis. </w:t>
      </w:r>
      <w:r w:rsidRPr="00136CDA">
        <w:rPr>
          <w:i/>
          <w:iCs/>
          <w:color w:val="auto"/>
          <w:shd w:val="solid" w:color="FFFFFF" w:fill="FFFFFF"/>
          <w:lang w:val="en-US" w:eastAsia="en-US" w:bidi="ar-SA"/>
        </w:rPr>
        <w:t>Energy Conversion and Management</w:t>
      </w:r>
      <w:r w:rsidRPr="00136CDA">
        <w:rPr>
          <w:color w:val="auto"/>
          <w:shd w:val="solid" w:color="FFFFFF" w:fill="FFFFFF"/>
          <w:lang w:val="en-US" w:eastAsia="en-US" w:bidi="ar-SA"/>
        </w:rPr>
        <w:t>, </w:t>
      </w:r>
      <w:r w:rsidRPr="00136CDA">
        <w:rPr>
          <w:i/>
          <w:iCs/>
          <w:color w:val="auto"/>
          <w:shd w:val="solid" w:color="FFFFFF" w:fill="FFFFFF"/>
          <w:lang w:val="en-US" w:eastAsia="en-US" w:bidi="ar-SA"/>
        </w:rPr>
        <w:t>291</w:t>
      </w:r>
      <w:r w:rsidRPr="00136CDA">
        <w:rPr>
          <w:color w:val="auto"/>
          <w:shd w:val="solid" w:color="FFFFFF" w:fill="FFFFFF"/>
          <w:lang w:val="en-US" w:eastAsia="en-US" w:bidi="ar-SA"/>
        </w:rPr>
        <w:t xml:space="preserve">, p.117336. </w:t>
      </w:r>
    </w:p>
    <w:p w14:paraId="2C267E86"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Djubaedi, D., Rohadi, T. and Kodama, Y., 2023. Core entrepreneurial competencies for local content curriculum. </w:t>
      </w:r>
      <w:r w:rsidRPr="00136CDA">
        <w:rPr>
          <w:i/>
          <w:iCs/>
          <w:color w:val="auto"/>
          <w:shd w:val="solid" w:color="FFFFFF" w:fill="FFFFFF"/>
          <w:lang w:val="en-US" w:eastAsia="en-US" w:bidi="ar-SA"/>
        </w:rPr>
        <w:t>International Journal of Educational Qualitative Quantitative Research</w:t>
      </w:r>
      <w:r w:rsidRPr="00136CDA">
        <w:rPr>
          <w:color w:val="auto"/>
          <w:shd w:val="solid" w:color="FFFFFF" w:fill="FFFFFF"/>
          <w:lang w:val="en-US" w:eastAsia="en-US" w:bidi="ar-SA"/>
        </w:rPr>
        <w:t>, </w:t>
      </w:r>
      <w:r w:rsidRPr="00136CDA">
        <w:rPr>
          <w:i/>
          <w:iCs/>
          <w:color w:val="auto"/>
          <w:shd w:val="solid" w:color="FFFFFF" w:fill="FFFFFF"/>
          <w:lang w:val="en-US" w:eastAsia="en-US" w:bidi="ar-SA"/>
        </w:rPr>
        <w:t>2</w:t>
      </w:r>
      <w:r w:rsidRPr="00136CDA">
        <w:rPr>
          <w:color w:val="auto"/>
          <w:shd w:val="solid" w:color="FFFFFF" w:fill="FFFFFF"/>
          <w:lang w:val="en-US" w:eastAsia="en-US" w:bidi="ar-SA"/>
        </w:rPr>
        <w:t>(1), pp.12-17.</w:t>
      </w:r>
    </w:p>
    <w:p w14:paraId="5BD0AB01"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Eça, J.P.A., Albanez, T., Schiozer, R.F. and do Valle, M.R., 2024. The determinants of debt renegotiation: Evidence from Brazil. </w:t>
      </w:r>
      <w:r w:rsidRPr="00136CDA">
        <w:rPr>
          <w:i/>
          <w:iCs/>
          <w:color w:val="auto"/>
          <w:shd w:val="solid" w:color="FFFFFF" w:fill="FFFFFF"/>
          <w:lang w:val="en-US" w:eastAsia="en-US" w:bidi="ar-SA"/>
        </w:rPr>
        <w:t>The Quarterly Review of Economics and Finance</w:t>
      </w:r>
      <w:r w:rsidRPr="00136CDA">
        <w:rPr>
          <w:color w:val="auto"/>
          <w:shd w:val="solid" w:color="FFFFFF" w:fill="FFFFFF"/>
          <w:lang w:val="en-US" w:eastAsia="en-US" w:bidi="ar-SA"/>
        </w:rPr>
        <w:t>, </w:t>
      </w:r>
      <w:r w:rsidRPr="00136CDA">
        <w:rPr>
          <w:i/>
          <w:iCs/>
          <w:color w:val="auto"/>
          <w:shd w:val="solid" w:color="FFFFFF" w:fill="FFFFFF"/>
          <w:lang w:val="en-US" w:eastAsia="en-US" w:bidi="ar-SA"/>
        </w:rPr>
        <w:t>95</w:t>
      </w:r>
      <w:r w:rsidRPr="00136CDA">
        <w:rPr>
          <w:color w:val="auto"/>
          <w:shd w:val="solid" w:color="FFFFFF" w:fill="FFFFFF"/>
          <w:lang w:val="en-US" w:eastAsia="en-US" w:bidi="ar-SA"/>
        </w:rPr>
        <w:t>, pp.244-255.</w:t>
      </w:r>
    </w:p>
    <w:p w14:paraId="6F3D2B6A"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ElGharbawi, T., Fathy, M., Amin, A.M. and ElSharkawy, A.A., 2022. Urban monitoring application in new administrative capital in Egypt using machine learning techniques and Sentinel 2 data. </w:t>
      </w:r>
      <w:r w:rsidRPr="00136CDA">
        <w:rPr>
          <w:i/>
          <w:iCs/>
          <w:color w:val="auto"/>
          <w:shd w:val="solid" w:color="FFFFFF" w:fill="FFFFFF"/>
          <w:lang w:val="en-US" w:eastAsia="en-US" w:bidi="ar-SA"/>
        </w:rPr>
        <w:t>Port-Said Engineering Research Journal</w:t>
      </w:r>
      <w:r w:rsidRPr="00136CDA">
        <w:rPr>
          <w:color w:val="auto"/>
          <w:shd w:val="solid" w:color="FFFFFF" w:fill="FFFFFF"/>
          <w:lang w:val="en-US" w:eastAsia="en-US" w:bidi="ar-SA"/>
        </w:rPr>
        <w:t>, </w:t>
      </w:r>
      <w:r w:rsidRPr="00136CDA">
        <w:rPr>
          <w:i/>
          <w:iCs/>
          <w:color w:val="auto"/>
          <w:shd w:val="solid" w:color="FFFFFF" w:fill="FFFFFF"/>
          <w:lang w:val="en-US" w:eastAsia="en-US" w:bidi="ar-SA"/>
        </w:rPr>
        <w:t>26</w:t>
      </w:r>
      <w:r w:rsidRPr="00136CDA">
        <w:rPr>
          <w:color w:val="auto"/>
          <w:shd w:val="solid" w:color="FFFFFF" w:fill="FFFFFF"/>
          <w:lang w:val="en-US" w:eastAsia="en-US" w:bidi="ar-SA"/>
        </w:rPr>
        <w:t xml:space="preserve">(4), pp.22-31. </w:t>
      </w:r>
    </w:p>
    <w:p w14:paraId="18B76A7C"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Feng, Z., Dawande, M., Janakiraman, G. and Qi, A., 2024. Dynamic pricing and learning with discounting. </w:t>
      </w:r>
      <w:r w:rsidRPr="00136CDA">
        <w:rPr>
          <w:i/>
          <w:iCs/>
          <w:color w:val="auto"/>
          <w:shd w:val="solid" w:color="FFFFFF" w:fill="FFFFFF"/>
          <w:lang w:val="en-US" w:eastAsia="en-US" w:bidi="ar-SA"/>
        </w:rPr>
        <w:t>Operations research</w:t>
      </w:r>
      <w:r w:rsidRPr="00136CDA">
        <w:rPr>
          <w:color w:val="auto"/>
          <w:shd w:val="solid" w:color="FFFFFF" w:fill="FFFFFF"/>
          <w:lang w:val="en-US" w:eastAsia="en-US" w:bidi="ar-SA"/>
        </w:rPr>
        <w:t>, </w:t>
      </w:r>
      <w:r w:rsidRPr="00136CDA">
        <w:rPr>
          <w:i/>
          <w:iCs/>
          <w:color w:val="auto"/>
          <w:shd w:val="solid" w:color="FFFFFF" w:fill="FFFFFF"/>
          <w:lang w:val="en-US" w:eastAsia="en-US" w:bidi="ar-SA"/>
        </w:rPr>
        <w:t>72</w:t>
      </w:r>
      <w:r w:rsidRPr="00136CDA">
        <w:rPr>
          <w:color w:val="auto"/>
          <w:shd w:val="solid" w:color="FFFFFF" w:fill="FFFFFF"/>
          <w:lang w:val="en-US" w:eastAsia="en-US" w:bidi="ar-SA"/>
        </w:rPr>
        <w:t xml:space="preserve">(2), pp.481-492. </w:t>
      </w:r>
    </w:p>
    <w:p w14:paraId="4F7CDCF4"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Focacci, A., 2022. The investment rate of return at the end of the period: a future worth approach to capital budgeting. </w:t>
      </w:r>
      <w:r w:rsidRPr="00136CDA">
        <w:rPr>
          <w:i/>
          <w:iCs/>
          <w:color w:val="auto"/>
          <w:shd w:val="solid" w:color="FFFFFF" w:fill="FFFFFF"/>
          <w:lang w:val="en-US" w:eastAsia="en-US" w:bidi="ar-SA"/>
        </w:rPr>
        <w:t>International Journal of Revenue Management</w:t>
      </w:r>
      <w:r w:rsidRPr="00136CDA">
        <w:rPr>
          <w:color w:val="auto"/>
          <w:shd w:val="solid" w:color="FFFFFF" w:fill="FFFFFF"/>
          <w:lang w:val="en-US" w:eastAsia="en-US" w:bidi="ar-SA"/>
        </w:rPr>
        <w:t>, </w:t>
      </w:r>
      <w:r w:rsidRPr="00136CDA">
        <w:rPr>
          <w:i/>
          <w:iCs/>
          <w:color w:val="auto"/>
          <w:shd w:val="solid" w:color="FFFFFF" w:fill="FFFFFF"/>
          <w:lang w:val="en-US" w:eastAsia="en-US" w:bidi="ar-SA"/>
        </w:rPr>
        <w:t>13</w:t>
      </w:r>
      <w:r w:rsidRPr="00136CDA">
        <w:rPr>
          <w:color w:val="auto"/>
          <w:shd w:val="solid" w:color="FFFFFF" w:fill="FFFFFF"/>
          <w:lang w:val="en-US" w:eastAsia="en-US" w:bidi="ar-SA"/>
        </w:rPr>
        <w:t xml:space="preserve">(1-2), pp.79-98. </w:t>
      </w:r>
    </w:p>
    <w:p w14:paraId="0435688B"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Georgievska, L., 2022. </w:t>
      </w:r>
      <w:r w:rsidRPr="00136CDA">
        <w:rPr>
          <w:i/>
          <w:iCs/>
          <w:color w:val="auto"/>
          <w:shd w:val="solid" w:color="FFFFFF" w:fill="FFFFFF"/>
          <w:lang w:val="en-US" w:eastAsia="en-US" w:bidi="ar-SA"/>
        </w:rPr>
        <w:t>Essays on Cross-Currency Arbitrage and Premia</w:t>
      </w:r>
      <w:r w:rsidRPr="00136CDA">
        <w:rPr>
          <w:color w:val="auto"/>
          <w:shd w:val="solid" w:color="FFFFFF" w:fill="FFFFFF"/>
          <w:lang w:val="en-US" w:eastAsia="en-US" w:bidi="ar-SA"/>
        </w:rPr>
        <w:t xml:space="preserve">. University of California, Los Angeles. </w:t>
      </w:r>
    </w:p>
    <w:p w14:paraId="0FF83F31"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Ghabban, M.O., Alsughayyir, Y.A., Alghanmi, M.A. and AlGhamdi, S.M., 2024. Impact of cash conversion cycle on firm's profitability by applying to companies listed on the Saudi stock market. </w:t>
      </w:r>
      <w:r w:rsidRPr="00136CDA">
        <w:rPr>
          <w:i/>
          <w:iCs/>
          <w:color w:val="auto"/>
          <w:shd w:val="solid" w:color="FFFFFF" w:fill="FFFFFF"/>
          <w:lang w:val="en-US" w:eastAsia="en-US" w:bidi="ar-SA"/>
        </w:rPr>
        <w:t>Ajrsp</w:t>
      </w:r>
      <w:r w:rsidRPr="00136CDA">
        <w:rPr>
          <w:color w:val="auto"/>
          <w:shd w:val="solid" w:color="FFFFFF" w:fill="FFFFFF"/>
          <w:lang w:val="en-US" w:eastAsia="en-US" w:bidi="ar-SA"/>
        </w:rPr>
        <w:t>, </w:t>
      </w:r>
      <w:r w:rsidRPr="00136CDA">
        <w:rPr>
          <w:i/>
          <w:iCs/>
          <w:color w:val="auto"/>
          <w:shd w:val="solid" w:color="FFFFFF" w:fill="FFFFFF"/>
          <w:lang w:val="en-US" w:eastAsia="en-US" w:bidi="ar-SA"/>
        </w:rPr>
        <w:t>5</w:t>
      </w:r>
      <w:r w:rsidRPr="00136CDA">
        <w:rPr>
          <w:color w:val="auto"/>
          <w:shd w:val="solid" w:color="FFFFFF" w:fill="FFFFFF"/>
          <w:lang w:val="en-US" w:eastAsia="en-US" w:bidi="ar-SA"/>
        </w:rPr>
        <w:t xml:space="preserve">(57), pp.29-50. </w:t>
      </w:r>
    </w:p>
    <w:p w14:paraId="419CF219"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Gnap, M. and Pitera, R., 2023. The relevance of using cash flows and economic profit-based methods in capital budgeting: a focus on techniques–FCFF, FCFE and EVA. </w:t>
      </w:r>
      <w:r w:rsidRPr="00136CDA">
        <w:rPr>
          <w:i/>
          <w:iCs/>
          <w:color w:val="auto"/>
          <w:shd w:val="solid" w:color="FFFFFF" w:fill="FFFFFF"/>
          <w:lang w:val="en-US" w:eastAsia="en-US" w:bidi="ar-SA"/>
        </w:rPr>
        <w:t>Zeszyty Naukowe. Organizacja i Zarządzanie/Politechnika Śląska</w:t>
      </w:r>
      <w:r w:rsidRPr="00136CDA">
        <w:rPr>
          <w:color w:val="auto"/>
          <w:shd w:val="solid" w:color="FFFFFF" w:fill="FFFFFF"/>
          <w:lang w:val="en-US" w:eastAsia="en-US" w:bidi="ar-SA"/>
        </w:rPr>
        <w:t xml:space="preserve">, (172), pp.219-238. </w:t>
      </w:r>
    </w:p>
    <w:p w14:paraId="3D0084DF"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lastRenderedPageBreak/>
        <w:t>Gnoatto, A. and Seiffert, N., 2021. Cross currency valuation and hedging in the multiple curve framework. </w:t>
      </w:r>
      <w:r w:rsidRPr="00136CDA">
        <w:rPr>
          <w:i/>
          <w:iCs/>
          <w:color w:val="auto"/>
          <w:shd w:val="solid" w:color="FFFFFF" w:fill="FFFFFF"/>
          <w:lang w:val="en-US" w:eastAsia="en-US" w:bidi="ar-SA"/>
        </w:rPr>
        <w:t>SIAM Journal on Financial Mathematics</w:t>
      </w:r>
      <w:r w:rsidRPr="00136CDA">
        <w:rPr>
          <w:color w:val="auto"/>
          <w:shd w:val="solid" w:color="FFFFFF" w:fill="FFFFFF"/>
          <w:lang w:val="en-US" w:eastAsia="en-US" w:bidi="ar-SA"/>
        </w:rPr>
        <w:t>, </w:t>
      </w:r>
      <w:r w:rsidRPr="00136CDA">
        <w:rPr>
          <w:i/>
          <w:iCs/>
          <w:color w:val="auto"/>
          <w:shd w:val="solid" w:color="FFFFFF" w:fill="FFFFFF"/>
          <w:lang w:val="en-US" w:eastAsia="en-US" w:bidi="ar-SA"/>
        </w:rPr>
        <w:t>12</w:t>
      </w:r>
      <w:r w:rsidRPr="00136CDA">
        <w:rPr>
          <w:color w:val="auto"/>
          <w:shd w:val="solid" w:color="FFFFFF" w:fill="FFFFFF"/>
          <w:lang w:val="en-US" w:eastAsia="en-US" w:bidi="ar-SA"/>
        </w:rPr>
        <w:t xml:space="preserve">(3), pp.967-1012.  </w:t>
      </w:r>
    </w:p>
    <w:p w14:paraId="57F6260B"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 xml:space="preserve">Hasidi, M.H., Baheri, J. and Hajar, K.I., 2024. Financial performance evaluation using profitability and liquidity ratio analysis. </w:t>
      </w:r>
    </w:p>
    <w:p w14:paraId="191E5555"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Ho, W.K.S., 2022. Developing Design and Media Students’ Capacity for Design Rationalisation with Electronic Portfolios. In </w:t>
      </w:r>
      <w:r w:rsidRPr="00136CDA">
        <w:rPr>
          <w:i/>
          <w:iCs/>
          <w:color w:val="auto"/>
          <w:shd w:val="solid" w:color="FFFFFF" w:fill="FFFFFF"/>
          <w:lang w:val="en-US" w:eastAsia="en-US" w:bidi="ar-SA"/>
        </w:rPr>
        <w:t>Teaching and Learning the Arts in Higher Education with Technology: Vignettes from Practice</w:t>
      </w:r>
      <w:r w:rsidRPr="00136CDA">
        <w:rPr>
          <w:color w:val="auto"/>
          <w:shd w:val="solid" w:color="FFFFFF" w:fill="FFFFFF"/>
          <w:lang w:val="en-US" w:eastAsia="en-US" w:bidi="ar-SA"/>
        </w:rPr>
        <w:t xml:space="preserve"> (pp. 109-127). Singapore: Springer Singapore. </w:t>
      </w:r>
    </w:p>
    <w:p w14:paraId="3BBC4F7B"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Hossain, M.S., 2021. Merger &amp; Acquisitions (M&amp;As) as an important strategic vehicle in business: Thematic areas, research avenues &amp; possible suggestions. </w:t>
      </w:r>
      <w:r w:rsidRPr="00136CDA">
        <w:rPr>
          <w:i/>
          <w:iCs/>
          <w:color w:val="auto"/>
          <w:shd w:val="solid" w:color="FFFFFF" w:fill="FFFFFF"/>
          <w:lang w:val="en-US" w:eastAsia="en-US" w:bidi="ar-SA"/>
        </w:rPr>
        <w:t>Journal of Economics and Business</w:t>
      </w:r>
      <w:r w:rsidRPr="00136CDA">
        <w:rPr>
          <w:color w:val="auto"/>
          <w:shd w:val="solid" w:color="FFFFFF" w:fill="FFFFFF"/>
          <w:lang w:val="en-US" w:eastAsia="en-US" w:bidi="ar-SA"/>
        </w:rPr>
        <w:t>, </w:t>
      </w:r>
      <w:r w:rsidRPr="00136CDA">
        <w:rPr>
          <w:i/>
          <w:iCs/>
          <w:color w:val="auto"/>
          <w:shd w:val="solid" w:color="FFFFFF" w:fill="FFFFFF"/>
          <w:lang w:val="en-US" w:eastAsia="en-US" w:bidi="ar-SA"/>
        </w:rPr>
        <w:t>116</w:t>
      </w:r>
      <w:r w:rsidRPr="00136CDA">
        <w:rPr>
          <w:color w:val="auto"/>
          <w:shd w:val="solid" w:color="FFFFFF" w:fill="FFFFFF"/>
          <w:lang w:val="en-US" w:eastAsia="en-US" w:bidi="ar-SA"/>
        </w:rPr>
        <w:t xml:space="preserve">, p.106004. </w:t>
      </w:r>
    </w:p>
    <w:p w14:paraId="424204F7"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Karim, R., Mamun, M.A.A. and Kamruzzaman, A.S.M., 2024. Cash conversion cycle and financial performance: evidence from manufacturing firms of Bangladesh. </w:t>
      </w:r>
      <w:r w:rsidRPr="00136CDA">
        <w:rPr>
          <w:i/>
          <w:iCs/>
          <w:color w:val="auto"/>
          <w:shd w:val="solid" w:color="FFFFFF" w:fill="FFFFFF"/>
          <w:lang w:val="en-US" w:eastAsia="en-US" w:bidi="ar-SA"/>
        </w:rPr>
        <w:t>Asian Journal of Economics and Banking</w:t>
      </w:r>
      <w:r w:rsidRPr="00136CDA">
        <w:rPr>
          <w:color w:val="auto"/>
          <w:shd w:val="solid" w:color="FFFFFF" w:fill="FFFFFF"/>
          <w:lang w:val="en-US" w:eastAsia="en-US" w:bidi="ar-SA"/>
        </w:rPr>
        <w:t>, </w:t>
      </w:r>
      <w:r w:rsidRPr="00136CDA">
        <w:rPr>
          <w:i/>
          <w:iCs/>
          <w:color w:val="auto"/>
          <w:shd w:val="solid" w:color="FFFFFF" w:fill="FFFFFF"/>
          <w:lang w:val="en-US" w:eastAsia="en-US" w:bidi="ar-SA"/>
        </w:rPr>
        <w:t>8</w:t>
      </w:r>
      <w:r w:rsidRPr="00136CDA">
        <w:rPr>
          <w:color w:val="auto"/>
          <w:shd w:val="solid" w:color="FFFFFF" w:fill="FFFFFF"/>
          <w:lang w:val="en-US" w:eastAsia="en-US" w:bidi="ar-SA"/>
        </w:rPr>
        <w:t xml:space="preserve">(1), pp.67-82. </w:t>
      </w:r>
    </w:p>
    <w:p w14:paraId="79C5450E"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Katira, S., Otegenkyzy, I.Z., Bakytgul, Z., Begzat, N. and Zhangul, B., 2021. MAIN PROBLEMS OF WORKING CAPITAL ORGANIZATION AND MANAGEMENT IN THE COMPANY. </w:t>
      </w:r>
      <w:r w:rsidRPr="00136CDA">
        <w:rPr>
          <w:i/>
          <w:iCs/>
          <w:color w:val="auto"/>
          <w:shd w:val="solid" w:color="FFFFFF" w:fill="FFFFFF"/>
          <w:lang w:val="en-US" w:eastAsia="en-US" w:bidi="ar-SA"/>
        </w:rPr>
        <w:t>«Вестник НАН РК»</w:t>
      </w:r>
      <w:r w:rsidRPr="00136CDA">
        <w:rPr>
          <w:color w:val="auto"/>
          <w:shd w:val="solid" w:color="FFFFFF" w:fill="FFFFFF"/>
          <w:lang w:val="en-US" w:eastAsia="en-US" w:bidi="ar-SA"/>
        </w:rPr>
        <w:t xml:space="preserve">, (1), pp.238-245. </w:t>
      </w:r>
    </w:p>
    <w:p w14:paraId="1FF71550"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Laliberte, B., Marsh, W.B. and Sharma, P., 2023. Community Bank Funding Is Getting Costlier and Riskier. </w:t>
      </w:r>
      <w:r w:rsidRPr="00136CDA">
        <w:rPr>
          <w:i/>
          <w:iCs/>
          <w:color w:val="auto"/>
          <w:shd w:val="solid" w:color="FFFFFF" w:fill="FFFFFF"/>
          <w:lang w:val="en-US" w:eastAsia="en-US" w:bidi="ar-SA"/>
        </w:rPr>
        <w:t>Economic Bulletin</w:t>
      </w:r>
      <w:r w:rsidRPr="00136CDA">
        <w:rPr>
          <w:color w:val="auto"/>
          <w:shd w:val="solid" w:color="FFFFFF" w:fill="FFFFFF"/>
          <w:lang w:val="en-US" w:eastAsia="en-US" w:bidi="ar-SA"/>
        </w:rPr>
        <w:t xml:space="preserve">, pp.1-4. </w:t>
      </w:r>
    </w:p>
    <w:p w14:paraId="64F94ED7"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Metwaly, A., Reitmeier, S. and Haller, D., 2022. Microbiome risk profiles as biomarkers for inflammatory and metabolic disorders. </w:t>
      </w:r>
      <w:r w:rsidRPr="00136CDA">
        <w:rPr>
          <w:i/>
          <w:iCs/>
          <w:color w:val="auto"/>
          <w:shd w:val="solid" w:color="FFFFFF" w:fill="FFFFFF"/>
          <w:lang w:val="en-US" w:eastAsia="en-US" w:bidi="ar-SA"/>
        </w:rPr>
        <w:t>Nature reviews Gastroenterology &amp; hepatology</w:t>
      </w:r>
      <w:r w:rsidRPr="00136CDA">
        <w:rPr>
          <w:color w:val="auto"/>
          <w:shd w:val="solid" w:color="FFFFFF" w:fill="FFFFFF"/>
          <w:lang w:val="en-US" w:eastAsia="en-US" w:bidi="ar-SA"/>
        </w:rPr>
        <w:t>, </w:t>
      </w:r>
      <w:r w:rsidRPr="00136CDA">
        <w:rPr>
          <w:i/>
          <w:iCs/>
          <w:color w:val="auto"/>
          <w:shd w:val="solid" w:color="FFFFFF" w:fill="FFFFFF"/>
          <w:lang w:val="en-US" w:eastAsia="en-US" w:bidi="ar-SA"/>
        </w:rPr>
        <w:t>19</w:t>
      </w:r>
      <w:r w:rsidRPr="00136CDA">
        <w:rPr>
          <w:color w:val="auto"/>
          <w:shd w:val="solid" w:color="FFFFFF" w:fill="FFFFFF"/>
          <w:lang w:val="en-US" w:eastAsia="en-US" w:bidi="ar-SA"/>
        </w:rPr>
        <w:t xml:space="preserve">(6), pp.383-397. </w:t>
      </w:r>
    </w:p>
    <w:p w14:paraId="4B527176"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Moallic, F., Rose, B., Caillaud, E. and Schleinkofer, U., 2025. Empirical observation and comparison of product portfolio till the complexity crisis and beyond: case study in the cutting tool industry. </w:t>
      </w:r>
      <w:r w:rsidRPr="00136CDA">
        <w:rPr>
          <w:i/>
          <w:iCs/>
          <w:color w:val="auto"/>
          <w:shd w:val="solid" w:color="FFFFFF" w:fill="FFFFFF"/>
          <w:lang w:val="en-US" w:eastAsia="en-US" w:bidi="ar-SA"/>
        </w:rPr>
        <w:t>International Journal of Production Research</w:t>
      </w:r>
      <w:r w:rsidRPr="00136CDA">
        <w:rPr>
          <w:color w:val="auto"/>
          <w:shd w:val="solid" w:color="FFFFFF" w:fill="FFFFFF"/>
          <w:lang w:val="en-US" w:eastAsia="en-US" w:bidi="ar-SA"/>
        </w:rPr>
        <w:t>, pp.1-20.</w:t>
      </w:r>
    </w:p>
    <w:p w14:paraId="34D7902A"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Mursalini, W.I., Nasrah, R. and Anggriani, S.Y., 2024. Analysis of Current Ratio and Debt Ratio on Profitability of Retail Trade Sub-Sector Companies Listed on the Indonesian Stock Exchange for the Period 2018-2022. </w:t>
      </w:r>
      <w:r w:rsidRPr="00136CDA">
        <w:rPr>
          <w:i/>
          <w:iCs/>
          <w:color w:val="auto"/>
          <w:shd w:val="solid" w:color="FFFFFF" w:fill="FFFFFF"/>
          <w:lang w:val="en-US" w:eastAsia="en-US" w:bidi="ar-SA"/>
        </w:rPr>
        <w:t>Journal Of Management, Accounting, General Finance And International Economic Issues</w:t>
      </w:r>
      <w:r w:rsidRPr="00136CDA">
        <w:rPr>
          <w:color w:val="auto"/>
          <w:shd w:val="solid" w:color="FFFFFF" w:fill="FFFFFF"/>
          <w:lang w:val="en-US" w:eastAsia="en-US" w:bidi="ar-SA"/>
        </w:rPr>
        <w:t>, </w:t>
      </w:r>
      <w:r w:rsidRPr="00136CDA">
        <w:rPr>
          <w:i/>
          <w:iCs/>
          <w:color w:val="auto"/>
          <w:shd w:val="solid" w:color="FFFFFF" w:fill="FFFFFF"/>
          <w:lang w:val="en-US" w:eastAsia="en-US" w:bidi="ar-SA"/>
        </w:rPr>
        <w:t>4</w:t>
      </w:r>
      <w:r w:rsidRPr="00136CDA">
        <w:rPr>
          <w:color w:val="auto"/>
          <w:shd w:val="solid" w:color="FFFFFF" w:fill="FFFFFF"/>
          <w:lang w:val="en-US" w:eastAsia="en-US" w:bidi="ar-SA"/>
        </w:rPr>
        <w:t>(1), pp.12-21.</w:t>
      </w:r>
    </w:p>
    <w:p w14:paraId="4CC25BFF"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Nie, F., 2025. Early payment, R&amp;D investment, and firm performance in a technology-intensive supply chain. </w:t>
      </w:r>
      <w:r w:rsidRPr="00136CDA">
        <w:rPr>
          <w:i/>
          <w:iCs/>
          <w:color w:val="auto"/>
          <w:shd w:val="solid" w:color="FFFFFF" w:fill="FFFFFF"/>
          <w:lang w:val="en-US" w:eastAsia="en-US" w:bidi="ar-SA"/>
        </w:rPr>
        <w:t>International Journal of Production Research</w:t>
      </w:r>
      <w:r w:rsidRPr="00136CDA">
        <w:rPr>
          <w:color w:val="auto"/>
          <w:shd w:val="solid" w:color="FFFFFF" w:fill="FFFFFF"/>
          <w:lang w:val="en-US" w:eastAsia="en-US" w:bidi="ar-SA"/>
        </w:rPr>
        <w:t xml:space="preserve">, pp.1-13. </w:t>
      </w:r>
    </w:p>
    <w:p w14:paraId="57501D14"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lastRenderedPageBreak/>
        <w:t>Olayinka, A.A., 2022. Financial statement analysis as a tool for investment decisions and assessment of companies’ performance. </w:t>
      </w:r>
      <w:r w:rsidRPr="00136CDA">
        <w:rPr>
          <w:i/>
          <w:iCs/>
          <w:color w:val="auto"/>
          <w:shd w:val="solid" w:color="FFFFFF" w:fill="FFFFFF"/>
          <w:lang w:val="en-US" w:eastAsia="en-US" w:bidi="ar-SA"/>
        </w:rPr>
        <w:t>International Journal of Financial, Accounting, and Management</w:t>
      </w:r>
      <w:r w:rsidRPr="00136CDA">
        <w:rPr>
          <w:color w:val="auto"/>
          <w:shd w:val="solid" w:color="FFFFFF" w:fill="FFFFFF"/>
          <w:lang w:val="en-US" w:eastAsia="en-US" w:bidi="ar-SA"/>
        </w:rPr>
        <w:t>, </w:t>
      </w:r>
      <w:r w:rsidRPr="00136CDA">
        <w:rPr>
          <w:i/>
          <w:iCs/>
          <w:color w:val="auto"/>
          <w:shd w:val="solid" w:color="FFFFFF" w:fill="FFFFFF"/>
          <w:lang w:val="en-US" w:eastAsia="en-US" w:bidi="ar-SA"/>
        </w:rPr>
        <w:t>4</w:t>
      </w:r>
      <w:r w:rsidRPr="00136CDA">
        <w:rPr>
          <w:color w:val="auto"/>
          <w:shd w:val="solid" w:color="FFFFFF" w:fill="FFFFFF"/>
          <w:lang w:val="en-US" w:eastAsia="en-US" w:bidi="ar-SA"/>
        </w:rPr>
        <w:t xml:space="preserve">(1), pp.49-66. </w:t>
      </w:r>
    </w:p>
    <w:p w14:paraId="37786122"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O'Mahoney, L.L., Routen, A., Gillies, C., Ekezie, W., Welford, A., Zhang, A., Karamchandani, U., Simms-Williams, N., Cassambai, S., Ardavani, A. and Wilkinson, T.J., 2023. The prevalence and long-term health effects of Long Covid among hospitalised and non-hospitalised populations: A systematic review and meta-analysis. </w:t>
      </w:r>
      <w:r w:rsidRPr="00136CDA">
        <w:rPr>
          <w:i/>
          <w:iCs/>
          <w:color w:val="auto"/>
          <w:shd w:val="solid" w:color="FFFFFF" w:fill="FFFFFF"/>
          <w:lang w:val="en-US" w:eastAsia="en-US" w:bidi="ar-SA"/>
        </w:rPr>
        <w:t>EClinicalMedicine</w:t>
      </w:r>
      <w:r w:rsidRPr="00136CDA">
        <w:rPr>
          <w:color w:val="auto"/>
          <w:shd w:val="solid" w:color="FFFFFF" w:fill="FFFFFF"/>
          <w:lang w:val="en-US" w:eastAsia="en-US" w:bidi="ar-SA"/>
        </w:rPr>
        <w:t>, </w:t>
      </w:r>
      <w:r w:rsidRPr="00136CDA">
        <w:rPr>
          <w:i/>
          <w:iCs/>
          <w:color w:val="auto"/>
          <w:shd w:val="solid" w:color="FFFFFF" w:fill="FFFFFF"/>
          <w:lang w:val="en-US" w:eastAsia="en-US" w:bidi="ar-SA"/>
        </w:rPr>
        <w:t>55</w:t>
      </w:r>
      <w:r w:rsidRPr="00136CDA">
        <w:rPr>
          <w:color w:val="auto"/>
          <w:shd w:val="solid" w:color="FFFFFF" w:fill="FFFFFF"/>
          <w:lang w:val="en-US" w:eastAsia="en-US" w:bidi="ar-SA"/>
        </w:rPr>
        <w:t xml:space="preserve">. </w:t>
      </w:r>
    </w:p>
    <w:p w14:paraId="2033192A"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Pani, I., Putranto, D.D.A. and Wardhani, P.K., 2021. Net present value (NPV) of the rehabilitated irrigation channels to increase agricultural production. </w:t>
      </w:r>
      <w:r w:rsidRPr="00136CDA">
        <w:rPr>
          <w:i/>
          <w:iCs/>
          <w:color w:val="auto"/>
          <w:shd w:val="solid" w:color="FFFFFF" w:fill="FFFFFF"/>
          <w:lang w:val="en-US" w:eastAsia="en-US" w:bidi="ar-SA"/>
        </w:rPr>
        <w:t>International Journal of Advanced Technology and Engineering Exploration</w:t>
      </w:r>
      <w:r w:rsidRPr="00136CDA">
        <w:rPr>
          <w:color w:val="auto"/>
          <w:shd w:val="solid" w:color="FFFFFF" w:fill="FFFFFF"/>
          <w:lang w:val="en-US" w:eastAsia="en-US" w:bidi="ar-SA"/>
        </w:rPr>
        <w:t>, </w:t>
      </w:r>
      <w:r w:rsidRPr="00136CDA">
        <w:rPr>
          <w:i/>
          <w:iCs/>
          <w:color w:val="auto"/>
          <w:shd w:val="solid" w:color="FFFFFF" w:fill="FFFFFF"/>
          <w:lang w:val="en-US" w:eastAsia="en-US" w:bidi="ar-SA"/>
        </w:rPr>
        <w:t>8</w:t>
      </w:r>
      <w:r w:rsidRPr="00136CDA">
        <w:rPr>
          <w:color w:val="auto"/>
          <w:shd w:val="solid" w:color="FFFFFF" w:fill="FFFFFF"/>
          <w:lang w:val="en-US" w:eastAsia="en-US" w:bidi="ar-SA"/>
        </w:rPr>
        <w:t xml:space="preserve">(78), p.576.  </w:t>
      </w:r>
    </w:p>
    <w:p w14:paraId="6359227E" w14:textId="77777777" w:rsidR="00A77B3E" w:rsidRPr="00136CDA" w:rsidRDefault="00A96C87">
      <w:pPr>
        <w:rPr>
          <w:color w:val="auto"/>
          <w:sz w:val="32"/>
          <w:szCs w:val="32"/>
          <w:shd w:val="solid" w:color="FFFFFF" w:fill="FFFFFF"/>
          <w:lang w:val="en-US" w:bidi="ar-SA"/>
        </w:rPr>
      </w:pPr>
      <w:r w:rsidRPr="00136CDA">
        <w:rPr>
          <w:color w:val="auto"/>
          <w:shd w:val="solid" w:color="FFFFFF" w:fill="FFFFFF"/>
          <w:lang w:val="en-US" w:eastAsia="en-US" w:bidi="ar-SA"/>
        </w:rPr>
        <w:t>Petrusevich, D., 2021. Improvement of time series forecasting quality by means of multiple models prediction averaging.</w:t>
      </w:r>
    </w:p>
    <w:p w14:paraId="6D8D2B7D"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Purnamasari, P. and Adriza, 2024. Capital budgeting techniques and financial performance: a comparison between SMEs and large listed firms. </w:t>
      </w:r>
      <w:r w:rsidRPr="00136CDA">
        <w:rPr>
          <w:i/>
          <w:iCs/>
          <w:color w:val="auto"/>
          <w:shd w:val="solid" w:color="FFFFFF" w:fill="FFFFFF"/>
          <w:lang w:val="en-US" w:eastAsia="en-US" w:bidi="ar-SA"/>
        </w:rPr>
        <w:t>Cogent Economics &amp; Finance</w:t>
      </w:r>
      <w:r w:rsidRPr="00136CDA">
        <w:rPr>
          <w:color w:val="auto"/>
          <w:shd w:val="solid" w:color="FFFFFF" w:fill="FFFFFF"/>
          <w:lang w:val="en-US" w:eastAsia="en-US" w:bidi="ar-SA"/>
        </w:rPr>
        <w:t>, </w:t>
      </w:r>
      <w:r w:rsidRPr="00136CDA">
        <w:rPr>
          <w:i/>
          <w:iCs/>
          <w:color w:val="auto"/>
          <w:shd w:val="solid" w:color="FFFFFF" w:fill="FFFFFF"/>
          <w:lang w:val="en-US" w:eastAsia="en-US" w:bidi="ar-SA"/>
        </w:rPr>
        <w:t>12</w:t>
      </w:r>
      <w:r w:rsidRPr="00136CDA">
        <w:rPr>
          <w:color w:val="auto"/>
          <w:shd w:val="solid" w:color="FFFFFF" w:fill="FFFFFF"/>
          <w:lang w:val="en-US" w:eastAsia="en-US" w:bidi="ar-SA"/>
        </w:rPr>
        <w:t>(1), p.2404707.</w:t>
      </w:r>
    </w:p>
    <w:p w14:paraId="5BCA53F1"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Putri, T.O.D.S., 2024. The Effect of Managing Receivables and Inventory on Profitability: A Case Study of a Multifinance Company in Medan. </w:t>
      </w:r>
      <w:r w:rsidRPr="00136CDA">
        <w:rPr>
          <w:i/>
          <w:iCs/>
          <w:color w:val="auto"/>
          <w:shd w:val="solid" w:color="FFFFFF" w:fill="FFFFFF"/>
          <w:lang w:val="en-US" w:eastAsia="en-US" w:bidi="ar-SA"/>
        </w:rPr>
        <w:t>Jurnal Ekonomi, Bisnis &amp; Entrepreneurship (e-Journal)</w:t>
      </w:r>
      <w:r w:rsidRPr="00136CDA">
        <w:rPr>
          <w:color w:val="auto"/>
          <w:shd w:val="solid" w:color="FFFFFF" w:fill="FFFFFF"/>
          <w:lang w:val="en-US" w:eastAsia="en-US" w:bidi="ar-SA"/>
        </w:rPr>
        <w:t>, </w:t>
      </w:r>
      <w:r w:rsidRPr="00136CDA">
        <w:rPr>
          <w:i/>
          <w:iCs/>
          <w:color w:val="auto"/>
          <w:shd w:val="solid" w:color="FFFFFF" w:fill="FFFFFF"/>
          <w:lang w:val="en-US" w:eastAsia="en-US" w:bidi="ar-SA"/>
        </w:rPr>
        <w:t>18</w:t>
      </w:r>
      <w:r w:rsidRPr="00136CDA">
        <w:rPr>
          <w:color w:val="auto"/>
          <w:shd w:val="solid" w:color="FFFFFF" w:fill="FFFFFF"/>
          <w:lang w:val="en-US" w:eastAsia="en-US" w:bidi="ar-SA"/>
        </w:rPr>
        <w:t xml:space="preserve">(2), pp.415-426. </w:t>
      </w:r>
    </w:p>
    <w:p w14:paraId="7C03365D"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Raj, R. and Tirkey, J.V., 2023. Techno-economic assessment of sugarcane bagasse pith-based briquette production and performance analysis of briquette feed gasifier-engine system. </w:t>
      </w:r>
      <w:r w:rsidRPr="00136CDA">
        <w:rPr>
          <w:i/>
          <w:iCs/>
          <w:color w:val="auto"/>
          <w:shd w:val="solid" w:color="FFFFFF" w:fill="FFFFFF"/>
          <w:lang w:val="en-US" w:eastAsia="en-US" w:bidi="ar-SA"/>
        </w:rPr>
        <w:t>Journal of Environmental Management</w:t>
      </w:r>
      <w:r w:rsidRPr="00136CDA">
        <w:rPr>
          <w:color w:val="auto"/>
          <w:shd w:val="solid" w:color="FFFFFF" w:fill="FFFFFF"/>
          <w:lang w:val="en-US" w:eastAsia="en-US" w:bidi="ar-SA"/>
        </w:rPr>
        <w:t>, </w:t>
      </w:r>
      <w:r w:rsidRPr="00136CDA">
        <w:rPr>
          <w:i/>
          <w:iCs/>
          <w:color w:val="auto"/>
          <w:shd w:val="solid" w:color="FFFFFF" w:fill="FFFFFF"/>
          <w:lang w:val="en-US" w:eastAsia="en-US" w:bidi="ar-SA"/>
        </w:rPr>
        <w:t>345</w:t>
      </w:r>
      <w:r w:rsidRPr="00136CDA">
        <w:rPr>
          <w:color w:val="auto"/>
          <w:shd w:val="solid" w:color="FFFFFF" w:fill="FFFFFF"/>
          <w:lang w:val="en-US" w:eastAsia="en-US" w:bidi="ar-SA"/>
        </w:rPr>
        <w:t xml:space="preserve">, p.118828.  </w:t>
      </w:r>
    </w:p>
    <w:p w14:paraId="22498A9E"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Rey-Ares, L., Fernández-López, S. and Rodeiro-Pazos, D., 2021. Impact of working capital management on profitability for Spanish fish canning companies. </w:t>
      </w:r>
      <w:r w:rsidRPr="00136CDA">
        <w:rPr>
          <w:i/>
          <w:iCs/>
          <w:color w:val="auto"/>
          <w:shd w:val="solid" w:color="FFFFFF" w:fill="FFFFFF"/>
          <w:lang w:val="en-US" w:eastAsia="en-US" w:bidi="ar-SA"/>
        </w:rPr>
        <w:t>Marine Policy</w:t>
      </w:r>
      <w:r w:rsidRPr="00136CDA">
        <w:rPr>
          <w:color w:val="auto"/>
          <w:shd w:val="solid" w:color="FFFFFF" w:fill="FFFFFF"/>
          <w:lang w:val="en-US" w:eastAsia="en-US" w:bidi="ar-SA"/>
        </w:rPr>
        <w:t>, </w:t>
      </w:r>
      <w:r w:rsidRPr="00136CDA">
        <w:rPr>
          <w:i/>
          <w:iCs/>
          <w:color w:val="auto"/>
          <w:shd w:val="solid" w:color="FFFFFF" w:fill="FFFFFF"/>
          <w:lang w:val="en-US" w:eastAsia="en-US" w:bidi="ar-SA"/>
        </w:rPr>
        <w:t>130</w:t>
      </w:r>
      <w:r w:rsidRPr="00136CDA">
        <w:rPr>
          <w:color w:val="auto"/>
          <w:shd w:val="solid" w:color="FFFFFF" w:fill="FFFFFF"/>
          <w:lang w:val="en-US" w:eastAsia="en-US" w:bidi="ar-SA"/>
        </w:rPr>
        <w:t>, p.104583.</w:t>
      </w:r>
    </w:p>
    <w:p w14:paraId="7A579A8C"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Shafiquea, A., Kashifb, A.R., Haiderc, A., Zaheerd, N. and Khan, S., 2021. Effect of asset utilisation and corporate growth on financial performance. </w:t>
      </w:r>
      <w:r w:rsidRPr="00136CDA">
        <w:rPr>
          <w:i/>
          <w:iCs/>
          <w:color w:val="auto"/>
          <w:shd w:val="solid" w:color="FFFFFF" w:fill="FFFFFF"/>
          <w:lang w:val="en-US" w:eastAsia="en-US" w:bidi="ar-SA"/>
        </w:rPr>
        <w:t>International Journal of Innovation, Creativity and Change</w:t>
      </w:r>
      <w:r w:rsidRPr="00136CDA">
        <w:rPr>
          <w:color w:val="auto"/>
          <w:shd w:val="solid" w:color="FFFFFF" w:fill="FFFFFF"/>
          <w:lang w:val="en-US" w:eastAsia="en-US" w:bidi="ar-SA"/>
        </w:rPr>
        <w:t>, </w:t>
      </w:r>
      <w:r w:rsidRPr="00136CDA">
        <w:rPr>
          <w:i/>
          <w:iCs/>
          <w:color w:val="auto"/>
          <w:shd w:val="solid" w:color="FFFFFF" w:fill="FFFFFF"/>
          <w:lang w:val="en-US" w:eastAsia="en-US" w:bidi="ar-SA"/>
        </w:rPr>
        <w:t>15</w:t>
      </w:r>
      <w:r w:rsidRPr="00136CDA">
        <w:rPr>
          <w:color w:val="auto"/>
          <w:shd w:val="solid" w:color="FFFFFF" w:fill="FFFFFF"/>
          <w:lang w:val="en-US" w:eastAsia="en-US" w:bidi="ar-SA"/>
        </w:rPr>
        <w:t xml:space="preserve">(5), pp.1104-1118. </w:t>
      </w:r>
    </w:p>
    <w:p w14:paraId="0DD0F42F"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Shou, T., 2022, July. A literature review on the net present value (NPV) valuation method. In </w:t>
      </w:r>
      <w:r w:rsidRPr="00136CDA">
        <w:rPr>
          <w:i/>
          <w:iCs/>
          <w:color w:val="auto"/>
          <w:shd w:val="solid" w:color="FFFFFF" w:fill="FFFFFF"/>
          <w:lang w:val="en-US" w:eastAsia="en-US" w:bidi="ar-SA"/>
        </w:rPr>
        <w:t>2022 2nd International Conference on Enterprise Management and Economic Development (ICEMED 2022)</w:t>
      </w:r>
      <w:r w:rsidRPr="00136CDA">
        <w:rPr>
          <w:color w:val="auto"/>
          <w:shd w:val="solid" w:color="FFFFFF" w:fill="FFFFFF"/>
          <w:lang w:val="en-US" w:eastAsia="en-US" w:bidi="ar-SA"/>
        </w:rPr>
        <w:t xml:space="preserve"> (pp. 826-830). Atlantis Press. </w:t>
      </w:r>
    </w:p>
    <w:p w14:paraId="2434645A"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Shubita, M.F., 2023. The relationship between profitability and cash flow in Jordanian banks. </w:t>
      </w:r>
      <w:r w:rsidRPr="00136CDA">
        <w:rPr>
          <w:i/>
          <w:iCs/>
          <w:color w:val="auto"/>
          <w:shd w:val="solid" w:color="FFFFFF" w:fill="FFFFFF"/>
          <w:lang w:val="en-US" w:eastAsia="en-US" w:bidi="ar-SA"/>
        </w:rPr>
        <w:t>Banks and Bank Systems</w:t>
      </w:r>
      <w:r w:rsidRPr="00136CDA">
        <w:rPr>
          <w:color w:val="auto"/>
          <w:shd w:val="solid" w:color="FFFFFF" w:fill="FFFFFF"/>
          <w:lang w:val="en-US" w:eastAsia="en-US" w:bidi="ar-SA"/>
        </w:rPr>
        <w:t>, </w:t>
      </w:r>
      <w:r w:rsidRPr="00136CDA">
        <w:rPr>
          <w:i/>
          <w:iCs/>
          <w:color w:val="auto"/>
          <w:shd w:val="solid" w:color="FFFFFF" w:fill="FFFFFF"/>
          <w:lang w:val="en-US" w:eastAsia="en-US" w:bidi="ar-SA"/>
        </w:rPr>
        <w:t>18</w:t>
      </w:r>
      <w:r w:rsidRPr="00136CDA">
        <w:rPr>
          <w:color w:val="auto"/>
          <w:shd w:val="solid" w:color="FFFFFF" w:fill="FFFFFF"/>
          <w:lang w:val="en-US" w:eastAsia="en-US" w:bidi="ar-SA"/>
        </w:rPr>
        <w:t xml:space="preserve">(4), p.195. </w:t>
      </w:r>
    </w:p>
    <w:p w14:paraId="08FA89CB"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lastRenderedPageBreak/>
        <w:t xml:space="preserve">Spratt, S., Lawlor, E. and Coppens, V., 2021. Core concepts in blended finance: Assessment of uses and implications for evaluation. </w:t>
      </w:r>
    </w:p>
    <w:p w14:paraId="0E84F3F6"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Umoh, E., 2024. An Empirical Analysis of Asset Utilisation and Financial Performance: Evidence from Neimeth International Pharmaceuticals Plc (2013-2022). </w:t>
      </w:r>
      <w:r w:rsidRPr="00136CDA">
        <w:rPr>
          <w:i/>
          <w:iCs/>
          <w:color w:val="auto"/>
          <w:shd w:val="solid" w:color="FFFFFF" w:fill="FFFFFF"/>
          <w:lang w:val="en-US" w:eastAsia="en-US" w:bidi="ar-SA"/>
        </w:rPr>
        <w:t>An Empirical Analysis of Asset Utilisation and Financial Performance: Evidence from Neimeth International Pharmaceuticals Plc (2013-2022)(September 09, 2024)</w:t>
      </w:r>
      <w:r w:rsidRPr="00136CDA">
        <w:rPr>
          <w:color w:val="auto"/>
          <w:shd w:val="solid" w:color="FFFFFF" w:fill="FFFFFF"/>
          <w:lang w:val="en-US" w:eastAsia="en-US" w:bidi="ar-SA"/>
        </w:rPr>
        <w:t xml:space="preserve">. </w:t>
      </w:r>
    </w:p>
    <w:p w14:paraId="1D8FD539"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 xml:space="preserve">Usman, A. and Abdullah, A., 2024. Feasibility Analysis and Production Increase Strategy for Marine Ornamental Fish Agribusiness. </w:t>
      </w:r>
    </w:p>
    <w:p w14:paraId="31F3AFAB"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Yang, Z. and Zhu, N., 2023. The timing of debt renegotiation and its implications for irreversible investment and capital structure. </w:t>
      </w:r>
      <w:r w:rsidRPr="00136CDA">
        <w:rPr>
          <w:i/>
          <w:iCs/>
          <w:color w:val="auto"/>
          <w:shd w:val="solid" w:color="FFFFFF" w:fill="FFFFFF"/>
          <w:lang w:val="en-US" w:eastAsia="en-US" w:bidi="ar-SA"/>
        </w:rPr>
        <w:t>Quantitative Finance</w:t>
      </w:r>
      <w:r w:rsidRPr="00136CDA">
        <w:rPr>
          <w:color w:val="auto"/>
          <w:shd w:val="solid" w:color="FFFFFF" w:fill="FFFFFF"/>
          <w:lang w:val="en-US" w:eastAsia="en-US" w:bidi="ar-SA"/>
        </w:rPr>
        <w:t>, </w:t>
      </w:r>
      <w:r w:rsidRPr="00136CDA">
        <w:rPr>
          <w:i/>
          <w:iCs/>
          <w:color w:val="auto"/>
          <w:shd w:val="solid" w:color="FFFFFF" w:fill="FFFFFF"/>
          <w:lang w:val="en-US" w:eastAsia="en-US" w:bidi="ar-SA"/>
        </w:rPr>
        <w:t>23</w:t>
      </w:r>
      <w:r w:rsidRPr="00136CDA">
        <w:rPr>
          <w:color w:val="auto"/>
          <w:shd w:val="solid" w:color="FFFFFF" w:fill="FFFFFF"/>
          <w:lang w:val="en-US" w:eastAsia="en-US" w:bidi="ar-SA"/>
        </w:rPr>
        <w:t>(5), pp.887-900.</w:t>
      </w:r>
    </w:p>
    <w:p w14:paraId="6CA7034B" w14:textId="77777777" w:rsidR="00A77B3E" w:rsidRPr="00136CDA" w:rsidRDefault="00A96C87">
      <w:pPr>
        <w:rPr>
          <w:color w:val="auto"/>
          <w:sz w:val="40"/>
          <w:szCs w:val="40"/>
          <w:shd w:val="solid" w:color="FFFFFF" w:fill="FFFFFF"/>
          <w:lang w:val="en-US" w:bidi="ar-SA"/>
        </w:rPr>
      </w:pPr>
      <w:r w:rsidRPr="00136CDA">
        <w:rPr>
          <w:color w:val="auto"/>
          <w:shd w:val="solid" w:color="FFFFFF" w:fill="FFFFFF"/>
          <w:lang w:val="en-US" w:eastAsia="en-US" w:bidi="ar-SA"/>
        </w:rPr>
        <w:t>Yulianti, E. and Waworuntu, S.R., 2025. The effect of company size, profitability, leverage, media exposure, and liquidity on carbon emissions disclosure. </w:t>
      </w:r>
      <w:r w:rsidRPr="00136CDA">
        <w:rPr>
          <w:i/>
          <w:iCs/>
          <w:color w:val="auto"/>
          <w:shd w:val="solid" w:color="FFFFFF" w:fill="FFFFFF"/>
          <w:lang w:val="en-US" w:eastAsia="en-US" w:bidi="ar-SA"/>
        </w:rPr>
        <w:t>Annals of Data Science</w:t>
      </w:r>
      <w:r w:rsidRPr="00136CDA">
        <w:rPr>
          <w:color w:val="auto"/>
          <w:shd w:val="solid" w:color="FFFFFF" w:fill="FFFFFF"/>
          <w:lang w:val="en-US" w:eastAsia="en-US" w:bidi="ar-SA"/>
        </w:rPr>
        <w:t>, </w:t>
      </w:r>
      <w:r w:rsidRPr="00136CDA">
        <w:rPr>
          <w:i/>
          <w:iCs/>
          <w:color w:val="auto"/>
          <w:shd w:val="solid" w:color="FFFFFF" w:fill="FFFFFF"/>
          <w:lang w:val="en-US" w:eastAsia="en-US" w:bidi="ar-SA"/>
        </w:rPr>
        <w:t>12</w:t>
      </w:r>
      <w:r w:rsidRPr="00136CDA">
        <w:rPr>
          <w:color w:val="auto"/>
          <w:shd w:val="solid" w:color="FFFFFF" w:fill="FFFFFF"/>
          <w:lang w:val="en-US" w:eastAsia="en-US" w:bidi="ar-SA"/>
        </w:rPr>
        <w:t>(4), pp.1285-1313.</w:t>
      </w:r>
    </w:p>
    <w:p w14:paraId="5E363BB8"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Zaher, H. and Illescas, G.M., 2022. The Cash Conversion Cycle: A Systematic Literature Review. </w:t>
      </w:r>
      <w:r w:rsidRPr="00136CDA">
        <w:rPr>
          <w:i/>
          <w:iCs/>
          <w:color w:val="auto"/>
          <w:shd w:val="solid" w:color="FFFFFF" w:fill="FFFFFF"/>
          <w:lang w:val="en-US" w:eastAsia="en-US" w:bidi="ar-SA"/>
        </w:rPr>
        <w:t>Economic and Social Development: Book of Proceedings</w:t>
      </w:r>
      <w:r w:rsidRPr="00136CDA">
        <w:rPr>
          <w:color w:val="auto"/>
          <w:shd w:val="solid" w:color="FFFFFF" w:fill="FFFFFF"/>
          <w:lang w:val="en-US" w:eastAsia="en-US" w:bidi="ar-SA"/>
        </w:rPr>
        <w:t xml:space="preserve">, pp.18-35. </w:t>
      </w:r>
    </w:p>
    <w:p w14:paraId="619DFC33" w14:textId="77777777" w:rsidR="00A77B3E" w:rsidRPr="00136CDA" w:rsidRDefault="00A96C87">
      <w:pPr>
        <w:rPr>
          <w:color w:val="auto"/>
          <w:shd w:val="solid" w:color="FFFFFF" w:fill="FFFFFF"/>
          <w:lang w:val="en-US" w:bidi="ar-SA"/>
        </w:rPr>
      </w:pPr>
      <w:r w:rsidRPr="00136CDA">
        <w:rPr>
          <w:color w:val="auto"/>
          <w:shd w:val="solid" w:color="FFFFFF" w:fill="FFFFFF"/>
          <w:lang w:val="en-US" w:eastAsia="en-US" w:bidi="ar-SA"/>
        </w:rPr>
        <w:t>Zavidna, L., Mykolaichuk, I. and Namliiev, Y., 2024. Business restructuring as a strategy for enterprise adaptation to changes in war conditions. </w:t>
      </w:r>
      <w:r w:rsidRPr="00136CDA">
        <w:rPr>
          <w:i/>
          <w:iCs/>
          <w:color w:val="auto"/>
          <w:shd w:val="solid" w:color="FFFFFF" w:fill="FFFFFF"/>
          <w:lang w:val="en-US" w:eastAsia="en-US" w:bidi="ar-SA"/>
        </w:rPr>
        <w:t>Journal" Expert</w:t>
      </w:r>
      <w:r w:rsidRPr="00136CDA">
        <w:rPr>
          <w:color w:val="auto"/>
          <w:shd w:val="solid" w:color="FFFFFF" w:fill="FFFFFF"/>
          <w:lang w:val="en-US" w:eastAsia="en-US" w:bidi="ar-SA"/>
        </w:rPr>
        <w:t>, </w:t>
      </w:r>
      <w:r w:rsidRPr="00136CDA">
        <w:rPr>
          <w:i/>
          <w:iCs/>
          <w:color w:val="auto"/>
          <w:shd w:val="solid" w:color="FFFFFF" w:fill="FFFFFF"/>
          <w:lang w:val="en-US" w:eastAsia="en-US" w:bidi="ar-SA"/>
        </w:rPr>
        <w:t>1</w:t>
      </w:r>
      <w:r w:rsidRPr="00136CDA">
        <w:rPr>
          <w:color w:val="auto"/>
          <w:shd w:val="solid" w:color="FFFFFF" w:fill="FFFFFF"/>
          <w:lang w:val="en-US" w:eastAsia="en-US" w:bidi="ar-SA"/>
        </w:rPr>
        <w:t xml:space="preserve">(3). </w:t>
      </w:r>
    </w:p>
    <w:p w14:paraId="04E1221F" w14:textId="77777777" w:rsidR="00A77B3E" w:rsidRPr="00136CDA" w:rsidRDefault="00A96C87">
      <w:pPr>
        <w:pStyle w:val="Heading1"/>
        <w:pageBreakBefore/>
        <w:spacing w:line="360" w:lineRule="auto"/>
        <w:rPr>
          <w:color w:val="auto"/>
          <w:shd w:val="solid" w:color="FFFFFF" w:fill="FFFFFF"/>
          <w:lang w:val="en-US" w:bidi="ar-SA"/>
        </w:rPr>
      </w:pPr>
      <w:bookmarkStart w:id="32" w:name="h.po8etemibw1f"/>
      <w:bookmarkEnd w:id="32"/>
      <w:r w:rsidRPr="00136CDA">
        <w:rPr>
          <w:color w:val="auto"/>
          <w:lang w:val="en-US" w:eastAsia="en-US" w:bidi="ar-SA"/>
        </w:rPr>
        <w:lastRenderedPageBreak/>
        <w:t>Appendices</w:t>
      </w:r>
    </w:p>
    <w:p w14:paraId="4BE6C0D3" w14:textId="77777777" w:rsidR="00A77B3E" w:rsidRPr="00136CDA" w:rsidRDefault="00A96C87">
      <w:pPr>
        <w:rPr>
          <w:b/>
          <w:bCs/>
          <w:color w:val="auto"/>
          <w:lang w:val="en-US" w:bidi="ar-SA"/>
        </w:rPr>
      </w:pPr>
      <w:r w:rsidRPr="00136CDA">
        <w:rPr>
          <w:b/>
          <w:bCs/>
          <w:color w:val="auto"/>
          <w:lang w:val="en-US" w:eastAsia="en-US" w:bidi="ar-SA"/>
        </w:rPr>
        <w:t>Appendix 1:  Ratio</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tblCellMar>
        <w:tblLook w:val="04A0" w:firstRow="1" w:lastRow="0" w:firstColumn="1" w:lastColumn="0" w:noHBand="0" w:noVBand="1"/>
      </w:tblPr>
      <w:tblGrid>
        <w:gridCol w:w="1564"/>
        <w:gridCol w:w="1018"/>
        <w:gridCol w:w="1657"/>
        <w:gridCol w:w="1165"/>
        <w:gridCol w:w="1165"/>
        <w:gridCol w:w="1165"/>
        <w:gridCol w:w="1165"/>
        <w:gridCol w:w="1165"/>
      </w:tblGrid>
      <w:tr w:rsidR="00136CDA" w:rsidRPr="00136CDA" w14:paraId="5941BC7E" w14:textId="77777777">
        <w:trPr>
          <w:trHeight w:val="312"/>
        </w:trPr>
        <w:tc>
          <w:tcPr>
            <w:tcW w:w="1531"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6E80360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Profitability Ratios</w:t>
            </w:r>
          </w:p>
        </w:tc>
        <w:tc>
          <w:tcPr>
            <w:tcW w:w="619"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47A52FB7"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2"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2724477D"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35D74F3E"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2007C648"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654E79F1"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0EA8FED3"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4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0444AA31" w14:textId="77777777" w:rsidR="00A77B3E" w:rsidRPr="00136CDA" w:rsidRDefault="00A77B3E">
            <w:pPr>
              <w:widowControl w:val="0"/>
              <w:spacing w:line="276" w:lineRule="auto"/>
              <w:jc w:val="left"/>
              <w:rPr>
                <w:rFonts w:ascii="Arial" w:hAnsi="Arial" w:cs="Arial"/>
                <w:b/>
                <w:bCs/>
                <w:color w:val="auto"/>
                <w:lang w:val="en-US" w:eastAsia="en-US" w:bidi="ar-SA"/>
              </w:rPr>
            </w:pPr>
          </w:p>
        </w:tc>
      </w:tr>
      <w:tr w:rsidR="00136CDA" w:rsidRPr="00136CDA" w14:paraId="0B1BCDDB" w14:textId="77777777">
        <w:trPr>
          <w:trHeight w:val="312"/>
        </w:trPr>
        <w:tc>
          <w:tcPr>
            <w:tcW w:w="1531"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9E90B6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619"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C687D1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912"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F94889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Formula </w:t>
            </w:r>
          </w:p>
        </w:tc>
        <w:tc>
          <w:tcPr>
            <w:tcW w:w="1336"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20480403"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2020</w:t>
            </w:r>
          </w:p>
        </w:tc>
        <w:tc>
          <w:tcPr>
            <w:tcW w:w="1336"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5CE98B2"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2021</w:t>
            </w:r>
          </w:p>
        </w:tc>
        <w:tc>
          <w:tcPr>
            <w:tcW w:w="133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61C4A194"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2022</w:t>
            </w:r>
          </w:p>
        </w:tc>
        <w:tc>
          <w:tcPr>
            <w:tcW w:w="1336"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F779E74"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2023</w:t>
            </w:r>
          </w:p>
        </w:tc>
        <w:tc>
          <w:tcPr>
            <w:tcW w:w="94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B06B35D"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2024</w:t>
            </w:r>
          </w:p>
        </w:tc>
      </w:tr>
      <w:tr w:rsidR="00136CDA" w:rsidRPr="00136CDA" w14:paraId="4713E831"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4B5009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Net Sales</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EE42C8B"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28DB73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1BAE0BF"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6,14,680</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94CCD7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6,01,602</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2730C0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5,42,751</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2A1FC9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4,20,457</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B6399E6"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3,94,879</w:t>
            </w:r>
          </w:p>
        </w:tc>
      </w:tr>
      <w:tr w:rsidR="00136CDA" w:rsidRPr="00136CDA" w14:paraId="3F5405CA"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1BF7F4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Operating Income</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A81F08E"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B</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5F62871"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F7A3B0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37,267</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F36B24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23,253</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0619BD2"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14,548</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BA374D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-85,301</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8C66D1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-15,297</w:t>
            </w:r>
          </w:p>
        </w:tc>
      </w:tr>
      <w:tr w:rsidR="00136CDA" w:rsidRPr="00136CDA" w14:paraId="468F0FA2"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156EE89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Net income (loss)</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ADD5992"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C</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8C20DC7"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797800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38,572</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A178CBF"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5,301</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47F4D1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407</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2BC11D6"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-98,238</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405335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-24,029</w:t>
            </w:r>
          </w:p>
        </w:tc>
      </w:tr>
      <w:tr w:rsidR="00136CDA" w:rsidRPr="00136CDA" w14:paraId="26C48214"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95785D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Gross profit</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DB5F6E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D</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8CDAA2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505506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1,76,256</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7EADFD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1,73,016</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899A262"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1,52,292</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8F73F7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97,560</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04AF5CD"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1,13,994</w:t>
            </w:r>
          </w:p>
        </w:tc>
      </w:tr>
      <w:tr w:rsidR="00136CDA" w:rsidRPr="00136CDA" w14:paraId="3FFA85B1"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BBF137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Total Assets </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C5B23D5"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F</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F7A8D8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B94442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5,10,290</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206F99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5,10,348</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0A1C78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5,04,163</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97096A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3,55,872</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F508B3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3,23,354</w:t>
            </w:r>
          </w:p>
        </w:tc>
      </w:tr>
      <w:tr w:rsidR="00136CDA" w:rsidRPr="00136CDA" w14:paraId="043E04D4"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8E7ABAC"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Current Liabilities </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AB1AD31"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E</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D4E041F"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500F28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1,79,510</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063FF2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2,16,787</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7404F2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2,16,473</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929C97C"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1,61,148</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32381F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1,58,291</w:t>
            </w:r>
          </w:p>
        </w:tc>
      </w:tr>
      <w:tr w:rsidR="00136CDA" w:rsidRPr="00136CDA" w14:paraId="46EE4AD1" w14:textId="77777777">
        <w:trPr>
          <w:trHeight w:val="624"/>
        </w:trPr>
        <w:tc>
          <w:tcPr>
            <w:tcW w:w="1531"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5A4BE48D"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 xml:space="preserve">Return on Assets </w:t>
            </w:r>
          </w:p>
        </w:tc>
        <w:tc>
          <w:tcPr>
            <w:tcW w:w="619"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2C8BD42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C/F</w:t>
            </w:r>
          </w:p>
        </w:tc>
        <w:tc>
          <w:tcPr>
            <w:tcW w:w="912"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tcPr>
          <w:p w14:paraId="0B5685A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(Net Income / Total Assets) * 100</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11532FD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8%</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3F5E22F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1%</w:t>
            </w:r>
          </w:p>
        </w:tc>
        <w:tc>
          <w:tcPr>
            <w:tcW w:w="1335"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197046DC"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0%</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035B135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-28%</w:t>
            </w:r>
          </w:p>
        </w:tc>
        <w:tc>
          <w:tcPr>
            <w:tcW w:w="945"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58015A3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-7%</w:t>
            </w:r>
          </w:p>
        </w:tc>
      </w:tr>
      <w:tr w:rsidR="00136CDA" w:rsidRPr="00136CDA" w14:paraId="77C2B664" w14:textId="77777777">
        <w:trPr>
          <w:trHeight w:val="624"/>
        </w:trPr>
        <w:tc>
          <w:tcPr>
            <w:tcW w:w="1531"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3EB90A2B"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Net Margin</w:t>
            </w:r>
          </w:p>
        </w:tc>
        <w:tc>
          <w:tcPr>
            <w:tcW w:w="619"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5BC7F01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C/A</w:t>
            </w:r>
          </w:p>
        </w:tc>
        <w:tc>
          <w:tcPr>
            <w:tcW w:w="912"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2052350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(Net Income / Sales)* 100</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0CC896B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6.28%</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064A060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0.88%</w:t>
            </w:r>
          </w:p>
        </w:tc>
        <w:tc>
          <w:tcPr>
            <w:tcW w:w="1335"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60D517F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0.07%</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6A0498F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-23.36%</w:t>
            </w:r>
          </w:p>
        </w:tc>
        <w:tc>
          <w:tcPr>
            <w:tcW w:w="945"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4D6D5E2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-6.09%</w:t>
            </w:r>
          </w:p>
        </w:tc>
      </w:tr>
      <w:tr w:rsidR="00136CDA" w:rsidRPr="00136CDA" w14:paraId="54A6D1E3" w14:textId="77777777">
        <w:trPr>
          <w:trHeight w:val="936"/>
        </w:trPr>
        <w:tc>
          <w:tcPr>
            <w:tcW w:w="1531"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tcPr>
          <w:p w14:paraId="03DC1690"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Gross Profit Margin</w:t>
            </w:r>
          </w:p>
        </w:tc>
        <w:tc>
          <w:tcPr>
            <w:tcW w:w="619"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2D5A4C1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D/A</w:t>
            </w:r>
          </w:p>
        </w:tc>
        <w:tc>
          <w:tcPr>
            <w:tcW w:w="912"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7C259D3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(Gross Profit / Net Sales) * 100</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4A0C394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28.67%</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51FEB9A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28.76%</w:t>
            </w:r>
          </w:p>
        </w:tc>
        <w:tc>
          <w:tcPr>
            <w:tcW w:w="1335"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3425197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28.06%</w:t>
            </w:r>
          </w:p>
        </w:tc>
        <w:tc>
          <w:tcPr>
            <w:tcW w:w="1336"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0E4F470C"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23.20%</w:t>
            </w:r>
          </w:p>
        </w:tc>
        <w:tc>
          <w:tcPr>
            <w:tcW w:w="945" w:type="dxa"/>
            <w:tcBorders>
              <w:top w:val="single" w:sz="4" w:space="0" w:color="000000"/>
              <w:left w:val="single" w:sz="4" w:space="0" w:color="000000"/>
              <w:bottom w:val="single" w:sz="4" w:space="0" w:color="000000"/>
              <w:right w:val="single" w:sz="4" w:space="0" w:color="000000"/>
            </w:tcBorders>
            <w:shd w:val="solid" w:color="D9E1F2" w:fill="D9E1F2"/>
            <w:tcMar>
              <w:top w:w="0" w:type="dxa"/>
              <w:left w:w="115" w:type="dxa"/>
              <w:bottom w:w="0" w:type="dxa"/>
              <w:right w:w="115" w:type="dxa"/>
            </w:tcMar>
            <w:vAlign w:val="center"/>
          </w:tcPr>
          <w:p w14:paraId="1265562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28.87%</w:t>
            </w:r>
          </w:p>
        </w:tc>
      </w:tr>
      <w:tr w:rsidR="00136CDA" w:rsidRPr="00136CDA" w14:paraId="275E245A" w14:textId="77777777">
        <w:trPr>
          <w:trHeight w:val="936"/>
        </w:trPr>
        <w:tc>
          <w:tcPr>
            <w:tcW w:w="1531"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bottom"/>
          </w:tcPr>
          <w:p w14:paraId="1ECEC264" w14:textId="77777777" w:rsidR="00A77B3E" w:rsidRPr="00136CDA" w:rsidRDefault="00A77B3E">
            <w:pPr>
              <w:spacing w:line="240" w:lineRule="auto"/>
              <w:jc w:val="center"/>
              <w:rPr>
                <w:rFonts w:ascii="Arial" w:hAnsi="Arial" w:cs="Arial"/>
                <w:b/>
                <w:bCs/>
                <w:color w:val="auto"/>
                <w:lang w:val="en-US" w:eastAsia="en-US" w:bidi="ar-SA"/>
              </w:rPr>
            </w:pPr>
          </w:p>
        </w:tc>
        <w:tc>
          <w:tcPr>
            <w:tcW w:w="619"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7D043065" w14:textId="77777777" w:rsidR="00A77B3E" w:rsidRPr="00136CDA" w:rsidRDefault="00A77B3E">
            <w:pPr>
              <w:spacing w:line="240" w:lineRule="auto"/>
              <w:jc w:val="left"/>
              <w:rPr>
                <w:color w:val="auto"/>
                <w:sz w:val="20"/>
                <w:szCs w:val="20"/>
                <w:lang w:val="en-US" w:eastAsia="en-US" w:bidi="ar-SA"/>
              </w:rPr>
            </w:pPr>
          </w:p>
        </w:tc>
        <w:tc>
          <w:tcPr>
            <w:tcW w:w="912"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24C18A21"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2FDCDC25"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46F64E35" w14:textId="77777777" w:rsidR="00A77B3E" w:rsidRPr="00136CDA" w:rsidRDefault="00A77B3E">
            <w:pPr>
              <w:spacing w:line="240" w:lineRule="auto"/>
              <w:jc w:val="center"/>
              <w:rPr>
                <w:color w:val="auto"/>
                <w:sz w:val="20"/>
                <w:szCs w:val="20"/>
                <w:lang w:val="en-US" w:eastAsia="en-US" w:bidi="ar-SA"/>
              </w:rPr>
            </w:pPr>
          </w:p>
        </w:tc>
        <w:tc>
          <w:tcPr>
            <w:tcW w:w="1335"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72232E21"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4AAD90E3" w14:textId="77777777" w:rsidR="00A77B3E" w:rsidRPr="00136CDA" w:rsidRDefault="00A77B3E">
            <w:pPr>
              <w:spacing w:line="240" w:lineRule="auto"/>
              <w:jc w:val="center"/>
              <w:rPr>
                <w:color w:val="auto"/>
                <w:sz w:val="20"/>
                <w:szCs w:val="20"/>
                <w:lang w:val="en-US" w:eastAsia="en-US" w:bidi="ar-SA"/>
              </w:rPr>
            </w:pPr>
          </w:p>
        </w:tc>
        <w:tc>
          <w:tcPr>
            <w:tcW w:w="945"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7F9C39B0" w14:textId="77777777" w:rsidR="00A77B3E" w:rsidRPr="00136CDA" w:rsidRDefault="00A77B3E">
            <w:pPr>
              <w:spacing w:line="240" w:lineRule="auto"/>
              <w:jc w:val="center"/>
              <w:rPr>
                <w:color w:val="auto"/>
                <w:sz w:val="20"/>
                <w:szCs w:val="20"/>
                <w:lang w:val="en-US" w:eastAsia="en-US" w:bidi="ar-SA"/>
              </w:rPr>
            </w:pPr>
          </w:p>
        </w:tc>
      </w:tr>
      <w:tr w:rsidR="00136CDA" w:rsidRPr="00136CDA" w14:paraId="2E7947A3" w14:textId="77777777">
        <w:trPr>
          <w:trHeight w:val="300"/>
        </w:trPr>
        <w:tc>
          <w:tcPr>
            <w:tcW w:w="1531"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61A55DA5" w14:textId="77777777" w:rsidR="00A77B3E" w:rsidRPr="00136CDA" w:rsidRDefault="00A77B3E">
            <w:pPr>
              <w:spacing w:line="240" w:lineRule="auto"/>
              <w:jc w:val="center"/>
              <w:rPr>
                <w:color w:val="auto"/>
                <w:sz w:val="20"/>
                <w:szCs w:val="20"/>
                <w:lang w:val="en-US" w:eastAsia="en-US" w:bidi="ar-SA"/>
              </w:rPr>
            </w:pPr>
          </w:p>
        </w:tc>
        <w:tc>
          <w:tcPr>
            <w:tcW w:w="619"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200671B0" w14:textId="77777777" w:rsidR="00A77B3E" w:rsidRPr="00136CDA" w:rsidRDefault="00A77B3E">
            <w:pPr>
              <w:spacing w:line="240" w:lineRule="auto"/>
              <w:jc w:val="center"/>
              <w:rPr>
                <w:color w:val="auto"/>
                <w:sz w:val="20"/>
                <w:szCs w:val="20"/>
                <w:lang w:val="en-US" w:eastAsia="en-US" w:bidi="ar-SA"/>
              </w:rPr>
            </w:pPr>
          </w:p>
        </w:tc>
        <w:tc>
          <w:tcPr>
            <w:tcW w:w="912"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3244323F"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7D487566"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5FCCB414" w14:textId="77777777" w:rsidR="00A77B3E" w:rsidRPr="00136CDA" w:rsidRDefault="00A77B3E">
            <w:pPr>
              <w:spacing w:line="240" w:lineRule="auto"/>
              <w:jc w:val="center"/>
              <w:rPr>
                <w:color w:val="auto"/>
                <w:sz w:val="20"/>
                <w:szCs w:val="20"/>
                <w:lang w:val="en-US" w:eastAsia="en-US" w:bidi="ar-SA"/>
              </w:rPr>
            </w:pPr>
          </w:p>
        </w:tc>
        <w:tc>
          <w:tcPr>
            <w:tcW w:w="1335"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4B253E01"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6EC884ED" w14:textId="77777777" w:rsidR="00A77B3E" w:rsidRPr="00136CDA" w:rsidRDefault="00A77B3E">
            <w:pPr>
              <w:spacing w:line="240" w:lineRule="auto"/>
              <w:jc w:val="center"/>
              <w:rPr>
                <w:color w:val="auto"/>
                <w:sz w:val="20"/>
                <w:szCs w:val="20"/>
                <w:lang w:val="en-US" w:eastAsia="en-US" w:bidi="ar-SA"/>
              </w:rPr>
            </w:pPr>
          </w:p>
        </w:tc>
        <w:tc>
          <w:tcPr>
            <w:tcW w:w="945"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1DA06CC3" w14:textId="77777777" w:rsidR="00A77B3E" w:rsidRPr="00136CDA" w:rsidRDefault="00A77B3E">
            <w:pPr>
              <w:spacing w:line="240" w:lineRule="auto"/>
              <w:jc w:val="center"/>
              <w:rPr>
                <w:color w:val="auto"/>
                <w:sz w:val="20"/>
                <w:szCs w:val="20"/>
                <w:lang w:val="en-US" w:eastAsia="en-US" w:bidi="ar-SA"/>
              </w:rPr>
            </w:pPr>
          </w:p>
        </w:tc>
      </w:tr>
      <w:tr w:rsidR="00136CDA" w:rsidRPr="00136CDA" w14:paraId="15B0084F" w14:textId="77777777">
        <w:trPr>
          <w:trHeight w:val="312"/>
        </w:trPr>
        <w:tc>
          <w:tcPr>
            <w:tcW w:w="1531"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DBE070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Liquidity Ratio</w:t>
            </w:r>
          </w:p>
        </w:tc>
        <w:tc>
          <w:tcPr>
            <w:tcW w:w="619"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E20E7C4"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2"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4F684203"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6DB95803"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A724CA5"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0DF342F7"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485CBC4C"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4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28B07CCA" w14:textId="77777777" w:rsidR="00A77B3E" w:rsidRPr="00136CDA" w:rsidRDefault="00A77B3E">
            <w:pPr>
              <w:widowControl w:val="0"/>
              <w:spacing w:line="276" w:lineRule="auto"/>
              <w:jc w:val="left"/>
              <w:rPr>
                <w:rFonts w:ascii="Arial" w:hAnsi="Arial" w:cs="Arial"/>
                <w:b/>
                <w:bCs/>
                <w:color w:val="auto"/>
                <w:lang w:val="en-US" w:eastAsia="en-US" w:bidi="ar-SA"/>
              </w:rPr>
            </w:pPr>
          </w:p>
        </w:tc>
      </w:tr>
      <w:tr w:rsidR="00136CDA" w:rsidRPr="00136CDA" w14:paraId="77FB5B3C" w14:textId="77777777">
        <w:trPr>
          <w:trHeight w:val="324"/>
        </w:trPr>
        <w:tc>
          <w:tcPr>
            <w:tcW w:w="1531"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D3B77A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619"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D69D09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912"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2F739D3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Formula </w:t>
            </w:r>
          </w:p>
        </w:tc>
        <w:tc>
          <w:tcPr>
            <w:tcW w:w="1336"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1637D49"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2020</w:t>
            </w:r>
          </w:p>
        </w:tc>
        <w:tc>
          <w:tcPr>
            <w:tcW w:w="1336"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60CA0A5F"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2021</w:t>
            </w:r>
          </w:p>
        </w:tc>
        <w:tc>
          <w:tcPr>
            <w:tcW w:w="133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1FCC8D6"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2022</w:t>
            </w:r>
          </w:p>
        </w:tc>
        <w:tc>
          <w:tcPr>
            <w:tcW w:w="1336"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9B19562"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2023</w:t>
            </w:r>
          </w:p>
        </w:tc>
        <w:tc>
          <w:tcPr>
            <w:tcW w:w="94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CBC89B2"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2024</w:t>
            </w:r>
          </w:p>
        </w:tc>
      </w:tr>
      <w:tr w:rsidR="00136CDA" w:rsidRPr="00136CDA" w14:paraId="2A2EE594" w14:textId="77777777">
        <w:trPr>
          <w:trHeight w:val="324"/>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0E80A62"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Current Assets </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0E2EF32"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CFF47B3"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86E90F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3,26,843</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4BC462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3,37,146</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5DBE14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3,38,040</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F5ECACC"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2,58,851</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296B1C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2,42,494</w:t>
            </w:r>
          </w:p>
        </w:tc>
      </w:tr>
      <w:tr w:rsidR="00136CDA" w:rsidRPr="00136CDA" w14:paraId="491D40CE" w14:textId="77777777">
        <w:trPr>
          <w:trHeight w:val="300"/>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42A20C7"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Inventories </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F384D1B"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B</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DF2E457"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A2ECE2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1,20,430</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0A75B0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1,34,469</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F5CD3F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1,40,181</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73DA20C"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88,273</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27E7A0F"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79,355</w:t>
            </w:r>
          </w:p>
        </w:tc>
      </w:tr>
      <w:tr w:rsidR="00136CDA" w:rsidRPr="00136CDA" w14:paraId="517A7900" w14:textId="77777777">
        <w:trPr>
          <w:trHeight w:val="300"/>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24BF0E4"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Current Liabilities </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664FAF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C</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AFCF960"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5F7BD54"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1,79,510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C27171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2,16,787 </w:t>
            </w:r>
          </w:p>
        </w:tc>
        <w:tc>
          <w:tcPr>
            <w:tcW w:w="133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2AE4D9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2,16,473 </w:t>
            </w:r>
          </w:p>
        </w:tc>
        <w:tc>
          <w:tcPr>
            <w:tcW w:w="1336"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3E43B9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1,61,148 </w:t>
            </w:r>
          </w:p>
        </w:tc>
        <w:tc>
          <w:tcPr>
            <w:tcW w:w="94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5CF6C4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1,58,291 </w:t>
            </w:r>
          </w:p>
        </w:tc>
      </w:tr>
      <w:tr w:rsidR="00136CDA" w:rsidRPr="00136CDA" w14:paraId="13210DB9" w14:textId="77777777">
        <w:trPr>
          <w:trHeight w:val="624"/>
        </w:trPr>
        <w:tc>
          <w:tcPr>
            <w:tcW w:w="1531"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6280C33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Current Ratio</w:t>
            </w:r>
          </w:p>
        </w:tc>
        <w:tc>
          <w:tcPr>
            <w:tcW w:w="619"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0CE53D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A/C</w:t>
            </w:r>
          </w:p>
        </w:tc>
        <w:tc>
          <w:tcPr>
            <w:tcW w:w="912"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67291A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Current assets/ Current Liabilities</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449AE5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1.82 </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9B3528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1.56 </w:t>
            </w:r>
          </w:p>
        </w:tc>
        <w:tc>
          <w:tcPr>
            <w:tcW w:w="133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F71E1B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1.56 </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EED90DC"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1.61 </w:t>
            </w:r>
          </w:p>
        </w:tc>
        <w:tc>
          <w:tcPr>
            <w:tcW w:w="94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ADB1E2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1.53 </w:t>
            </w:r>
          </w:p>
        </w:tc>
      </w:tr>
      <w:tr w:rsidR="00136CDA" w:rsidRPr="00136CDA" w14:paraId="68B78CAB" w14:textId="77777777">
        <w:trPr>
          <w:trHeight w:val="936"/>
        </w:trPr>
        <w:tc>
          <w:tcPr>
            <w:tcW w:w="1531"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6182B3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lastRenderedPageBreak/>
              <w:t>Quick Ratio</w:t>
            </w:r>
          </w:p>
        </w:tc>
        <w:tc>
          <w:tcPr>
            <w:tcW w:w="619"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83F32A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(A-B)/C</w:t>
            </w:r>
          </w:p>
        </w:tc>
        <w:tc>
          <w:tcPr>
            <w:tcW w:w="912"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B87F22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(Current Assets - Inventories)/ Current Liabilities</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962DF0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1.15 </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2112BCE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0.93 </w:t>
            </w:r>
          </w:p>
        </w:tc>
        <w:tc>
          <w:tcPr>
            <w:tcW w:w="133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66E4B31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0.91 </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6EB771C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1.06 </w:t>
            </w:r>
          </w:p>
        </w:tc>
        <w:tc>
          <w:tcPr>
            <w:tcW w:w="94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E94421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1.03 </w:t>
            </w:r>
          </w:p>
        </w:tc>
      </w:tr>
      <w:tr w:rsidR="00136CDA" w:rsidRPr="00136CDA" w14:paraId="338EB8FA" w14:textId="77777777">
        <w:trPr>
          <w:trHeight w:val="324"/>
        </w:trPr>
        <w:tc>
          <w:tcPr>
            <w:tcW w:w="1531"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649C7E0B" w14:textId="77777777" w:rsidR="00A77B3E" w:rsidRPr="00136CDA" w:rsidRDefault="00A77B3E">
            <w:pPr>
              <w:spacing w:line="240" w:lineRule="auto"/>
              <w:jc w:val="center"/>
              <w:rPr>
                <w:rFonts w:ascii="Arial" w:hAnsi="Arial" w:cs="Arial"/>
                <w:b/>
                <w:bCs/>
                <w:color w:val="auto"/>
                <w:lang w:val="en-US" w:eastAsia="en-US" w:bidi="ar-SA"/>
              </w:rPr>
            </w:pPr>
          </w:p>
        </w:tc>
        <w:tc>
          <w:tcPr>
            <w:tcW w:w="619"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629C6AD9" w14:textId="77777777" w:rsidR="00A77B3E" w:rsidRPr="00136CDA" w:rsidRDefault="00A77B3E">
            <w:pPr>
              <w:spacing w:line="240" w:lineRule="auto"/>
              <w:jc w:val="center"/>
              <w:rPr>
                <w:color w:val="auto"/>
                <w:sz w:val="20"/>
                <w:szCs w:val="20"/>
                <w:lang w:val="en-US" w:eastAsia="en-US" w:bidi="ar-SA"/>
              </w:rPr>
            </w:pPr>
          </w:p>
        </w:tc>
        <w:tc>
          <w:tcPr>
            <w:tcW w:w="912"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25BBF487"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36A0B5E3"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4E6E8CF2" w14:textId="77777777" w:rsidR="00A77B3E" w:rsidRPr="00136CDA" w:rsidRDefault="00A77B3E">
            <w:pPr>
              <w:spacing w:line="240" w:lineRule="auto"/>
              <w:jc w:val="center"/>
              <w:rPr>
                <w:color w:val="auto"/>
                <w:sz w:val="20"/>
                <w:szCs w:val="20"/>
                <w:lang w:val="en-US" w:eastAsia="en-US" w:bidi="ar-SA"/>
              </w:rPr>
            </w:pPr>
          </w:p>
        </w:tc>
        <w:tc>
          <w:tcPr>
            <w:tcW w:w="1335"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022204B2" w14:textId="77777777" w:rsidR="00A77B3E" w:rsidRPr="00136CDA" w:rsidRDefault="00A77B3E">
            <w:pPr>
              <w:spacing w:line="240" w:lineRule="auto"/>
              <w:jc w:val="center"/>
              <w:rPr>
                <w:color w:val="auto"/>
                <w:sz w:val="20"/>
                <w:szCs w:val="20"/>
                <w:lang w:val="en-US" w:eastAsia="en-US" w:bidi="ar-SA"/>
              </w:rPr>
            </w:pPr>
          </w:p>
        </w:tc>
        <w:tc>
          <w:tcPr>
            <w:tcW w:w="1336"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6E1ADFE7" w14:textId="77777777" w:rsidR="00A77B3E" w:rsidRPr="00136CDA" w:rsidRDefault="00A77B3E">
            <w:pPr>
              <w:spacing w:line="240" w:lineRule="auto"/>
              <w:jc w:val="center"/>
              <w:rPr>
                <w:color w:val="auto"/>
                <w:sz w:val="20"/>
                <w:szCs w:val="20"/>
                <w:lang w:val="en-US" w:eastAsia="en-US" w:bidi="ar-SA"/>
              </w:rPr>
            </w:pPr>
          </w:p>
        </w:tc>
        <w:tc>
          <w:tcPr>
            <w:tcW w:w="945"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180C8673" w14:textId="77777777" w:rsidR="00A77B3E" w:rsidRPr="00136CDA" w:rsidRDefault="00A77B3E">
            <w:pPr>
              <w:spacing w:line="240" w:lineRule="auto"/>
              <w:jc w:val="center"/>
              <w:rPr>
                <w:color w:val="auto"/>
                <w:sz w:val="20"/>
                <w:szCs w:val="20"/>
                <w:lang w:val="en-US" w:eastAsia="en-US" w:bidi="ar-SA"/>
              </w:rPr>
            </w:pPr>
          </w:p>
        </w:tc>
      </w:tr>
      <w:tr w:rsidR="00136CDA" w:rsidRPr="00136CDA" w14:paraId="075DFD10" w14:textId="77777777">
        <w:trPr>
          <w:trHeight w:val="312"/>
        </w:trPr>
        <w:tc>
          <w:tcPr>
            <w:tcW w:w="1531"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055B287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Gearing Ratios</w:t>
            </w:r>
          </w:p>
        </w:tc>
        <w:tc>
          <w:tcPr>
            <w:tcW w:w="619"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52B0D75"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2"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2FB000E5"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0E1F1E4C"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AD9F990"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747ECBD"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336"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D52104A"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4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047A3A6" w14:textId="77777777" w:rsidR="00A77B3E" w:rsidRPr="00136CDA" w:rsidRDefault="00A77B3E">
            <w:pPr>
              <w:widowControl w:val="0"/>
              <w:spacing w:line="276" w:lineRule="auto"/>
              <w:jc w:val="left"/>
              <w:rPr>
                <w:rFonts w:ascii="Arial" w:hAnsi="Arial" w:cs="Arial"/>
                <w:b/>
                <w:bCs/>
                <w:color w:val="auto"/>
                <w:lang w:val="en-US" w:eastAsia="en-US" w:bidi="ar-SA"/>
              </w:rPr>
            </w:pPr>
          </w:p>
        </w:tc>
      </w:tr>
      <w:tr w:rsidR="00136CDA" w:rsidRPr="00136CDA" w14:paraId="564F8A94" w14:textId="77777777">
        <w:trPr>
          <w:trHeight w:val="636"/>
        </w:trPr>
        <w:tc>
          <w:tcPr>
            <w:tcW w:w="1531"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BC1F5B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619"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AFBB84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912"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5D97D5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Formula </w:t>
            </w:r>
          </w:p>
        </w:tc>
        <w:tc>
          <w:tcPr>
            <w:tcW w:w="1336"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43AA74FB"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2020</w:t>
            </w:r>
          </w:p>
        </w:tc>
        <w:tc>
          <w:tcPr>
            <w:tcW w:w="1336"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7D569D1E"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2021</w:t>
            </w:r>
          </w:p>
        </w:tc>
        <w:tc>
          <w:tcPr>
            <w:tcW w:w="1335"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7ED6833A"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2022</w:t>
            </w:r>
          </w:p>
        </w:tc>
        <w:tc>
          <w:tcPr>
            <w:tcW w:w="1336"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067547AD"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2023</w:t>
            </w:r>
          </w:p>
        </w:tc>
        <w:tc>
          <w:tcPr>
            <w:tcW w:w="945"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5C4B7836"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2024</w:t>
            </w:r>
          </w:p>
        </w:tc>
      </w:tr>
      <w:tr w:rsidR="00136CDA" w:rsidRPr="00136CDA" w14:paraId="3339E5F0"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4843D3C"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Total Liabilities </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02E0F1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20605EE"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8" w:space="0" w:color="000000"/>
              <w:left w:val="single" w:sz="4" w:space="0" w:color="000000"/>
              <w:bottom w:val="single" w:sz="8" w:space="0" w:color="000000"/>
              <w:right w:val="single" w:sz="8" w:space="0" w:color="000000"/>
            </w:tcBorders>
            <w:tcMar>
              <w:top w:w="0" w:type="dxa"/>
              <w:left w:w="115" w:type="dxa"/>
              <w:bottom w:w="0" w:type="dxa"/>
              <w:right w:w="115" w:type="dxa"/>
            </w:tcMar>
            <w:vAlign w:val="center"/>
          </w:tcPr>
          <w:p w14:paraId="5C1E38C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1,96,989</w:t>
            </w:r>
          </w:p>
        </w:tc>
        <w:tc>
          <w:tcPr>
            <w:tcW w:w="1336"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0E740DEC"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2,34,399</w:t>
            </w:r>
          </w:p>
        </w:tc>
        <w:tc>
          <w:tcPr>
            <w:tcW w:w="1335"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1546C6F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2,35,757</w:t>
            </w:r>
          </w:p>
        </w:tc>
        <w:tc>
          <w:tcPr>
            <w:tcW w:w="1336"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574CB0D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1,76,952</w:t>
            </w:r>
          </w:p>
        </w:tc>
        <w:tc>
          <w:tcPr>
            <w:tcW w:w="945"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342965F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1,70,249</w:t>
            </w:r>
          </w:p>
        </w:tc>
      </w:tr>
      <w:tr w:rsidR="00136CDA" w:rsidRPr="00136CDA" w14:paraId="40C8B409"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F36F1EB"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Total Equity </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9EB940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B</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D9A60E1"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8" w:space="0" w:color="000000"/>
              <w:left w:val="single" w:sz="4" w:space="0" w:color="000000"/>
              <w:bottom w:val="single" w:sz="8" w:space="0" w:color="000000"/>
              <w:right w:val="single" w:sz="8" w:space="0" w:color="000000"/>
            </w:tcBorders>
            <w:tcMar>
              <w:top w:w="0" w:type="dxa"/>
              <w:left w:w="115" w:type="dxa"/>
              <w:bottom w:w="0" w:type="dxa"/>
              <w:right w:w="115" w:type="dxa"/>
            </w:tcMar>
            <w:vAlign w:val="center"/>
          </w:tcPr>
          <w:p w14:paraId="1683622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3,13,301</w:t>
            </w:r>
          </w:p>
        </w:tc>
        <w:tc>
          <w:tcPr>
            <w:tcW w:w="1336"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4958E714"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2,75,949</w:t>
            </w:r>
          </w:p>
        </w:tc>
        <w:tc>
          <w:tcPr>
            <w:tcW w:w="1335"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72A5C89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2,68,406</w:t>
            </w:r>
          </w:p>
        </w:tc>
        <w:tc>
          <w:tcPr>
            <w:tcW w:w="1336"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5D0D89B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1,78,920</w:t>
            </w:r>
          </w:p>
        </w:tc>
        <w:tc>
          <w:tcPr>
            <w:tcW w:w="945"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6B6946A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1,53,105</w:t>
            </w:r>
          </w:p>
        </w:tc>
      </w:tr>
      <w:tr w:rsidR="00136CDA" w:rsidRPr="00136CDA" w14:paraId="56792855"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EAF93CF"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Operating Income</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0C66488"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C</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60BAAD2"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8" w:space="0" w:color="000000"/>
              <w:left w:val="single" w:sz="4" w:space="0" w:color="000000"/>
              <w:bottom w:val="single" w:sz="8" w:space="0" w:color="000000"/>
              <w:right w:val="single" w:sz="4" w:space="0" w:color="000000"/>
            </w:tcBorders>
            <w:tcMar>
              <w:top w:w="0" w:type="dxa"/>
              <w:left w:w="115" w:type="dxa"/>
              <w:bottom w:w="0" w:type="dxa"/>
              <w:right w:w="115" w:type="dxa"/>
            </w:tcMar>
            <w:vAlign w:val="center"/>
          </w:tcPr>
          <w:p w14:paraId="78A505F7"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37,267 </w:t>
            </w:r>
          </w:p>
        </w:tc>
        <w:tc>
          <w:tcPr>
            <w:tcW w:w="1336" w:type="dxa"/>
            <w:tcBorders>
              <w:top w:val="single" w:sz="8" w:space="0" w:color="000000"/>
              <w:left w:val="single" w:sz="4" w:space="0" w:color="000000"/>
              <w:bottom w:val="single" w:sz="8" w:space="0" w:color="000000"/>
              <w:right w:val="single" w:sz="4" w:space="0" w:color="000000"/>
            </w:tcBorders>
            <w:tcMar>
              <w:top w:w="0" w:type="dxa"/>
              <w:left w:w="115" w:type="dxa"/>
              <w:bottom w:w="0" w:type="dxa"/>
              <w:right w:w="115" w:type="dxa"/>
            </w:tcMar>
            <w:vAlign w:val="center"/>
          </w:tcPr>
          <w:p w14:paraId="6DE2C01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23,253 </w:t>
            </w:r>
          </w:p>
        </w:tc>
        <w:tc>
          <w:tcPr>
            <w:tcW w:w="1335" w:type="dxa"/>
            <w:tcBorders>
              <w:top w:val="single" w:sz="8" w:space="0" w:color="000000"/>
              <w:left w:val="single" w:sz="4" w:space="0" w:color="000000"/>
              <w:bottom w:val="single" w:sz="8" w:space="0" w:color="000000"/>
              <w:right w:val="single" w:sz="4" w:space="0" w:color="000000"/>
            </w:tcBorders>
            <w:tcMar>
              <w:top w:w="0" w:type="dxa"/>
              <w:left w:w="115" w:type="dxa"/>
              <w:bottom w:w="0" w:type="dxa"/>
              <w:right w:w="115" w:type="dxa"/>
            </w:tcMar>
            <w:vAlign w:val="center"/>
          </w:tcPr>
          <w:p w14:paraId="2EF08A8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14,548 </w:t>
            </w:r>
          </w:p>
        </w:tc>
        <w:tc>
          <w:tcPr>
            <w:tcW w:w="1336" w:type="dxa"/>
            <w:tcBorders>
              <w:top w:val="single" w:sz="8" w:space="0" w:color="000000"/>
              <w:left w:val="single" w:sz="4" w:space="0" w:color="000000"/>
              <w:bottom w:val="single" w:sz="8" w:space="0" w:color="000000"/>
              <w:right w:val="single" w:sz="4" w:space="0" w:color="000000"/>
            </w:tcBorders>
            <w:tcMar>
              <w:top w:w="0" w:type="dxa"/>
              <w:left w:w="115" w:type="dxa"/>
              <w:bottom w:w="0" w:type="dxa"/>
              <w:right w:w="115" w:type="dxa"/>
            </w:tcMar>
            <w:vAlign w:val="center"/>
          </w:tcPr>
          <w:p w14:paraId="5CFF11DE"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(85,301)</w:t>
            </w:r>
          </w:p>
        </w:tc>
        <w:tc>
          <w:tcPr>
            <w:tcW w:w="945" w:type="dxa"/>
            <w:tcBorders>
              <w:top w:val="single" w:sz="8" w:space="0" w:color="000000"/>
              <w:left w:val="single" w:sz="4" w:space="0" w:color="000000"/>
              <w:bottom w:val="single" w:sz="8" w:space="0" w:color="000000"/>
              <w:right w:val="single" w:sz="4" w:space="0" w:color="000000"/>
            </w:tcBorders>
            <w:tcMar>
              <w:top w:w="0" w:type="dxa"/>
              <w:left w:w="115" w:type="dxa"/>
              <w:bottom w:w="0" w:type="dxa"/>
              <w:right w:w="115" w:type="dxa"/>
            </w:tcMar>
            <w:vAlign w:val="center"/>
          </w:tcPr>
          <w:p w14:paraId="405D4DA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(15,297)</w:t>
            </w:r>
          </w:p>
        </w:tc>
      </w:tr>
      <w:tr w:rsidR="00136CDA" w:rsidRPr="00136CDA" w14:paraId="7D1C3CDF" w14:textId="77777777">
        <w:trPr>
          <w:trHeight w:val="312"/>
        </w:trPr>
        <w:tc>
          <w:tcPr>
            <w:tcW w:w="1531"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10D19D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Interest Expenses</w:t>
            </w:r>
          </w:p>
        </w:tc>
        <w:tc>
          <w:tcPr>
            <w:tcW w:w="619"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EA572EB"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D</w:t>
            </w:r>
          </w:p>
        </w:tc>
        <w:tc>
          <w:tcPr>
            <w:tcW w:w="91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C36A073"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336" w:type="dxa"/>
            <w:tcBorders>
              <w:top w:val="single" w:sz="8" w:space="0" w:color="000000"/>
              <w:left w:val="single" w:sz="4" w:space="0" w:color="000000"/>
              <w:bottom w:val="single" w:sz="8" w:space="0" w:color="000000"/>
              <w:right w:val="single" w:sz="8" w:space="0" w:color="000000"/>
            </w:tcBorders>
            <w:tcMar>
              <w:top w:w="0" w:type="dxa"/>
              <w:left w:w="115" w:type="dxa"/>
              <w:bottom w:w="0" w:type="dxa"/>
              <w:right w:w="115" w:type="dxa"/>
            </w:tcMar>
            <w:vAlign w:val="center"/>
          </w:tcPr>
          <w:p w14:paraId="36B6438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-1,422</w:t>
            </w:r>
          </w:p>
        </w:tc>
        <w:tc>
          <w:tcPr>
            <w:tcW w:w="1336"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094A680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-566</w:t>
            </w:r>
          </w:p>
        </w:tc>
        <w:tc>
          <w:tcPr>
            <w:tcW w:w="1335"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06853B9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-2,200</w:t>
            </w:r>
          </w:p>
        </w:tc>
        <w:tc>
          <w:tcPr>
            <w:tcW w:w="1336"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404BFD6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-4,332</w:t>
            </w:r>
          </w:p>
        </w:tc>
        <w:tc>
          <w:tcPr>
            <w:tcW w:w="945" w:type="dxa"/>
            <w:tcBorders>
              <w:top w:val="single" w:sz="8"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3E45215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-3,361</w:t>
            </w:r>
          </w:p>
        </w:tc>
      </w:tr>
      <w:tr w:rsidR="00136CDA" w:rsidRPr="00136CDA" w14:paraId="4AA4A771" w14:textId="77777777">
        <w:trPr>
          <w:trHeight w:val="624"/>
        </w:trPr>
        <w:tc>
          <w:tcPr>
            <w:tcW w:w="1531"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F58416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Debt/Equity Ratio</w:t>
            </w:r>
          </w:p>
        </w:tc>
        <w:tc>
          <w:tcPr>
            <w:tcW w:w="619"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7D1F92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A/B</w:t>
            </w:r>
          </w:p>
        </w:tc>
        <w:tc>
          <w:tcPr>
            <w:tcW w:w="912"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D4FA31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(Total Liabilities / Equity)</w:t>
            </w:r>
          </w:p>
        </w:tc>
        <w:tc>
          <w:tcPr>
            <w:tcW w:w="1336" w:type="dxa"/>
            <w:tcBorders>
              <w:top w:val="single" w:sz="8"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32F4D2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0.63 </w:t>
            </w:r>
          </w:p>
        </w:tc>
        <w:tc>
          <w:tcPr>
            <w:tcW w:w="1336" w:type="dxa"/>
            <w:tcBorders>
              <w:top w:val="single" w:sz="8"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8AF3DF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0.85 </w:t>
            </w:r>
          </w:p>
        </w:tc>
        <w:tc>
          <w:tcPr>
            <w:tcW w:w="1335" w:type="dxa"/>
            <w:tcBorders>
              <w:top w:val="single" w:sz="8"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5E9D99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0.88 </w:t>
            </w:r>
          </w:p>
        </w:tc>
        <w:tc>
          <w:tcPr>
            <w:tcW w:w="1336" w:type="dxa"/>
            <w:tcBorders>
              <w:top w:val="single" w:sz="8"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74C748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0.99 </w:t>
            </w:r>
          </w:p>
        </w:tc>
        <w:tc>
          <w:tcPr>
            <w:tcW w:w="945" w:type="dxa"/>
            <w:tcBorders>
              <w:top w:val="single" w:sz="8"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B1F4B9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1.11 </w:t>
            </w:r>
          </w:p>
        </w:tc>
      </w:tr>
      <w:tr w:rsidR="00A77B3E" w:rsidRPr="00136CDA" w14:paraId="0851E4DA" w14:textId="77777777">
        <w:trPr>
          <w:trHeight w:val="624"/>
        </w:trPr>
        <w:tc>
          <w:tcPr>
            <w:tcW w:w="1531"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29B878F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Interest Coverage Ratio</w:t>
            </w:r>
          </w:p>
        </w:tc>
        <w:tc>
          <w:tcPr>
            <w:tcW w:w="619"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25063AB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C/D</w:t>
            </w:r>
          </w:p>
        </w:tc>
        <w:tc>
          <w:tcPr>
            <w:tcW w:w="912"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B06FF7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(Operating Income / Interest Expense)</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682ECD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(26.21)</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7C4DCE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(41.08)</w:t>
            </w:r>
          </w:p>
        </w:tc>
        <w:tc>
          <w:tcPr>
            <w:tcW w:w="133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65C74B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(6.61)</w:t>
            </w:r>
          </w:p>
        </w:tc>
        <w:tc>
          <w:tcPr>
            <w:tcW w:w="1336"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3F6A42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19.69 </w:t>
            </w:r>
          </w:p>
        </w:tc>
        <w:tc>
          <w:tcPr>
            <w:tcW w:w="94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804B9A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4.55 </w:t>
            </w:r>
          </w:p>
        </w:tc>
      </w:tr>
    </w:tbl>
    <w:p w14:paraId="48C53BBD" w14:textId="77777777" w:rsidR="00A77B3E" w:rsidRPr="00136CDA" w:rsidRDefault="00A77B3E">
      <w:pPr>
        <w:rPr>
          <w:b/>
          <w:bCs/>
          <w:color w:val="auto"/>
          <w:lang w:val="en-US" w:bidi="ar-SA"/>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tblCellMar>
        <w:tblLook w:val="04A0" w:firstRow="1" w:lastRow="0" w:firstColumn="1" w:lastColumn="0" w:noHBand="0" w:noVBand="1"/>
      </w:tblPr>
      <w:tblGrid>
        <w:gridCol w:w="1618"/>
        <w:gridCol w:w="1271"/>
        <w:gridCol w:w="2031"/>
        <w:gridCol w:w="1498"/>
        <w:gridCol w:w="1498"/>
        <w:gridCol w:w="1498"/>
        <w:gridCol w:w="1498"/>
        <w:gridCol w:w="1498"/>
      </w:tblGrid>
      <w:tr w:rsidR="00136CDA" w:rsidRPr="00136CDA" w14:paraId="39C5D830" w14:textId="77777777">
        <w:trPr>
          <w:trHeight w:val="312"/>
        </w:trPr>
        <w:tc>
          <w:tcPr>
            <w:tcW w:w="1928"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191928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Efficiency Ratios</w:t>
            </w:r>
          </w:p>
        </w:tc>
        <w:tc>
          <w:tcPr>
            <w:tcW w:w="78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8AE5EB1"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200"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3473817F"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4E3BACC5"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625FCDEB"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06B8DBC"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09292537"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018"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0A856023" w14:textId="77777777" w:rsidR="00A77B3E" w:rsidRPr="00136CDA" w:rsidRDefault="00A77B3E">
            <w:pPr>
              <w:widowControl w:val="0"/>
              <w:spacing w:line="276" w:lineRule="auto"/>
              <w:jc w:val="left"/>
              <w:rPr>
                <w:rFonts w:ascii="Arial" w:hAnsi="Arial" w:cs="Arial"/>
                <w:b/>
                <w:bCs/>
                <w:color w:val="auto"/>
                <w:lang w:val="en-US" w:eastAsia="en-US" w:bidi="ar-SA"/>
              </w:rPr>
            </w:pPr>
          </w:p>
        </w:tc>
      </w:tr>
      <w:tr w:rsidR="00136CDA" w:rsidRPr="00136CDA" w14:paraId="54CF6196" w14:textId="77777777">
        <w:trPr>
          <w:trHeight w:val="312"/>
        </w:trPr>
        <w:tc>
          <w:tcPr>
            <w:tcW w:w="1928"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7603692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78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7BE4D99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1200"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57CAED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Formula </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6B4CCD2A"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2020</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7C67BAA4"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2021</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270257B"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2022</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35ABBEC"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2023</w:t>
            </w:r>
          </w:p>
        </w:tc>
        <w:tc>
          <w:tcPr>
            <w:tcW w:w="1018"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AE81737"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2024</w:t>
            </w:r>
          </w:p>
        </w:tc>
      </w:tr>
      <w:tr w:rsidR="00136CDA" w:rsidRPr="00136CDA" w14:paraId="5AA81FAF" w14:textId="77777777">
        <w:trPr>
          <w:trHeight w:val="312"/>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2DF91B5"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Net Sales</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5E59AE7"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4747B12"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3A20B4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614680</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A975CF1"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601602</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BD53B3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542751</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E4E0A51"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420457</w:t>
            </w:r>
          </w:p>
        </w:tc>
        <w:tc>
          <w:tcPr>
            <w:tcW w:w="10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2EEB525"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394879</w:t>
            </w:r>
          </w:p>
        </w:tc>
      </w:tr>
      <w:tr w:rsidR="00136CDA" w:rsidRPr="00136CDA" w14:paraId="53923C26" w14:textId="77777777">
        <w:trPr>
          <w:trHeight w:val="312"/>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ED47535"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Cost of Sales </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7A15D07"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B</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47AA93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0BB5EE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-4,38,424</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F33AFC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-4,28,586</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CEB87E4"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-3,90,459</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2C8EF7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-3,22,897</w:t>
            </w:r>
          </w:p>
        </w:tc>
        <w:tc>
          <w:tcPr>
            <w:tcW w:w="10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196DC6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-2,80,885</w:t>
            </w:r>
          </w:p>
        </w:tc>
      </w:tr>
      <w:tr w:rsidR="00136CDA" w:rsidRPr="00136CDA" w14:paraId="1C7501A5" w14:textId="77777777">
        <w:trPr>
          <w:trHeight w:val="312"/>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C1A6AC1"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Inventories</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C7E25A3"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C</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E76A88B"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92CBD8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1,20,430</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46FC68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1,34,469</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F1EE9E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1,40,181</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0000EC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88,273</w:t>
            </w:r>
          </w:p>
        </w:tc>
        <w:tc>
          <w:tcPr>
            <w:tcW w:w="10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D428856"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79,355</w:t>
            </w:r>
          </w:p>
        </w:tc>
      </w:tr>
      <w:tr w:rsidR="00136CDA" w:rsidRPr="00136CDA" w14:paraId="400B88C5" w14:textId="77777777">
        <w:trPr>
          <w:trHeight w:val="312"/>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FCCD342"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Account Receivable</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FD16D47"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D</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05A48FC"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2AEBFB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1,29,433</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4FCC27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1,29,215</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FBD2EE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1,12,346</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7BD9F2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1,12,596</w:t>
            </w:r>
          </w:p>
        </w:tc>
        <w:tc>
          <w:tcPr>
            <w:tcW w:w="10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08E597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1,14,182</w:t>
            </w:r>
          </w:p>
        </w:tc>
      </w:tr>
      <w:tr w:rsidR="00136CDA" w:rsidRPr="00136CDA" w14:paraId="3D524983" w14:textId="77777777">
        <w:trPr>
          <w:trHeight w:val="312"/>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58AB32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Account Payable</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5089560"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E</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557370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DE7C9E2"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83,229</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038CCF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92,707</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E1C5F9F"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71,373</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18D37A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57,033</w:t>
            </w:r>
          </w:p>
        </w:tc>
        <w:tc>
          <w:tcPr>
            <w:tcW w:w="10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19C897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72,031</w:t>
            </w:r>
          </w:p>
        </w:tc>
      </w:tr>
      <w:tr w:rsidR="00136CDA" w:rsidRPr="00136CDA" w14:paraId="14567BBB" w14:textId="77777777">
        <w:trPr>
          <w:trHeight w:val="312"/>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8DAF1AC"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Total Assets</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276071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F</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4FB9CC8"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3BA75C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5,10,290.00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3462ED0"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5,10,348.00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67EA64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5,04,163.00 </w:t>
            </w:r>
          </w:p>
        </w:tc>
        <w:tc>
          <w:tcPr>
            <w:tcW w:w="1105"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3BD9490"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3,55,872.00 </w:t>
            </w:r>
          </w:p>
        </w:tc>
        <w:tc>
          <w:tcPr>
            <w:tcW w:w="101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AF92D9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3,23,354.00 </w:t>
            </w:r>
          </w:p>
        </w:tc>
      </w:tr>
      <w:tr w:rsidR="00136CDA" w:rsidRPr="00136CDA" w14:paraId="385FAC89" w14:textId="77777777">
        <w:trPr>
          <w:trHeight w:val="624"/>
        </w:trPr>
        <w:tc>
          <w:tcPr>
            <w:tcW w:w="192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bottom"/>
          </w:tcPr>
          <w:p w14:paraId="54D57D2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Total Asset Turnover</w:t>
            </w:r>
          </w:p>
        </w:tc>
        <w:tc>
          <w:tcPr>
            <w:tcW w:w="784"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D2F91F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A/F</w:t>
            </w:r>
          </w:p>
        </w:tc>
        <w:tc>
          <w:tcPr>
            <w:tcW w:w="1200"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tcPr>
          <w:p w14:paraId="4500A00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(Sales / Total Assets)</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40815D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1.20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539D4A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1.18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69F1F4C"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1.08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180754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1.18 </w:t>
            </w:r>
          </w:p>
        </w:tc>
        <w:tc>
          <w:tcPr>
            <w:tcW w:w="101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682040B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1.22 </w:t>
            </w:r>
          </w:p>
        </w:tc>
      </w:tr>
      <w:tr w:rsidR="00136CDA" w:rsidRPr="00136CDA" w14:paraId="216AF52D" w14:textId="77777777">
        <w:trPr>
          <w:trHeight w:val="624"/>
        </w:trPr>
        <w:tc>
          <w:tcPr>
            <w:tcW w:w="192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96AC78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Inventory Turnover Days</w:t>
            </w:r>
          </w:p>
        </w:tc>
        <w:tc>
          <w:tcPr>
            <w:tcW w:w="784"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2074817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365/(B/C)</w:t>
            </w:r>
          </w:p>
        </w:tc>
        <w:tc>
          <w:tcPr>
            <w:tcW w:w="1200"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tcPr>
          <w:p w14:paraId="3098B29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365/(COGS / Inventory)</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6D0903D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(100)</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DE4D13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(115)</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E3A950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(131)</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873FEE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(100)</w:t>
            </w:r>
          </w:p>
        </w:tc>
        <w:tc>
          <w:tcPr>
            <w:tcW w:w="101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25073AE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(103)</w:t>
            </w:r>
          </w:p>
        </w:tc>
      </w:tr>
      <w:tr w:rsidR="00136CDA" w:rsidRPr="00136CDA" w14:paraId="04ACE5AB" w14:textId="77777777">
        <w:trPr>
          <w:trHeight w:val="936"/>
        </w:trPr>
        <w:tc>
          <w:tcPr>
            <w:tcW w:w="192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F4C899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lastRenderedPageBreak/>
              <w:t>Receivables Turnover Days</w:t>
            </w:r>
          </w:p>
        </w:tc>
        <w:tc>
          <w:tcPr>
            <w:tcW w:w="784"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647B30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365/(A/D)</w:t>
            </w:r>
          </w:p>
        </w:tc>
        <w:tc>
          <w:tcPr>
            <w:tcW w:w="1200"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tcPr>
          <w:p w14:paraId="17AB3A4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365/ (Net Sales/Average Receivables</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EE88F5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77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AD0B22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78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134EA9E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76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BD8DDC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98 </w:t>
            </w:r>
          </w:p>
        </w:tc>
        <w:tc>
          <w:tcPr>
            <w:tcW w:w="101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9C20E5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106 </w:t>
            </w:r>
          </w:p>
        </w:tc>
      </w:tr>
      <w:tr w:rsidR="00136CDA" w:rsidRPr="00136CDA" w14:paraId="370C87C5" w14:textId="77777777">
        <w:trPr>
          <w:trHeight w:val="936"/>
        </w:trPr>
        <w:tc>
          <w:tcPr>
            <w:tcW w:w="192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7F37E3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Payables Turnover Days</w:t>
            </w:r>
          </w:p>
        </w:tc>
        <w:tc>
          <w:tcPr>
            <w:tcW w:w="784"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33E5E3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365/(B/E)</w:t>
            </w:r>
          </w:p>
        </w:tc>
        <w:tc>
          <w:tcPr>
            <w:tcW w:w="1200"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tcPr>
          <w:p w14:paraId="1AB2756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365/ (COGS/Average Payable)</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B4D993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(69)</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7AFC062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(79)</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1842BC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(67)</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691559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(64)</w:t>
            </w:r>
          </w:p>
        </w:tc>
        <w:tc>
          <w:tcPr>
            <w:tcW w:w="101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08CDD2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(94)</w:t>
            </w:r>
          </w:p>
        </w:tc>
      </w:tr>
      <w:tr w:rsidR="00136CDA" w:rsidRPr="00136CDA" w14:paraId="6C3547E8" w14:textId="77777777">
        <w:trPr>
          <w:trHeight w:val="300"/>
        </w:trPr>
        <w:tc>
          <w:tcPr>
            <w:tcW w:w="1928"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76C1544D" w14:textId="77777777" w:rsidR="00A77B3E" w:rsidRPr="00136CDA" w:rsidRDefault="00A77B3E">
            <w:pPr>
              <w:spacing w:line="240" w:lineRule="auto"/>
              <w:jc w:val="center"/>
              <w:rPr>
                <w:rFonts w:ascii="Arial" w:hAnsi="Arial" w:cs="Arial"/>
                <w:b/>
                <w:bCs/>
                <w:color w:val="auto"/>
                <w:lang w:val="en-US" w:eastAsia="en-US" w:bidi="ar-SA"/>
              </w:rPr>
            </w:pPr>
          </w:p>
        </w:tc>
        <w:tc>
          <w:tcPr>
            <w:tcW w:w="784"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71CBFB11" w14:textId="77777777" w:rsidR="00A77B3E" w:rsidRPr="00136CDA" w:rsidRDefault="00A77B3E">
            <w:pPr>
              <w:spacing w:line="240" w:lineRule="auto"/>
              <w:jc w:val="center"/>
              <w:rPr>
                <w:color w:val="auto"/>
                <w:sz w:val="20"/>
                <w:szCs w:val="20"/>
                <w:lang w:val="en-US" w:eastAsia="en-US" w:bidi="ar-SA"/>
              </w:rPr>
            </w:pPr>
          </w:p>
        </w:tc>
        <w:tc>
          <w:tcPr>
            <w:tcW w:w="1200"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396BA700"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71F26D29"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7C52A6A4"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09CFDF63"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06B98B8C" w14:textId="77777777" w:rsidR="00A77B3E" w:rsidRPr="00136CDA" w:rsidRDefault="00A77B3E">
            <w:pPr>
              <w:spacing w:line="240" w:lineRule="auto"/>
              <w:jc w:val="center"/>
              <w:rPr>
                <w:color w:val="auto"/>
                <w:sz w:val="20"/>
                <w:szCs w:val="20"/>
                <w:lang w:val="en-US" w:eastAsia="en-US" w:bidi="ar-SA"/>
              </w:rPr>
            </w:pPr>
          </w:p>
        </w:tc>
        <w:tc>
          <w:tcPr>
            <w:tcW w:w="1018"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172B1E47" w14:textId="77777777" w:rsidR="00A77B3E" w:rsidRPr="00136CDA" w:rsidRDefault="00A77B3E">
            <w:pPr>
              <w:spacing w:line="240" w:lineRule="auto"/>
              <w:jc w:val="center"/>
              <w:rPr>
                <w:color w:val="auto"/>
                <w:sz w:val="20"/>
                <w:szCs w:val="20"/>
                <w:lang w:val="en-US" w:eastAsia="en-US" w:bidi="ar-SA"/>
              </w:rPr>
            </w:pPr>
          </w:p>
        </w:tc>
      </w:tr>
      <w:tr w:rsidR="00136CDA" w:rsidRPr="00136CDA" w14:paraId="65670CEA" w14:textId="77777777">
        <w:trPr>
          <w:trHeight w:val="312"/>
        </w:trPr>
        <w:tc>
          <w:tcPr>
            <w:tcW w:w="1928"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3147F6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Investment Ratios</w:t>
            </w:r>
          </w:p>
        </w:tc>
        <w:tc>
          <w:tcPr>
            <w:tcW w:w="78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4675586"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200"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B48D2BE"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3C98D6D"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6437698"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529A9EB"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A686A38"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018"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2BFDBFC" w14:textId="77777777" w:rsidR="00A77B3E" w:rsidRPr="00136CDA" w:rsidRDefault="00A77B3E">
            <w:pPr>
              <w:widowControl w:val="0"/>
              <w:spacing w:line="276" w:lineRule="auto"/>
              <w:jc w:val="left"/>
              <w:rPr>
                <w:rFonts w:ascii="Arial" w:hAnsi="Arial" w:cs="Arial"/>
                <w:b/>
                <w:bCs/>
                <w:color w:val="auto"/>
                <w:lang w:val="en-US" w:eastAsia="en-US" w:bidi="ar-SA"/>
              </w:rPr>
            </w:pPr>
          </w:p>
        </w:tc>
      </w:tr>
      <w:tr w:rsidR="00136CDA" w:rsidRPr="00136CDA" w14:paraId="5CBF5158" w14:textId="77777777">
        <w:trPr>
          <w:trHeight w:val="324"/>
        </w:trPr>
        <w:tc>
          <w:tcPr>
            <w:tcW w:w="1928"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D6759F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78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0F2C38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1200"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C43DC5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Formula </w:t>
            </w:r>
          </w:p>
        </w:tc>
        <w:tc>
          <w:tcPr>
            <w:tcW w:w="1105"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126A098C"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2020</w:t>
            </w:r>
          </w:p>
        </w:tc>
        <w:tc>
          <w:tcPr>
            <w:tcW w:w="1105"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08FCFBF5"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2021</w:t>
            </w:r>
          </w:p>
        </w:tc>
        <w:tc>
          <w:tcPr>
            <w:tcW w:w="1105"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6C5A8D0A"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2022</w:t>
            </w:r>
          </w:p>
        </w:tc>
        <w:tc>
          <w:tcPr>
            <w:tcW w:w="1105"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68E1AAD2"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2023</w:t>
            </w:r>
          </w:p>
        </w:tc>
        <w:tc>
          <w:tcPr>
            <w:tcW w:w="1018" w:type="dxa"/>
            <w:tcBorders>
              <w:top w:val="single" w:sz="4" w:space="0" w:color="000000"/>
              <w:left w:val="single" w:sz="4" w:space="0" w:color="000000"/>
              <w:bottom w:val="single" w:sz="8" w:space="0" w:color="000000"/>
              <w:right w:val="single" w:sz="4" w:space="0" w:color="000000"/>
            </w:tcBorders>
            <w:shd w:val="solid" w:color="FCE4D6" w:fill="FCE4D6"/>
            <w:tcMar>
              <w:top w:w="0" w:type="dxa"/>
              <w:left w:w="115" w:type="dxa"/>
              <w:bottom w:w="0" w:type="dxa"/>
              <w:right w:w="115" w:type="dxa"/>
            </w:tcMar>
            <w:vAlign w:val="center"/>
          </w:tcPr>
          <w:p w14:paraId="34633399"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2024</w:t>
            </w:r>
          </w:p>
        </w:tc>
      </w:tr>
      <w:tr w:rsidR="00136CDA" w:rsidRPr="00136CDA" w14:paraId="31CAA00C" w14:textId="77777777">
        <w:trPr>
          <w:trHeight w:val="324"/>
        </w:trPr>
        <w:tc>
          <w:tcPr>
            <w:tcW w:w="192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2A071D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Earning Per Share</w:t>
            </w:r>
          </w:p>
        </w:tc>
        <w:tc>
          <w:tcPr>
            <w:tcW w:w="784"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03CFD68"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w:t>
            </w:r>
          </w:p>
        </w:tc>
        <w:tc>
          <w:tcPr>
            <w:tcW w:w="1200"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ED25B9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Provided</w:t>
            </w:r>
          </w:p>
        </w:tc>
        <w:tc>
          <w:tcPr>
            <w:tcW w:w="1105" w:type="dxa"/>
            <w:tcBorders>
              <w:top w:val="single" w:sz="8" w:space="0" w:color="000000"/>
              <w:left w:val="single" w:sz="4" w:space="0" w:color="000000"/>
              <w:bottom w:val="single" w:sz="8" w:space="0" w:color="000000"/>
              <w:right w:val="single" w:sz="8" w:space="0" w:color="000000"/>
            </w:tcBorders>
            <w:shd w:val="solid" w:color="BDD7EE" w:fill="BDD7EE"/>
            <w:tcMar>
              <w:top w:w="0" w:type="dxa"/>
              <w:left w:w="115" w:type="dxa"/>
              <w:bottom w:w="0" w:type="dxa"/>
              <w:right w:w="115" w:type="dxa"/>
            </w:tcMar>
            <w:vAlign w:val="center"/>
          </w:tcPr>
          <w:p w14:paraId="7711984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2.78</w:t>
            </w:r>
          </w:p>
        </w:tc>
        <w:tc>
          <w:tcPr>
            <w:tcW w:w="1105" w:type="dxa"/>
            <w:tcBorders>
              <w:top w:val="single" w:sz="8" w:space="0" w:color="000000"/>
              <w:left w:val="single" w:sz="8" w:space="0" w:color="000000"/>
              <w:bottom w:val="single" w:sz="8" w:space="0" w:color="000000"/>
              <w:right w:val="single" w:sz="8" w:space="0" w:color="000000"/>
            </w:tcBorders>
            <w:shd w:val="solid" w:color="BDD7EE" w:fill="BDD7EE"/>
            <w:tcMar>
              <w:top w:w="0" w:type="dxa"/>
              <w:left w:w="115" w:type="dxa"/>
              <w:bottom w:w="0" w:type="dxa"/>
              <w:right w:w="115" w:type="dxa"/>
            </w:tcMar>
            <w:vAlign w:val="center"/>
          </w:tcPr>
          <w:p w14:paraId="790B105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0.39</w:t>
            </w:r>
          </w:p>
        </w:tc>
        <w:tc>
          <w:tcPr>
            <w:tcW w:w="1105" w:type="dxa"/>
            <w:tcBorders>
              <w:top w:val="single" w:sz="8" w:space="0" w:color="000000"/>
              <w:left w:val="single" w:sz="8" w:space="0" w:color="000000"/>
              <w:bottom w:val="single" w:sz="8" w:space="0" w:color="000000"/>
              <w:right w:val="single" w:sz="8" w:space="0" w:color="000000"/>
            </w:tcBorders>
            <w:shd w:val="solid" w:color="BDD7EE" w:fill="BDD7EE"/>
            <w:tcMar>
              <w:top w:w="0" w:type="dxa"/>
              <w:left w:w="115" w:type="dxa"/>
              <w:bottom w:w="0" w:type="dxa"/>
              <w:right w:w="115" w:type="dxa"/>
            </w:tcMar>
            <w:vAlign w:val="center"/>
          </w:tcPr>
          <w:p w14:paraId="387EB6E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0.03</w:t>
            </w:r>
          </w:p>
        </w:tc>
        <w:tc>
          <w:tcPr>
            <w:tcW w:w="1105" w:type="dxa"/>
            <w:tcBorders>
              <w:top w:val="single" w:sz="8" w:space="0" w:color="000000"/>
              <w:left w:val="single" w:sz="8" w:space="0" w:color="000000"/>
              <w:bottom w:val="single" w:sz="8" w:space="0" w:color="000000"/>
              <w:right w:val="single" w:sz="8" w:space="0" w:color="000000"/>
            </w:tcBorders>
            <w:shd w:val="solid" w:color="BDD7EE" w:fill="BDD7EE"/>
            <w:tcMar>
              <w:top w:w="0" w:type="dxa"/>
              <w:left w:w="115" w:type="dxa"/>
              <w:bottom w:w="0" w:type="dxa"/>
              <w:right w:w="115" w:type="dxa"/>
            </w:tcMar>
            <w:vAlign w:val="center"/>
          </w:tcPr>
          <w:p w14:paraId="703B283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-7.64</w:t>
            </w:r>
          </w:p>
        </w:tc>
        <w:tc>
          <w:tcPr>
            <w:tcW w:w="1018" w:type="dxa"/>
            <w:tcBorders>
              <w:top w:val="single" w:sz="8" w:space="0" w:color="000000"/>
              <w:left w:val="single" w:sz="8" w:space="0" w:color="000000"/>
              <w:bottom w:val="single" w:sz="8" w:space="0" w:color="000000"/>
              <w:right w:val="single" w:sz="8" w:space="0" w:color="000000"/>
            </w:tcBorders>
            <w:shd w:val="solid" w:color="BDD7EE" w:fill="BDD7EE"/>
            <w:tcMar>
              <w:top w:w="0" w:type="dxa"/>
              <w:left w:w="115" w:type="dxa"/>
              <w:bottom w:w="0" w:type="dxa"/>
              <w:right w:w="115" w:type="dxa"/>
            </w:tcMar>
            <w:vAlign w:val="center"/>
          </w:tcPr>
          <w:p w14:paraId="2882823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-1.85</w:t>
            </w:r>
          </w:p>
        </w:tc>
      </w:tr>
      <w:tr w:rsidR="00136CDA" w:rsidRPr="00136CDA" w14:paraId="7E60D88A" w14:textId="77777777">
        <w:trPr>
          <w:trHeight w:val="300"/>
        </w:trPr>
        <w:tc>
          <w:tcPr>
            <w:tcW w:w="1928"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456AAFF2" w14:textId="77777777" w:rsidR="00A77B3E" w:rsidRPr="00136CDA" w:rsidRDefault="00A77B3E">
            <w:pPr>
              <w:spacing w:line="240" w:lineRule="auto"/>
              <w:jc w:val="center"/>
              <w:rPr>
                <w:rFonts w:ascii="Arial" w:hAnsi="Arial" w:cs="Arial"/>
                <w:b/>
                <w:bCs/>
                <w:color w:val="auto"/>
                <w:lang w:val="en-US" w:eastAsia="en-US" w:bidi="ar-SA"/>
              </w:rPr>
            </w:pPr>
          </w:p>
        </w:tc>
        <w:tc>
          <w:tcPr>
            <w:tcW w:w="784"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28ECAA9C" w14:textId="77777777" w:rsidR="00A77B3E" w:rsidRPr="00136CDA" w:rsidRDefault="00A77B3E">
            <w:pPr>
              <w:spacing w:line="240" w:lineRule="auto"/>
              <w:jc w:val="center"/>
              <w:rPr>
                <w:color w:val="auto"/>
                <w:sz w:val="20"/>
                <w:szCs w:val="20"/>
                <w:lang w:val="en-US" w:eastAsia="en-US" w:bidi="ar-SA"/>
              </w:rPr>
            </w:pPr>
          </w:p>
        </w:tc>
        <w:tc>
          <w:tcPr>
            <w:tcW w:w="1200" w:type="dxa"/>
            <w:tcBorders>
              <w:top w:val="single" w:sz="4"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1A59F864"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8"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089AE661"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8"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3984C6BE"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8"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35C94702"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8"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05B5E55B" w14:textId="77777777" w:rsidR="00A77B3E" w:rsidRPr="00136CDA" w:rsidRDefault="00A77B3E">
            <w:pPr>
              <w:spacing w:line="240" w:lineRule="auto"/>
              <w:jc w:val="center"/>
              <w:rPr>
                <w:color w:val="auto"/>
                <w:sz w:val="20"/>
                <w:szCs w:val="20"/>
                <w:lang w:val="en-US" w:eastAsia="en-US" w:bidi="ar-SA"/>
              </w:rPr>
            </w:pPr>
          </w:p>
        </w:tc>
        <w:tc>
          <w:tcPr>
            <w:tcW w:w="1018" w:type="dxa"/>
            <w:tcBorders>
              <w:top w:val="single" w:sz="8" w:space="0" w:color="000000"/>
              <w:left w:val="single" w:sz="2" w:space="0" w:color="000000"/>
              <w:bottom w:val="single" w:sz="2" w:space="0" w:color="000000"/>
              <w:right w:val="single" w:sz="2" w:space="0" w:color="000000"/>
            </w:tcBorders>
            <w:tcMar>
              <w:top w:w="0" w:type="dxa"/>
              <w:left w:w="115" w:type="dxa"/>
              <w:bottom w:w="0" w:type="dxa"/>
              <w:right w:w="115" w:type="dxa"/>
            </w:tcMar>
            <w:vAlign w:val="center"/>
          </w:tcPr>
          <w:p w14:paraId="2E2C8E6E" w14:textId="77777777" w:rsidR="00A77B3E" w:rsidRPr="00136CDA" w:rsidRDefault="00A77B3E">
            <w:pPr>
              <w:spacing w:line="240" w:lineRule="auto"/>
              <w:jc w:val="center"/>
              <w:rPr>
                <w:color w:val="auto"/>
                <w:sz w:val="20"/>
                <w:szCs w:val="20"/>
                <w:lang w:val="en-US" w:eastAsia="en-US" w:bidi="ar-SA"/>
              </w:rPr>
            </w:pPr>
          </w:p>
        </w:tc>
      </w:tr>
      <w:tr w:rsidR="00136CDA" w:rsidRPr="00136CDA" w14:paraId="5B699684" w14:textId="77777777">
        <w:trPr>
          <w:trHeight w:val="300"/>
        </w:trPr>
        <w:tc>
          <w:tcPr>
            <w:tcW w:w="1928"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64602A61" w14:textId="77777777" w:rsidR="00A77B3E" w:rsidRPr="00136CDA" w:rsidRDefault="00A77B3E">
            <w:pPr>
              <w:spacing w:line="240" w:lineRule="auto"/>
              <w:jc w:val="center"/>
              <w:rPr>
                <w:color w:val="auto"/>
                <w:sz w:val="20"/>
                <w:szCs w:val="20"/>
                <w:lang w:val="en-US" w:eastAsia="en-US" w:bidi="ar-SA"/>
              </w:rPr>
            </w:pPr>
          </w:p>
        </w:tc>
        <w:tc>
          <w:tcPr>
            <w:tcW w:w="784"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5846BC01" w14:textId="77777777" w:rsidR="00A77B3E" w:rsidRPr="00136CDA" w:rsidRDefault="00A77B3E">
            <w:pPr>
              <w:spacing w:line="240" w:lineRule="auto"/>
              <w:jc w:val="center"/>
              <w:rPr>
                <w:color w:val="auto"/>
                <w:sz w:val="20"/>
                <w:szCs w:val="20"/>
                <w:lang w:val="en-US" w:eastAsia="en-US" w:bidi="ar-SA"/>
              </w:rPr>
            </w:pPr>
          </w:p>
        </w:tc>
        <w:tc>
          <w:tcPr>
            <w:tcW w:w="1200"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2CA75A5E"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2B42801F"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3139F30A"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172D8EF1" w14:textId="77777777" w:rsidR="00A77B3E" w:rsidRPr="00136CDA" w:rsidRDefault="00A77B3E">
            <w:pPr>
              <w:spacing w:line="240" w:lineRule="auto"/>
              <w:jc w:val="center"/>
              <w:rPr>
                <w:color w:val="auto"/>
                <w:sz w:val="20"/>
                <w:szCs w:val="20"/>
                <w:lang w:val="en-US" w:eastAsia="en-US" w:bidi="ar-SA"/>
              </w:rPr>
            </w:pPr>
          </w:p>
        </w:tc>
        <w:tc>
          <w:tcPr>
            <w:tcW w:w="1105"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49D171E4" w14:textId="77777777" w:rsidR="00A77B3E" w:rsidRPr="00136CDA" w:rsidRDefault="00A77B3E">
            <w:pPr>
              <w:spacing w:line="240" w:lineRule="auto"/>
              <w:jc w:val="center"/>
              <w:rPr>
                <w:color w:val="auto"/>
                <w:sz w:val="20"/>
                <w:szCs w:val="20"/>
                <w:lang w:val="en-US" w:eastAsia="en-US" w:bidi="ar-SA"/>
              </w:rPr>
            </w:pPr>
          </w:p>
        </w:tc>
        <w:tc>
          <w:tcPr>
            <w:tcW w:w="1018" w:type="dxa"/>
            <w:tcBorders>
              <w:top w:val="single" w:sz="2"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030B1677" w14:textId="77777777" w:rsidR="00A77B3E" w:rsidRPr="00136CDA" w:rsidRDefault="00A77B3E">
            <w:pPr>
              <w:spacing w:line="240" w:lineRule="auto"/>
              <w:jc w:val="center"/>
              <w:rPr>
                <w:color w:val="auto"/>
                <w:sz w:val="20"/>
                <w:szCs w:val="20"/>
                <w:lang w:val="en-US" w:eastAsia="en-US" w:bidi="ar-SA"/>
              </w:rPr>
            </w:pPr>
          </w:p>
        </w:tc>
      </w:tr>
      <w:tr w:rsidR="00136CDA" w:rsidRPr="00136CDA" w14:paraId="6C987DE4" w14:textId="77777777">
        <w:trPr>
          <w:trHeight w:val="624"/>
        </w:trPr>
        <w:tc>
          <w:tcPr>
            <w:tcW w:w="1928"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CC0242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Cash Flow Ratios</w:t>
            </w:r>
          </w:p>
        </w:tc>
        <w:tc>
          <w:tcPr>
            <w:tcW w:w="78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2374FEB"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200"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4F01D84A"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4D37AB5"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101733D8"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652CA0E3"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105"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C24FFE0"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018"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3279254B" w14:textId="77777777" w:rsidR="00A77B3E" w:rsidRPr="00136CDA" w:rsidRDefault="00A77B3E">
            <w:pPr>
              <w:widowControl w:val="0"/>
              <w:spacing w:line="276" w:lineRule="auto"/>
              <w:jc w:val="left"/>
              <w:rPr>
                <w:rFonts w:ascii="Arial" w:hAnsi="Arial" w:cs="Arial"/>
                <w:b/>
                <w:bCs/>
                <w:color w:val="auto"/>
                <w:lang w:val="en-US" w:eastAsia="en-US" w:bidi="ar-SA"/>
              </w:rPr>
            </w:pPr>
          </w:p>
        </w:tc>
      </w:tr>
      <w:tr w:rsidR="00136CDA" w:rsidRPr="00136CDA" w14:paraId="1E32909C" w14:textId="77777777">
        <w:trPr>
          <w:trHeight w:val="936"/>
        </w:trPr>
        <w:tc>
          <w:tcPr>
            <w:tcW w:w="1928"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122974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78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711632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1200"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116383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Formula </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C76AC42"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2020</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FBB2E81"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2021</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AF3CC21"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2022</w:t>
            </w:r>
          </w:p>
        </w:tc>
        <w:tc>
          <w:tcPr>
            <w:tcW w:w="1105"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5EAC97C"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2023</w:t>
            </w:r>
          </w:p>
        </w:tc>
        <w:tc>
          <w:tcPr>
            <w:tcW w:w="1018"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6B405610"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2024</w:t>
            </w:r>
          </w:p>
        </w:tc>
      </w:tr>
      <w:tr w:rsidR="00136CDA" w:rsidRPr="00136CDA" w14:paraId="2A06EB80" w14:textId="77777777">
        <w:trPr>
          <w:trHeight w:val="324"/>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4E280A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Operating Cash Flow</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06D2655"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6646B2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4" w:space="0" w:color="000000"/>
              <w:left w:val="single" w:sz="4" w:space="0" w:color="000000"/>
              <w:bottom w:val="single" w:sz="8" w:space="0" w:color="000000"/>
              <w:right w:val="single" w:sz="8" w:space="0" w:color="000000"/>
            </w:tcBorders>
            <w:tcMar>
              <w:top w:w="0" w:type="dxa"/>
              <w:left w:w="115" w:type="dxa"/>
              <w:bottom w:w="0" w:type="dxa"/>
              <w:right w:w="115" w:type="dxa"/>
            </w:tcMar>
            <w:vAlign w:val="center"/>
          </w:tcPr>
          <w:p w14:paraId="556FED6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73,392</w:t>
            </w:r>
          </w:p>
        </w:tc>
        <w:tc>
          <w:tcPr>
            <w:tcW w:w="1105" w:type="dxa"/>
            <w:tcBorders>
              <w:top w:val="single" w:sz="4"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41F30BF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40,283</w:t>
            </w:r>
          </w:p>
        </w:tc>
        <w:tc>
          <w:tcPr>
            <w:tcW w:w="1105" w:type="dxa"/>
            <w:tcBorders>
              <w:top w:val="single" w:sz="4"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241DE4A2"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10,926</w:t>
            </w:r>
          </w:p>
        </w:tc>
        <w:tc>
          <w:tcPr>
            <w:tcW w:w="1105" w:type="dxa"/>
            <w:tcBorders>
              <w:top w:val="single" w:sz="4"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29D8EAA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25,190</w:t>
            </w:r>
          </w:p>
        </w:tc>
        <w:tc>
          <w:tcPr>
            <w:tcW w:w="1018" w:type="dxa"/>
            <w:tcBorders>
              <w:top w:val="single" w:sz="4" w:space="0" w:color="000000"/>
              <w:left w:val="single" w:sz="8" w:space="0" w:color="000000"/>
              <w:bottom w:val="single" w:sz="8" w:space="0" w:color="000000"/>
              <w:right w:val="single" w:sz="8" w:space="0" w:color="000000"/>
            </w:tcBorders>
            <w:tcMar>
              <w:top w:w="0" w:type="dxa"/>
              <w:left w:w="115" w:type="dxa"/>
              <w:bottom w:w="0" w:type="dxa"/>
              <w:right w:w="115" w:type="dxa"/>
            </w:tcMar>
            <w:vAlign w:val="center"/>
          </w:tcPr>
          <w:p w14:paraId="01AECD4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14,822</w:t>
            </w:r>
          </w:p>
        </w:tc>
      </w:tr>
      <w:tr w:rsidR="00136CDA" w:rsidRPr="00136CDA" w14:paraId="27989E5A" w14:textId="77777777">
        <w:trPr>
          <w:trHeight w:val="312"/>
        </w:trPr>
        <w:tc>
          <w:tcPr>
            <w:tcW w:w="192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6854FE3"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Current Liabilities</w:t>
            </w:r>
          </w:p>
        </w:tc>
        <w:tc>
          <w:tcPr>
            <w:tcW w:w="78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356A5C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B</w:t>
            </w:r>
          </w:p>
        </w:tc>
        <w:tc>
          <w:tcPr>
            <w:tcW w:w="1200"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E21EBB4"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w:t>
            </w:r>
          </w:p>
        </w:tc>
        <w:tc>
          <w:tcPr>
            <w:tcW w:w="1105" w:type="dxa"/>
            <w:tcBorders>
              <w:top w:val="single" w:sz="8" w:space="0" w:color="000000"/>
              <w:left w:val="single" w:sz="4" w:space="0" w:color="000000"/>
              <w:bottom w:val="single" w:sz="4" w:space="0" w:color="000000"/>
              <w:right w:val="single" w:sz="2" w:space="0" w:color="000000"/>
            </w:tcBorders>
            <w:tcMar>
              <w:top w:w="0" w:type="dxa"/>
              <w:left w:w="115" w:type="dxa"/>
              <w:bottom w:w="0" w:type="dxa"/>
              <w:right w:w="115" w:type="dxa"/>
            </w:tcMar>
            <w:vAlign w:val="center"/>
          </w:tcPr>
          <w:p w14:paraId="065C254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1,79,510</w:t>
            </w:r>
          </w:p>
        </w:tc>
        <w:tc>
          <w:tcPr>
            <w:tcW w:w="1105" w:type="dxa"/>
            <w:tcBorders>
              <w:top w:val="single" w:sz="8"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180E897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2,16,787</w:t>
            </w:r>
          </w:p>
        </w:tc>
        <w:tc>
          <w:tcPr>
            <w:tcW w:w="1105" w:type="dxa"/>
            <w:tcBorders>
              <w:top w:val="single" w:sz="8"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00BCFD1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2,16,473</w:t>
            </w:r>
          </w:p>
        </w:tc>
        <w:tc>
          <w:tcPr>
            <w:tcW w:w="1105" w:type="dxa"/>
            <w:tcBorders>
              <w:top w:val="single" w:sz="8"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6D471BAC"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1,61,148</w:t>
            </w:r>
          </w:p>
        </w:tc>
        <w:tc>
          <w:tcPr>
            <w:tcW w:w="1018" w:type="dxa"/>
            <w:tcBorders>
              <w:top w:val="single" w:sz="8"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5BFD830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1,58,291</w:t>
            </w:r>
          </w:p>
        </w:tc>
      </w:tr>
      <w:tr w:rsidR="00A77B3E" w:rsidRPr="00136CDA" w14:paraId="6724B58E" w14:textId="77777777">
        <w:trPr>
          <w:trHeight w:val="636"/>
        </w:trPr>
        <w:tc>
          <w:tcPr>
            <w:tcW w:w="192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bottom"/>
          </w:tcPr>
          <w:p w14:paraId="24FFB15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Operating Cash Flow Ratio</w:t>
            </w:r>
          </w:p>
        </w:tc>
        <w:tc>
          <w:tcPr>
            <w:tcW w:w="784"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04458B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A/B</w:t>
            </w:r>
          </w:p>
        </w:tc>
        <w:tc>
          <w:tcPr>
            <w:tcW w:w="1200"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590C17B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(OCF / Current Liabilities)</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FF7441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0.41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0BFB0DF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0.19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395311F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0.05 </w:t>
            </w:r>
          </w:p>
        </w:tc>
        <w:tc>
          <w:tcPr>
            <w:tcW w:w="1105"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2E4559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0.16 </w:t>
            </w:r>
          </w:p>
        </w:tc>
        <w:tc>
          <w:tcPr>
            <w:tcW w:w="1018" w:type="dxa"/>
            <w:tcBorders>
              <w:top w:val="single" w:sz="4" w:space="0" w:color="000000"/>
              <w:left w:val="single" w:sz="4" w:space="0" w:color="000000"/>
              <w:bottom w:val="single" w:sz="4" w:space="0" w:color="000000"/>
              <w:right w:val="single" w:sz="4" w:space="0" w:color="000000"/>
            </w:tcBorders>
            <w:shd w:val="solid" w:color="BDD7EE" w:fill="BDD7EE"/>
            <w:tcMar>
              <w:top w:w="0" w:type="dxa"/>
              <w:left w:w="115" w:type="dxa"/>
              <w:bottom w:w="0" w:type="dxa"/>
              <w:right w:w="115" w:type="dxa"/>
            </w:tcMar>
            <w:vAlign w:val="center"/>
          </w:tcPr>
          <w:p w14:paraId="4CB56D0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0.09 </w:t>
            </w:r>
          </w:p>
        </w:tc>
      </w:tr>
    </w:tbl>
    <w:p w14:paraId="0655E6C6" w14:textId="77777777" w:rsidR="00A77B3E" w:rsidRPr="00136CDA" w:rsidRDefault="00A77B3E">
      <w:pPr>
        <w:rPr>
          <w:color w:val="auto"/>
          <w:lang w:val="en-US" w:bidi="ar-SA"/>
        </w:rPr>
      </w:pPr>
    </w:p>
    <w:p w14:paraId="2882F9C5" w14:textId="77777777" w:rsidR="00A77B3E" w:rsidRPr="00136CDA" w:rsidRDefault="00A96C87">
      <w:pPr>
        <w:pageBreakBefore/>
        <w:rPr>
          <w:b/>
          <w:bCs/>
          <w:color w:val="auto"/>
          <w:lang w:val="en-US" w:bidi="ar-SA"/>
        </w:rPr>
      </w:pPr>
      <w:r w:rsidRPr="00136CDA">
        <w:rPr>
          <w:b/>
          <w:bCs/>
          <w:color w:val="auto"/>
          <w:lang w:val="en-US" w:eastAsia="en-US" w:bidi="ar-SA"/>
        </w:rPr>
        <w:lastRenderedPageBreak/>
        <w:t>Appendix 2:  Working Capital</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tblCellMar>
        <w:tblLook w:val="04A0" w:firstRow="1" w:lastRow="0" w:firstColumn="1" w:lastColumn="0" w:noHBand="0" w:noVBand="1"/>
      </w:tblPr>
      <w:tblGrid>
        <w:gridCol w:w="2734"/>
        <w:gridCol w:w="1021"/>
        <w:gridCol w:w="1167"/>
        <w:gridCol w:w="1167"/>
        <w:gridCol w:w="1167"/>
        <w:gridCol w:w="1167"/>
        <w:gridCol w:w="1167"/>
      </w:tblGrid>
      <w:tr w:rsidR="00136CDA" w:rsidRPr="00136CDA" w14:paraId="35BFAF37" w14:textId="77777777">
        <w:trPr>
          <w:trHeight w:val="312"/>
        </w:trPr>
        <w:tc>
          <w:tcPr>
            <w:tcW w:w="272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3B4CB1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888"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9E0FB7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71CD01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2020</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767C87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2021</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73833DD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2022</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CE890E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2023</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510B336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2024</w:t>
            </w:r>
          </w:p>
        </w:tc>
      </w:tr>
      <w:tr w:rsidR="00136CDA" w:rsidRPr="00136CDA" w14:paraId="004E9118" w14:textId="77777777">
        <w:trPr>
          <w:trHeight w:val="300"/>
        </w:trPr>
        <w:tc>
          <w:tcPr>
            <w:tcW w:w="27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5B19EAF"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Inventory Turnover Days</w:t>
            </w:r>
          </w:p>
        </w:tc>
        <w:tc>
          <w:tcPr>
            <w:tcW w:w="88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A2160E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D8FB378"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(100)</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CE4E0DB"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(115)</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392F85E"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(131)</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84EFA94"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(100)</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8EFBDBB"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(103)</w:t>
            </w:r>
          </w:p>
        </w:tc>
      </w:tr>
      <w:tr w:rsidR="00136CDA" w:rsidRPr="00136CDA" w14:paraId="46A5AA8B" w14:textId="77777777">
        <w:trPr>
          <w:trHeight w:val="300"/>
        </w:trPr>
        <w:tc>
          <w:tcPr>
            <w:tcW w:w="27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120F73F"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Receivables Turnover Days</w:t>
            </w:r>
          </w:p>
        </w:tc>
        <w:tc>
          <w:tcPr>
            <w:tcW w:w="88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8BA0833"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B</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3D96C5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77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71EEB7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78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83C69EF"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76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0B8BBA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98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A0400F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106 </w:t>
            </w:r>
          </w:p>
        </w:tc>
      </w:tr>
      <w:tr w:rsidR="00136CDA" w:rsidRPr="00136CDA" w14:paraId="3C89A154" w14:textId="77777777">
        <w:trPr>
          <w:trHeight w:val="300"/>
        </w:trPr>
        <w:tc>
          <w:tcPr>
            <w:tcW w:w="27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C8C73C8"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Payables Turnover Days</w:t>
            </w:r>
          </w:p>
        </w:tc>
        <w:tc>
          <w:tcPr>
            <w:tcW w:w="88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3429EF8"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C</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DD9455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(69)</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347069C"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(79)</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6D55209"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(67)</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0B8E20F"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(64)</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FC53B88"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(94)</w:t>
            </w:r>
          </w:p>
        </w:tc>
      </w:tr>
      <w:tr w:rsidR="00136CDA" w:rsidRPr="00136CDA" w14:paraId="2C9D0379" w14:textId="77777777">
        <w:trPr>
          <w:trHeight w:val="312"/>
        </w:trPr>
        <w:tc>
          <w:tcPr>
            <w:tcW w:w="272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06FEF3F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Cash Conversion Cycle</w:t>
            </w:r>
          </w:p>
        </w:tc>
        <w:tc>
          <w:tcPr>
            <w:tcW w:w="888"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7DE1825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A+B-C</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4F527EB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46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2AD3884C"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43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10209B5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11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4DF3EFE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62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224783EE"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96 </w:t>
            </w:r>
          </w:p>
        </w:tc>
      </w:tr>
      <w:tr w:rsidR="00136CDA" w:rsidRPr="00136CDA" w14:paraId="1C8DC459" w14:textId="77777777">
        <w:trPr>
          <w:trHeight w:val="300"/>
        </w:trPr>
        <w:tc>
          <w:tcPr>
            <w:tcW w:w="2727"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1E9B13C6" w14:textId="77777777" w:rsidR="00A77B3E" w:rsidRPr="00136CDA" w:rsidRDefault="00A77B3E">
            <w:pPr>
              <w:spacing w:line="240" w:lineRule="auto"/>
              <w:jc w:val="center"/>
              <w:rPr>
                <w:rFonts w:ascii="Arial" w:hAnsi="Arial" w:cs="Arial"/>
                <w:b/>
                <w:bCs/>
                <w:color w:val="auto"/>
                <w:lang w:val="en-US" w:eastAsia="en-US" w:bidi="ar-SA"/>
              </w:rPr>
            </w:pPr>
          </w:p>
        </w:tc>
        <w:tc>
          <w:tcPr>
            <w:tcW w:w="888"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3E524C1A" w14:textId="77777777" w:rsidR="00A77B3E" w:rsidRPr="00136CDA" w:rsidRDefault="00A77B3E">
            <w:pPr>
              <w:spacing w:line="240" w:lineRule="auto"/>
              <w:jc w:val="center"/>
              <w:rPr>
                <w:color w:val="auto"/>
                <w:sz w:val="20"/>
                <w:szCs w:val="20"/>
                <w:lang w:val="en-US" w:eastAsia="en-US" w:bidi="ar-SA"/>
              </w:rPr>
            </w:pPr>
          </w:p>
        </w:tc>
        <w:tc>
          <w:tcPr>
            <w:tcW w:w="1147"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763E4B9F" w14:textId="77777777" w:rsidR="00A77B3E" w:rsidRPr="00136CDA" w:rsidRDefault="00A77B3E">
            <w:pPr>
              <w:spacing w:line="240" w:lineRule="auto"/>
              <w:jc w:val="center"/>
              <w:rPr>
                <w:color w:val="auto"/>
                <w:sz w:val="20"/>
                <w:szCs w:val="20"/>
                <w:lang w:val="en-US" w:eastAsia="en-US" w:bidi="ar-SA"/>
              </w:rPr>
            </w:pPr>
          </w:p>
        </w:tc>
        <w:tc>
          <w:tcPr>
            <w:tcW w:w="1147"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4EE80C38" w14:textId="77777777" w:rsidR="00A77B3E" w:rsidRPr="00136CDA" w:rsidRDefault="00A77B3E">
            <w:pPr>
              <w:spacing w:line="240" w:lineRule="auto"/>
              <w:jc w:val="center"/>
              <w:rPr>
                <w:color w:val="auto"/>
                <w:sz w:val="20"/>
                <w:szCs w:val="20"/>
                <w:lang w:val="en-US" w:eastAsia="en-US" w:bidi="ar-SA"/>
              </w:rPr>
            </w:pPr>
          </w:p>
        </w:tc>
        <w:tc>
          <w:tcPr>
            <w:tcW w:w="1147"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3729AB1E" w14:textId="77777777" w:rsidR="00A77B3E" w:rsidRPr="00136CDA" w:rsidRDefault="00A77B3E">
            <w:pPr>
              <w:spacing w:line="240" w:lineRule="auto"/>
              <w:jc w:val="center"/>
              <w:rPr>
                <w:color w:val="auto"/>
                <w:sz w:val="20"/>
                <w:szCs w:val="20"/>
                <w:lang w:val="en-US" w:eastAsia="en-US" w:bidi="ar-SA"/>
              </w:rPr>
            </w:pPr>
          </w:p>
        </w:tc>
        <w:tc>
          <w:tcPr>
            <w:tcW w:w="1147"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54967184" w14:textId="77777777" w:rsidR="00A77B3E" w:rsidRPr="00136CDA" w:rsidRDefault="00A77B3E">
            <w:pPr>
              <w:spacing w:line="240" w:lineRule="auto"/>
              <w:jc w:val="center"/>
              <w:rPr>
                <w:color w:val="auto"/>
                <w:sz w:val="20"/>
                <w:szCs w:val="20"/>
                <w:lang w:val="en-US" w:eastAsia="en-US" w:bidi="ar-SA"/>
              </w:rPr>
            </w:pPr>
          </w:p>
        </w:tc>
        <w:tc>
          <w:tcPr>
            <w:tcW w:w="1147" w:type="dxa"/>
            <w:tcBorders>
              <w:top w:val="single" w:sz="4" w:space="0" w:color="000000"/>
              <w:left w:val="single" w:sz="2" w:space="0" w:color="000000"/>
              <w:bottom w:val="single" w:sz="4" w:space="0" w:color="000000"/>
              <w:right w:val="single" w:sz="2" w:space="0" w:color="000000"/>
            </w:tcBorders>
            <w:tcMar>
              <w:top w:w="0" w:type="dxa"/>
              <w:left w:w="115" w:type="dxa"/>
              <w:bottom w:w="0" w:type="dxa"/>
              <w:right w:w="115" w:type="dxa"/>
            </w:tcMar>
            <w:vAlign w:val="center"/>
          </w:tcPr>
          <w:p w14:paraId="2A8DCA11" w14:textId="77777777" w:rsidR="00A77B3E" w:rsidRPr="00136CDA" w:rsidRDefault="00A77B3E">
            <w:pPr>
              <w:spacing w:line="240" w:lineRule="auto"/>
              <w:jc w:val="center"/>
              <w:rPr>
                <w:color w:val="auto"/>
                <w:sz w:val="20"/>
                <w:szCs w:val="20"/>
                <w:lang w:val="en-US" w:eastAsia="en-US" w:bidi="ar-SA"/>
              </w:rPr>
            </w:pPr>
          </w:p>
        </w:tc>
      </w:tr>
      <w:tr w:rsidR="00136CDA" w:rsidRPr="00136CDA" w14:paraId="5F94F2D8" w14:textId="77777777">
        <w:trPr>
          <w:trHeight w:val="312"/>
        </w:trPr>
        <w:tc>
          <w:tcPr>
            <w:tcW w:w="272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5B23977"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888"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2153476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2E5E9BF"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2020</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944FCE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2021</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6A6424C"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2022</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34A091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2023</w:t>
            </w:r>
          </w:p>
        </w:tc>
        <w:tc>
          <w:tcPr>
            <w:tcW w:w="1147"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A4AB88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2024</w:t>
            </w:r>
          </w:p>
        </w:tc>
      </w:tr>
      <w:tr w:rsidR="00136CDA" w:rsidRPr="00136CDA" w14:paraId="30D5FB34" w14:textId="77777777">
        <w:trPr>
          <w:trHeight w:val="300"/>
        </w:trPr>
        <w:tc>
          <w:tcPr>
            <w:tcW w:w="27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0353B55"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Current Assets </w:t>
            </w:r>
          </w:p>
        </w:tc>
        <w:tc>
          <w:tcPr>
            <w:tcW w:w="88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532172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A</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DAFF762"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3,26,843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2B242DE"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3,37,146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BBC1771"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3,38,040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9DC06E5"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2,58,851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901458D"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2,42,494 </w:t>
            </w:r>
          </w:p>
        </w:tc>
      </w:tr>
      <w:tr w:rsidR="00136CDA" w:rsidRPr="00136CDA" w14:paraId="76BFE1F9" w14:textId="77777777">
        <w:trPr>
          <w:trHeight w:val="300"/>
        </w:trPr>
        <w:tc>
          <w:tcPr>
            <w:tcW w:w="272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C12D09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Current Liabilities </w:t>
            </w:r>
          </w:p>
        </w:tc>
        <w:tc>
          <w:tcPr>
            <w:tcW w:w="88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8D8C40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B</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EE57A4A"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1,79,510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4914DBC"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2,16,787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56011DE"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2,16,473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19A530E"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1,61,148 </w:t>
            </w:r>
          </w:p>
        </w:tc>
        <w:tc>
          <w:tcPr>
            <w:tcW w:w="1147"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8711F06" w14:textId="77777777" w:rsidR="00A77B3E" w:rsidRPr="00136CDA" w:rsidRDefault="00A96C87">
            <w:pPr>
              <w:spacing w:line="240" w:lineRule="auto"/>
              <w:jc w:val="center"/>
              <w:rPr>
                <w:rFonts w:ascii="Arial" w:hAnsi="Arial" w:cs="Arial"/>
                <w:color w:val="auto"/>
                <w:lang w:val="en-US" w:eastAsia="en-US" w:bidi="ar-SA"/>
              </w:rPr>
            </w:pPr>
            <w:r w:rsidRPr="00136CDA">
              <w:rPr>
                <w:rFonts w:ascii="Arial" w:hAnsi="Arial" w:cs="Arial"/>
                <w:color w:val="auto"/>
                <w:lang w:val="en-US" w:eastAsia="en-US" w:bidi="ar-SA"/>
              </w:rPr>
              <w:t xml:space="preserve"> 1,58,291 </w:t>
            </w:r>
          </w:p>
        </w:tc>
      </w:tr>
      <w:tr w:rsidR="00A77B3E" w:rsidRPr="00136CDA" w14:paraId="4A25A5C0" w14:textId="77777777">
        <w:trPr>
          <w:trHeight w:val="312"/>
        </w:trPr>
        <w:tc>
          <w:tcPr>
            <w:tcW w:w="272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3A4D018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Working Capital </w:t>
            </w:r>
          </w:p>
        </w:tc>
        <w:tc>
          <w:tcPr>
            <w:tcW w:w="888"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3740331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A-B</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34F4E92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1,47,333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32A130F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1,20,359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6CDF7B18"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1,21,567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548236F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97,703 </w:t>
            </w:r>
          </w:p>
        </w:tc>
        <w:tc>
          <w:tcPr>
            <w:tcW w:w="1147" w:type="dxa"/>
            <w:tcBorders>
              <w:top w:val="single" w:sz="4" w:space="0" w:color="000000"/>
              <w:left w:val="single" w:sz="4" w:space="0" w:color="000000"/>
              <w:bottom w:val="single" w:sz="4" w:space="0" w:color="000000"/>
              <w:right w:val="single" w:sz="4" w:space="0" w:color="000000"/>
            </w:tcBorders>
            <w:shd w:val="solid" w:color="9BC2E6" w:fill="9BC2E6"/>
            <w:tcMar>
              <w:top w:w="0" w:type="dxa"/>
              <w:left w:w="115" w:type="dxa"/>
              <w:bottom w:w="0" w:type="dxa"/>
              <w:right w:w="115" w:type="dxa"/>
            </w:tcMar>
            <w:vAlign w:val="center"/>
          </w:tcPr>
          <w:p w14:paraId="228457B6"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    84,203 </w:t>
            </w:r>
          </w:p>
        </w:tc>
      </w:tr>
    </w:tbl>
    <w:p w14:paraId="21549F47" w14:textId="77777777" w:rsidR="00A77B3E" w:rsidRPr="00136CDA" w:rsidRDefault="00A77B3E">
      <w:pPr>
        <w:jc w:val="center"/>
        <w:rPr>
          <w:color w:val="auto"/>
          <w:lang w:val="en-US" w:bidi="ar-SA"/>
        </w:rPr>
      </w:pPr>
    </w:p>
    <w:p w14:paraId="466F292E" w14:textId="77777777" w:rsidR="00A77B3E" w:rsidRPr="00136CDA" w:rsidRDefault="00A96C87">
      <w:pPr>
        <w:pageBreakBefore/>
        <w:rPr>
          <w:b/>
          <w:bCs/>
          <w:color w:val="auto"/>
          <w:lang w:val="en-US" w:bidi="ar-SA"/>
        </w:rPr>
      </w:pPr>
      <w:r w:rsidRPr="00136CDA">
        <w:rPr>
          <w:b/>
          <w:bCs/>
          <w:color w:val="auto"/>
          <w:lang w:val="en-US" w:eastAsia="en-US" w:bidi="ar-SA"/>
        </w:rPr>
        <w:lastRenderedPageBreak/>
        <w:t>Appendix 3: Altman Z- Score</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15" w:type="dxa"/>
        </w:tblCellMar>
        <w:tblLook w:val="04A0" w:firstRow="1" w:lastRow="0" w:firstColumn="1" w:lastColumn="0" w:noHBand="0" w:noVBand="1"/>
      </w:tblPr>
      <w:tblGrid>
        <w:gridCol w:w="1664"/>
        <w:gridCol w:w="1618"/>
        <w:gridCol w:w="1631"/>
        <w:gridCol w:w="1165"/>
        <w:gridCol w:w="1165"/>
        <w:gridCol w:w="1165"/>
        <w:gridCol w:w="1165"/>
        <w:gridCol w:w="1165"/>
      </w:tblGrid>
      <w:tr w:rsidR="00136CDA" w:rsidRPr="00136CDA" w14:paraId="28CBC1B7" w14:textId="77777777">
        <w:trPr>
          <w:trHeight w:val="312"/>
        </w:trPr>
        <w:tc>
          <w:tcPr>
            <w:tcW w:w="226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318BA101"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Altman Z- Score</w:t>
            </w:r>
          </w:p>
        </w:tc>
        <w:tc>
          <w:tcPr>
            <w:tcW w:w="125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4AC6E4A"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1262"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760FFF4C"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EC1EE75"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50E5F56A"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2104C777"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4F64DF8B" w14:textId="77777777" w:rsidR="00A77B3E" w:rsidRPr="00136CDA" w:rsidRDefault="00A77B3E">
            <w:pPr>
              <w:widowControl w:val="0"/>
              <w:spacing w:line="276" w:lineRule="auto"/>
              <w:jc w:val="left"/>
              <w:rPr>
                <w:rFonts w:ascii="Arial" w:hAnsi="Arial" w:cs="Arial"/>
                <w:b/>
                <w:bCs/>
                <w:color w:val="auto"/>
                <w:lang w:val="en-US" w:eastAsia="en-US" w:bidi="ar-SA"/>
              </w:rPr>
            </w:pPr>
          </w:p>
        </w:tc>
        <w:tc>
          <w:tcPr>
            <w:tcW w:w="914" w:type="dxa"/>
            <w:tcBorders>
              <w:top w:val="single" w:sz="4" w:space="0" w:color="000000"/>
              <w:left w:val="single" w:sz="4" w:space="0" w:color="000000"/>
              <w:bottom w:val="single" w:sz="4" w:space="0" w:color="000000"/>
              <w:right w:val="single" w:sz="4" w:space="0" w:color="000000"/>
            </w:tcBorders>
            <w:shd w:val="solid" w:color="FFFF00" w:fill="FFFF00"/>
            <w:tcMar>
              <w:top w:w="0" w:type="dxa"/>
              <w:left w:w="115" w:type="dxa"/>
              <w:bottom w:w="0" w:type="dxa"/>
              <w:right w:w="115" w:type="dxa"/>
            </w:tcMar>
            <w:vAlign w:val="center"/>
          </w:tcPr>
          <w:p w14:paraId="6BE0C3FD" w14:textId="77777777" w:rsidR="00A77B3E" w:rsidRPr="00136CDA" w:rsidRDefault="00A77B3E">
            <w:pPr>
              <w:widowControl w:val="0"/>
              <w:spacing w:line="276" w:lineRule="auto"/>
              <w:jc w:val="left"/>
              <w:rPr>
                <w:rFonts w:ascii="Arial" w:hAnsi="Arial" w:cs="Arial"/>
                <w:b/>
                <w:bCs/>
                <w:color w:val="auto"/>
                <w:lang w:val="en-US" w:eastAsia="en-US" w:bidi="ar-SA"/>
              </w:rPr>
            </w:pPr>
          </w:p>
        </w:tc>
      </w:tr>
      <w:tr w:rsidR="00136CDA" w:rsidRPr="00136CDA" w14:paraId="627F216F" w14:textId="77777777">
        <w:trPr>
          <w:trHeight w:val="312"/>
        </w:trPr>
        <w:tc>
          <w:tcPr>
            <w:tcW w:w="226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2BD34640"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Particulars</w:t>
            </w:r>
          </w:p>
        </w:tc>
        <w:tc>
          <w:tcPr>
            <w:tcW w:w="125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633AC4A3"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Details</w:t>
            </w:r>
          </w:p>
        </w:tc>
        <w:tc>
          <w:tcPr>
            <w:tcW w:w="1262"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609694AD"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 xml:space="preserve">Formula </w:t>
            </w:r>
          </w:p>
        </w:tc>
        <w:tc>
          <w:tcPr>
            <w:tcW w:w="91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0BD2AD88"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2020</w:t>
            </w:r>
          </w:p>
        </w:tc>
        <w:tc>
          <w:tcPr>
            <w:tcW w:w="91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2C57F779"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2021</w:t>
            </w:r>
          </w:p>
        </w:tc>
        <w:tc>
          <w:tcPr>
            <w:tcW w:w="91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45BDB838"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2022</w:t>
            </w:r>
          </w:p>
        </w:tc>
        <w:tc>
          <w:tcPr>
            <w:tcW w:w="91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1A511F54"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2023</w:t>
            </w:r>
          </w:p>
        </w:tc>
        <w:tc>
          <w:tcPr>
            <w:tcW w:w="914" w:type="dxa"/>
            <w:tcBorders>
              <w:top w:val="single" w:sz="4" w:space="0" w:color="000000"/>
              <w:left w:val="single" w:sz="4" w:space="0" w:color="000000"/>
              <w:bottom w:val="single" w:sz="4" w:space="0" w:color="000000"/>
              <w:right w:val="single" w:sz="4" w:space="0" w:color="000000"/>
            </w:tcBorders>
            <w:shd w:val="solid" w:color="FCE4D6" w:fill="FCE4D6"/>
            <w:tcMar>
              <w:top w:w="0" w:type="dxa"/>
              <w:left w:w="115" w:type="dxa"/>
              <w:bottom w:w="0" w:type="dxa"/>
              <w:right w:w="115" w:type="dxa"/>
            </w:tcMar>
            <w:vAlign w:val="center"/>
          </w:tcPr>
          <w:p w14:paraId="352B8AF8" w14:textId="77777777" w:rsidR="00A77B3E" w:rsidRPr="00136CDA" w:rsidRDefault="00A96C87">
            <w:pPr>
              <w:spacing w:line="240" w:lineRule="auto"/>
              <w:jc w:val="center"/>
              <w:rPr>
                <w:rFonts w:ascii="Calibri" w:hAnsi="Calibri" w:cs="Calibri"/>
                <w:b/>
                <w:bCs/>
                <w:color w:val="auto"/>
                <w:lang w:val="en-US" w:eastAsia="en-US" w:bidi="ar-SA"/>
              </w:rPr>
            </w:pPr>
            <w:r w:rsidRPr="00136CDA">
              <w:rPr>
                <w:rFonts w:ascii="Calibri" w:hAnsi="Calibri" w:cs="Calibri"/>
                <w:b/>
                <w:bCs/>
                <w:color w:val="auto"/>
                <w:lang w:val="en-US" w:eastAsia="en-US" w:bidi="ar-SA"/>
              </w:rPr>
              <w:t>2024</w:t>
            </w:r>
          </w:p>
        </w:tc>
      </w:tr>
      <w:tr w:rsidR="00136CDA" w:rsidRPr="00136CDA" w14:paraId="17013FBE"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42329B41"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xml:space="preserve">Total Assets </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A7AF717"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A</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4A65E51A"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4212F5A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510290</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6C67E8E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510348</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695DE35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504163</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1E683B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355872</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13574BBD"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323354</w:t>
            </w:r>
          </w:p>
        </w:tc>
      </w:tr>
      <w:tr w:rsidR="00136CDA" w:rsidRPr="00136CDA" w14:paraId="395A33E8"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5F72AB3"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xml:space="preserve">Current Assets </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162DE43B"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B</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9995EAE"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0BD242B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326843</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1C55D93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337146</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47B0D6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338040</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1FBE6DB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258851</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6783763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242494</w:t>
            </w:r>
          </w:p>
        </w:tc>
      </w:tr>
      <w:tr w:rsidR="00136CDA" w:rsidRPr="00136CDA" w14:paraId="5EFBEDDA"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48619A8"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xml:space="preserve">Current Liabilities </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37931BB9"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C</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19B4BF2"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DBD3E2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179510</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40075E8D"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216787</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5C31A04"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216473</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8CA00A4"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161148</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88770B6"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158291</w:t>
            </w:r>
          </w:p>
        </w:tc>
      </w:tr>
      <w:tr w:rsidR="00136CDA" w:rsidRPr="00136CDA" w14:paraId="43AA1CCA"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01E0A814"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Retained Earnings (RE)</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29CBF9D"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D</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26FB44A"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42646BF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3,24,990</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18E26DD"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3,30,291</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575C11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3,30,698</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17DF3F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2,32,460</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8050554"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2,08,431</w:t>
            </w:r>
          </w:p>
        </w:tc>
      </w:tr>
      <w:tr w:rsidR="00136CDA" w:rsidRPr="00136CDA" w14:paraId="3BFAEB10"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01F50D7"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EBIT (Operating income)</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C6D31AD"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E</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0417B782"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1CE79AD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37,267</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7C2D09AA"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23,253</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6D8C8D9"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14,548</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259E240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-85,301</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ED99376"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-15,297</w:t>
            </w:r>
          </w:p>
        </w:tc>
      </w:tr>
      <w:tr w:rsidR="00136CDA" w:rsidRPr="00136CDA" w14:paraId="28445295"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4188C72"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Total shareholders' equity</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CD0BDC4"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F</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4F0CE590"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CCFAB97"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3,13,301</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05F6976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2,75,949</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6019F75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2,68,406</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5F32D105"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1,78,920</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center"/>
          </w:tcPr>
          <w:p w14:paraId="3B8995C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1,53,105</w:t>
            </w:r>
          </w:p>
        </w:tc>
      </w:tr>
      <w:tr w:rsidR="00136CDA" w:rsidRPr="00136CDA" w14:paraId="4D2138FC"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6020DCB1"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Total Liabilities (TL)</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67BF65D7"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G</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34B2C664"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4971C9A3"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1,96,989</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D514DD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2,34,399</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232483A8"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2,35,757</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4ADB873E"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1,76,952</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62E02CBD"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1,70,249</w:t>
            </w:r>
          </w:p>
        </w:tc>
      </w:tr>
      <w:tr w:rsidR="00136CDA" w:rsidRPr="00136CDA" w14:paraId="7FB1BB13" w14:textId="77777777">
        <w:trPr>
          <w:trHeight w:val="312"/>
        </w:trPr>
        <w:tc>
          <w:tcPr>
            <w:tcW w:w="226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0E93EBB9"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Sales</w:t>
            </w:r>
          </w:p>
        </w:tc>
        <w:tc>
          <w:tcPr>
            <w:tcW w:w="125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BC6D951"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H</w:t>
            </w:r>
          </w:p>
        </w:tc>
        <w:tc>
          <w:tcPr>
            <w:tcW w:w="1262"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68BF2B5" w14:textId="77777777" w:rsidR="00A77B3E" w:rsidRPr="00136CDA" w:rsidRDefault="00A96C87">
            <w:pPr>
              <w:spacing w:line="240" w:lineRule="auto"/>
              <w:jc w:val="left"/>
              <w:rPr>
                <w:rFonts w:ascii="Arial" w:hAnsi="Arial" w:cs="Arial"/>
                <w:color w:val="auto"/>
                <w:lang w:val="en-US" w:eastAsia="en-US" w:bidi="ar-SA"/>
              </w:rPr>
            </w:pPr>
            <w:r w:rsidRPr="00136CDA">
              <w:rPr>
                <w:rFonts w:ascii="Arial" w:hAnsi="Arial" w:cs="Arial"/>
                <w:color w:val="auto"/>
                <w:lang w:val="en-US" w:eastAsia="en-US" w:bidi="ar-SA"/>
              </w:rPr>
              <w:t> </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1EAF46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6,14,680</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DADF2FF"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6,01,602</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754FFEAB"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5,42,751</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18E9E4C1"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4,20,457</w:t>
            </w:r>
          </w:p>
        </w:tc>
        <w:tc>
          <w:tcPr>
            <w:tcW w:w="914"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vAlign w:val="bottom"/>
          </w:tcPr>
          <w:p w14:paraId="5FF972B0" w14:textId="77777777" w:rsidR="00A77B3E" w:rsidRPr="00136CDA" w:rsidRDefault="00A96C87">
            <w:pPr>
              <w:spacing w:line="240" w:lineRule="auto"/>
              <w:jc w:val="right"/>
              <w:rPr>
                <w:rFonts w:ascii="Arial" w:hAnsi="Arial" w:cs="Arial"/>
                <w:color w:val="auto"/>
                <w:lang w:val="en-US" w:eastAsia="en-US" w:bidi="ar-SA"/>
              </w:rPr>
            </w:pPr>
            <w:r w:rsidRPr="00136CDA">
              <w:rPr>
                <w:rFonts w:ascii="Arial" w:hAnsi="Arial" w:cs="Arial"/>
                <w:color w:val="auto"/>
                <w:lang w:val="en-US" w:eastAsia="en-US" w:bidi="ar-SA"/>
              </w:rPr>
              <w:t>3,94,879</w:t>
            </w:r>
          </w:p>
        </w:tc>
      </w:tr>
      <w:tr w:rsidR="00136CDA" w:rsidRPr="00136CDA" w14:paraId="109C60FE" w14:textId="77777777">
        <w:trPr>
          <w:trHeight w:val="624"/>
        </w:trPr>
        <w:tc>
          <w:tcPr>
            <w:tcW w:w="226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6062D2BE"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 xml:space="preserve">Working Capital </w:t>
            </w:r>
          </w:p>
        </w:tc>
        <w:tc>
          <w:tcPr>
            <w:tcW w:w="125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4A3BB331"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I= B-C</w:t>
            </w:r>
          </w:p>
        </w:tc>
        <w:tc>
          <w:tcPr>
            <w:tcW w:w="1262"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6F56356A"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Current Assets/ Current Liabilities</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594C22CF"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147333</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58E0506A"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120359</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3079DDF5"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121567</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4E44C59D"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97703</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3F5DE80F"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84203</w:t>
            </w:r>
          </w:p>
        </w:tc>
      </w:tr>
      <w:tr w:rsidR="00136CDA" w:rsidRPr="00136CDA" w14:paraId="3B204B26" w14:textId="77777777">
        <w:trPr>
          <w:trHeight w:val="624"/>
        </w:trPr>
        <w:tc>
          <w:tcPr>
            <w:tcW w:w="226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5A41A612"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X1</w:t>
            </w:r>
          </w:p>
        </w:tc>
        <w:tc>
          <w:tcPr>
            <w:tcW w:w="125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238CEA6A"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J=I/A</w:t>
            </w:r>
          </w:p>
        </w:tc>
        <w:tc>
          <w:tcPr>
            <w:tcW w:w="1262"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7009B13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Working Capital /Total Assets</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3EE124A3"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0.29</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5E4752F6"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0.24</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714687B9"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0.24</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39D1B4AD"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0.27</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3D0D1D0D"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0.26</w:t>
            </w:r>
          </w:p>
        </w:tc>
      </w:tr>
      <w:tr w:rsidR="00136CDA" w:rsidRPr="00136CDA" w14:paraId="308D95E8" w14:textId="77777777">
        <w:trPr>
          <w:trHeight w:val="624"/>
        </w:trPr>
        <w:tc>
          <w:tcPr>
            <w:tcW w:w="226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60EFB8F5"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X2</w:t>
            </w:r>
          </w:p>
        </w:tc>
        <w:tc>
          <w:tcPr>
            <w:tcW w:w="125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67978C22"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K=D/A</w:t>
            </w:r>
          </w:p>
        </w:tc>
        <w:tc>
          <w:tcPr>
            <w:tcW w:w="1262"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3BE7DB3B"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Retained Earning /Total Assets</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48D228F8"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0.64</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417A9752"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0.65</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170C0DD7"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0.66</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447BBDE8"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0.65</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5A314E16"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0.64</w:t>
            </w:r>
          </w:p>
        </w:tc>
      </w:tr>
      <w:tr w:rsidR="00136CDA" w:rsidRPr="00136CDA" w14:paraId="426B391F" w14:textId="77777777">
        <w:trPr>
          <w:trHeight w:val="624"/>
        </w:trPr>
        <w:tc>
          <w:tcPr>
            <w:tcW w:w="226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42BCBF0C"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X3</w:t>
            </w:r>
          </w:p>
        </w:tc>
        <w:tc>
          <w:tcPr>
            <w:tcW w:w="125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5DF9FA10"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L=E/A</w:t>
            </w:r>
          </w:p>
        </w:tc>
        <w:tc>
          <w:tcPr>
            <w:tcW w:w="1262"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59FB1552"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EBIT /Total Assets</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106DDF02"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0.07</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6210F8A3"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0.05</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401F65CC"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0.03</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0F91221F"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-0.24</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4DD6BF06"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-0.05</w:t>
            </w:r>
          </w:p>
        </w:tc>
      </w:tr>
      <w:tr w:rsidR="00136CDA" w:rsidRPr="00136CDA" w14:paraId="70C55690" w14:textId="77777777">
        <w:trPr>
          <w:trHeight w:val="936"/>
        </w:trPr>
        <w:tc>
          <w:tcPr>
            <w:tcW w:w="226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267B4257"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X4</w:t>
            </w:r>
          </w:p>
        </w:tc>
        <w:tc>
          <w:tcPr>
            <w:tcW w:w="125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61ACC28B"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M=F/G</w:t>
            </w:r>
          </w:p>
        </w:tc>
        <w:tc>
          <w:tcPr>
            <w:tcW w:w="1262"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tcPr>
          <w:p w14:paraId="3BB03E84"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Total Shareholder Equity/ Total Liabilities</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735B16A1"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1.59</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0880260A"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1.18</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373FF160"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1.14</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2B1BBC01"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1.01</w:t>
            </w:r>
          </w:p>
        </w:tc>
        <w:tc>
          <w:tcPr>
            <w:tcW w:w="914" w:type="dxa"/>
            <w:tcBorders>
              <w:top w:val="single" w:sz="4" w:space="0" w:color="000000"/>
              <w:left w:val="single" w:sz="4" w:space="0" w:color="000000"/>
              <w:bottom w:val="single" w:sz="4" w:space="0" w:color="000000"/>
              <w:right w:val="single" w:sz="4" w:space="0" w:color="000000"/>
            </w:tcBorders>
            <w:shd w:val="solid" w:color="FFF2CC" w:fill="FFF2CC"/>
            <w:tcMar>
              <w:top w:w="0" w:type="dxa"/>
              <w:left w:w="115" w:type="dxa"/>
              <w:bottom w:w="0" w:type="dxa"/>
              <w:right w:w="115" w:type="dxa"/>
            </w:tcMar>
            <w:vAlign w:val="bottom"/>
          </w:tcPr>
          <w:p w14:paraId="62083AD1"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0.90</w:t>
            </w:r>
          </w:p>
        </w:tc>
      </w:tr>
      <w:tr w:rsidR="00136CDA" w:rsidRPr="00136CDA" w14:paraId="04F496D2" w14:textId="77777777">
        <w:trPr>
          <w:trHeight w:val="636"/>
        </w:trPr>
        <w:tc>
          <w:tcPr>
            <w:tcW w:w="2264"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tcPr>
          <w:p w14:paraId="5D96CF11"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X5</w:t>
            </w:r>
          </w:p>
        </w:tc>
        <w:tc>
          <w:tcPr>
            <w:tcW w:w="1254"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tcPr>
          <w:p w14:paraId="7D92A9A5"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N=H/A</w:t>
            </w:r>
          </w:p>
        </w:tc>
        <w:tc>
          <w:tcPr>
            <w:tcW w:w="1262"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tcPr>
          <w:p w14:paraId="7E832369" w14:textId="77777777" w:rsidR="00A77B3E" w:rsidRPr="00136CDA" w:rsidRDefault="00A96C87">
            <w:pPr>
              <w:spacing w:line="240" w:lineRule="auto"/>
              <w:jc w:val="center"/>
              <w:rPr>
                <w:rFonts w:ascii="Arial" w:hAnsi="Arial" w:cs="Arial"/>
                <w:b/>
                <w:bCs/>
                <w:color w:val="auto"/>
                <w:lang w:val="en-US" w:eastAsia="en-US" w:bidi="ar-SA"/>
              </w:rPr>
            </w:pPr>
            <w:r w:rsidRPr="00136CDA">
              <w:rPr>
                <w:rFonts w:ascii="Arial" w:hAnsi="Arial" w:cs="Arial"/>
                <w:b/>
                <w:bCs/>
                <w:color w:val="auto"/>
                <w:lang w:val="en-US" w:eastAsia="en-US" w:bidi="ar-SA"/>
              </w:rPr>
              <w:t>Sales /Total Assets</w:t>
            </w:r>
          </w:p>
        </w:tc>
        <w:tc>
          <w:tcPr>
            <w:tcW w:w="914"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vAlign w:val="bottom"/>
          </w:tcPr>
          <w:p w14:paraId="07F278BF"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1.20</w:t>
            </w:r>
          </w:p>
        </w:tc>
        <w:tc>
          <w:tcPr>
            <w:tcW w:w="914"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vAlign w:val="bottom"/>
          </w:tcPr>
          <w:p w14:paraId="7C0EE5C4"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1.18</w:t>
            </w:r>
          </w:p>
        </w:tc>
        <w:tc>
          <w:tcPr>
            <w:tcW w:w="914"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vAlign w:val="bottom"/>
          </w:tcPr>
          <w:p w14:paraId="62917AC0"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1.08</w:t>
            </w:r>
          </w:p>
        </w:tc>
        <w:tc>
          <w:tcPr>
            <w:tcW w:w="914"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vAlign w:val="bottom"/>
          </w:tcPr>
          <w:p w14:paraId="021EFCFB"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1.18</w:t>
            </w:r>
          </w:p>
        </w:tc>
        <w:tc>
          <w:tcPr>
            <w:tcW w:w="914" w:type="dxa"/>
            <w:tcBorders>
              <w:top w:val="single" w:sz="4" w:space="0" w:color="000000"/>
              <w:left w:val="single" w:sz="4" w:space="0" w:color="000000"/>
              <w:bottom w:val="single" w:sz="8" w:space="0" w:color="000000"/>
              <w:right w:val="single" w:sz="4" w:space="0" w:color="000000"/>
            </w:tcBorders>
            <w:shd w:val="solid" w:color="FFF2CC" w:fill="FFF2CC"/>
            <w:tcMar>
              <w:top w:w="0" w:type="dxa"/>
              <w:left w:w="115" w:type="dxa"/>
              <w:bottom w:w="0" w:type="dxa"/>
              <w:right w:w="115" w:type="dxa"/>
            </w:tcMar>
            <w:vAlign w:val="bottom"/>
          </w:tcPr>
          <w:p w14:paraId="79DBEBDE"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1.22</w:t>
            </w:r>
          </w:p>
        </w:tc>
      </w:tr>
      <w:tr w:rsidR="00136CDA" w:rsidRPr="00136CDA" w14:paraId="2ABF3F35" w14:textId="77777777">
        <w:trPr>
          <w:trHeight w:val="324"/>
        </w:trPr>
        <w:tc>
          <w:tcPr>
            <w:tcW w:w="2264" w:type="dxa"/>
            <w:tcBorders>
              <w:top w:val="single" w:sz="8" w:space="0" w:color="000000"/>
              <w:left w:val="single" w:sz="8" w:space="0" w:color="000000"/>
              <w:bottom w:val="single" w:sz="8" w:space="0" w:color="000000"/>
              <w:right w:val="single" w:sz="4" w:space="0" w:color="000000"/>
            </w:tcBorders>
            <w:shd w:val="solid" w:color="548235" w:fill="548235"/>
            <w:tcMar>
              <w:top w:w="0" w:type="dxa"/>
              <w:left w:w="115" w:type="dxa"/>
              <w:bottom w:w="0" w:type="dxa"/>
              <w:right w:w="115" w:type="dxa"/>
            </w:tcMar>
            <w:vAlign w:val="center"/>
          </w:tcPr>
          <w:p w14:paraId="364AA160"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Altman Z</w:t>
            </w:r>
          </w:p>
        </w:tc>
        <w:tc>
          <w:tcPr>
            <w:tcW w:w="1254" w:type="dxa"/>
            <w:tcBorders>
              <w:top w:val="single" w:sz="8" w:space="0" w:color="000000"/>
              <w:left w:val="single" w:sz="4" w:space="0" w:color="000000"/>
              <w:bottom w:val="single" w:sz="8" w:space="0" w:color="000000"/>
              <w:right w:val="single" w:sz="4" w:space="0" w:color="000000"/>
            </w:tcBorders>
            <w:shd w:val="solid" w:color="548235" w:fill="548235"/>
            <w:tcMar>
              <w:top w:w="0" w:type="dxa"/>
              <w:left w:w="115" w:type="dxa"/>
              <w:bottom w:w="0" w:type="dxa"/>
              <w:right w:w="115" w:type="dxa"/>
            </w:tcMar>
          </w:tcPr>
          <w:p w14:paraId="681DA45B" w14:textId="77777777" w:rsidR="00A77B3E" w:rsidRPr="00136CDA" w:rsidRDefault="00A96C87">
            <w:pPr>
              <w:spacing w:line="240" w:lineRule="auto"/>
              <w:jc w:val="left"/>
              <w:rPr>
                <w:rFonts w:ascii="Arial" w:hAnsi="Arial" w:cs="Arial"/>
                <w:b/>
                <w:bCs/>
                <w:color w:val="auto"/>
                <w:lang w:val="en-US" w:eastAsia="en-US" w:bidi="ar-SA"/>
              </w:rPr>
            </w:pPr>
            <w:r w:rsidRPr="00136CDA">
              <w:rPr>
                <w:rFonts w:ascii="Arial" w:hAnsi="Arial" w:cs="Arial"/>
                <w:b/>
                <w:bCs/>
                <w:color w:val="auto"/>
                <w:lang w:val="en-US" w:eastAsia="en-US" w:bidi="ar-SA"/>
              </w:rPr>
              <w:t>J+K+L+M+N</w:t>
            </w:r>
          </w:p>
        </w:tc>
        <w:tc>
          <w:tcPr>
            <w:tcW w:w="1262" w:type="dxa"/>
            <w:tcBorders>
              <w:top w:val="single" w:sz="8" w:space="0" w:color="000000"/>
              <w:left w:val="single" w:sz="4" w:space="0" w:color="000000"/>
              <w:bottom w:val="single" w:sz="8" w:space="0" w:color="000000"/>
              <w:right w:val="single" w:sz="4" w:space="0" w:color="000000"/>
            </w:tcBorders>
            <w:shd w:val="solid" w:color="548235" w:fill="548235"/>
            <w:tcMar>
              <w:top w:w="0" w:type="dxa"/>
              <w:left w:w="115" w:type="dxa"/>
              <w:bottom w:w="0" w:type="dxa"/>
              <w:right w:w="115" w:type="dxa"/>
            </w:tcMar>
            <w:vAlign w:val="bottom"/>
          </w:tcPr>
          <w:p w14:paraId="54373802" w14:textId="77777777" w:rsidR="00A77B3E" w:rsidRPr="00136CDA" w:rsidRDefault="00A96C87">
            <w:pPr>
              <w:spacing w:line="240" w:lineRule="auto"/>
              <w:jc w:val="left"/>
              <w:rPr>
                <w:rFonts w:ascii="Calibri" w:hAnsi="Calibri" w:cs="Calibri"/>
                <w:color w:val="auto"/>
                <w:sz w:val="22"/>
                <w:szCs w:val="22"/>
                <w:lang w:val="en-US" w:eastAsia="en-US" w:bidi="ar-SA"/>
              </w:rPr>
            </w:pPr>
            <w:r w:rsidRPr="00136CDA">
              <w:rPr>
                <w:rFonts w:ascii="Calibri" w:hAnsi="Calibri" w:cs="Calibri"/>
                <w:color w:val="auto"/>
                <w:sz w:val="22"/>
                <w:szCs w:val="22"/>
                <w:lang w:val="en-US" w:eastAsia="en-US" w:bidi="ar-SA"/>
              </w:rPr>
              <w:t> </w:t>
            </w:r>
          </w:p>
        </w:tc>
        <w:tc>
          <w:tcPr>
            <w:tcW w:w="914" w:type="dxa"/>
            <w:tcBorders>
              <w:top w:val="single" w:sz="8" w:space="0" w:color="000000"/>
              <w:left w:val="single" w:sz="4" w:space="0" w:color="000000"/>
              <w:bottom w:val="single" w:sz="8" w:space="0" w:color="000000"/>
              <w:right w:val="single" w:sz="8" w:space="0" w:color="000000"/>
            </w:tcBorders>
            <w:shd w:val="solid" w:color="548235" w:fill="548235"/>
            <w:tcMar>
              <w:top w:w="0" w:type="dxa"/>
              <w:left w:w="115" w:type="dxa"/>
              <w:bottom w:w="0" w:type="dxa"/>
              <w:right w:w="115" w:type="dxa"/>
            </w:tcMar>
            <w:vAlign w:val="bottom"/>
          </w:tcPr>
          <w:p w14:paraId="656C95B7"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3.79</w:t>
            </w:r>
          </w:p>
        </w:tc>
        <w:tc>
          <w:tcPr>
            <w:tcW w:w="914" w:type="dxa"/>
            <w:tcBorders>
              <w:top w:val="single" w:sz="8" w:space="0" w:color="000000"/>
              <w:left w:val="single" w:sz="8" w:space="0" w:color="000000"/>
              <w:bottom w:val="single" w:sz="8" w:space="0" w:color="000000"/>
              <w:right w:val="single" w:sz="4" w:space="0" w:color="000000"/>
            </w:tcBorders>
            <w:shd w:val="solid" w:color="548235" w:fill="548235"/>
            <w:tcMar>
              <w:top w:w="0" w:type="dxa"/>
              <w:left w:w="115" w:type="dxa"/>
              <w:bottom w:w="0" w:type="dxa"/>
              <w:right w:w="115" w:type="dxa"/>
            </w:tcMar>
            <w:vAlign w:val="bottom"/>
          </w:tcPr>
          <w:p w14:paraId="11B88A64"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3.28</w:t>
            </w:r>
          </w:p>
        </w:tc>
        <w:tc>
          <w:tcPr>
            <w:tcW w:w="914" w:type="dxa"/>
            <w:tcBorders>
              <w:top w:val="single" w:sz="8" w:space="0" w:color="000000"/>
              <w:left w:val="single" w:sz="4" w:space="0" w:color="000000"/>
              <w:bottom w:val="single" w:sz="8" w:space="0" w:color="000000"/>
              <w:right w:val="single" w:sz="4" w:space="0" w:color="000000"/>
            </w:tcBorders>
            <w:shd w:val="solid" w:color="548235" w:fill="548235"/>
            <w:tcMar>
              <w:top w:w="0" w:type="dxa"/>
              <w:left w:w="115" w:type="dxa"/>
              <w:bottom w:w="0" w:type="dxa"/>
              <w:right w:w="115" w:type="dxa"/>
            </w:tcMar>
            <w:vAlign w:val="bottom"/>
          </w:tcPr>
          <w:p w14:paraId="6FA1C9EF"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3.14</w:t>
            </w:r>
          </w:p>
        </w:tc>
        <w:tc>
          <w:tcPr>
            <w:tcW w:w="914" w:type="dxa"/>
            <w:tcBorders>
              <w:top w:val="single" w:sz="8" w:space="0" w:color="000000"/>
              <w:left w:val="single" w:sz="4" w:space="0" w:color="000000"/>
              <w:bottom w:val="single" w:sz="8" w:space="0" w:color="000000"/>
              <w:right w:val="single" w:sz="4" w:space="0" w:color="000000"/>
            </w:tcBorders>
            <w:shd w:val="solid" w:color="548235" w:fill="548235"/>
            <w:tcMar>
              <w:top w:w="0" w:type="dxa"/>
              <w:left w:w="115" w:type="dxa"/>
              <w:bottom w:w="0" w:type="dxa"/>
              <w:right w:w="115" w:type="dxa"/>
            </w:tcMar>
            <w:vAlign w:val="bottom"/>
          </w:tcPr>
          <w:p w14:paraId="2CCCCB17"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2.88</w:t>
            </w:r>
          </w:p>
        </w:tc>
        <w:tc>
          <w:tcPr>
            <w:tcW w:w="914" w:type="dxa"/>
            <w:tcBorders>
              <w:top w:val="single" w:sz="8" w:space="0" w:color="000000"/>
              <w:left w:val="single" w:sz="4" w:space="0" w:color="000000"/>
              <w:bottom w:val="single" w:sz="8" w:space="0" w:color="000000"/>
              <w:right w:val="single" w:sz="4" w:space="0" w:color="000000"/>
            </w:tcBorders>
            <w:shd w:val="solid" w:color="548235" w:fill="548235"/>
            <w:tcMar>
              <w:top w:w="0" w:type="dxa"/>
              <w:left w:w="115" w:type="dxa"/>
              <w:bottom w:w="0" w:type="dxa"/>
              <w:right w:w="115" w:type="dxa"/>
            </w:tcMar>
            <w:vAlign w:val="bottom"/>
          </w:tcPr>
          <w:p w14:paraId="4797EF2C" w14:textId="77777777" w:rsidR="00A77B3E" w:rsidRPr="00136CDA" w:rsidRDefault="00A96C87">
            <w:pPr>
              <w:spacing w:line="240" w:lineRule="auto"/>
              <w:jc w:val="right"/>
              <w:rPr>
                <w:rFonts w:ascii="Arial" w:hAnsi="Arial" w:cs="Arial"/>
                <w:b/>
                <w:bCs/>
                <w:color w:val="auto"/>
                <w:lang w:val="en-US" w:eastAsia="en-US" w:bidi="ar-SA"/>
              </w:rPr>
            </w:pPr>
            <w:r w:rsidRPr="00136CDA">
              <w:rPr>
                <w:rFonts w:ascii="Arial" w:hAnsi="Arial" w:cs="Arial"/>
                <w:b/>
                <w:bCs/>
                <w:color w:val="auto"/>
                <w:lang w:val="en-US" w:eastAsia="en-US" w:bidi="ar-SA"/>
              </w:rPr>
              <w:t>2.98</w:t>
            </w:r>
          </w:p>
        </w:tc>
      </w:tr>
    </w:tbl>
    <w:p w14:paraId="05E88E07" w14:textId="77777777" w:rsidR="00A77B3E" w:rsidRPr="00136CDA" w:rsidRDefault="00A77B3E">
      <w:pPr>
        <w:rPr>
          <w:color w:val="auto"/>
          <w:lang w:val="en-US" w:bidi="ar-SA"/>
        </w:rPr>
      </w:pPr>
    </w:p>
    <w:sectPr w:rsidR="00A77B3E" w:rsidRPr="00136CDA">
      <w:footerReference w:type="default" r:id="rId308"/>
      <w:pgSz w:w="12240" w:h="15840"/>
      <w:pgMar w:top="1440" w:right="1440" w:bottom="1440" w:left="1440" w:header="720" w:footer="720" w:gutter="0"/>
      <w:cols w:space="720"/>
      <w:noEndnote/>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0EAF70C" w14:textId="77777777" w:rsidR="007B123B" w:rsidRDefault="007B123B">
      <w:pPr>
        <w:spacing w:line="240" w:lineRule="auto"/>
      </w:pPr>
      <w:r>
        <w:separator/>
      </w:r>
    </w:p>
  </w:endnote>
  <w:endnote w:type="continuationSeparator" w:id="0">
    <w:p w14:paraId="1FFF76F8" w14:textId="77777777" w:rsidR="007B123B" w:rsidRDefault="007B12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Shruti">
    <w:panose1 w:val="020B0502040204020203"/>
    <w:charset w:val="01"/>
    <w:family w:val="roman"/>
    <w:notTrueType/>
    <w:pitch w:val="variable"/>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251DFA0" w14:textId="77777777" w:rsidR="00A96C87" w:rsidRDefault="00A96C87">
    <w:pPr>
      <w:tabs>
        <w:tab w:val="center" w:pos="4513"/>
        <w:tab w:val="right" w:pos="9026"/>
      </w:tabs>
      <w:spacing w:line="240" w:lineRule="auto"/>
      <w:jc w:val="right"/>
      <w:rPr>
        <w:lang w:val="en-US" w:bidi="ar-SA"/>
      </w:rPr>
    </w:pPr>
    <w:r>
      <w:rPr>
        <w:lang w:val="en-US" w:eastAsia="en-US" w:bidi="ar-SA"/>
      </w:rPr>
      <w:fldChar w:fldCharType="begin"/>
    </w:r>
    <w:r>
      <w:rPr>
        <w:lang w:val="en-US" w:eastAsia="en-US" w:bidi="ar-SA"/>
      </w:rPr>
      <w:instrText>PAGE</w:instrText>
    </w:r>
    <w:r>
      <w:rPr>
        <w:lang w:val="en-US" w:eastAsia="en-US" w:bidi="ar-SA"/>
      </w:rPr>
      <w:fldChar w:fldCharType="separate"/>
    </w:r>
    <w:r w:rsidR="00361840">
      <w:rPr>
        <w:noProof/>
        <w:lang w:val="en-US" w:eastAsia="en-US" w:bidi="ar-SA"/>
      </w:rPr>
      <w:t>1</w:t>
    </w:r>
    <w:r>
      <w:rPr>
        <w:lang w:val="en-US" w:eastAsia="en-US" w:bidi="ar-SA"/>
      </w:rPr>
      <w:fldChar w:fldCharType="end"/>
    </w:r>
  </w:p>
  <w:p w14:paraId="39FCBF96" w14:textId="77777777" w:rsidR="00A96C87" w:rsidRDefault="00A96C87">
    <w:pPr>
      <w:tabs>
        <w:tab w:val="center" w:pos="4513"/>
        <w:tab w:val="right" w:pos="9026"/>
      </w:tabs>
      <w:spacing w:line="240" w:lineRule="auto"/>
      <w:rPr>
        <w:lang w:val="en-US" w:bidi="ar-SA"/>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8A80878" w14:textId="77777777" w:rsidR="007B123B" w:rsidRDefault="007B123B">
      <w:pPr>
        <w:spacing w:line="240" w:lineRule="auto"/>
      </w:pPr>
      <w:r>
        <w:separator/>
      </w:r>
    </w:p>
  </w:footnote>
  <w:footnote w:type="continuationSeparator" w:id="0">
    <w:p w14:paraId="6860D88A" w14:textId="77777777" w:rsidR="007B123B" w:rsidRDefault="007B123B">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77B3E"/>
    <w:rsid w:val="00007418"/>
    <w:rsid w:val="00111D70"/>
    <w:rsid w:val="00136CDA"/>
    <w:rsid w:val="00145E38"/>
    <w:rsid w:val="0019500B"/>
    <w:rsid w:val="0032005E"/>
    <w:rsid w:val="00361840"/>
    <w:rsid w:val="003A03CD"/>
    <w:rsid w:val="00473554"/>
    <w:rsid w:val="004C1E9D"/>
    <w:rsid w:val="0054212D"/>
    <w:rsid w:val="00635940"/>
    <w:rsid w:val="007B123B"/>
    <w:rsid w:val="00826E7E"/>
    <w:rsid w:val="008F3246"/>
    <w:rsid w:val="00A77B3E"/>
    <w:rsid w:val="00A96C87"/>
    <w:rsid w:val="00C75036"/>
    <w:rsid w:val="00CA2A55"/>
    <w:rsid w:val="00D63015"/>
    <w:rsid w:val="00DE4C69"/>
    <w:rsid w:val="00F14F17"/>
  </w:rsids>
  <m:mathPr>
    <m:mathFont m:val="Cambria Math"/>
    <m:brkBin m:val="before"/>
    <m:brkBinSub m:val="--"/>
    <m:smallFrac m:val="0"/>
    <m:dispDef/>
    <m:lMargin m:val="0"/>
    <m:rMargin m:val="0"/>
    <m:defJc m:val="centerGroup"/>
    <m:wrapRight/>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096B43A"/>
  <w14:defaultImageDpi w14:val="0"/>
  <w15:docId w15:val="{6A751282-0100-4D99-82C6-807021086C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kern w:val="2"/>
        <w:sz w:val="24"/>
        <w:szCs w:val="24"/>
        <w:lang w:val="en-IN" w:eastAsia="en-IN" w:bidi="gu-IN"/>
        <w14:ligatures w14:val="standardContextual"/>
      </w:rPr>
    </w:rPrDefault>
    <w:pPrDefault>
      <w:pPr>
        <w:spacing w:after="160" w:line="278" w:lineRule="auto"/>
      </w:pPr>
    </w:pPrDefault>
  </w:docDefaults>
  <w:latentStyles w:defLockedState="0" w:defUIPriority="0" w:defSemiHidden="0" w:defUnhideWhenUsed="0" w:defQFormat="0" w:count="371">
    <w:lsdException w:name="Normal" w:locked="1" w:qFormat="1"/>
    <w:lsdException w:name="heading 1" w:locked="1" w:qFormat="1"/>
    <w:lsdException w:name="heading 2" w:locked="1" w:qFormat="1"/>
    <w:lsdException w:name="heading 3" w:locked="1" w:qFormat="1"/>
    <w:lsdException w:name="heading 4" w:locked="1" w:qFormat="1"/>
    <w:lsdException w:name="heading 5" w:locked="1" w:qFormat="1"/>
    <w:lsdException w:name="heading 6" w:locked="1" w:qFormat="1"/>
    <w:lsdException w:name="heading 7" w:locked="1" w:semiHidden="1" w:unhideWhenUsed="1" w:qFormat="1"/>
    <w:lsdException w:name="heading 8" w:locked="1" w:semiHidden="1" w:unhideWhenUsed="1" w:qFormat="1"/>
    <w:lsdException w:name="heading 9" w:locked="1" w:semiHidden="1" w:unhideWhenUsed="1" w:qFormat="1"/>
    <w:lsdException w:name="caption" w:locked="1" w:semiHidden="1" w:unhideWhenUsed="1" w:qFormat="1"/>
    <w:lsdException w:name="Title" w:locked="1" w:qFormat="1"/>
    <w:lsdException w:name="Subtitle" w:locked="1" w:qFormat="1"/>
    <w:lsdException w:name="Strong" w:locked="1" w:qFormat="1"/>
    <w:lsdException w:name="Emphasis" w:locked="1"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locked="1" w:semiHidden="1" w:uiPriority="99"/>
    <w:lsdException w:name="No Spacing" w:locked="1" w:uiPriority="1" w:qFormat="1"/>
    <w:lsdException w:name="Light Shading" w:locked="1" w:uiPriority="60"/>
    <w:lsdException w:name="Light List" w:locked="1" w:uiPriority="61"/>
    <w:lsdException w:name="Light Grid" w:locked="1" w:uiPriority="62"/>
    <w:lsdException w:name="Medium Shading 1" w:locked="1" w:uiPriority="63"/>
    <w:lsdException w:name="Medium Shading 2" w:locked="1" w:uiPriority="64"/>
    <w:lsdException w:name="Medium List 1" w:locked="1" w:uiPriority="65"/>
    <w:lsdException w:name="Medium List 2" w:locked="1" w:uiPriority="66"/>
    <w:lsdException w:name="Medium Grid 1" w:locked="1" w:uiPriority="67"/>
    <w:lsdException w:name="Medium Grid 2" w:locked="1" w:uiPriority="68"/>
    <w:lsdException w:name="Medium Grid 3" w:locked="1" w:uiPriority="69"/>
    <w:lsdException w:name="Dark List" w:locked="1" w:uiPriority="70"/>
    <w:lsdException w:name="Colorful Shading" w:locked="1" w:uiPriority="71"/>
    <w:lsdException w:name="Colorful List" w:locked="1" w:uiPriority="72"/>
    <w:lsdException w:name="Colorful Grid" w:locked="1" w:uiPriority="73"/>
    <w:lsdException w:name="Light Shading Accent 1" w:locked="1" w:uiPriority="60"/>
    <w:lsdException w:name="Light List Accent 1" w:locked="1" w:uiPriority="61"/>
    <w:lsdException w:name="Light Grid Accent 1" w:locked="1" w:uiPriority="62"/>
    <w:lsdException w:name="Medium Shading 1 Accent 1" w:locked="1" w:uiPriority="63"/>
    <w:lsdException w:name="Medium Shading 2 Accent 1" w:locked="1" w:uiPriority="64"/>
    <w:lsdException w:name="Medium List 1 Accent 1" w:locked="1" w:uiPriority="65"/>
    <w:lsdException w:name="Revision" w:locked="1" w:semiHidden="1" w:uiPriority="99"/>
    <w:lsdException w:name="List Paragraph" w:locked="1" w:uiPriority="34" w:qFormat="1"/>
    <w:lsdException w:name="Quote" w:locked="1" w:uiPriority="29" w:qFormat="1"/>
    <w:lsdException w:name="Intense Quote" w:locked="1" w:uiPriority="30" w:qFormat="1"/>
    <w:lsdException w:name="Medium List 2 Accent 1" w:locked="1" w:uiPriority="66"/>
    <w:lsdException w:name="Medium Grid 1 Accent 1" w:locked="1" w:uiPriority="67"/>
    <w:lsdException w:name="Medium Grid 2 Accent 1" w:locked="1" w:uiPriority="68"/>
    <w:lsdException w:name="Medium Grid 3 Accent 1" w:locked="1" w:uiPriority="69"/>
    <w:lsdException w:name="Dark List Accent 1" w:locked="1" w:uiPriority="70"/>
    <w:lsdException w:name="Colorful Shading Accent 1" w:locked="1" w:uiPriority="71"/>
    <w:lsdException w:name="Colorful List Accent 1" w:locked="1" w:uiPriority="72"/>
    <w:lsdException w:name="Colorful Grid Accent 1" w:locked="1" w:uiPriority="73"/>
    <w:lsdException w:name="Light Shading Accent 2" w:locked="1" w:uiPriority="60"/>
    <w:lsdException w:name="Light List Accent 2" w:locked="1" w:uiPriority="61"/>
    <w:lsdException w:name="Light Grid Accent 2" w:locked="1" w:uiPriority="62"/>
    <w:lsdException w:name="Medium Shading 1 Accent 2" w:locked="1" w:uiPriority="63"/>
    <w:lsdException w:name="Medium Shading 2 Accent 2" w:locked="1" w:uiPriority="64"/>
    <w:lsdException w:name="Medium List 1 Accent 2" w:locked="1" w:uiPriority="65"/>
    <w:lsdException w:name="Medium List 2 Accent 2" w:locked="1" w:uiPriority="66"/>
    <w:lsdException w:name="Medium Grid 1 Accent 2" w:locked="1" w:uiPriority="67"/>
    <w:lsdException w:name="Medium Grid 2 Accent 2" w:locked="1" w:uiPriority="68"/>
    <w:lsdException w:name="Medium Grid 3 Accent 2" w:locked="1" w:uiPriority="69"/>
    <w:lsdException w:name="Dark List Accent 2" w:locked="1" w:uiPriority="70"/>
    <w:lsdException w:name="Colorful Shading Accent 2" w:locked="1" w:uiPriority="71"/>
    <w:lsdException w:name="Colorful List Accent 2" w:locked="1" w:uiPriority="72"/>
    <w:lsdException w:name="Colorful Grid Accent 2" w:locked="1" w:uiPriority="73"/>
    <w:lsdException w:name="Light Shading Accent 3" w:locked="1" w:uiPriority="60"/>
    <w:lsdException w:name="Light List Accent 3" w:locked="1" w:uiPriority="61"/>
    <w:lsdException w:name="Light Grid Accent 3" w:locked="1" w:uiPriority="62"/>
    <w:lsdException w:name="Medium Shading 1 Accent 3" w:locked="1" w:uiPriority="63"/>
    <w:lsdException w:name="Medium Shading 2 Accent 3" w:locked="1" w:uiPriority="64"/>
    <w:lsdException w:name="Medium List 1 Accent 3" w:locked="1" w:uiPriority="65"/>
    <w:lsdException w:name="Medium List 2 Accent 3" w:locked="1" w:uiPriority="66"/>
    <w:lsdException w:name="Medium Grid 1 Accent 3" w:locked="1" w:uiPriority="67"/>
    <w:lsdException w:name="Medium Grid 2 Accent 3" w:locked="1" w:uiPriority="68"/>
    <w:lsdException w:name="Medium Grid 3 Accent 3" w:locked="1" w:uiPriority="69"/>
    <w:lsdException w:name="Dark List Accent 3" w:locked="1" w:uiPriority="70"/>
    <w:lsdException w:name="Colorful Shading Accent 3" w:locked="1" w:uiPriority="71"/>
    <w:lsdException w:name="Colorful List Accent 3" w:locked="1" w:uiPriority="72"/>
    <w:lsdException w:name="Colorful Grid Accent 3" w:locked="1" w:uiPriority="73"/>
    <w:lsdException w:name="Light Shading Accent 4" w:locked="1" w:uiPriority="60"/>
    <w:lsdException w:name="Light List Accent 4" w:locked="1" w:uiPriority="61"/>
    <w:lsdException w:name="Light Grid Accent 4" w:locked="1" w:uiPriority="62"/>
    <w:lsdException w:name="Medium Shading 1 Accent 4" w:locked="1" w:uiPriority="63"/>
    <w:lsdException w:name="Medium Shading 2 Accent 4" w:locked="1" w:uiPriority="64"/>
    <w:lsdException w:name="Medium List 1 Accent 4" w:locked="1" w:uiPriority="65"/>
    <w:lsdException w:name="Medium List 2 Accent 4" w:locked="1" w:uiPriority="66"/>
    <w:lsdException w:name="Medium Grid 1 Accent 4" w:locked="1" w:uiPriority="67"/>
    <w:lsdException w:name="Medium Grid 2 Accent 4" w:locked="1" w:uiPriority="68"/>
    <w:lsdException w:name="Medium Grid 3 Accent 4" w:locked="1" w:uiPriority="69"/>
    <w:lsdException w:name="Dark List Accent 4" w:locked="1" w:uiPriority="70"/>
    <w:lsdException w:name="Colorful Shading Accent 4" w:locked="1" w:uiPriority="71"/>
    <w:lsdException w:name="Colorful List Accent 4" w:locked="1" w:uiPriority="72"/>
    <w:lsdException w:name="Colorful Grid Accent 4" w:locked="1" w:uiPriority="73"/>
    <w:lsdException w:name="Light Shading Accent 5" w:locked="1" w:uiPriority="60"/>
    <w:lsdException w:name="Light List Accent 5" w:locked="1" w:uiPriority="61"/>
    <w:lsdException w:name="Light Grid Accent 5" w:locked="1" w:uiPriority="62"/>
    <w:lsdException w:name="Medium Shading 1 Accent 5" w:locked="1" w:uiPriority="63"/>
    <w:lsdException w:name="Medium Shading 2 Accent 5" w:locked="1" w:uiPriority="64"/>
    <w:lsdException w:name="Medium List 1 Accent 5" w:locked="1" w:uiPriority="65"/>
    <w:lsdException w:name="Medium List 2 Accent 5" w:locked="1" w:uiPriority="66"/>
    <w:lsdException w:name="Medium Grid 1 Accent 5" w:locked="1" w:uiPriority="67"/>
    <w:lsdException w:name="Medium Grid 2 Accent 5" w:locked="1" w:uiPriority="68"/>
    <w:lsdException w:name="Medium Grid 3 Accent 5" w:locked="1" w:uiPriority="69"/>
    <w:lsdException w:name="Dark List Accent 5" w:locked="1" w:uiPriority="70"/>
    <w:lsdException w:name="Colorful Shading Accent 5" w:locked="1" w:uiPriority="71"/>
    <w:lsdException w:name="Colorful List Accent 5" w:locked="1" w:uiPriority="72"/>
    <w:lsdException w:name="Colorful Grid Accent 5" w:locked="1" w:uiPriority="73"/>
    <w:lsdException w:name="Light Shading Accent 6" w:locked="1" w:uiPriority="60"/>
    <w:lsdException w:name="Light List Accent 6" w:locked="1" w:uiPriority="61"/>
    <w:lsdException w:name="Light Grid Accent 6" w:locked="1" w:uiPriority="62"/>
    <w:lsdException w:name="Medium Shading 1 Accent 6" w:locked="1" w:uiPriority="63"/>
    <w:lsdException w:name="Medium Shading 2 Accent 6" w:locked="1" w:uiPriority="64"/>
    <w:lsdException w:name="Medium List 1 Accent 6" w:locked="1" w:uiPriority="65"/>
    <w:lsdException w:name="Medium List 2 Accent 6" w:locked="1" w:uiPriority="66"/>
    <w:lsdException w:name="Medium Grid 1 Accent 6" w:locked="1" w:uiPriority="67"/>
    <w:lsdException w:name="Medium Grid 2 Accent 6" w:locked="1" w:uiPriority="68"/>
    <w:lsdException w:name="Medium Grid 3 Accent 6" w:locked="1" w:uiPriority="69"/>
    <w:lsdException w:name="Dark List Accent 6" w:locked="1" w:uiPriority="70"/>
    <w:lsdException w:name="Colorful Shading Accent 6" w:locked="1" w:uiPriority="71"/>
    <w:lsdException w:name="Colorful List Accent 6" w:locked="1" w:uiPriority="72"/>
    <w:lsdException w:name="Colorful Grid Accent 6" w:locked="1" w:uiPriority="73"/>
    <w:lsdException w:name="Subtle Emphasis" w:locked="1" w:uiPriority="19" w:qFormat="1"/>
    <w:lsdException w:name="Intense Emphasis" w:locked="1" w:uiPriority="21" w:qFormat="1"/>
    <w:lsdException w:name="Subtle Reference" w:locked="1" w:uiPriority="31" w:qFormat="1"/>
    <w:lsdException w:name="Intense Reference" w:locked="1" w:uiPriority="32" w:qFormat="1"/>
    <w:lsdException w:name="Book Title" w:locked="1" w:uiPriority="33" w:qFormat="1"/>
    <w:lsdException w:name="Bibliography" w:locked="1" w:semiHidden="1" w:uiPriority="37" w:unhideWhenUsed="1"/>
    <w:lsdException w:name="TOC Heading" w:locked="1"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pacing w:after="0" w:line="360" w:lineRule="auto"/>
      <w:jc w:val="both"/>
    </w:pPr>
    <w:rPr>
      <w:color w:val="000000"/>
      <w:kern w:val="0"/>
    </w:rPr>
  </w:style>
  <w:style w:type="paragraph" w:styleId="Heading1">
    <w:name w:val="heading 1"/>
    <w:basedOn w:val="Normal"/>
    <w:next w:val="Normal"/>
    <w:link w:val="Heading1Char"/>
    <w:uiPriority w:val="9"/>
    <w:qFormat/>
    <w:rsid w:val="00EF7B96"/>
    <w:pPr>
      <w:keepNext/>
      <w:keepLines/>
      <w:spacing w:line="240" w:lineRule="auto"/>
      <w:outlineLvl w:val="0"/>
    </w:pPr>
    <w:rPr>
      <w:b/>
      <w:bCs/>
      <w:sz w:val="28"/>
      <w:szCs w:val="28"/>
    </w:rPr>
  </w:style>
  <w:style w:type="paragraph" w:styleId="Heading2">
    <w:name w:val="heading 2"/>
    <w:basedOn w:val="Normal"/>
    <w:next w:val="Normal"/>
    <w:link w:val="Heading2Char"/>
    <w:uiPriority w:val="9"/>
    <w:qFormat/>
    <w:rsid w:val="00EF7B96"/>
    <w:pPr>
      <w:keepNext/>
      <w:keepLines/>
      <w:spacing w:line="240" w:lineRule="auto"/>
      <w:outlineLvl w:val="1"/>
    </w:pPr>
    <w:rPr>
      <w:b/>
      <w:bCs/>
      <w:sz w:val="26"/>
      <w:szCs w:val="26"/>
    </w:rPr>
  </w:style>
  <w:style w:type="paragraph" w:styleId="Heading3">
    <w:name w:val="heading 3"/>
    <w:basedOn w:val="Normal"/>
    <w:next w:val="Normal"/>
    <w:link w:val="Heading3Char"/>
    <w:uiPriority w:val="9"/>
    <w:qFormat/>
    <w:rsid w:val="00EF7B96"/>
    <w:pPr>
      <w:keepNext/>
      <w:keepLines/>
      <w:spacing w:before="320" w:after="80" w:line="240" w:lineRule="auto"/>
      <w:outlineLvl w:val="2"/>
    </w:pPr>
    <w:rPr>
      <w:color w:val="434343"/>
      <w:sz w:val="28"/>
      <w:szCs w:val="28"/>
    </w:rPr>
  </w:style>
  <w:style w:type="paragraph" w:styleId="Heading4">
    <w:name w:val="heading 4"/>
    <w:basedOn w:val="Normal"/>
    <w:next w:val="Normal"/>
    <w:link w:val="Heading4Char"/>
    <w:uiPriority w:val="9"/>
    <w:qFormat/>
    <w:rsid w:val="00EF7B96"/>
    <w:pPr>
      <w:keepNext/>
      <w:keepLines/>
      <w:spacing w:before="280" w:after="80" w:line="240" w:lineRule="auto"/>
      <w:outlineLvl w:val="3"/>
    </w:pPr>
    <w:rPr>
      <w:color w:val="666666"/>
    </w:rPr>
  </w:style>
  <w:style w:type="paragraph" w:styleId="Heading5">
    <w:name w:val="heading 5"/>
    <w:basedOn w:val="Normal"/>
    <w:next w:val="Normal"/>
    <w:link w:val="Heading5Char"/>
    <w:uiPriority w:val="9"/>
    <w:qFormat/>
    <w:rsid w:val="00EF7B96"/>
    <w:pPr>
      <w:keepNext/>
      <w:keepLines/>
      <w:spacing w:before="240" w:after="80" w:line="240" w:lineRule="auto"/>
      <w:outlineLvl w:val="4"/>
    </w:pPr>
    <w:rPr>
      <w:color w:val="666666"/>
      <w:sz w:val="22"/>
      <w:szCs w:val="22"/>
    </w:rPr>
  </w:style>
  <w:style w:type="paragraph" w:styleId="Heading6">
    <w:name w:val="heading 6"/>
    <w:basedOn w:val="Normal"/>
    <w:next w:val="Normal"/>
    <w:link w:val="Heading6Char"/>
    <w:uiPriority w:val="9"/>
    <w:qFormat/>
    <w:rsid w:val="00EF7B96"/>
    <w:pPr>
      <w:keepNext/>
      <w:keepLines/>
      <w:spacing w:before="240" w:after="80" w:line="240" w:lineRule="auto"/>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b/>
      <w:bCs/>
      <w:color w:val="000000"/>
      <w:kern w:val="32"/>
      <w:sz w:val="32"/>
      <w:szCs w:val="32"/>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b/>
      <w:bCs/>
      <w:i/>
      <w:iCs/>
      <w:color w:val="000000"/>
      <w:kern w:val="0"/>
      <w:sz w:val="28"/>
      <w:szCs w:val="28"/>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b/>
      <w:bCs/>
      <w:color w:val="000000"/>
      <w:kern w:val="0"/>
      <w:sz w:val="26"/>
      <w:szCs w:val="26"/>
    </w:rPr>
  </w:style>
  <w:style w:type="character" w:customStyle="1" w:styleId="Heading4Char">
    <w:name w:val="Heading 4 Char"/>
    <w:basedOn w:val="DefaultParagraphFont"/>
    <w:link w:val="Heading4"/>
    <w:uiPriority w:val="9"/>
    <w:semiHidden/>
    <w:rPr>
      <w:rFonts w:asciiTheme="minorHAnsi" w:eastAsiaTheme="minorEastAsia" w:hAnsiTheme="minorHAnsi" w:cstheme="minorBidi"/>
      <w:b/>
      <w:bCs/>
      <w:color w:val="000000"/>
      <w:kern w:val="0"/>
      <w:sz w:val="28"/>
      <w:szCs w:val="28"/>
    </w:rPr>
  </w:style>
  <w:style w:type="character" w:customStyle="1" w:styleId="Heading5Char">
    <w:name w:val="Heading 5 Char"/>
    <w:basedOn w:val="DefaultParagraphFont"/>
    <w:link w:val="Heading5"/>
    <w:uiPriority w:val="9"/>
    <w:semiHidden/>
    <w:rPr>
      <w:rFonts w:asciiTheme="minorHAnsi" w:eastAsiaTheme="minorEastAsia" w:hAnsiTheme="minorHAnsi" w:cstheme="minorBidi"/>
      <w:b/>
      <w:bCs/>
      <w:i/>
      <w:iCs/>
      <w:color w:val="000000"/>
      <w:kern w:val="0"/>
      <w:sz w:val="26"/>
      <w:szCs w:val="26"/>
    </w:rPr>
  </w:style>
  <w:style w:type="character" w:customStyle="1" w:styleId="Heading6Char">
    <w:name w:val="Heading 6 Char"/>
    <w:basedOn w:val="DefaultParagraphFont"/>
    <w:link w:val="Heading6"/>
    <w:uiPriority w:val="9"/>
    <w:semiHidden/>
    <w:rPr>
      <w:rFonts w:asciiTheme="minorHAnsi" w:eastAsiaTheme="minorEastAsia" w:hAnsiTheme="minorHAnsi" w:cstheme="minorBidi"/>
      <w:b/>
      <w:bCs/>
      <w:color w:val="000000"/>
      <w:kern w:val="0"/>
      <w:sz w:val="22"/>
      <w:szCs w:val="22"/>
    </w:rPr>
  </w:style>
  <w:style w:type="paragraph" w:styleId="Title">
    <w:name w:val="Title"/>
    <w:basedOn w:val="Normal"/>
    <w:link w:val="TitleChar"/>
    <w:uiPriority w:val="10"/>
    <w:qFormat/>
    <w:rsid w:val="00EF7B96"/>
    <w:pPr>
      <w:keepNext/>
      <w:keepLines/>
      <w:spacing w:after="60" w:line="240" w:lineRule="auto"/>
    </w:pPr>
    <w:rPr>
      <w:sz w:val="52"/>
      <w:szCs w:val="52"/>
    </w:rPr>
  </w:style>
  <w:style w:type="character" w:customStyle="1" w:styleId="TitleChar">
    <w:name w:val="Title Char"/>
    <w:basedOn w:val="DefaultParagraphFont"/>
    <w:link w:val="Title"/>
    <w:uiPriority w:val="10"/>
    <w:rPr>
      <w:rFonts w:asciiTheme="majorHAnsi" w:eastAsiaTheme="majorEastAsia" w:hAnsiTheme="majorHAnsi" w:cstheme="majorBidi"/>
      <w:b/>
      <w:bCs/>
      <w:color w:val="000000"/>
      <w:kern w:val="28"/>
      <w:sz w:val="32"/>
      <w:szCs w:val="32"/>
    </w:rPr>
  </w:style>
  <w:style w:type="paragraph" w:styleId="Subtitle">
    <w:name w:val="Subtitle"/>
    <w:basedOn w:val="Normal"/>
    <w:link w:val="SubtitleChar"/>
    <w:uiPriority w:val="11"/>
    <w:qFormat/>
    <w:rsid w:val="00EF7B96"/>
    <w:pPr>
      <w:keepNext/>
      <w:keepLines/>
      <w:spacing w:after="320" w:line="240" w:lineRule="auto"/>
    </w:pPr>
    <w:rPr>
      <w:rFonts w:ascii="Arial" w:hAnsi="Arial" w:cs="Arial"/>
      <w:color w:val="666666"/>
      <w:sz w:val="30"/>
      <w:szCs w:val="30"/>
    </w:rPr>
  </w:style>
  <w:style w:type="character" w:customStyle="1" w:styleId="SubtitleChar">
    <w:name w:val="Subtitle Char"/>
    <w:basedOn w:val="DefaultParagraphFont"/>
    <w:link w:val="Subtitle"/>
    <w:uiPriority w:val="11"/>
    <w:rPr>
      <w:rFonts w:asciiTheme="majorHAnsi" w:eastAsiaTheme="majorEastAsia" w:hAnsiTheme="majorHAnsi" w:cstheme="majorBidi"/>
      <w:color w:val="000000"/>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pixelsPerInch w:val="144"/>
</w:webSettings>
</file>

<file path=word/_rels/document.xml.rels><?xml version="1.0" encoding="UTF-8" standalone="yes"?>
<Relationships xmlns="http://schemas.openxmlformats.org/package/2006/relationships"><Relationship Id="rId117" Type="http://schemas.openxmlformats.org/officeDocument/2006/relationships/hyperlink" Target="file:///C:\Users\Lenovo\Downloads\Fwd_%20BM12237%20(LCMB7002%20Financial%20Management)-3.docx.rtf" TargetMode="External"/><Relationship Id="rId299" Type="http://schemas.openxmlformats.org/officeDocument/2006/relationships/image" Target="file:///C:\Users\Lenovo\Downloads\Image_22" TargetMode="External"/><Relationship Id="rId21" Type="http://schemas.openxmlformats.org/officeDocument/2006/relationships/hyperlink" Target="file:///C:\Users\Lenovo\Downloads\Fwd_%20BM12237%20(LCMB7002%20Financial%20Management)-3.docx.rtf" TargetMode="External"/><Relationship Id="rId63" Type="http://schemas.openxmlformats.org/officeDocument/2006/relationships/hyperlink" Target="file:///C:\Users\Lenovo\Downloads\Fwd_%20BM12237%20(LCMB7002%20Financial%20Management)-3.docx.rtf" TargetMode="External"/><Relationship Id="rId159" Type="http://schemas.openxmlformats.org/officeDocument/2006/relationships/hyperlink" Target="file:///C:\Users\Lenovo\Downloads\Fwd_%20BM12237%20(LCMB7002%20Financial%20Management)-3.docx.rtf" TargetMode="External"/><Relationship Id="rId170" Type="http://schemas.openxmlformats.org/officeDocument/2006/relationships/hyperlink" Target="file:///C:\Users\Lenovo\Downloads\Fwd_%20BM12237%20(LCMB7002%20Financial%20Management)-3.docx.rtf" TargetMode="External"/><Relationship Id="rId226" Type="http://schemas.openxmlformats.org/officeDocument/2006/relationships/hyperlink" Target="file:///C:\Users\Lenovo\Downloads\Fwd_%20BM12237%20(LCMB7002%20Financial%20Management)-3.docx.rtf" TargetMode="External"/><Relationship Id="rId268" Type="http://schemas.openxmlformats.org/officeDocument/2006/relationships/image" Target="media/image18.png"/><Relationship Id="rId32" Type="http://schemas.openxmlformats.org/officeDocument/2006/relationships/hyperlink" Target="file:///C:\Users\Lenovo\Downloads\Fwd_%20BM12237%20(LCMB7002%20Financial%20Management)-3.docx.rtf" TargetMode="External"/><Relationship Id="rId74" Type="http://schemas.openxmlformats.org/officeDocument/2006/relationships/hyperlink" Target="file:///C:\Users\Lenovo\Downloads\Fwd_%20BM12237%20(LCMB7002%20Financial%20Management)-3.docx.rtf" TargetMode="External"/><Relationship Id="rId128" Type="http://schemas.openxmlformats.org/officeDocument/2006/relationships/hyperlink" Target="file:///C:\Users\Lenovo\Downloads\Fwd_%20BM12237%20(LCMB7002%20Financial%20Management)-3.docx.rtf" TargetMode="External"/><Relationship Id="rId5" Type="http://schemas.openxmlformats.org/officeDocument/2006/relationships/endnotes" Target="endnotes.xml"/><Relationship Id="rId181" Type="http://schemas.openxmlformats.org/officeDocument/2006/relationships/hyperlink" Target="file:///C:\Users\Lenovo\Downloads\Fwd_%20BM12237%20(LCMB7002%20Financial%20Management)-3.docx.rtf" TargetMode="External"/><Relationship Id="rId237" Type="http://schemas.openxmlformats.org/officeDocument/2006/relationships/image" Target="file:///C:\Users\Lenovo\Downloads\Image_10" TargetMode="External"/><Relationship Id="rId279" Type="http://schemas.openxmlformats.org/officeDocument/2006/relationships/image" Target="file:///C:\Users\Lenovo\Downloads\Image_1" TargetMode="External"/><Relationship Id="rId43" Type="http://schemas.openxmlformats.org/officeDocument/2006/relationships/hyperlink" Target="file:///C:\Users\Lenovo\Downloads\Fwd_%20BM12237%20(LCMB7002%20Financial%20Management)-3.docx.rtf" TargetMode="External"/><Relationship Id="rId139" Type="http://schemas.openxmlformats.org/officeDocument/2006/relationships/hyperlink" Target="file:///C:\Users\Lenovo\Downloads\Fwd_%20BM12237%20(LCMB7002%20Financial%20Management)-3.docx.rtf" TargetMode="External"/><Relationship Id="rId290" Type="http://schemas.openxmlformats.org/officeDocument/2006/relationships/image" Target="media/image29.png"/><Relationship Id="rId304" Type="http://schemas.openxmlformats.org/officeDocument/2006/relationships/image" Target="file:///C:\Users\Lenovo\Downloads\Image_29" TargetMode="External"/><Relationship Id="rId85" Type="http://schemas.openxmlformats.org/officeDocument/2006/relationships/hyperlink" Target="file:///C:\Users\Lenovo\Downloads\Fwd_%20BM12237%20(LCMB7002%20Financial%20Management)-3.docx.rtf" TargetMode="External"/><Relationship Id="rId150" Type="http://schemas.openxmlformats.org/officeDocument/2006/relationships/hyperlink" Target="file:///C:\Users\Lenovo\Downloads\Fwd_%20BM12237%20(LCMB7002%20Financial%20Management)-3.docx.rtf" TargetMode="External"/><Relationship Id="rId192" Type="http://schemas.openxmlformats.org/officeDocument/2006/relationships/hyperlink" Target="file:///C:\Users\Lenovo\Downloads\Fwd_%20BM12237%20(LCMB7002%20Financial%20Management)-3.docx.rtf" TargetMode="External"/><Relationship Id="rId206" Type="http://schemas.openxmlformats.org/officeDocument/2006/relationships/hyperlink" Target="file:///C:\Users\Lenovo\Downloads\Fwd_%20BM12237%20(LCMB7002%20Financial%20Management)-3.docx.rtf" TargetMode="External"/><Relationship Id="rId248" Type="http://schemas.openxmlformats.org/officeDocument/2006/relationships/image" Target="media/image8.png"/><Relationship Id="rId12" Type="http://schemas.openxmlformats.org/officeDocument/2006/relationships/hyperlink" Target="file:///C:\Users\Lenovo\Downloads\Fwd_%20BM12237%20(LCMB7002%20Financial%20Management)-3.docx.rtf" TargetMode="External"/><Relationship Id="rId108" Type="http://schemas.openxmlformats.org/officeDocument/2006/relationships/hyperlink" Target="file:///C:\Users\Lenovo\Downloads\Fwd_%20BM12237%20(LCMB7002%20Financial%20Management)-3.docx.rtf" TargetMode="External"/><Relationship Id="rId54" Type="http://schemas.openxmlformats.org/officeDocument/2006/relationships/hyperlink" Target="file:///C:\Users\Lenovo\Downloads\Fwd_%20BM12237%20(LCMB7002%20Financial%20Management)-3.docx.rtf" TargetMode="External"/><Relationship Id="rId96" Type="http://schemas.openxmlformats.org/officeDocument/2006/relationships/hyperlink" Target="file:///C:\Users\Lenovo\Downloads\Fwd_%20BM12237%20(LCMB7002%20Financial%20Management)-3.docx.rtf" TargetMode="External"/><Relationship Id="rId161" Type="http://schemas.openxmlformats.org/officeDocument/2006/relationships/hyperlink" Target="file:///C:\Users\Lenovo\Downloads\Fwd_%20BM12237%20(LCMB7002%20Financial%20Management)-3.docx.rtf" TargetMode="External"/><Relationship Id="rId217" Type="http://schemas.openxmlformats.org/officeDocument/2006/relationships/hyperlink" Target="file:///C:\Users\Lenovo\Downloads\Fwd_%20BM12237%20(LCMB7002%20Financial%20Management)-3.docx.rtf" TargetMode="External"/><Relationship Id="rId259" Type="http://schemas.openxmlformats.org/officeDocument/2006/relationships/image" Target="file:///C:\Users\Lenovo\Downloads\Image_23" TargetMode="External"/><Relationship Id="rId23" Type="http://schemas.openxmlformats.org/officeDocument/2006/relationships/hyperlink" Target="file:///C:\Users\Lenovo\Downloads\Fwd_%20BM12237%20(LCMB7002%20Financial%20Management)-3.docx.rtf" TargetMode="External"/><Relationship Id="rId119" Type="http://schemas.openxmlformats.org/officeDocument/2006/relationships/hyperlink" Target="file:///C:\Users\Lenovo\Downloads\Fwd_%20BM12237%20(LCMB7002%20Financial%20Management)-3.docx.rtf" TargetMode="External"/><Relationship Id="rId270" Type="http://schemas.openxmlformats.org/officeDocument/2006/relationships/image" Target="media/image19.png"/><Relationship Id="rId44" Type="http://schemas.openxmlformats.org/officeDocument/2006/relationships/hyperlink" Target="file:///C:\Users\Lenovo\Downloads\Fwd_%20BM12237%20(LCMB7002%20Financial%20Management)-3.docx.rtf" TargetMode="External"/><Relationship Id="rId65" Type="http://schemas.openxmlformats.org/officeDocument/2006/relationships/hyperlink" Target="file:///C:\Users\Lenovo\Downloads\Fwd_%20BM12237%20(LCMB7002%20Financial%20Management)-3.docx.rtf" TargetMode="External"/><Relationship Id="rId86" Type="http://schemas.openxmlformats.org/officeDocument/2006/relationships/hyperlink" Target="file:///C:\Users\Lenovo\Downloads\Fwd_%20BM12237%20(LCMB7002%20Financial%20Management)-3.docx.rtf" TargetMode="External"/><Relationship Id="rId130" Type="http://schemas.openxmlformats.org/officeDocument/2006/relationships/hyperlink" Target="file:///C:\Users\Lenovo\Downloads\Fwd_%20BM12237%20(LCMB7002%20Financial%20Management)-3.docx.rtf" TargetMode="External"/><Relationship Id="rId151" Type="http://schemas.openxmlformats.org/officeDocument/2006/relationships/hyperlink" Target="file:///C:\Users\Lenovo\Downloads\Fwd_%20BM12237%20(LCMB7002%20Financial%20Management)-3.docx.rtf" TargetMode="External"/><Relationship Id="rId172" Type="http://schemas.openxmlformats.org/officeDocument/2006/relationships/hyperlink" Target="file:///C:\Users\Lenovo\Downloads\Fwd_%20BM12237%20(LCMB7002%20Financial%20Management)-3.docx.rtf" TargetMode="External"/><Relationship Id="rId193" Type="http://schemas.openxmlformats.org/officeDocument/2006/relationships/hyperlink" Target="file:///C:\Users\Lenovo\Downloads\Fwd_%20BM12237%20(LCMB7002%20Financial%20Management)-3.docx.rtf" TargetMode="External"/><Relationship Id="rId207" Type="http://schemas.openxmlformats.org/officeDocument/2006/relationships/hyperlink" Target="file:///C:\Users\Lenovo\Downloads\Fwd_%20BM12237%20(LCMB7002%20Financial%20Management)-3.docx.rtf" TargetMode="External"/><Relationship Id="rId228" Type="http://schemas.openxmlformats.org/officeDocument/2006/relationships/hyperlink" Target="file:///C:\Users\Lenovo\Downloads\Fwd_%20BM12237%20(LCMB7002%20Financial%20Management)-3.docx.rtf" TargetMode="External"/><Relationship Id="rId249" Type="http://schemas.openxmlformats.org/officeDocument/2006/relationships/image" Target="file:///C:\Users\Lenovo\Downloads\Image_15" TargetMode="External"/><Relationship Id="rId13" Type="http://schemas.openxmlformats.org/officeDocument/2006/relationships/hyperlink" Target="file:///C:\Users\Lenovo\Downloads\Fwd_%20BM12237%20(LCMB7002%20Financial%20Management)-3.docx.rtf" TargetMode="External"/><Relationship Id="rId109" Type="http://schemas.openxmlformats.org/officeDocument/2006/relationships/hyperlink" Target="file:///C:\Users\Lenovo\Downloads\Fwd_%20BM12237%20(LCMB7002%20Financial%20Management)-3.docx.rtf" TargetMode="External"/><Relationship Id="rId260" Type="http://schemas.openxmlformats.org/officeDocument/2006/relationships/image" Target="media/image14.png"/><Relationship Id="rId281" Type="http://schemas.openxmlformats.org/officeDocument/2006/relationships/image" Target="file:///C:\Users\Lenovo\Downloads\Image_2" TargetMode="External"/><Relationship Id="rId34" Type="http://schemas.openxmlformats.org/officeDocument/2006/relationships/hyperlink" Target="file:///C:\Users\Lenovo\Downloads\Fwd_%20BM12237%20(LCMB7002%20Financial%20Management)-3.docx.rtf" TargetMode="External"/><Relationship Id="rId55" Type="http://schemas.openxmlformats.org/officeDocument/2006/relationships/hyperlink" Target="file:///C:\Users\Lenovo\Downloads\Fwd_%20BM12237%20(LCMB7002%20Financial%20Management)-3.docx.rtf" TargetMode="External"/><Relationship Id="rId76" Type="http://schemas.openxmlformats.org/officeDocument/2006/relationships/hyperlink" Target="file:///C:\Users\Lenovo\Downloads\Fwd_%20BM12237%20(LCMB7002%20Financial%20Management)-3.docx.rtf" TargetMode="External"/><Relationship Id="rId97" Type="http://schemas.openxmlformats.org/officeDocument/2006/relationships/hyperlink" Target="file:///C:\Users\Lenovo\Downloads\Fwd_%20BM12237%20(LCMB7002%20Financial%20Management)-3.docx.rtf" TargetMode="External"/><Relationship Id="rId120" Type="http://schemas.openxmlformats.org/officeDocument/2006/relationships/hyperlink" Target="file:///C:\Users\Lenovo\Downloads\Fwd_%20BM12237%20(LCMB7002%20Financial%20Management)-3.docx.rtf" TargetMode="External"/><Relationship Id="rId141" Type="http://schemas.openxmlformats.org/officeDocument/2006/relationships/hyperlink" Target="file:///C:\Users\Lenovo\Downloads\Fwd_%20BM12237%20(LCMB7002%20Financial%20Management)-3.docx.rtf" TargetMode="External"/><Relationship Id="rId7" Type="http://schemas.openxmlformats.org/officeDocument/2006/relationships/hyperlink" Target="file:///C:\Users\Lenovo\Downloads\Fwd_%20BM12237%20(LCMB7002%20Financial%20Management)-3.docx.rtf" TargetMode="External"/><Relationship Id="rId162" Type="http://schemas.openxmlformats.org/officeDocument/2006/relationships/hyperlink" Target="file:///C:\Users\Lenovo\Downloads\Fwd_%20BM12237%20(LCMB7002%20Financial%20Management)-3.docx.rtf" TargetMode="External"/><Relationship Id="rId183" Type="http://schemas.openxmlformats.org/officeDocument/2006/relationships/hyperlink" Target="file:///C:\Users\Lenovo\Downloads\Fwd_%20BM12237%20(LCMB7002%20Financial%20Management)-3.docx.rtf" TargetMode="External"/><Relationship Id="rId218" Type="http://schemas.openxmlformats.org/officeDocument/2006/relationships/hyperlink" Target="file:///C:\Users\Lenovo\Downloads\Fwd_%20BM12237%20(LCMB7002%20Financial%20Management)-3.docx.rtf" TargetMode="External"/><Relationship Id="rId239" Type="http://schemas.openxmlformats.org/officeDocument/2006/relationships/image" Target="file:///C:\Users\Lenovo\Downloads\Image_12" TargetMode="External"/><Relationship Id="rId250" Type="http://schemas.openxmlformats.org/officeDocument/2006/relationships/image" Target="media/image9.png"/><Relationship Id="rId271" Type="http://schemas.openxmlformats.org/officeDocument/2006/relationships/image" Target="file:///C:\Users\Lenovo\Downloads\Image_35" TargetMode="External"/><Relationship Id="rId292" Type="http://schemas.openxmlformats.org/officeDocument/2006/relationships/image" Target="media/image30.png"/><Relationship Id="rId306" Type="http://schemas.openxmlformats.org/officeDocument/2006/relationships/image" Target="media/image35.png"/><Relationship Id="rId24" Type="http://schemas.openxmlformats.org/officeDocument/2006/relationships/hyperlink" Target="file:///C:\Users\Lenovo\Downloads\Fwd_%20BM12237%20(LCMB7002%20Financial%20Management)-3.docx.rtf" TargetMode="External"/><Relationship Id="rId45" Type="http://schemas.openxmlformats.org/officeDocument/2006/relationships/hyperlink" Target="file:///C:\Users\Lenovo\Downloads\Fwd_%20BM12237%20(LCMB7002%20Financial%20Management)-3.docx.rtf" TargetMode="External"/><Relationship Id="rId66" Type="http://schemas.openxmlformats.org/officeDocument/2006/relationships/hyperlink" Target="file:///C:\Users\Lenovo\Downloads\Fwd_%20BM12237%20(LCMB7002%20Financial%20Management)-3.docx.rtf" TargetMode="External"/><Relationship Id="rId87" Type="http://schemas.openxmlformats.org/officeDocument/2006/relationships/hyperlink" Target="file:///C:\Users\Lenovo\Downloads\Fwd_%20BM12237%20(LCMB7002%20Financial%20Management)-3.docx.rtf" TargetMode="External"/><Relationship Id="rId110" Type="http://schemas.openxmlformats.org/officeDocument/2006/relationships/hyperlink" Target="file:///C:\Users\Lenovo\Downloads\Fwd_%20BM12237%20(LCMB7002%20Financial%20Management)-3.docx.rtf" TargetMode="External"/><Relationship Id="rId131" Type="http://schemas.openxmlformats.org/officeDocument/2006/relationships/hyperlink" Target="file:///C:\Users\Lenovo\Downloads\Fwd_%20BM12237%20(LCMB7002%20Financial%20Management)-3.docx.rtf" TargetMode="External"/><Relationship Id="rId152" Type="http://schemas.openxmlformats.org/officeDocument/2006/relationships/hyperlink" Target="file:///C:\Users\Lenovo\Downloads\Fwd_%20BM12237%20(LCMB7002%20Financial%20Management)-3.docx.rtf" TargetMode="External"/><Relationship Id="rId173" Type="http://schemas.openxmlformats.org/officeDocument/2006/relationships/hyperlink" Target="file:///C:\Users\Lenovo\Downloads\Fwd_%20BM12237%20(LCMB7002%20Financial%20Management)-3.docx.rtf" TargetMode="External"/><Relationship Id="rId194" Type="http://schemas.openxmlformats.org/officeDocument/2006/relationships/hyperlink" Target="file:///C:\Users\Lenovo\Downloads\Fwd_%20BM12237%20(LCMB7002%20Financial%20Management)-3.docx.rtf" TargetMode="External"/><Relationship Id="rId208" Type="http://schemas.openxmlformats.org/officeDocument/2006/relationships/hyperlink" Target="file:///C:\Users\Lenovo\Downloads\Fwd_%20BM12237%20(LCMB7002%20Financial%20Management)-3.docx.rtf" TargetMode="External"/><Relationship Id="rId229" Type="http://schemas.openxmlformats.org/officeDocument/2006/relationships/hyperlink" Target="file:///C:\Users\Lenovo\Downloads\Fwd_%20BM12237%20(LCMB7002%20Financial%20Management)-3.docx.rtf" TargetMode="External"/><Relationship Id="rId240" Type="http://schemas.openxmlformats.org/officeDocument/2006/relationships/image" Target="media/image4.png"/><Relationship Id="rId261" Type="http://schemas.openxmlformats.org/officeDocument/2006/relationships/image" Target="file:///C:\Users\Lenovo\Downloads\Image_26" TargetMode="External"/><Relationship Id="rId14" Type="http://schemas.openxmlformats.org/officeDocument/2006/relationships/hyperlink" Target="file:///C:\Users\Lenovo\Downloads\Fwd_%20BM12237%20(LCMB7002%20Financial%20Management)-3.docx.rtf" TargetMode="External"/><Relationship Id="rId35" Type="http://schemas.openxmlformats.org/officeDocument/2006/relationships/hyperlink" Target="file:///C:\Users\Lenovo\Downloads\Fwd_%20BM12237%20(LCMB7002%20Financial%20Management)-3.docx.rtf" TargetMode="External"/><Relationship Id="rId56" Type="http://schemas.openxmlformats.org/officeDocument/2006/relationships/hyperlink" Target="file:///C:\Users\Lenovo\Downloads\Fwd_%20BM12237%20(LCMB7002%20Financial%20Management)-3.docx.rtf" TargetMode="External"/><Relationship Id="rId77" Type="http://schemas.openxmlformats.org/officeDocument/2006/relationships/hyperlink" Target="file:///C:\Users\Lenovo\Downloads\Fwd_%20BM12237%20(LCMB7002%20Financial%20Management)-3.docx.rtf" TargetMode="External"/><Relationship Id="rId100" Type="http://schemas.openxmlformats.org/officeDocument/2006/relationships/hyperlink" Target="file:///C:\Users\Lenovo\Downloads\Fwd_%20BM12237%20(LCMB7002%20Financial%20Management)-3.docx.rtf" TargetMode="External"/><Relationship Id="rId282" Type="http://schemas.openxmlformats.org/officeDocument/2006/relationships/image" Target="media/image25.png"/><Relationship Id="rId8" Type="http://schemas.openxmlformats.org/officeDocument/2006/relationships/hyperlink" Target="file:///C:\Users\Lenovo\Downloads\Fwd_%20BM12237%20(LCMB7002%20Financial%20Management)-3.docx.rtf" TargetMode="External"/><Relationship Id="rId98" Type="http://schemas.openxmlformats.org/officeDocument/2006/relationships/hyperlink" Target="file:///C:\Users\Lenovo\Downloads\Fwd_%20BM12237%20(LCMB7002%20Financial%20Management)-3.docx.rtf" TargetMode="External"/><Relationship Id="rId121" Type="http://schemas.openxmlformats.org/officeDocument/2006/relationships/hyperlink" Target="file:///C:\Users\Lenovo\Downloads\Fwd_%20BM12237%20(LCMB7002%20Financial%20Management)-3.docx.rtf" TargetMode="External"/><Relationship Id="rId142" Type="http://schemas.openxmlformats.org/officeDocument/2006/relationships/hyperlink" Target="file:///C:\Users\Lenovo\Downloads\Fwd_%20BM12237%20(LCMB7002%20Financial%20Management)-3.docx.rtf" TargetMode="External"/><Relationship Id="rId163" Type="http://schemas.openxmlformats.org/officeDocument/2006/relationships/hyperlink" Target="file:///C:\Users\Lenovo\Downloads\Fwd_%20BM12237%20(LCMB7002%20Financial%20Management)-3.docx.rtf" TargetMode="External"/><Relationship Id="rId184" Type="http://schemas.openxmlformats.org/officeDocument/2006/relationships/hyperlink" Target="file:///C:\Users\Lenovo\Downloads\Fwd_%20BM12237%20(LCMB7002%20Financial%20Management)-3.docx.rtf" TargetMode="External"/><Relationship Id="rId219" Type="http://schemas.openxmlformats.org/officeDocument/2006/relationships/hyperlink" Target="file:///C:\Users\Lenovo\Downloads\Fwd_%20BM12237%20(LCMB7002%20Financial%20Management)-3.docx.rtf" TargetMode="External"/><Relationship Id="rId230" Type="http://schemas.openxmlformats.org/officeDocument/2006/relationships/hyperlink" Target="file:///C:\Users\Lenovo\Downloads\Fwd_%20BM12237%20(LCMB7002%20Financial%20Management)-3.docx.rtf" TargetMode="External"/><Relationship Id="rId251" Type="http://schemas.openxmlformats.org/officeDocument/2006/relationships/image" Target="file:///C:\Users\Lenovo\Downloads\Image_20" TargetMode="External"/><Relationship Id="rId25" Type="http://schemas.openxmlformats.org/officeDocument/2006/relationships/hyperlink" Target="file:///C:\Users\Lenovo\Downloads\Fwd_%20BM12237%20(LCMB7002%20Financial%20Management)-3.docx.rtf" TargetMode="External"/><Relationship Id="rId46" Type="http://schemas.openxmlformats.org/officeDocument/2006/relationships/hyperlink" Target="file:///C:\Users\Lenovo\Downloads\Fwd_%20BM12237%20(LCMB7002%20Financial%20Management)-3.docx.rtf" TargetMode="External"/><Relationship Id="rId67" Type="http://schemas.openxmlformats.org/officeDocument/2006/relationships/hyperlink" Target="file:///C:\Users\Lenovo\Downloads\Fwd_%20BM12237%20(LCMB7002%20Financial%20Management)-3.docx.rtf" TargetMode="External"/><Relationship Id="rId272" Type="http://schemas.openxmlformats.org/officeDocument/2006/relationships/image" Target="media/image20.png"/><Relationship Id="rId293" Type="http://schemas.openxmlformats.org/officeDocument/2006/relationships/image" Target="file:///C:\Users\Lenovo\Downloads\Image_8" TargetMode="External"/><Relationship Id="rId307" Type="http://schemas.openxmlformats.org/officeDocument/2006/relationships/image" Target="file:///C:\Users\Lenovo\Downloads\Image_33" TargetMode="External"/><Relationship Id="rId88" Type="http://schemas.openxmlformats.org/officeDocument/2006/relationships/hyperlink" Target="file:///C:\Users\Lenovo\Downloads\Fwd_%20BM12237%20(LCMB7002%20Financial%20Management)-3.docx.rtf" TargetMode="External"/><Relationship Id="rId111" Type="http://schemas.openxmlformats.org/officeDocument/2006/relationships/hyperlink" Target="file:///C:\Users\Lenovo\Downloads\Fwd_%20BM12237%20(LCMB7002%20Financial%20Management)-3.docx.rtf" TargetMode="External"/><Relationship Id="rId132" Type="http://schemas.openxmlformats.org/officeDocument/2006/relationships/hyperlink" Target="file:///C:\Users\Lenovo\Downloads\Fwd_%20BM12237%20(LCMB7002%20Financial%20Management)-3.docx.rtf" TargetMode="External"/><Relationship Id="rId153" Type="http://schemas.openxmlformats.org/officeDocument/2006/relationships/hyperlink" Target="file:///C:\Users\Lenovo\Downloads\Fwd_%20BM12237%20(LCMB7002%20Financial%20Management)-3.docx.rtf" TargetMode="External"/><Relationship Id="rId174" Type="http://schemas.openxmlformats.org/officeDocument/2006/relationships/hyperlink" Target="file:///C:\Users\Lenovo\Downloads\Fwd_%20BM12237%20(LCMB7002%20Financial%20Management)-3.docx.rtf" TargetMode="External"/><Relationship Id="rId195" Type="http://schemas.openxmlformats.org/officeDocument/2006/relationships/hyperlink" Target="file:///C:\Users\Lenovo\Downloads\Fwd_%20BM12237%20(LCMB7002%20Financial%20Management)-3.docx.rtf" TargetMode="External"/><Relationship Id="rId209" Type="http://schemas.openxmlformats.org/officeDocument/2006/relationships/hyperlink" Target="file:///C:\Users\Lenovo\Downloads\Fwd_%20BM12237%20(LCMB7002%20Financial%20Management)-3.docx.rtf" TargetMode="External"/><Relationship Id="rId220" Type="http://schemas.openxmlformats.org/officeDocument/2006/relationships/hyperlink" Target="file:///C:\Users\Lenovo\Downloads\Fwd_%20BM12237%20(LCMB7002%20Financial%20Management)-3.docx.rtf" TargetMode="External"/><Relationship Id="rId241" Type="http://schemas.openxmlformats.org/officeDocument/2006/relationships/image" Target="file:///C:\Users\Lenovo\Downloads\Image_11" TargetMode="External"/><Relationship Id="rId15" Type="http://schemas.openxmlformats.org/officeDocument/2006/relationships/hyperlink" Target="file:///C:\Users\Lenovo\Downloads\Fwd_%20BM12237%20(LCMB7002%20Financial%20Management)-3.docx.rtf" TargetMode="External"/><Relationship Id="rId36" Type="http://schemas.openxmlformats.org/officeDocument/2006/relationships/hyperlink" Target="file:///C:\Users\Lenovo\Downloads\Fwd_%20BM12237%20(LCMB7002%20Financial%20Management)-3.docx.rtf" TargetMode="External"/><Relationship Id="rId57" Type="http://schemas.openxmlformats.org/officeDocument/2006/relationships/hyperlink" Target="file:///C:\Users\Lenovo\Downloads\Fwd_%20BM12237%20(LCMB7002%20Financial%20Management)-3.docx.rtf" TargetMode="External"/><Relationship Id="rId262" Type="http://schemas.openxmlformats.org/officeDocument/2006/relationships/image" Target="media/image15.png"/><Relationship Id="rId283" Type="http://schemas.openxmlformats.org/officeDocument/2006/relationships/image" Target="file:///C:\Users\Lenovo\Downloads\Image_3" TargetMode="External"/><Relationship Id="rId78" Type="http://schemas.openxmlformats.org/officeDocument/2006/relationships/hyperlink" Target="file:///C:\Users\Lenovo\Downloads\Fwd_%20BM12237%20(LCMB7002%20Financial%20Management)-3.docx.rtf" TargetMode="External"/><Relationship Id="rId99" Type="http://schemas.openxmlformats.org/officeDocument/2006/relationships/hyperlink" Target="file:///C:\Users\Lenovo\Downloads\Fwd_%20BM12237%20(LCMB7002%20Financial%20Management)-3.docx.rtf" TargetMode="External"/><Relationship Id="rId101" Type="http://schemas.openxmlformats.org/officeDocument/2006/relationships/hyperlink" Target="file:///C:\Users\Lenovo\Downloads\Fwd_%20BM12237%20(LCMB7002%20Financial%20Management)-3.docx.rtf" TargetMode="External"/><Relationship Id="rId122" Type="http://schemas.openxmlformats.org/officeDocument/2006/relationships/hyperlink" Target="file:///C:\Users\Lenovo\Downloads\Fwd_%20BM12237%20(LCMB7002%20Financial%20Management)-3.docx.rtf" TargetMode="External"/><Relationship Id="rId143" Type="http://schemas.openxmlformats.org/officeDocument/2006/relationships/hyperlink" Target="file:///C:\Users\Lenovo\Downloads\Fwd_%20BM12237%20(LCMB7002%20Financial%20Management)-3.docx.rtf" TargetMode="External"/><Relationship Id="rId164" Type="http://schemas.openxmlformats.org/officeDocument/2006/relationships/hyperlink" Target="file:///C:\Users\Lenovo\Downloads\Fwd_%20BM12237%20(LCMB7002%20Financial%20Management)-3.docx.rtf" TargetMode="External"/><Relationship Id="rId185" Type="http://schemas.openxmlformats.org/officeDocument/2006/relationships/hyperlink" Target="file:///C:\Users\Lenovo\Downloads\Fwd_%20BM12237%20(LCMB7002%20Financial%20Management)-3.docx.rtf" TargetMode="External"/><Relationship Id="rId9" Type="http://schemas.openxmlformats.org/officeDocument/2006/relationships/hyperlink" Target="file:///C:\Users\Lenovo\Downloads\Fwd_%20BM12237%20(LCMB7002%20Financial%20Management)-3.docx.rtf" TargetMode="External"/><Relationship Id="rId210" Type="http://schemas.openxmlformats.org/officeDocument/2006/relationships/hyperlink" Target="file:///C:\Users\Lenovo\Downloads\Fwd_%20BM12237%20(LCMB7002%20Financial%20Management)-3.docx.rtf" TargetMode="External"/><Relationship Id="rId26" Type="http://schemas.openxmlformats.org/officeDocument/2006/relationships/hyperlink" Target="file:///C:\Users\Lenovo\Downloads\Fwd_%20BM12237%20(LCMB7002%20Financial%20Management)-3.docx.rtf" TargetMode="External"/><Relationship Id="rId231" Type="http://schemas.openxmlformats.org/officeDocument/2006/relationships/hyperlink" Target="file:///C:\Users\Lenovo\Downloads\Fwd_%20BM12237%20(LCMB7002%20Financial%20Management)-3.docx.rtf" TargetMode="External"/><Relationship Id="rId252" Type="http://schemas.openxmlformats.org/officeDocument/2006/relationships/image" Target="media/image10.png"/><Relationship Id="rId273" Type="http://schemas.openxmlformats.org/officeDocument/2006/relationships/image" Target="file:///C:\Users\Lenovo\Downloads\Image_36" TargetMode="External"/><Relationship Id="rId294" Type="http://schemas.openxmlformats.org/officeDocument/2006/relationships/image" Target="media/image31.png"/><Relationship Id="rId308" Type="http://schemas.openxmlformats.org/officeDocument/2006/relationships/footer" Target="footer1.xml"/><Relationship Id="rId47" Type="http://schemas.openxmlformats.org/officeDocument/2006/relationships/hyperlink" Target="file:///C:\Users\Lenovo\Downloads\Fwd_%20BM12237%20(LCMB7002%20Financial%20Management)-3.docx.rtf" TargetMode="External"/><Relationship Id="rId68" Type="http://schemas.openxmlformats.org/officeDocument/2006/relationships/hyperlink" Target="file:///C:\Users\Lenovo\Downloads\Fwd_%20BM12237%20(LCMB7002%20Financial%20Management)-3.docx.rtf" TargetMode="External"/><Relationship Id="rId89" Type="http://schemas.openxmlformats.org/officeDocument/2006/relationships/hyperlink" Target="file:///C:\Users\Lenovo\Downloads\Fwd_%20BM12237%20(LCMB7002%20Financial%20Management)-3.docx.rtf" TargetMode="External"/><Relationship Id="rId112" Type="http://schemas.openxmlformats.org/officeDocument/2006/relationships/hyperlink" Target="file:///C:\Users\Lenovo\Downloads\Fwd_%20BM12237%20(LCMB7002%20Financial%20Management)-3.docx.rtf" TargetMode="External"/><Relationship Id="rId133" Type="http://schemas.openxmlformats.org/officeDocument/2006/relationships/hyperlink" Target="file:///C:\Users\Lenovo\Downloads\Fwd_%20BM12237%20(LCMB7002%20Financial%20Management)-3.docx.rtf" TargetMode="External"/><Relationship Id="rId154" Type="http://schemas.openxmlformats.org/officeDocument/2006/relationships/hyperlink" Target="file:///C:\Users\Lenovo\Downloads\Fwd_%20BM12237%20(LCMB7002%20Financial%20Management)-3.docx.rtf" TargetMode="External"/><Relationship Id="rId175" Type="http://schemas.openxmlformats.org/officeDocument/2006/relationships/hyperlink" Target="file:///C:\Users\Lenovo\Downloads\Fwd_%20BM12237%20(LCMB7002%20Financial%20Management)-3.docx.rtf" TargetMode="External"/><Relationship Id="rId196" Type="http://schemas.openxmlformats.org/officeDocument/2006/relationships/hyperlink" Target="file:///C:\Users\Lenovo\Downloads\Fwd_%20BM12237%20(LCMB7002%20Financial%20Management)-3.docx.rtf" TargetMode="External"/><Relationship Id="rId200" Type="http://schemas.openxmlformats.org/officeDocument/2006/relationships/hyperlink" Target="file:///C:\Users\Lenovo\Downloads\Fwd_%20BM12237%20(LCMB7002%20Financial%20Management)-3.docx.rtf" TargetMode="External"/><Relationship Id="rId16" Type="http://schemas.openxmlformats.org/officeDocument/2006/relationships/hyperlink" Target="file:///C:\Users\Lenovo\Downloads\Fwd_%20BM12237%20(LCMB7002%20Financial%20Management)-3.docx.rtf" TargetMode="External"/><Relationship Id="rId221" Type="http://schemas.openxmlformats.org/officeDocument/2006/relationships/hyperlink" Target="file:///C:\Users\Lenovo\Downloads\Fwd_%20BM12237%20(LCMB7002%20Financial%20Management)-3.docx.rtf" TargetMode="External"/><Relationship Id="rId242" Type="http://schemas.openxmlformats.org/officeDocument/2006/relationships/image" Target="media/image5.png"/><Relationship Id="rId263" Type="http://schemas.openxmlformats.org/officeDocument/2006/relationships/image" Target="file:///C:\Users\Lenovo\Downloads\Image_28" TargetMode="External"/><Relationship Id="rId284" Type="http://schemas.openxmlformats.org/officeDocument/2006/relationships/image" Target="media/image26.png"/><Relationship Id="rId37" Type="http://schemas.openxmlformats.org/officeDocument/2006/relationships/hyperlink" Target="file:///C:\Users\Lenovo\Downloads\Fwd_%20BM12237%20(LCMB7002%20Financial%20Management)-3.docx.rtf" TargetMode="External"/><Relationship Id="rId58" Type="http://schemas.openxmlformats.org/officeDocument/2006/relationships/hyperlink" Target="file:///C:\Users\Lenovo\Downloads\Fwd_%20BM12237%20(LCMB7002%20Financial%20Management)-3.docx.rtf" TargetMode="External"/><Relationship Id="rId79" Type="http://schemas.openxmlformats.org/officeDocument/2006/relationships/hyperlink" Target="file:///C:\Users\Lenovo\Downloads\Fwd_%20BM12237%20(LCMB7002%20Financial%20Management)-3.docx.rtf" TargetMode="External"/><Relationship Id="rId102" Type="http://schemas.openxmlformats.org/officeDocument/2006/relationships/hyperlink" Target="file:///C:\Users\Lenovo\Downloads\Fwd_%20BM12237%20(LCMB7002%20Financial%20Management)-3.docx.rtf" TargetMode="External"/><Relationship Id="rId123" Type="http://schemas.openxmlformats.org/officeDocument/2006/relationships/hyperlink" Target="file:///C:\Users\Lenovo\Downloads\Fwd_%20BM12237%20(LCMB7002%20Financial%20Management)-3.docx.rtf" TargetMode="External"/><Relationship Id="rId144" Type="http://schemas.openxmlformats.org/officeDocument/2006/relationships/hyperlink" Target="file:///C:\Users\Lenovo\Downloads\Fwd_%20BM12237%20(LCMB7002%20Financial%20Management)-3.docx.rtf" TargetMode="External"/><Relationship Id="rId90" Type="http://schemas.openxmlformats.org/officeDocument/2006/relationships/hyperlink" Target="file:///C:\Users\Lenovo\Downloads\Fwd_%20BM12237%20(LCMB7002%20Financial%20Management)-3.docx.rtf" TargetMode="External"/><Relationship Id="rId165" Type="http://schemas.openxmlformats.org/officeDocument/2006/relationships/hyperlink" Target="file:///C:\Users\Lenovo\Downloads\Fwd_%20BM12237%20(LCMB7002%20Financial%20Management)-3.docx.rtf" TargetMode="External"/><Relationship Id="rId186" Type="http://schemas.openxmlformats.org/officeDocument/2006/relationships/hyperlink" Target="file:///C:\Users\Lenovo\Downloads\Fwd_%20BM12237%20(LCMB7002%20Financial%20Management)-3.docx.rtf" TargetMode="External"/><Relationship Id="rId211" Type="http://schemas.openxmlformats.org/officeDocument/2006/relationships/hyperlink" Target="file:///C:\Users\Lenovo\Downloads\Fwd_%20BM12237%20(LCMB7002%20Financial%20Management)-3.docx.rtf" TargetMode="External"/><Relationship Id="rId232" Type="http://schemas.openxmlformats.org/officeDocument/2006/relationships/hyperlink" Target="file:///C:\Users\Lenovo\Downloads\Fwd_%20BM12237%20(LCMB7002%20Financial%20Management)-3.docx.rtf" TargetMode="External"/><Relationship Id="rId253" Type="http://schemas.openxmlformats.org/officeDocument/2006/relationships/image" Target="file:///C:\Users\Lenovo\Downloads\Image_18" TargetMode="External"/><Relationship Id="rId274" Type="http://schemas.openxmlformats.org/officeDocument/2006/relationships/image" Target="media/image21.png"/><Relationship Id="rId295" Type="http://schemas.openxmlformats.org/officeDocument/2006/relationships/image" Target="file:///C:\Users\Lenovo\Downloads\Image_9" TargetMode="External"/><Relationship Id="rId309" Type="http://schemas.openxmlformats.org/officeDocument/2006/relationships/fontTable" Target="fontTable.xml"/><Relationship Id="rId27" Type="http://schemas.openxmlformats.org/officeDocument/2006/relationships/hyperlink" Target="file:///C:\Users\Lenovo\Downloads\Fwd_%20BM12237%20(LCMB7002%20Financial%20Management)-3.docx.rtf" TargetMode="External"/><Relationship Id="rId48" Type="http://schemas.openxmlformats.org/officeDocument/2006/relationships/hyperlink" Target="file:///C:\Users\Lenovo\Downloads\Fwd_%20BM12237%20(LCMB7002%20Financial%20Management)-3.docx.rtf" TargetMode="External"/><Relationship Id="rId69" Type="http://schemas.openxmlformats.org/officeDocument/2006/relationships/hyperlink" Target="file:///C:\Users\Lenovo\Downloads\Fwd_%20BM12237%20(LCMB7002%20Financial%20Management)-3.docx.rtf" TargetMode="External"/><Relationship Id="rId113" Type="http://schemas.openxmlformats.org/officeDocument/2006/relationships/hyperlink" Target="file:///C:\Users\Lenovo\Downloads\Fwd_%20BM12237%20(LCMB7002%20Financial%20Management)-3.docx.rtf" TargetMode="External"/><Relationship Id="rId134" Type="http://schemas.openxmlformats.org/officeDocument/2006/relationships/hyperlink" Target="file:///C:\Users\Lenovo\Downloads\Fwd_%20BM12237%20(LCMB7002%20Financial%20Management)-3.docx.rtf" TargetMode="External"/><Relationship Id="rId80" Type="http://schemas.openxmlformats.org/officeDocument/2006/relationships/hyperlink" Target="file:///C:\Users\Lenovo\Downloads\Fwd_%20BM12237%20(LCMB7002%20Financial%20Management)-3.docx.rtf" TargetMode="External"/><Relationship Id="rId155" Type="http://schemas.openxmlformats.org/officeDocument/2006/relationships/hyperlink" Target="file:///C:\Users\Lenovo\Downloads\Fwd_%20BM12237%20(LCMB7002%20Financial%20Management)-3.docx.rtf" TargetMode="External"/><Relationship Id="rId176" Type="http://schemas.openxmlformats.org/officeDocument/2006/relationships/hyperlink" Target="file:///C:\Users\Lenovo\Downloads\Fwd_%20BM12237%20(LCMB7002%20Financial%20Management)-3.docx.rtf" TargetMode="External"/><Relationship Id="rId197" Type="http://schemas.openxmlformats.org/officeDocument/2006/relationships/hyperlink" Target="file:///C:\Users\Lenovo\Downloads\Fwd_%20BM12237%20(LCMB7002%20Financial%20Management)-3.docx.rtf" TargetMode="External"/><Relationship Id="rId201" Type="http://schemas.openxmlformats.org/officeDocument/2006/relationships/hyperlink" Target="file:///C:\Users\Lenovo\Downloads\Fwd_%20BM12237%20(LCMB7002%20Financial%20Management)-3.docx.rtf" TargetMode="External"/><Relationship Id="rId222" Type="http://schemas.openxmlformats.org/officeDocument/2006/relationships/hyperlink" Target="file:///C:\Users\Lenovo\Downloads\Fwd_%20BM12237%20(LCMB7002%20Financial%20Management)-3.docx.rtf" TargetMode="External"/><Relationship Id="rId243" Type="http://schemas.openxmlformats.org/officeDocument/2006/relationships/image" Target="file:///C:\Users\Lenovo\Downloads\Image_14" TargetMode="External"/><Relationship Id="rId264" Type="http://schemas.openxmlformats.org/officeDocument/2006/relationships/image" Target="media/image16.png"/><Relationship Id="rId285" Type="http://schemas.openxmlformats.org/officeDocument/2006/relationships/image" Target="file:///C:\Users\Lenovo\Downloads\Image_4" TargetMode="External"/><Relationship Id="rId17" Type="http://schemas.openxmlformats.org/officeDocument/2006/relationships/hyperlink" Target="file:///C:\Users\Lenovo\Downloads\Fwd_%20BM12237%20(LCMB7002%20Financial%20Management)-3.docx.rtf" TargetMode="External"/><Relationship Id="rId38" Type="http://schemas.openxmlformats.org/officeDocument/2006/relationships/hyperlink" Target="file:///C:\Users\Lenovo\Downloads\Fwd_%20BM12237%20(LCMB7002%20Financial%20Management)-3.docx.rtf" TargetMode="External"/><Relationship Id="rId59" Type="http://schemas.openxmlformats.org/officeDocument/2006/relationships/hyperlink" Target="file:///C:\Users\Lenovo\Downloads\Fwd_%20BM12237%20(LCMB7002%20Financial%20Management)-3.docx.rtf" TargetMode="External"/><Relationship Id="rId103" Type="http://schemas.openxmlformats.org/officeDocument/2006/relationships/hyperlink" Target="file:///C:\Users\Lenovo\Downloads\Fwd_%20BM12237%20(LCMB7002%20Financial%20Management)-3.docx.rtf" TargetMode="External"/><Relationship Id="rId124" Type="http://schemas.openxmlformats.org/officeDocument/2006/relationships/hyperlink" Target="file:///C:\Users\Lenovo\Downloads\Fwd_%20BM12237%20(LCMB7002%20Financial%20Management)-3.docx.rtf" TargetMode="External"/><Relationship Id="rId310" Type="http://schemas.openxmlformats.org/officeDocument/2006/relationships/theme" Target="theme/theme1.xml"/><Relationship Id="rId70" Type="http://schemas.openxmlformats.org/officeDocument/2006/relationships/hyperlink" Target="file:///C:\Users\Lenovo\Downloads\Fwd_%20BM12237%20(LCMB7002%20Financial%20Management)-3.docx.rtf" TargetMode="External"/><Relationship Id="rId91" Type="http://schemas.openxmlformats.org/officeDocument/2006/relationships/hyperlink" Target="file:///C:\Users\Lenovo\Downloads\Fwd_%20BM12237%20(LCMB7002%20Financial%20Management)-3.docx.rtf" TargetMode="External"/><Relationship Id="rId145" Type="http://schemas.openxmlformats.org/officeDocument/2006/relationships/hyperlink" Target="file:///C:\Users\Lenovo\Downloads\Fwd_%20BM12237%20(LCMB7002%20Financial%20Management)-3.docx.rtf" TargetMode="External"/><Relationship Id="rId166" Type="http://schemas.openxmlformats.org/officeDocument/2006/relationships/hyperlink" Target="file:///C:\Users\Lenovo\Downloads\Fwd_%20BM12237%20(LCMB7002%20Financial%20Management)-3.docx.rtf" TargetMode="External"/><Relationship Id="rId187" Type="http://schemas.openxmlformats.org/officeDocument/2006/relationships/hyperlink" Target="file:///C:\Users\Lenovo\Downloads\Fwd_%20BM12237%20(LCMB7002%20Financial%20Management)-3.docx.rtf" TargetMode="External"/><Relationship Id="rId1" Type="http://schemas.openxmlformats.org/officeDocument/2006/relationships/styles" Target="styles.xml"/><Relationship Id="rId212" Type="http://schemas.openxmlformats.org/officeDocument/2006/relationships/hyperlink" Target="file:///C:\Users\Lenovo\Downloads\Fwd_%20BM12237%20(LCMB7002%20Financial%20Management)-3.docx.rtf" TargetMode="External"/><Relationship Id="rId233" Type="http://schemas.openxmlformats.org/officeDocument/2006/relationships/hyperlink" Target="file:///C:\Users\Lenovo\Downloads\Fwd_%20BM12237%20(LCMB7002%20Financial%20Management)-3.docx.rtf" TargetMode="External"/><Relationship Id="rId254" Type="http://schemas.openxmlformats.org/officeDocument/2006/relationships/image" Target="media/image11.png"/><Relationship Id="rId28" Type="http://schemas.openxmlformats.org/officeDocument/2006/relationships/hyperlink" Target="file:///C:\Users\Lenovo\Downloads\Fwd_%20BM12237%20(LCMB7002%20Financial%20Management)-3.docx.rtf" TargetMode="External"/><Relationship Id="rId49" Type="http://schemas.openxmlformats.org/officeDocument/2006/relationships/hyperlink" Target="file:///C:\Users\Lenovo\Downloads\Fwd_%20BM12237%20(LCMB7002%20Financial%20Management)-3.docx.rtf" TargetMode="External"/><Relationship Id="rId114" Type="http://schemas.openxmlformats.org/officeDocument/2006/relationships/hyperlink" Target="file:///C:\Users\Lenovo\Downloads\Fwd_%20BM12237%20(LCMB7002%20Financial%20Management)-3.docx.rtf" TargetMode="External"/><Relationship Id="rId275" Type="http://schemas.openxmlformats.org/officeDocument/2006/relationships/image" Target="file:///C:\Users\Lenovo\Downloads\Image_37" TargetMode="External"/><Relationship Id="rId296" Type="http://schemas.openxmlformats.org/officeDocument/2006/relationships/image" Target="file:///C:\Users\Lenovo\Downloads\Image_17" TargetMode="External"/><Relationship Id="rId300" Type="http://schemas.openxmlformats.org/officeDocument/2006/relationships/image" Target="media/image33.png"/><Relationship Id="rId60" Type="http://schemas.openxmlformats.org/officeDocument/2006/relationships/hyperlink" Target="file:///C:\Users\Lenovo\Downloads\Fwd_%20BM12237%20(LCMB7002%20Financial%20Management)-3.docx.rtf" TargetMode="External"/><Relationship Id="rId81" Type="http://schemas.openxmlformats.org/officeDocument/2006/relationships/hyperlink" Target="file:///C:\Users\Lenovo\Downloads\Fwd_%20BM12237%20(LCMB7002%20Financial%20Management)-3.docx.rtf" TargetMode="External"/><Relationship Id="rId135" Type="http://schemas.openxmlformats.org/officeDocument/2006/relationships/hyperlink" Target="file:///C:\Users\Lenovo\Downloads\Fwd_%20BM12237%20(LCMB7002%20Financial%20Management)-3.docx.rtf" TargetMode="External"/><Relationship Id="rId156" Type="http://schemas.openxmlformats.org/officeDocument/2006/relationships/hyperlink" Target="file:///C:\Users\Lenovo\Downloads\Fwd_%20BM12237%20(LCMB7002%20Financial%20Management)-3.docx.rtf" TargetMode="External"/><Relationship Id="rId177" Type="http://schemas.openxmlformats.org/officeDocument/2006/relationships/hyperlink" Target="file:///C:\Users\Lenovo\Downloads\Fwd_%20BM12237%20(LCMB7002%20Financial%20Management)-3.docx.rtf" TargetMode="External"/><Relationship Id="rId198" Type="http://schemas.openxmlformats.org/officeDocument/2006/relationships/hyperlink" Target="file:///C:\Users\Lenovo\Downloads\Fwd_%20BM12237%20(LCMB7002%20Financial%20Management)-3.docx.rtf" TargetMode="External"/><Relationship Id="rId202" Type="http://schemas.openxmlformats.org/officeDocument/2006/relationships/hyperlink" Target="file:///C:\Users\Lenovo\Downloads\Fwd_%20BM12237%20(LCMB7002%20Financial%20Management)-3.docx.rtf" TargetMode="External"/><Relationship Id="rId223" Type="http://schemas.openxmlformats.org/officeDocument/2006/relationships/hyperlink" Target="file:///C:\Users\Lenovo\Downloads\Fwd_%20BM12237%20(LCMB7002%20Financial%20Management)-3.docx.rtf" TargetMode="External"/><Relationship Id="rId244" Type="http://schemas.openxmlformats.org/officeDocument/2006/relationships/image" Target="media/image6.png"/><Relationship Id="rId18" Type="http://schemas.openxmlformats.org/officeDocument/2006/relationships/hyperlink" Target="file:///C:\Users\Lenovo\Downloads\Fwd_%20BM12237%20(LCMB7002%20Financial%20Management)-3.docx.rtf" TargetMode="External"/><Relationship Id="rId39" Type="http://schemas.openxmlformats.org/officeDocument/2006/relationships/hyperlink" Target="file:///C:\Users\Lenovo\Downloads\Fwd_%20BM12237%20(LCMB7002%20Financial%20Management)-3.docx.rtf" TargetMode="External"/><Relationship Id="rId265" Type="http://schemas.openxmlformats.org/officeDocument/2006/relationships/image" Target="file:///C:\Users\Lenovo\Downloads\Image_30" TargetMode="External"/><Relationship Id="rId286" Type="http://schemas.openxmlformats.org/officeDocument/2006/relationships/image" Target="media/image27.png"/><Relationship Id="rId50" Type="http://schemas.openxmlformats.org/officeDocument/2006/relationships/hyperlink" Target="file:///C:\Users\Lenovo\Downloads\Fwd_%20BM12237%20(LCMB7002%20Financial%20Management)-3.docx.rtf" TargetMode="External"/><Relationship Id="rId104" Type="http://schemas.openxmlformats.org/officeDocument/2006/relationships/hyperlink" Target="file:///C:\Users\Lenovo\Downloads\Fwd_%20BM12237%20(LCMB7002%20Financial%20Management)-3.docx.rtf" TargetMode="External"/><Relationship Id="rId125" Type="http://schemas.openxmlformats.org/officeDocument/2006/relationships/hyperlink" Target="file:///C:\Users\Lenovo\Downloads\Fwd_%20BM12237%20(LCMB7002%20Financial%20Management)-3.docx.rtf" TargetMode="External"/><Relationship Id="rId146" Type="http://schemas.openxmlformats.org/officeDocument/2006/relationships/hyperlink" Target="file:///C:\Users\Lenovo\Downloads\Fwd_%20BM12237%20(LCMB7002%20Financial%20Management)-3.docx.rtf" TargetMode="External"/><Relationship Id="rId167" Type="http://schemas.openxmlformats.org/officeDocument/2006/relationships/hyperlink" Target="file:///C:\Users\Lenovo\Downloads\Fwd_%20BM12237%20(LCMB7002%20Financial%20Management)-3.docx.rtf" TargetMode="External"/><Relationship Id="rId188" Type="http://schemas.openxmlformats.org/officeDocument/2006/relationships/hyperlink" Target="file:///C:\Users\Lenovo\Downloads\Fwd_%20BM12237%20(LCMB7002%20Financial%20Management)-3.docx.rtf" TargetMode="External"/><Relationship Id="rId71" Type="http://schemas.openxmlformats.org/officeDocument/2006/relationships/hyperlink" Target="file:///C:\Users\Lenovo\Downloads\Fwd_%20BM12237%20(LCMB7002%20Financial%20Management)-3.docx.rtf" TargetMode="External"/><Relationship Id="rId92" Type="http://schemas.openxmlformats.org/officeDocument/2006/relationships/hyperlink" Target="file:///C:\Users\Lenovo\Downloads\Fwd_%20BM12237%20(LCMB7002%20Financial%20Management)-3.docx.rtf" TargetMode="External"/><Relationship Id="rId213" Type="http://schemas.openxmlformats.org/officeDocument/2006/relationships/hyperlink" Target="file:///C:\Users\Lenovo\Downloads\Fwd_%20BM12237%20(LCMB7002%20Financial%20Management)-3.docx.rtf" TargetMode="External"/><Relationship Id="rId234" Type="http://schemas.openxmlformats.org/officeDocument/2006/relationships/hyperlink" Target="file:///C:\Users\Lenovo\Downloads\Fwd_%20BM12237%20(LCMB7002%20Financial%20Management)-3.docx.rtf" TargetMode="External"/><Relationship Id="rId2" Type="http://schemas.openxmlformats.org/officeDocument/2006/relationships/settings" Target="settings.xml"/><Relationship Id="rId29" Type="http://schemas.openxmlformats.org/officeDocument/2006/relationships/hyperlink" Target="file:///C:\Users\Lenovo\Downloads\Fwd_%20BM12237%20(LCMB7002%20Financial%20Management)-3.docx.rtf" TargetMode="External"/><Relationship Id="rId255" Type="http://schemas.openxmlformats.org/officeDocument/2006/relationships/image" Target="file:///C:\Users\Lenovo\Downloads\Image_25" TargetMode="External"/><Relationship Id="rId276" Type="http://schemas.openxmlformats.org/officeDocument/2006/relationships/image" Target="media/image22.png"/><Relationship Id="rId297" Type="http://schemas.openxmlformats.org/officeDocument/2006/relationships/image" Target="media/image32.png"/><Relationship Id="rId40" Type="http://schemas.openxmlformats.org/officeDocument/2006/relationships/hyperlink" Target="file:///C:\Users\Lenovo\Downloads\Fwd_%20BM12237%20(LCMB7002%20Financial%20Management)-3.docx.rtf" TargetMode="External"/><Relationship Id="rId115" Type="http://schemas.openxmlformats.org/officeDocument/2006/relationships/hyperlink" Target="file:///C:\Users\Lenovo\Downloads\Fwd_%20BM12237%20(LCMB7002%20Financial%20Management)-3.docx.rtf" TargetMode="External"/><Relationship Id="rId136" Type="http://schemas.openxmlformats.org/officeDocument/2006/relationships/hyperlink" Target="file:///C:\Users\Lenovo\Downloads\Fwd_%20BM12237%20(LCMB7002%20Financial%20Management)-3.docx.rtf" TargetMode="External"/><Relationship Id="rId157" Type="http://schemas.openxmlformats.org/officeDocument/2006/relationships/hyperlink" Target="file:///C:\Users\Lenovo\Downloads\Fwd_%20BM12237%20(LCMB7002%20Financial%20Management)-3.docx.rtf" TargetMode="External"/><Relationship Id="rId178" Type="http://schemas.openxmlformats.org/officeDocument/2006/relationships/hyperlink" Target="file:///C:\Users\Lenovo\Downloads\Fwd_%20BM12237%20(LCMB7002%20Financial%20Management)-3.docx.rtf" TargetMode="External"/><Relationship Id="rId301" Type="http://schemas.openxmlformats.org/officeDocument/2006/relationships/image" Target="file:///C:\Users\Lenovo\Downloads\Image_24" TargetMode="External"/><Relationship Id="rId61" Type="http://schemas.openxmlformats.org/officeDocument/2006/relationships/hyperlink" Target="file:///C:\Users\Lenovo\Downloads\Fwd_%20BM12237%20(LCMB7002%20Financial%20Management)-3.docx.rtf" TargetMode="External"/><Relationship Id="rId82" Type="http://schemas.openxmlformats.org/officeDocument/2006/relationships/hyperlink" Target="file:///C:\Users\Lenovo\Downloads\Fwd_%20BM12237%20(LCMB7002%20Financial%20Management)-3.docx.rtf" TargetMode="External"/><Relationship Id="rId199" Type="http://schemas.openxmlformats.org/officeDocument/2006/relationships/hyperlink" Target="file:///C:\Users\Lenovo\Downloads\Fwd_%20BM12237%20(LCMB7002%20Financial%20Management)-3.docx.rtf" TargetMode="External"/><Relationship Id="rId203" Type="http://schemas.openxmlformats.org/officeDocument/2006/relationships/hyperlink" Target="file:///C:\Users\Lenovo\Downloads\Fwd_%20BM12237%20(LCMB7002%20Financial%20Management)-3.docx.rtf" TargetMode="External"/><Relationship Id="rId19" Type="http://schemas.openxmlformats.org/officeDocument/2006/relationships/hyperlink" Target="file:///C:\Users\Lenovo\Downloads\Fwd_%20BM12237%20(LCMB7002%20Financial%20Management)-3.docx.rtf" TargetMode="External"/><Relationship Id="rId224" Type="http://schemas.openxmlformats.org/officeDocument/2006/relationships/hyperlink" Target="file:///C:\Users\Lenovo\Downloads\Fwd_%20BM12237%20(LCMB7002%20Financial%20Management)-3.docx.rtf" TargetMode="External"/><Relationship Id="rId245" Type="http://schemas.openxmlformats.org/officeDocument/2006/relationships/image" Target="file:///C:\Users\Lenovo\Downloads\Image_13" TargetMode="External"/><Relationship Id="rId266" Type="http://schemas.openxmlformats.org/officeDocument/2006/relationships/image" Target="media/image17.png"/><Relationship Id="rId287" Type="http://schemas.openxmlformats.org/officeDocument/2006/relationships/image" Target="file:///C:\Users\Lenovo\Downloads\Image_5" TargetMode="External"/><Relationship Id="rId30" Type="http://schemas.openxmlformats.org/officeDocument/2006/relationships/hyperlink" Target="file:///C:\Users\Lenovo\Downloads\Fwd_%20BM12237%20(LCMB7002%20Financial%20Management)-3.docx.rtf" TargetMode="External"/><Relationship Id="rId105" Type="http://schemas.openxmlformats.org/officeDocument/2006/relationships/hyperlink" Target="file:///C:\Users\Lenovo\Downloads\Fwd_%20BM12237%20(LCMB7002%20Financial%20Management)-3.docx.rtf" TargetMode="External"/><Relationship Id="rId126" Type="http://schemas.openxmlformats.org/officeDocument/2006/relationships/hyperlink" Target="file:///C:\Users\Lenovo\Downloads\Fwd_%20BM12237%20(LCMB7002%20Financial%20Management)-3.docx.rtf" TargetMode="External"/><Relationship Id="rId147" Type="http://schemas.openxmlformats.org/officeDocument/2006/relationships/hyperlink" Target="file:///C:\Users\Lenovo\Downloads\Fwd_%20BM12237%20(LCMB7002%20Financial%20Management)-3.docx.rtf" TargetMode="External"/><Relationship Id="rId168" Type="http://schemas.openxmlformats.org/officeDocument/2006/relationships/hyperlink" Target="file:///C:\Users\Lenovo\Downloads\Fwd_%20BM12237%20(LCMB7002%20Financial%20Management)-3.docx.rtf" TargetMode="External"/><Relationship Id="rId51" Type="http://schemas.openxmlformats.org/officeDocument/2006/relationships/hyperlink" Target="file:///C:\Users\Lenovo\Downloads\Fwd_%20BM12237%20(LCMB7002%20Financial%20Management)-3.docx.rtf" TargetMode="External"/><Relationship Id="rId72" Type="http://schemas.openxmlformats.org/officeDocument/2006/relationships/hyperlink" Target="file:///C:\Users\Lenovo\Downloads\Fwd_%20BM12237%20(LCMB7002%20Financial%20Management)-3.docx.rtf" TargetMode="External"/><Relationship Id="rId93" Type="http://schemas.openxmlformats.org/officeDocument/2006/relationships/hyperlink" Target="file:///C:\Users\Lenovo\Downloads\Fwd_%20BM12237%20(LCMB7002%20Financial%20Management)-3.docx.rtf" TargetMode="External"/><Relationship Id="rId189" Type="http://schemas.openxmlformats.org/officeDocument/2006/relationships/hyperlink" Target="file:///C:\Users\Lenovo\Downloads\Fwd_%20BM12237%20(LCMB7002%20Financial%20Management)-3.docx.rtf" TargetMode="External"/><Relationship Id="rId3" Type="http://schemas.openxmlformats.org/officeDocument/2006/relationships/webSettings" Target="webSettings.xml"/><Relationship Id="rId214" Type="http://schemas.openxmlformats.org/officeDocument/2006/relationships/hyperlink" Target="file:///C:\Users\Lenovo\Downloads\Fwd_%20BM12237%20(LCMB7002%20Financial%20Management)-3.docx.rtf" TargetMode="External"/><Relationship Id="rId235" Type="http://schemas.openxmlformats.org/officeDocument/2006/relationships/hyperlink" Target="file:///C:\Users\Lenovo\Downloads\Fwd_%20BM12237%20(LCMB7002%20Financial%20Management)-3.docx.rtf" TargetMode="External"/><Relationship Id="rId256" Type="http://schemas.openxmlformats.org/officeDocument/2006/relationships/image" Target="media/image12.png"/><Relationship Id="rId277" Type="http://schemas.openxmlformats.org/officeDocument/2006/relationships/image" Target="file:///C:\Users\Lenovo\Downloads\Image_0" TargetMode="External"/><Relationship Id="rId298" Type="http://schemas.openxmlformats.org/officeDocument/2006/relationships/image" Target="file:///C:\Users\Lenovo\Downloads\Image_19" TargetMode="External"/><Relationship Id="rId116" Type="http://schemas.openxmlformats.org/officeDocument/2006/relationships/hyperlink" Target="file:///C:\Users\Lenovo\Downloads\Fwd_%20BM12237%20(LCMB7002%20Financial%20Management)-3.docx.rtf" TargetMode="External"/><Relationship Id="rId137" Type="http://schemas.openxmlformats.org/officeDocument/2006/relationships/hyperlink" Target="file:///C:\Users\Lenovo\Downloads\Fwd_%20BM12237%20(LCMB7002%20Financial%20Management)-3.docx.rtf" TargetMode="External"/><Relationship Id="rId158" Type="http://schemas.openxmlformats.org/officeDocument/2006/relationships/hyperlink" Target="file:///C:\Users\Lenovo\Downloads\Fwd_%20BM12237%20(LCMB7002%20Financial%20Management)-3.docx.rtf" TargetMode="External"/><Relationship Id="rId302" Type="http://schemas.openxmlformats.org/officeDocument/2006/relationships/image" Target="file:///C:\Users\Lenovo\Downloads\Image_27" TargetMode="External"/><Relationship Id="rId20" Type="http://schemas.openxmlformats.org/officeDocument/2006/relationships/hyperlink" Target="file:///C:\Users\Lenovo\Downloads\Fwd_%20BM12237%20(LCMB7002%20Financial%20Management)-3.docx.rtf" TargetMode="External"/><Relationship Id="rId41" Type="http://schemas.openxmlformats.org/officeDocument/2006/relationships/hyperlink" Target="file:///C:\Users\Lenovo\Downloads\Fwd_%20BM12237%20(LCMB7002%20Financial%20Management)-3.docx.rtf" TargetMode="External"/><Relationship Id="rId62" Type="http://schemas.openxmlformats.org/officeDocument/2006/relationships/hyperlink" Target="file:///C:\Users\Lenovo\Downloads\Fwd_%20BM12237%20(LCMB7002%20Financial%20Management)-3.docx.rtf" TargetMode="External"/><Relationship Id="rId83" Type="http://schemas.openxmlformats.org/officeDocument/2006/relationships/hyperlink" Target="file:///C:\Users\Lenovo\Downloads\Fwd_%20BM12237%20(LCMB7002%20Financial%20Management)-3.docx.rtf" TargetMode="External"/><Relationship Id="rId179" Type="http://schemas.openxmlformats.org/officeDocument/2006/relationships/hyperlink" Target="file:///C:\Users\Lenovo\Downloads\Fwd_%20BM12237%20(LCMB7002%20Financial%20Management)-3.docx.rtf" TargetMode="External"/><Relationship Id="rId190" Type="http://schemas.openxmlformats.org/officeDocument/2006/relationships/hyperlink" Target="file:///C:\Users\Lenovo\Downloads\Fwd_%20BM12237%20(LCMB7002%20Financial%20Management)-3.docx.rtf" TargetMode="External"/><Relationship Id="rId204" Type="http://schemas.openxmlformats.org/officeDocument/2006/relationships/hyperlink" Target="file:///C:\Users\Lenovo\Downloads\Fwd_%20BM12237%20(LCMB7002%20Financial%20Management)-3.docx.rtf" TargetMode="External"/><Relationship Id="rId225" Type="http://schemas.openxmlformats.org/officeDocument/2006/relationships/hyperlink" Target="file:///C:\Users\Lenovo\Downloads\Fwd_%20BM12237%20(LCMB7002%20Financial%20Management)-3.docx.rtf" TargetMode="External"/><Relationship Id="rId246" Type="http://schemas.openxmlformats.org/officeDocument/2006/relationships/image" Target="media/image7.png"/><Relationship Id="rId267" Type="http://schemas.openxmlformats.org/officeDocument/2006/relationships/image" Target="file:///C:\Users\Lenovo\Downloads\Image_32" TargetMode="External"/><Relationship Id="rId288" Type="http://schemas.openxmlformats.org/officeDocument/2006/relationships/image" Target="media/image28.png"/><Relationship Id="rId106" Type="http://schemas.openxmlformats.org/officeDocument/2006/relationships/hyperlink" Target="file:///C:\Users\Lenovo\Downloads\Fwd_%20BM12237%20(LCMB7002%20Financial%20Management)-3.docx.rtf" TargetMode="External"/><Relationship Id="rId127" Type="http://schemas.openxmlformats.org/officeDocument/2006/relationships/hyperlink" Target="file:///C:\Users\Lenovo\Downloads\Fwd_%20BM12237%20(LCMB7002%20Financial%20Management)-3.docx.rtf" TargetMode="External"/><Relationship Id="rId10" Type="http://schemas.openxmlformats.org/officeDocument/2006/relationships/hyperlink" Target="file:///C:\Users\Lenovo\Downloads\Fwd_%20BM12237%20(LCMB7002%20Financial%20Management)-3.docx.rtf" TargetMode="External"/><Relationship Id="rId31" Type="http://schemas.openxmlformats.org/officeDocument/2006/relationships/hyperlink" Target="file:///C:\Users\Lenovo\Downloads\Fwd_%20BM12237%20(LCMB7002%20Financial%20Management)-3.docx.rtf" TargetMode="External"/><Relationship Id="rId52" Type="http://schemas.openxmlformats.org/officeDocument/2006/relationships/hyperlink" Target="file:///C:\Users\Lenovo\Downloads\Fwd_%20BM12237%20(LCMB7002%20Financial%20Management)-3.docx.rtf" TargetMode="External"/><Relationship Id="rId73" Type="http://schemas.openxmlformats.org/officeDocument/2006/relationships/hyperlink" Target="file:///C:\Users\Lenovo\Downloads\Fwd_%20BM12237%20(LCMB7002%20Financial%20Management)-3.docx.rtf" TargetMode="External"/><Relationship Id="rId94" Type="http://schemas.openxmlformats.org/officeDocument/2006/relationships/hyperlink" Target="file:///C:\Users\Lenovo\Downloads\Fwd_%20BM12237%20(LCMB7002%20Financial%20Management)-3.docx.rtf" TargetMode="External"/><Relationship Id="rId148" Type="http://schemas.openxmlformats.org/officeDocument/2006/relationships/hyperlink" Target="file:///C:\Users\Lenovo\Downloads\Fwd_%20BM12237%20(LCMB7002%20Financial%20Management)-3.docx.rtf" TargetMode="External"/><Relationship Id="rId169" Type="http://schemas.openxmlformats.org/officeDocument/2006/relationships/hyperlink" Target="file:///C:\Users\Lenovo\Downloads\Fwd_%20BM12237%20(LCMB7002%20Financial%20Management)-3.docx.rtf" TargetMode="External"/><Relationship Id="rId4" Type="http://schemas.openxmlformats.org/officeDocument/2006/relationships/footnotes" Target="footnotes.xml"/><Relationship Id="rId180" Type="http://schemas.openxmlformats.org/officeDocument/2006/relationships/hyperlink" Target="file:///C:\Users\Lenovo\Downloads\Fwd_%20BM12237%20(LCMB7002%20Financial%20Management)-3.docx.rtf" TargetMode="External"/><Relationship Id="rId215" Type="http://schemas.openxmlformats.org/officeDocument/2006/relationships/hyperlink" Target="file:///C:\Users\Lenovo\Downloads\Fwd_%20BM12237%20(LCMB7002%20Financial%20Management)-3.docx.rtf" TargetMode="External"/><Relationship Id="rId236" Type="http://schemas.openxmlformats.org/officeDocument/2006/relationships/image" Target="media/image2.png"/><Relationship Id="rId257" Type="http://schemas.openxmlformats.org/officeDocument/2006/relationships/image" Target="file:///C:\Users\Lenovo\Downloads\Image_21" TargetMode="External"/><Relationship Id="rId278" Type="http://schemas.openxmlformats.org/officeDocument/2006/relationships/image" Target="media/image23.png"/><Relationship Id="rId303" Type="http://schemas.openxmlformats.org/officeDocument/2006/relationships/image" Target="media/image34.png"/><Relationship Id="rId42" Type="http://schemas.openxmlformats.org/officeDocument/2006/relationships/hyperlink" Target="file:///C:\Users\Lenovo\Downloads\Fwd_%20BM12237%20(LCMB7002%20Financial%20Management)-3.docx.rtf" TargetMode="External"/><Relationship Id="rId84" Type="http://schemas.openxmlformats.org/officeDocument/2006/relationships/hyperlink" Target="file:///C:\Users\Lenovo\Downloads\Fwd_%20BM12237%20(LCMB7002%20Financial%20Management)-3.docx.rtf" TargetMode="External"/><Relationship Id="rId138" Type="http://schemas.openxmlformats.org/officeDocument/2006/relationships/hyperlink" Target="file:///C:\Users\Lenovo\Downloads\Fwd_%20BM12237%20(LCMB7002%20Financial%20Management)-3.docx.rtf" TargetMode="External"/><Relationship Id="rId191" Type="http://schemas.openxmlformats.org/officeDocument/2006/relationships/hyperlink" Target="file:///C:\Users\Lenovo\Downloads\Fwd_%20BM12237%20(LCMB7002%20Financial%20Management)-3.docx.rtf" TargetMode="External"/><Relationship Id="rId205" Type="http://schemas.openxmlformats.org/officeDocument/2006/relationships/hyperlink" Target="file:///C:\Users\Lenovo\Downloads\Fwd_%20BM12237%20(LCMB7002%20Financial%20Management)-3.docx.rtf" TargetMode="External"/><Relationship Id="rId247" Type="http://schemas.openxmlformats.org/officeDocument/2006/relationships/image" Target="file:///C:\Users\Lenovo\Downloads\Image_16" TargetMode="External"/><Relationship Id="rId107" Type="http://schemas.openxmlformats.org/officeDocument/2006/relationships/hyperlink" Target="file:///C:\Users\Lenovo\Downloads\Fwd_%20BM12237%20(LCMB7002%20Financial%20Management)-3.docx.rtf" TargetMode="External"/><Relationship Id="rId289" Type="http://schemas.openxmlformats.org/officeDocument/2006/relationships/image" Target="file:///C:\Users\Lenovo\Downloads\Image_6" TargetMode="External"/><Relationship Id="rId11" Type="http://schemas.openxmlformats.org/officeDocument/2006/relationships/hyperlink" Target="file:///C:\Users\Lenovo\Downloads\Fwd_%20BM12237%20(LCMB7002%20Financial%20Management)-3.docx.rtf" TargetMode="External"/><Relationship Id="rId53" Type="http://schemas.openxmlformats.org/officeDocument/2006/relationships/hyperlink" Target="file:///C:\Users\Lenovo\Downloads\Fwd_%20BM12237%20(LCMB7002%20Financial%20Management)-3.docx.rtf" TargetMode="External"/><Relationship Id="rId149" Type="http://schemas.openxmlformats.org/officeDocument/2006/relationships/hyperlink" Target="file:///C:\Users\Lenovo\Downloads\Fwd_%20BM12237%20(LCMB7002%20Financial%20Management)-3.docx.rtf" TargetMode="External"/><Relationship Id="rId95" Type="http://schemas.openxmlformats.org/officeDocument/2006/relationships/hyperlink" Target="file:///C:\Users\Lenovo\Downloads\Fwd_%20BM12237%20(LCMB7002%20Financial%20Management)-3.docx.rtf" TargetMode="External"/><Relationship Id="rId160" Type="http://schemas.openxmlformats.org/officeDocument/2006/relationships/hyperlink" Target="file:///C:\Users\Lenovo\Downloads\Fwd_%20BM12237%20(LCMB7002%20Financial%20Management)-3.docx.rtf" TargetMode="External"/><Relationship Id="rId216" Type="http://schemas.openxmlformats.org/officeDocument/2006/relationships/hyperlink" Target="file:///C:\Users\Lenovo\Downloads\Fwd_%20BM12237%20(LCMB7002%20Financial%20Management)-3.docx.rtf" TargetMode="External"/><Relationship Id="rId258" Type="http://schemas.openxmlformats.org/officeDocument/2006/relationships/image" Target="media/image13.png"/><Relationship Id="rId22" Type="http://schemas.openxmlformats.org/officeDocument/2006/relationships/hyperlink" Target="file:///C:\Users\Lenovo\Downloads\Fwd_%20BM12237%20(LCMB7002%20Financial%20Management)-3.docx.rtf" TargetMode="External"/><Relationship Id="rId64" Type="http://schemas.openxmlformats.org/officeDocument/2006/relationships/hyperlink" Target="file:///C:\Users\Lenovo\Downloads\Fwd_%20BM12237%20(LCMB7002%20Financial%20Management)-3.docx.rtf" TargetMode="External"/><Relationship Id="rId118" Type="http://schemas.openxmlformats.org/officeDocument/2006/relationships/hyperlink" Target="file:///C:\Users\Lenovo\Downloads\Fwd_%20BM12237%20(LCMB7002%20Financial%20Management)-3.docx.rtf" TargetMode="External"/><Relationship Id="rId171" Type="http://schemas.openxmlformats.org/officeDocument/2006/relationships/hyperlink" Target="file:///C:\Users\Lenovo\Downloads\Fwd_%20BM12237%20(LCMB7002%20Financial%20Management)-3.docx.rtf" TargetMode="External"/><Relationship Id="rId227" Type="http://schemas.openxmlformats.org/officeDocument/2006/relationships/hyperlink" Target="file:///C:\Users\Lenovo\Downloads\Fwd_%20BM12237%20(LCMB7002%20Financial%20Management)-3.docx.rtf" TargetMode="External"/><Relationship Id="rId269" Type="http://schemas.openxmlformats.org/officeDocument/2006/relationships/image" Target="file:///C:\Users\Lenovo\Downloads\Image_34" TargetMode="External"/><Relationship Id="rId33" Type="http://schemas.openxmlformats.org/officeDocument/2006/relationships/hyperlink" Target="file:///C:\Users\Lenovo\Downloads\Fwd_%20BM12237%20(LCMB7002%20Financial%20Management)-3.docx.rtf" TargetMode="External"/><Relationship Id="rId129" Type="http://schemas.openxmlformats.org/officeDocument/2006/relationships/hyperlink" Target="file:///C:\Users\Lenovo\Downloads\Fwd_%20BM12237%20(LCMB7002%20Financial%20Management)-3.docx.rtf" TargetMode="External"/><Relationship Id="rId280" Type="http://schemas.openxmlformats.org/officeDocument/2006/relationships/image" Target="media/image24.png"/><Relationship Id="rId75" Type="http://schemas.openxmlformats.org/officeDocument/2006/relationships/hyperlink" Target="file:///C:\Users\Lenovo\Downloads\Fwd_%20BM12237%20(LCMB7002%20Financial%20Management)-3.docx.rtf" TargetMode="External"/><Relationship Id="rId140" Type="http://schemas.openxmlformats.org/officeDocument/2006/relationships/hyperlink" Target="file:///C:\Users\Lenovo\Downloads\Fwd_%20BM12237%20(LCMB7002%20Financial%20Management)-3.docx.rtf" TargetMode="External"/><Relationship Id="rId182" Type="http://schemas.openxmlformats.org/officeDocument/2006/relationships/hyperlink" Target="file:///C:\Users\Lenovo\Downloads\Fwd_%20BM12237%20(LCMB7002%20Financial%20Management)-3.docx.rtf" TargetMode="External"/><Relationship Id="rId6" Type="http://schemas.openxmlformats.org/officeDocument/2006/relationships/image" Target="media/image1.png"/><Relationship Id="rId238" Type="http://schemas.openxmlformats.org/officeDocument/2006/relationships/image" Target="media/image3.png"/><Relationship Id="rId291" Type="http://schemas.openxmlformats.org/officeDocument/2006/relationships/image" Target="file:///C:\Users\Lenovo\Downloads\Image_7" TargetMode="External"/><Relationship Id="rId305" Type="http://schemas.openxmlformats.org/officeDocument/2006/relationships/image" Target="file:///C:\Users\Lenovo\Downloads\Image_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44</Pages>
  <Words>12226</Words>
  <Characters>69694</Characters>
  <Application>Microsoft Office Word</Application>
  <DocSecurity>0</DocSecurity>
  <Lines>580</Lines>
  <Paragraphs>163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81757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Bending Moments</dc:creator>
  <cp:keywords/>
  <dc:description/>
  <cp:lastModifiedBy>Sagar Tala</cp:lastModifiedBy>
  <cp:revision>2</cp:revision>
  <dcterms:created xsi:type="dcterms:W3CDTF">2025-12-21T01:09:00Z</dcterms:created>
  <dcterms:modified xsi:type="dcterms:W3CDTF">2025-12-21T01:09:00Z</dcterms:modified>
</cp:coreProperties>
</file>