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jc w:val="center"/>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rtl w:val="0"/>
        </w:rPr>
      </w:r>
    </w:p>
    <w:p w:rsidR="00000000" w:rsidDel="00000000" w:rsidP="00000000" w:rsidRDefault="00000000" w:rsidRPr="00000000" w14:paraId="00000004">
      <w:pPr>
        <w:jc w:val="center"/>
        <w:rPr>
          <w:b w:val="1"/>
          <w:bCs w:val="1"/>
          <w:sz w:val="32"/>
          <w:szCs w:val="32"/>
        </w:rPr>
      </w:pPr>
      <w:r w:rsidDel="00000000" w:rsidR="00000000" w:rsidRPr="00000000">
        <w:rPr>
          <w:rtl w:val="0"/>
        </w:rPr>
      </w:r>
    </w:p>
    <w:p w:rsidR="00000000" w:rsidDel="00000000" w:rsidP="00000000" w:rsidRDefault="00000000" w:rsidRPr="00000000" w14:paraId="00000005">
      <w:pPr>
        <w:jc w:val="center"/>
        <w:rPr>
          <w:b w:val="1"/>
          <w:bCs w:val="1"/>
          <w:sz w:val="32"/>
          <w:szCs w:val="32"/>
        </w:rPr>
      </w:pPr>
      <w:r w:rsidDel="00000000" w:rsidR="00000000" w:rsidRPr="00000000">
        <w:rPr>
          <w:rtl w:val="0"/>
        </w:rPr>
      </w:r>
    </w:p>
    <w:p w:rsidR="00000000" w:rsidDel="00000000" w:rsidP="00000000" w:rsidRDefault="00000000" w:rsidRPr="00000000" w14:paraId="00000006">
      <w:pPr>
        <w:jc w:val="center"/>
        <w:rPr>
          <w:b w:val="1"/>
          <w:bCs w:val="1"/>
          <w:sz w:val="32"/>
          <w:szCs w:val="32"/>
        </w:rPr>
      </w:pPr>
      <w:r w:rsidDel="00000000" w:rsidR="00000000" w:rsidRPr="00000000">
        <w:rPr>
          <w:rtl w:val="0"/>
        </w:rPr>
      </w:r>
    </w:p>
    <w:p w:rsidR="00000000" w:rsidDel="00000000" w:rsidP="00000000" w:rsidRDefault="00000000" w:rsidRPr="00000000" w14:paraId="00000007">
      <w:pPr>
        <w:jc w:val="center"/>
        <w:rPr>
          <w:b w:val="1"/>
          <w:bCs w:val="1"/>
          <w:sz w:val="32"/>
          <w:szCs w:val="32"/>
        </w:rPr>
      </w:pPr>
      <w:r w:rsidDel="00000000" w:rsidR="00000000" w:rsidRPr="00000000">
        <w:rPr>
          <w:rtl w:val="0"/>
        </w:rPr>
      </w:r>
    </w:p>
    <w:p w:rsidR="00000000" w:rsidDel="00000000" w:rsidP="00000000" w:rsidRDefault="00000000" w:rsidRPr="00000000" w14:paraId="00000008">
      <w:pPr>
        <w:jc w:val="center"/>
        <w:rPr>
          <w:b w:val="1"/>
          <w:bCs w:val="1"/>
          <w:sz w:val="32"/>
          <w:szCs w:val="32"/>
        </w:rPr>
      </w:pPr>
      <w:r w:rsidDel="00000000" w:rsidR="00000000" w:rsidRPr="00000000">
        <w:rPr>
          <w:rtl w:val="0"/>
        </w:rPr>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IMPROVING PATIENT SAFETY AND CARE QUALITY AT MID STAFFORDSHIRE NHS FOUNDATION TRUST</w:t>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Student Name : Rikinpuri Swami </w:t>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Lecturer: Dilhara MampitiyaInternal Christopher Mafuva</w:t>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Module code: </w:t>
      </w:r>
      <w:r w:rsidDel="00000000" w:rsidR="00000000" w:rsidRPr="00000000">
        <w:rPr>
          <w:rtl w:val="0"/>
        </w:rPr>
        <w:t xml:space="preserve">LCHS7006</w:t>
      </w:r>
      <w:r w:rsidDel="00000000" w:rsidR="00000000" w:rsidRPr="00000000">
        <w:rPr>
          <w:rtl w:val="0"/>
        </w:rPr>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Module: </w:t>
      </w:r>
      <w:r w:rsidDel="00000000" w:rsidR="00000000" w:rsidRPr="00000000">
        <w:rPr>
          <w:rtl w:val="0"/>
        </w:rPr>
        <w:t xml:space="preserve">Quality Assurance and Service Improvements</w:t>
      </w:r>
      <w:r w:rsidDel="00000000" w:rsidR="00000000" w:rsidRPr="00000000">
        <w:rPr>
          <w:rtl w:val="0"/>
        </w:rPr>
      </w:r>
    </w:p>
    <w:p w:rsidR="00000000" w:rsidDel="00000000" w:rsidP="00000000" w:rsidRDefault="00000000" w:rsidRPr="00000000" w14:paraId="0000000E">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642997144"/>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y3175nv6ghd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m3xkltrtf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Organisational and case context</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381qbfbakv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 Identification and definition of the quality issue</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gyho8o9hbz8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 Scale and significance of the problem</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n3jqlfpa6m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 Quality assurance relevance and rationale for improvement</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wj9jvjudkau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 Aim and report structure</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qzwd4uqjeo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Critical Analysis of the Quality Problem</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4jex0uurcb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Root-cause analysis (RCA)</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kauka8ov4d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Fishbone Diagram Analysis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1kcg99dycy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Five Whys Analysis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ljxz2693at6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Donabedian Model Analysis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fct2k1pryo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SWOT strategic analysis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qnshqa3ijfb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 Policy, quality, efficiency and equity implications</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eeqo5wtlm6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Recommendations and Implementation Strategy</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hpzyk9ocov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Recommendation 1: Safe Staffing and Clinical Supervision</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f20ge3cqu8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Recommendation 2: Integrated Patient-Safety Governance Dashboard</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q6eiqvtlxsr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Recommendation 3: Streamlined Speaking-Up, Complaints and Escalation Pathway</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ris9kua11z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Recommendation 4: Standardised Patient-Safety Learning and Care Reliability Programme</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iklqtuvs23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Conclusion</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o58mciuignc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Overall finding</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vanw4gmzy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Root-cause synthesis</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c2klk1z4vc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Service-improvement judgement</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4wqsfy9gmbu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br w:type="page"/>
      </w:r>
      <w:r w:rsidDel="00000000" w:rsidR="00000000" w:rsidRPr="00000000">
        <w:rPr>
          <w:rtl w:val="0"/>
        </w:rPr>
      </w:r>
    </w:p>
    <w:p w:rsidR="00000000" w:rsidDel="00000000" w:rsidP="00000000" w:rsidRDefault="00000000" w:rsidRPr="00000000" w14:paraId="0000002A">
      <w:pPr>
        <w:jc w:val="center"/>
        <w:rPr>
          <w:b w:val="1"/>
          <w:bCs w:val="1"/>
        </w:rPr>
      </w:pPr>
      <w:r w:rsidDel="00000000" w:rsidR="00000000" w:rsidRPr="00000000">
        <w:rPr>
          <w:b w:val="1"/>
          <w:bCs w:val="1"/>
          <w:rtl w:val="0"/>
        </w:rPr>
        <w:t xml:space="preserve">List of Abbreviations</w:t>
      </w:r>
    </w:p>
    <w:tbl>
      <w:tblPr>
        <w:tblStyle w:val="Table1"/>
        <w:tblW w:w="722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0"/>
        <w:gridCol w:w="5216"/>
        <w:tblGridChange w:id="0">
          <w:tblGrid>
            <w:gridCol w:w="2010"/>
            <w:gridCol w:w="5216"/>
          </w:tblGrid>
        </w:tblGridChange>
      </w:tblGrid>
      <w:tr>
        <w:trPr>
          <w:cantSplit w:val="0"/>
          <w:tblHeader w:val="0"/>
        </w:trPr>
        <w:tc>
          <w:tcPr/>
          <w:p w:rsidR="00000000" w:rsidDel="00000000" w:rsidP="00000000" w:rsidRDefault="00000000" w:rsidRPr="00000000" w14:paraId="0000002B">
            <w:pPr>
              <w:spacing w:line="360" w:lineRule="auto"/>
              <w:jc w:val="center"/>
              <w:rPr>
                <w:b w:val="1"/>
                <w:bCs w:val="1"/>
              </w:rPr>
            </w:pPr>
            <w:r w:rsidDel="00000000" w:rsidR="00000000" w:rsidRPr="00000000">
              <w:rPr>
                <w:b w:val="1"/>
                <w:bCs w:val="1"/>
                <w:rtl w:val="0"/>
              </w:rPr>
              <w:t xml:space="preserve">Abbreviation</w:t>
            </w:r>
          </w:p>
        </w:tc>
        <w:tc>
          <w:tcPr/>
          <w:p w:rsidR="00000000" w:rsidDel="00000000" w:rsidP="00000000" w:rsidRDefault="00000000" w:rsidRPr="00000000" w14:paraId="0000002C">
            <w:pPr>
              <w:spacing w:line="360" w:lineRule="auto"/>
              <w:jc w:val="center"/>
              <w:rPr>
                <w:b w:val="1"/>
                <w:bCs w:val="1"/>
              </w:rPr>
            </w:pPr>
            <w:r w:rsidDel="00000000" w:rsidR="00000000" w:rsidRPr="00000000">
              <w:rPr>
                <w:b w:val="1"/>
                <w:bCs w:val="1"/>
                <w:rtl w:val="0"/>
              </w:rPr>
              <w:t xml:space="preserve">Full Form</w:t>
            </w:r>
          </w:p>
        </w:tc>
      </w:tr>
      <w:tr>
        <w:trPr>
          <w:cantSplit w:val="0"/>
          <w:tblHeader w:val="0"/>
        </w:trPr>
        <w:tc>
          <w:tcPr/>
          <w:p w:rsidR="00000000" w:rsidDel="00000000" w:rsidP="00000000" w:rsidRDefault="00000000" w:rsidRPr="00000000" w14:paraId="0000002D">
            <w:pPr>
              <w:spacing w:line="360" w:lineRule="auto"/>
              <w:rPr/>
            </w:pPr>
            <w:r w:rsidDel="00000000" w:rsidR="00000000" w:rsidRPr="00000000">
              <w:rPr>
                <w:b w:val="1"/>
                <w:bCs w:val="1"/>
                <w:rtl w:val="0"/>
              </w:rPr>
              <w:t xml:space="preserve">CQC</w:t>
            </w:r>
            <w:r w:rsidDel="00000000" w:rsidR="00000000" w:rsidRPr="00000000">
              <w:rPr>
                <w:rtl w:val="0"/>
              </w:rPr>
            </w:r>
          </w:p>
        </w:tc>
        <w:tc>
          <w:tcPr/>
          <w:p w:rsidR="00000000" w:rsidDel="00000000" w:rsidP="00000000" w:rsidRDefault="00000000" w:rsidRPr="00000000" w14:paraId="0000002E">
            <w:pPr>
              <w:spacing w:line="360" w:lineRule="auto"/>
              <w:rPr/>
            </w:pPr>
            <w:r w:rsidDel="00000000" w:rsidR="00000000" w:rsidRPr="00000000">
              <w:rPr>
                <w:rtl w:val="0"/>
              </w:rPr>
              <w:t xml:space="preserve">Care Quality Commission</w:t>
            </w:r>
          </w:p>
        </w:tc>
      </w:tr>
      <w:tr>
        <w:trPr>
          <w:cantSplit w:val="0"/>
          <w:tblHeader w:val="0"/>
        </w:trPr>
        <w:tc>
          <w:tcPr/>
          <w:p w:rsidR="00000000" w:rsidDel="00000000" w:rsidP="00000000" w:rsidRDefault="00000000" w:rsidRPr="00000000" w14:paraId="0000002F">
            <w:pPr>
              <w:spacing w:line="360" w:lineRule="auto"/>
              <w:rPr/>
            </w:pPr>
            <w:r w:rsidDel="00000000" w:rsidR="00000000" w:rsidRPr="00000000">
              <w:rPr>
                <w:b w:val="1"/>
                <w:bCs w:val="1"/>
                <w:rtl w:val="0"/>
              </w:rPr>
              <w:t xml:space="preserve">DMAIC</w:t>
            </w:r>
            <w:r w:rsidDel="00000000" w:rsidR="00000000" w:rsidRPr="00000000">
              <w:rPr>
                <w:rtl w:val="0"/>
              </w:rPr>
            </w:r>
          </w:p>
        </w:tc>
        <w:tc>
          <w:tcPr/>
          <w:p w:rsidR="00000000" w:rsidDel="00000000" w:rsidP="00000000" w:rsidRDefault="00000000" w:rsidRPr="00000000" w14:paraId="00000030">
            <w:pPr>
              <w:spacing w:line="360" w:lineRule="auto"/>
              <w:rPr/>
            </w:pPr>
            <w:r w:rsidDel="00000000" w:rsidR="00000000" w:rsidRPr="00000000">
              <w:rPr>
                <w:rtl w:val="0"/>
              </w:rPr>
              <w:t xml:space="preserve">Define, Measure, Analyse, Improve and Control</w:t>
            </w:r>
          </w:p>
        </w:tc>
      </w:tr>
      <w:tr>
        <w:trPr>
          <w:cantSplit w:val="0"/>
          <w:tblHeader w:val="0"/>
        </w:trPr>
        <w:tc>
          <w:tcPr/>
          <w:p w:rsidR="00000000" w:rsidDel="00000000" w:rsidP="00000000" w:rsidRDefault="00000000" w:rsidRPr="00000000" w14:paraId="00000031">
            <w:pPr>
              <w:spacing w:line="360" w:lineRule="auto"/>
              <w:rPr/>
            </w:pPr>
            <w:r w:rsidDel="00000000" w:rsidR="00000000" w:rsidRPr="00000000">
              <w:rPr>
                <w:b w:val="1"/>
                <w:bCs w:val="1"/>
                <w:rtl w:val="0"/>
              </w:rPr>
              <w:t xml:space="preserve">NHS</w:t>
            </w:r>
            <w:r w:rsidDel="00000000" w:rsidR="00000000" w:rsidRPr="00000000">
              <w:rPr>
                <w:rtl w:val="0"/>
              </w:rPr>
            </w:r>
          </w:p>
        </w:tc>
        <w:tc>
          <w:tcPr/>
          <w:p w:rsidR="00000000" w:rsidDel="00000000" w:rsidP="00000000" w:rsidRDefault="00000000" w:rsidRPr="00000000" w14:paraId="00000032">
            <w:pPr>
              <w:spacing w:line="360" w:lineRule="auto"/>
              <w:rPr/>
            </w:pPr>
            <w:r w:rsidDel="00000000" w:rsidR="00000000" w:rsidRPr="00000000">
              <w:rPr>
                <w:rtl w:val="0"/>
              </w:rPr>
              <w:t xml:space="preserve">National Health Service</w:t>
            </w:r>
          </w:p>
        </w:tc>
      </w:tr>
      <w:tr>
        <w:trPr>
          <w:cantSplit w:val="0"/>
          <w:tblHeader w:val="0"/>
        </w:trPr>
        <w:tc>
          <w:tcPr/>
          <w:p w:rsidR="00000000" w:rsidDel="00000000" w:rsidP="00000000" w:rsidRDefault="00000000" w:rsidRPr="00000000" w14:paraId="00000033">
            <w:pPr>
              <w:spacing w:line="360" w:lineRule="auto"/>
              <w:rPr/>
            </w:pPr>
            <w:r w:rsidDel="00000000" w:rsidR="00000000" w:rsidRPr="00000000">
              <w:rPr>
                <w:b w:val="1"/>
                <w:bCs w:val="1"/>
                <w:rtl w:val="0"/>
              </w:rPr>
              <w:t xml:space="preserve">NICE</w:t>
            </w:r>
            <w:r w:rsidDel="00000000" w:rsidR="00000000" w:rsidRPr="00000000">
              <w:rPr>
                <w:rtl w:val="0"/>
              </w:rPr>
            </w:r>
          </w:p>
        </w:tc>
        <w:tc>
          <w:tcPr/>
          <w:p w:rsidR="00000000" w:rsidDel="00000000" w:rsidP="00000000" w:rsidRDefault="00000000" w:rsidRPr="00000000" w14:paraId="00000034">
            <w:pPr>
              <w:spacing w:line="360" w:lineRule="auto"/>
              <w:rPr/>
            </w:pPr>
            <w:r w:rsidDel="00000000" w:rsidR="00000000" w:rsidRPr="00000000">
              <w:rPr>
                <w:rtl w:val="0"/>
              </w:rPr>
              <w:t xml:space="preserve">National Institute for Health and Care Excellence</w:t>
            </w:r>
          </w:p>
        </w:tc>
      </w:tr>
      <w:tr>
        <w:trPr>
          <w:cantSplit w:val="0"/>
          <w:tblHeader w:val="0"/>
        </w:trPr>
        <w:tc>
          <w:tcPr/>
          <w:p w:rsidR="00000000" w:rsidDel="00000000" w:rsidP="00000000" w:rsidRDefault="00000000" w:rsidRPr="00000000" w14:paraId="00000035">
            <w:pPr>
              <w:spacing w:line="360" w:lineRule="auto"/>
              <w:rPr/>
            </w:pPr>
            <w:r w:rsidDel="00000000" w:rsidR="00000000" w:rsidRPr="00000000">
              <w:rPr>
                <w:b w:val="1"/>
                <w:bCs w:val="1"/>
                <w:rtl w:val="0"/>
              </w:rPr>
              <w:t xml:space="preserve">PDCA</w:t>
            </w:r>
            <w:r w:rsidDel="00000000" w:rsidR="00000000" w:rsidRPr="00000000">
              <w:rPr>
                <w:rtl w:val="0"/>
              </w:rPr>
            </w:r>
          </w:p>
        </w:tc>
        <w:tc>
          <w:tcPr/>
          <w:p w:rsidR="00000000" w:rsidDel="00000000" w:rsidP="00000000" w:rsidRDefault="00000000" w:rsidRPr="00000000" w14:paraId="00000036">
            <w:pPr>
              <w:spacing w:line="360" w:lineRule="auto"/>
              <w:rPr/>
            </w:pPr>
            <w:r w:rsidDel="00000000" w:rsidR="00000000" w:rsidRPr="00000000">
              <w:rPr>
                <w:rtl w:val="0"/>
              </w:rPr>
              <w:t xml:space="preserve">Plan, Do, Check and Act</w:t>
            </w:r>
          </w:p>
        </w:tc>
      </w:tr>
      <w:tr>
        <w:trPr>
          <w:cantSplit w:val="0"/>
          <w:tblHeader w:val="0"/>
        </w:trPr>
        <w:tc>
          <w:tcPr/>
          <w:p w:rsidR="00000000" w:rsidDel="00000000" w:rsidP="00000000" w:rsidRDefault="00000000" w:rsidRPr="00000000" w14:paraId="00000037">
            <w:pPr>
              <w:spacing w:line="360" w:lineRule="auto"/>
              <w:rPr/>
            </w:pPr>
            <w:r w:rsidDel="00000000" w:rsidR="00000000" w:rsidRPr="00000000">
              <w:rPr>
                <w:b w:val="1"/>
                <w:bCs w:val="1"/>
                <w:rtl w:val="0"/>
              </w:rPr>
              <w:t xml:space="preserve">PDSA</w:t>
            </w:r>
            <w:r w:rsidDel="00000000" w:rsidR="00000000" w:rsidRPr="00000000">
              <w:rPr>
                <w:rtl w:val="0"/>
              </w:rPr>
            </w:r>
          </w:p>
        </w:tc>
        <w:tc>
          <w:tcPr/>
          <w:p w:rsidR="00000000" w:rsidDel="00000000" w:rsidP="00000000" w:rsidRDefault="00000000" w:rsidRPr="00000000" w14:paraId="00000038">
            <w:pPr>
              <w:spacing w:line="360" w:lineRule="auto"/>
              <w:rPr/>
            </w:pPr>
            <w:r w:rsidDel="00000000" w:rsidR="00000000" w:rsidRPr="00000000">
              <w:rPr>
                <w:rtl w:val="0"/>
              </w:rPr>
              <w:t xml:space="preserve">Plan, Do, Study and Act</w:t>
            </w:r>
          </w:p>
        </w:tc>
      </w:tr>
      <w:tr>
        <w:trPr>
          <w:cantSplit w:val="0"/>
          <w:tblHeader w:val="0"/>
        </w:trPr>
        <w:tc>
          <w:tcPr/>
          <w:p w:rsidR="00000000" w:rsidDel="00000000" w:rsidP="00000000" w:rsidRDefault="00000000" w:rsidRPr="00000000" w14:paraId="00000039">
            <w:pPr>
              <w:spacing w:line="360" w:lineRule="auto"/>
              <w:rPr/>
            </w:pPr>
            <w:r w:rsidDel="00000000" w:rsidR="00000000" w:rsidRPr="00000000">
              <w:rPr>
                <w:b w:val="1"/>
                <w:bCs w:val="1"/>
                <w:rtl w:val="0"/>
              </w:rPr>
              <w:t xml:space="preserve">PSIRF</w:t>
            </w:r>
            <w:r w:rsidDel="00000000" w:rsidR="00000000" w:rsidRPr="00000000">
              <w:rPr>
                <w:rtl w:val="0"/>
              </w:rPr>
            </w:r>
          </w:p>
        </w:tc>
        <w:tc>
          <w:tcPr/>
          <w:p w:rsidR="00000000" w:rsidDel="00000000" w:rsidP="00000000" w:rsidRDefault="00000000" w:rsidRPr="00000000" w14:paraId="0000003A">
            <w:pPr>
              <w:spacing w:line="360" w:lineRule="auto"/>
              <w:rPr/>
            </w:pPr>
            <w:r w:rsidDel="00000000" w:rsidR="00000000" w:rsidRPr="00000000">
              <w:rPr>
                <w:rtl w:val="0"/>
              </w:rPr>
              <w:t xml:space="preserve">Patient Safety Incident Response Framework</w:t>
            </w:r>
          </w:p>
        </w:tc>
      </w:tr>
      <w:tr>
        <w:trPr>
          <w:cantSplit w:val="0"/>
          <w:tblHeader w:val="0"/>
        </w:trPr>
        <w:tc>
          <w:tcPr/>
          <w:p w:rsidR="00000000" w:rsidDel="00000000" w:rsidP="00000000" w:rsidRDefault="00000000" w:rsidRPr="00000000" w14:paraId="0000003B">
            <w:pPr>
              <w:spacing w:line="360" w:lineRule="auto"/>
              <w:rPr/>
            </w:pPr>
            <w:r w:rsidDel="00000000" w:rsidR="00000000" w:rsidRPr="00000000">
              <w:rPr>
                <w:b w:val="1"/>
                <w:bCs w:val="1"/>
                <w:rtl w:val="0"/>
              </w:rPr>
              <w:t xml:space="preserve">RCA</w:t>
            </w:r>
            <w:r w:rsidDel="00000000" w:rsidR="00000000" w:rsidRPr="00000000">
              <w:rPr>
                <w:rtl w:val="0"/>
              </w:rPr>
            </w:r>
          </w:p>
        </w:tc>
        <w:tc>
          <w:tcPr/>
          <w:p w:rsidR="00000000" w:rsidDel="00000000" w:rsidP="00000000" w:rsidRDefault="00000000" w:rsidRPr="00000000" w14:paraId="0000003C">
            <w:pPr>
              <w:spacing w:line="360" w:lineRule="auto"/>
              <w:rPr/>
            </w:pPr>
            <w:r w:rsidDel="00000000" w:rsidR="00000000" w:rsidRPr="00000000">
              <w:rPr>
                <w:rtl w:val="0"/>
              </w:rPr>
              <w:t xml:space="preserve">Root Cause Analysis</w:t>
            </w:r>
          </w:p>
        </w:tc>
      </w:tr>
      <w:tr>
        <w:trPr>
          <w:cantSplit w:val="0"/>
          <w:tblHeader w:val="0"/>
        </w:trPr>
        <w:tc>
          <w:tcPr/>
          <w:p w:rsidR="00000000" w:rsidDel="00000000" w:rsidP="00000000" w:rsidRDefault="00000000" w:rsidRPr="00000000" w14:paraId="0000003D">
            <w:pPr>
              <w:spacing w:line="360" w:lineRule="auto"/>
              <w:rPr/>
            </w:pPr>
            <w:r w:rsidDel="00000000" w:rsidR="00000000" w:rsidRPr="00000000">
              <w:rPr>
                <w:b w:val="1"/>
                <w:bCs w:val="1"/>
                <w:rtl w:val="0"/>
              </w:rPr>
              <w:t xml:space="preserve">SWOT</w:t>
            </w:r>
            <w:r w:rsidDel="00000000" w:rsidR="00000000" w:rsidRPr="00000000">
              <w:rPr>
                <w:rtl w:val="0"/>
              </w:rPr>
            </w:r>
          </w:p>
        </w:tc>
        <w:tc>
          <w:tcPr/>
          <w:p w:rsidR="00000000" w:rsidDel="00000000" w:rsidP="00000000" w:rsidRDefault="00000000" w:rsidRPr="00000000" w14:paraId="0000003E">
            <w:pPr>
              <w:spacing w:line="360" w:lineRule="auto"/>
              <w:rPr/>
            </w:pPr>
            <w:r w:rsidDel="00000000" w:rsidR="00000000" w:rsidRPr="00000000">
              <w:rPr>
                <w:rtl w:val="0"/>
              </w:rPr>
              <w:t xml:space="preserve">Strengths, Weaknesses, Opportunities and Threats</w:t>
            </w:r>
          </w:p>
        </w:tc>
      </w:tr>
      <w:tr>
        <w:trPr>
          <w:cantSplit w:val="0"/>
          <w:tblHeader w:val="0"/>
        </w:trPr>
        <w:tc>
          <w:tcPr/>
          <w:p w:rsidR="00000000" w:rsidDel="00000000" w:rsidP="00000000" w:rsidRDefault="00000000" w:rsidRPr="00000000" w14:paraId="0000003F">
            <w:pPr>
              <w:spacing w:line="360" w:lineRule="auto"/>
              <w:rPr/>
            </w:pPr>
            <w:r w:rsidDel="00000000" w:rsidR="00000000" w:rsidRPr="00000000">
              <w:rPr>
                <w:b w:val="1"/>
                <w:bCs w:val="1"/>
                <w:rtl w:val="0"/>
              </w:rPr>
              <w:t xml:space="preserve">UK</w:t>
            </w:r>
            <w:r w:rsidDel="00000000" w:rsidR="00000000" w:rsidRPr="00000000">
              <w:rPr>
                <w:rtl w:val="0"/>
              </w:rPr>
            </w:r>
          </w:p>
        </w:tc>
        <w:tc>
          <w:tcPr/>
          <w:p w:rsidR="00000000" w:rsidDel="00000000" w:rsidP="00000000" w:rsidRDefault="00000000" w:rsidRPr="00000000" w14:paraId="00000040">
            <w:pPr>
              <w:spacing w:line="360" w:lineRule="auto"/>
              <w:rPr/>
            </w:pPr>
            <w:r w:rsidDel="00000000" w:rsidR="00000000" w:rsidRPr="00000000">
              <w:rPr>
                <w:rtl w:val="0"/>
              </w:rPr>
              <w:t xml:space="preserve">United Kingdom</w:t>
            </w:r>
          </w:p>
        </w:tc>
      </w:tr>
    </w:tbl>
    <w:p w:rsidR="00000000" w:rsidDel="00000000" w:rsidP="00000000" w:rsidRDefault="00000000" w:rsidRPr="00000000" w14:paraId="00000041">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x363d65f9xzx" w:id="0"/>
      <w:bookmarkEnd w:id="0"/>
      <w:r w:rsidDel="00000000" w:rsidR="00000000" w:rsidRPr="00000000">
        <w:rPr>
          <w:rtl w:val="0"/>
        </w:rPr>
        <w:t xml:space="preserve">1. Introduction</w:t>
      </w:r>
    </w:p>
    <w:p w:rsidR="00000000" w:rsidDel="00000000" w:rsidP="00000000" w:rsidRDefault="00000000" w:rsidRPr="00000000" w14:paraId="00000043">
      <w:pPr>
        <w:pStyle w:val="Heading2"/>
        <w:rPr/>
      </w:pPr>
      <w:bookmarkStart w:colFirst="0" w:colLast="0" w:name="_szt9ncga4qep" w:id="1"/>
      <w:bookmarkEnd w:id="1"/>
      <w:r w:rsidDel="00000000" w:rsidR="00000000" w:rsidRPr="00000000">
        <w:rPr>
          <w:rtl w:val="0"/>
        </w:rPr>
        <w:t xml:space="preserve">1.1 Organisational and case context </w:t>
      </w:r>
    </w:p>
    <w:p w:rsidR="00000000" w:rsidDel="00000000" w:rsidP="00000000" w:rsidRDefault="00000000" w:rsidRPr="00000000" w14:paraId="00000044">
      <w:pPr>
        <w:rPr/>
      </w:pPr>
      <w:r w:rsidDel="00000000" w:rsidR="00000000" w:rsidRPr="00000000">
        <w:rPr>
          <w:rtl w:val="0"/>
        </w:rPr>
        <w:t xml:space="preserve">“Mid Staffordshire NHS Foundation Trust” was a provider of acute hospital services to the surrounding communities, with Stafford Hospital becoming focus of severe care issues in the period between 2005 and 2009 (Campbell, 2022). “Francis Public Inquiry” reported unstable patient-care practices along with poor leadership, governance and regulatory control (Francis, 2013a). Such failures were major, as warning signals were identified but not converted into timely corrective action. Mid Staffordshire, therefore, can be noted as an important case to analyse how ineffective quality assurance allowed unsafe care to become organisationally normalised. </w:t>
      </w:r>
    </w:p>
    <w:p w:rsidR="00000000" w:rsidDel="00000000" w:rsidP="00000000" w:rsidRDefault="00000000" w:rsidRPr="00000000" w14:paraId="00000045">
      <w:pPr>
        <w:pStyle w:val="Heading2"/>
        <w:rPr/>
      </w:pPr>
      <w:bookmarkStart w:colFirst="0" w:colLast="0" w:name="_btsyhve5mll9" w:id="2"/>
      <w:bookmarkEnd w:id="2"/>
      <w:r w:rsidDel="00000000" w:rsidR="00000000" w:rsidRPr="00000000">
        <w:rPr>
          <w:rtl w:val="0"/>
        </w:rPr>
        <w:t xml:space="preserve">1.2 Identification and definition of the quality issue</w:t>
      </w:r>
    </w:p>
    <w:p w:rsidR="00000000" w:rsidDel="00000000" w:rsidP="00000000" w:rsidRDefault="00000000" w:rsidRPr="00000000" w14:paraId="00000046">
      <w:pPr>
        <w:rPr/>
      </w:pPr>
      <w:r w:rsidDel="00000000" w:rsidR="00000000" w:rsidRPr="00000000">
        <w:rPr>
          <w:rtl w:val="0"/>
        </w:rPr>
        <w:t xml:space="preserve">Core quality problem was a systemic failure of patient safety and care standards due to poor staffing, along with poor leadership and governance, and an ineffective organisational safety culture (Rafferty and Leary, 2023). It was expressed in the form of failures in dignity, hydration, nutrition, clinical responsiveness and basic care and the complaints, staff concerns and mortality indicators provided further warning signs (Francis, 2013a). Instead, mortality should be considered as an outcome measure, but not the quality issue. Francis also cautioned against use of hospital mortality statistics to generalise and infer a certain number of avoidable deaths (UK Parliament, 2010). Overall, understaffing and deficient supervision led to poor frontline care, while poor governance and culture reduced organisation’s capacity to recognise, escalate and learn from repetitive risks. Lack of individual care thus evolved into a long-term organisational quality failure.</w:t>
      </w:r>
    </w:p>
    <w:p w:rsidR="00000000" w:rsidDel="00000000" w:rsidP="00000000" w:rsidRDefault="00000000" w:rsidRPr="00000000" w14:paraId="00000047">
      <w:pPr>
        <w:pStyle w:val="Heading2"/>
        <w:rPr/>
      </w:pPr>
      <w:bookmarkStart w:colFirst="0" w:colLast="0" w:name="_98uwrf80ckmn" w:id="3"/>
      <w:bookmarkEnd w:id="3"/>
      <w:r w:rsidDel="00000000" w:rsidR="00000000" w:rsidRPr="00000000">
        <w:rPr>
          <w:rtl w:val="0"/>
        </w:rPr>
        <w:t xml:space="preserve">1.3 Scale and significance of the problem</w:t>
      </w:r>
    </w:p>
    <w:p w:rsidR="00000000" w:rsidDel="00000000" w:rsidP="00000000" w:rsidRDefault="00000000" w:rsidRPr="00000000" w14:paraId="00000048">
      <w:pPr>
        <w:rPr/>
      </w:pPr>
      <w:r w:rsidDel="00000000" w:rsidR="00000000" w:rsidRPr="00000000">
        <w:rPr>
          <w:rtl w:val="0"/>
        </w:rPr>
        <w:t xml:space="preserve">The issue was severe as several warning indicators converged over time. The Government reaction to Francis discovered that there was a list of approximately 50 warning signals between 2001 and 2009, highlighting that concerns were neither isolated nor not seen (GOV.UK, 2013a). Mortality indicators also added concern but may not be a reliable way of measuring avoidable deaths. Underlying failure was thus organisational as there were indications of deteriorating quality; however, leaders and the oversight organisations failed to sufficiently integrate them and take action promptly to save patients (Powell, 2026). Overall, </w:t>
      </w:r>
    </w:p>
    <w:p w:rsidR="00000000" w:rsidDel="00000000" w:rsidP="00000000" w:rsidRDefault="00000000" w:rsidRPr="00000000" w14:paraId="00000049">
      <w:pPr>
        <w:pStyle w:val="Heading2"/>
        <w:rPr/>
      </w:pPr>
      <w:bookmarkStart w:colFirst="0" w:colLast="0" w:name="_uc3hvu3npci7" w:id="4"/>
      <w:bookmarkEnd w:id="4"/>
      <w:r w:rsidDel="00000000" w:rsidR="00000000" w:rsidRPr="00000000">
        <w:rPr>
          <w:rtl w:val="0"/>
        </w:rPr>
        <w:t xml:space="preserve">1.4 Quality assurance relevance and rationale for improvement</w:t>
      </w:r>
    </w:p>
    <w:p w:rsidR="00000000" w:rsidDel="00000000" w:rsidP="00000000" w:rsidRDefault="00000000" w:rsidRPr="00000000" w14:paraId="0000004A">
      <w:pPr>
        <w:rPr/>
      </w:pPr>
      <w:r w:rsidDel="00000000" w:rsidR="00000000" w:rsidRPr="00000000">
        <w:rPr>
          <w:rtl w:val="0"/>
        </w:rPr>
        <w:t xml:space="preserve">Mid Staffordshire represents a quality-assurance failure as safe care relied on bedside clinical competence alone. Effective quality assurance needs adequate staffing, along with plausible governance, systematic monitoring, escalation, learning from complaints and responsible leadership (Ibrahim </w:t>
      </w:r>
      <w:r w:rsidDel="00000000" w:rsidR="00000000" w:rsidRPr="00000000">
        <w:rPr>
          <w:i w:val="1"/>
          <w:iCs w:val="1"/>
          <w:rtl w:val="0"/>
        </w:rPr>
        <w:t xml:space="preserve">et al.</w:t>
      </w:r>
      <w:r w:rsidDel="00000000" w:rsidR="00000000" w:rsidRPr="00000000">
        <w:rPr>
          <w:rtl w:val="0"/>
        </w:rPr>
        <w:t xml:space="preserve"> 2025). Existing CQC regulations imply adequate availability of suitably qualified, competent and experienced personnel to address the needs of patients safely (CQC, 2026). NHS England also prioritises learning about incidents through systems and facilitating oversight over the system, instead of simplistic and attributional explanations of failures to individuals (NHS England, 2025). Recent systematic-review findings also relate effective leadership and communicated organisational learning, and a stronger safety culture (Althobaiti, 2026). Thus, increasing staffing only would be insufficient without ensuring a concomitant enhancement of governance, speaking-up, learning and accountability.</w:t>
      </w:r>
    </w:p>
    <w:p w:rsidR="00000000" w:rsidDel="00000000" w:rsidP="00000000" w:rsidRDefault="00000000" w:rsidRPr="00000000" w14:paraId="0000004B">
      <w:pPr>
        <w:pStyle w:val="Heading2"/>
        <w:rPr/>
      </w:pPr>
      <w:bookmarkStart w:colFirst="0" w:colLast="0" w:name="_h8q6fcui6202" w:id="5"/>
      <w:bookmarkEnd w:id="5"/>
      <w:r w:rsidDel="00000000" w:rsidR="00000000" w:rsidRPr="00000000">
        <w:rPr>
          <w:rtl w:val="0"/>
        </w:rPr>
        <w:t xml:space="preserve">1.5 Aim and report structure</w:t>
      </w:r>
    </w:p>
    <w:p w:rsidR="00000000" w:rsidDel="00000000" w:rsidP="00000000" w:rsidRDefault="00000000" w:rsidRPr="00000000" w14:paraId="0000004C">
      <w:pPr>
        <w:rPr/>
      </w:pPr>
      <w:r w:rsidDel="00000000" w:rsidR="00000000" w:rsidRPr="00000000">
        <w:rPr>
          <w:rtl w:val="0"/>
        </w:rPr>
        <w:t xml:space="preserve">The report critically examines systemic factors behind patient safety and care standard failures at Mid Staffordshire. It uses quality-management frameworks to analyse contributory factors, analyses strategic and policy implications for service provision, and makes evidence-based recommendations. A plan of implementation is then suggested to facilitate quantifiable and sustainable changes in the safety and quality of care in the organisations.</w:t>
      </w:r>
    </w:p>
    <w:p w:rsidR="00000000" w:rsidDel="00000000" w:rsidP="00000000" w:rsidRDefault="00000000" w:rsidRPr="00000000" w14:paraId="0000004D">
      <w:pPr>
        <w:pStyle w:val="Heading1"/>
        <w:rPr/>
      </w:pPr>
      <w:bookmarkStart w:colFirst="0" w:colLast="0" w:name="_w4ptcrhkp21e" w:id="6"/>
      <w:bookmarkEnd w:id="6"/>
      <w:r w:rsidDel="00000000" w:rsidR="00000000" w:rsidRPr="00000000">
        <w:rPr>
          <w:rtl w:val="0"/>
        </w:rPr>
        <w:t xml:space="preserve">2. Critical Analysis of the Quality Problem</w:t>
      </w:r>
    </w:p>
    <w:p w:rsidR="00000000" w:rsidDel="00000000" w:rsidP="00000000" w:rsidRDefault="00000000" w:rsidRPr="00000000" w14:paraId="0000004E">
      <w:pPr>
        <w:pStyle w:val="Heading2"/>
        <w:rPr/>
      </w:pPr>
      <w:bookmarkStart w:colFirst="0" w:colLast="0" w:name="_r75vumj26oo7" w:id="7"/>
      <w:bookmarkEnd w:id="7"/>
      <w:r w:rsidDel="00000000" w:rsidR="00000000" w:rsidRPr="00000000">
        <w:rPr>
          <w:rtl w:val="0"/>
        </w:rPr>
        <w:t xml:space="preserve">2.1 Root-cause analysis (RCA)</w:t>
      </w:r>
    </w:p>
    <w:p w:rsidR="00000000" w:rsidDel="00000000" w:rsidP="00000000" w:rsidRDefault="00000000" w:rsidRPr="00000000" w14:paraId="0000004F">
      <w:pPr>
        <w:rPr/>
      </w:pPr>
      <w:r w:rsidDel="00000000" w:rsidR="00000000" w:rsidRPr="00000000">
        <w:rPr>
          <w:rtl w:val="0"/>
        </w:rPr>
        <w:t xml:space="preserve">RCA is a highly effective systematic approach which goes beyond immediate errors and aids in identifying underlying and fundamental issues behind system failure or problems (Majka, 2024). Thus, applying RCA in this context aids in highlighting organisational and system conditions underlying patient-safety failures. Four interconnected factors can be noted to analyse why poor care became persistent at Mid Staffordshire, mentioned below: </w:t>
      </w:r>
    </w:p>
    <w:p w:rsidR="00000000" w:rsidDel="00000000" w:rsidP="00000000" w:rsidRDefault="00000000" w:rsidRPr="00000000" w14:paraId="00000050">
      <w:pPr>
        <w:numPr>
          <w:ilvl w:val="0"/>
          <w:numId w:val="2"/>
        </w:numPr>
        <w:ind w:left="720" w:hanging="360"/>
        <w:rPr>
          <w:b w:val="1"/>
          <w:bCs w:val="1"/>
          <w:i w:val="1"/>
          <w:iCs w:val="1"/>
        </w:rPr>
      </w:pPr>
      <w:r w:rsidDel="00000000" w:rsidR="00000000" w:rsidRPr="00000000">
        <w:rPr>
          <w:b w:val="1"/>
          <w:bCs w:val="1"/>
          <w:i w:val="1"/>
          <w:iCs w:val="1"/>
          <w:rtl w:val="0"/>
        </w:rPr>
        <w:t xml:space="preserve">Poor leadership and governance: </w:t>
      </w:r>
      <w:r w:rsidDel="00000000" w:rsidR="00000000" w:rsidRPr="00000000">
        <w:rPr>
          <w:rtl w:val="0"/>
        </w:rPr>
        <w:t xml:space="preserve">A significant lack of leadership and governance is main reason for Mid Staffordshire’s scandal, as Trust Board failed to address patient and staff concerns properly (Francis, 2013a). Moreover, financial balance, performance goals and Foundation Trust were given closer attention than acceptable care standards. Reports indicate that Trust had a £10 million programme of recurrent cost improvement planned for 2006/07, which represented about 8% of turnover (Francis, 2013b). In this regard, Francis concluded that repeated financial economies affected Mid Staffordshire’s capability to offer safe care. </w:t>
      </w:r>
      <w:r w:rsidDel="00000000" w:rsidR="00000000" w:rsidRPr="00000000">
        <w:rPr>
          <w:rtl w:val="0"/>
        </w:rPr>
      </w:r>
    </w:p>
    <w:p w:rsidR="00000000" w:rsidDel="00000000" w:rsidP="00000000" w:rsidRDefault="00000000" w:rsidRPr="00000000" w14:paraId="00000051">
      <w:pPr>
        <w:numPr>
          <w:ilvl w:val="0"/>
          <w:numId w:val="2"/>
        </w:numPr>
        <w:ind w:left="720" w:hanging="360"/>
        <w:rPr>
          <w:b w:val="1"/>
          <w:bCs w:val="1"/>
          <w:i w:val="1"/>
          <w:iCs w:val="1"/>
        </w:rPr>
      </w:pPr>
      <w:r w:rsidDel="00000000" w:rsidR="00000000" w:rsidRPr="00000000">
        <w:rPr>
          <w:b w:val="1"/>
          <w:bCs w:val="1"/>
          <w:i w:val="1"/>
          <w:iCs w:val="1"/>
          <w:rtl w:val="0"/>
        </w:rPr>
        <w:t xml:space="preserve">Workforce weaknesses: </w:t>
      </w:r>
      <w:r w:rsidDel="00000000" w:rsidR="00000000" w:rsidRPr="00000000">
        <w:rPr>
          <w:rtl w:val="0"/>
        </w:rPr>
        <w:t xml:space="preserve">Along with inadequate staffing, there was also poor recruitment and training procedures, inappropriate supervision and excessive workload at Mid Staffordshire. In 2007/08, £4.466 million in savings was planned, of which £3.465 million (or approximately 78%) was planned through workforce reductions and employment changes (Francis, 2013b). Thus, lack of skilled personnel and inadequate nursing standards resulted in such a big scandal. </w:t>
      </w:r>
      <w:r w:rsidDel="00000000" w:rsidR="00000000" w:rsidRPr="00000000">
        <w:rPr>
          <w:rtl w:val="0"/>
        </w:rPr>
      </w:r>
    </w:p>
    <w:p w:rsidR="00000000" w:rsidDel="00000000" w:rsidP="00000000" w:rsidRDefault="00000000" w:rsidRPr="00000000" w14:paraId="00000052">
      <w:pPr>
        <w:numPr>
          <w:ilvl w:val="0"/>
          <w:numId w:val="2"/>
        </w:numPr>
        <w:ind w:left="720" w:hanging="360"/>
        <w:rPr>
          <w:b w:val="1"/>
          <w:bCs w:val="1"/>
          <w:i w:val="1"/>
          <w:iCs w:val="1"/>
        </w:rPr>
      </w:pPr>
      <w:r w:rsidDel="00000000" w:rsidR="00000000" w:rsidRPr="00000000">
        <w:rPr>
          <w:b w:val="1"/>
          <w:bCs w:val="1"/>
          <w:i w:val="1"/>
          <w:iCs w:val="1"/>
          <w:rtl w:val="0"/>
        </w:rPr>
        <w:t xml:space="preserve">Adverse safety culture: </w:t>
      </w:r>
      <w:r w:rsidDel="00000000" w:rsidR="00000000" w:rsidRPr="00000000">
        <w:rPr>
          <w:rtl w:val="0"/>
        </w:rPr>
        <w:t xml:space="preserve">Poor standards were normalised by an adverse safety culture that was characterised by defensiveness, lack of openness and challenge of unsafe practice. </w:t>
      </w:r>
      <w:r w:rsidDel="00000000" w:rsidR="00000000" w:rsidRPr="00000000">
        <w:rPr>
          <w:rtl w:val="0"/>
        </w:rPr>
      </w:r>
    </w:p>
    <w:p w:rsidR="00000000" w:rsidDel="00000000" w:rsidP="00000000" w:rsidRDefault="00000000" w:rsidRPr="00000000" w14:paraId="00000053">
      <w:pPr>
        <w:jc w:val="center"/>
        <w:rPr/>
      </w:pPr>
      <w:r w:rsidDel="00000000" w:rsidR="00000000" w:rsidRPr="00000000">
        <w:rPr/>
        <w:drawing>
          <wp:inline distB="114300" distT="114300" distL="114300" distR="114300">
            <wp:extent cx="5467350" cy="138041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67350" cy="138041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pStyle w:val="Heading5"/>
        <w:rPr/>
      </w:pPr>
      <w:bookmarkStart w:colFirst="0" w:colLast="0" w:name="_jq8qv4wqa570" w:id="8"/>
      <w:bookmarkEnd w:id="8"/>
      <w:r w:rsidDel="00000000" w:rsidR="00000000" w:rsidRPr="00000000">
        <w:rPr>
          <w:rtl w:val="0"/>
        </w:rPr>
        <w:t xml:space="preserve">Figure 1: “Number of C. difficile cases diagnosed more than 48 hours after admission, April 2007 to March 2009”</w:t>
      </w:r>
    </w:p>
    <w:p w:rsidR="00000000" w:rsidDel="00000000" w:rsidP="00000000" w:rsidRDefault="00000000" w:rsidRPr="00000000" w14:paraId="00000055">
      <w:pPr>
        <w:jc w:val="center"/>
        <w:rPr/>
      </w:pPr>
      <w:r w:rsidDel="00000000" w:rsidR="00000000" w:rsidRPr="00000000">
        <w:rPr>
          <w:rtl w:val="0"/>
        </w:rPr>
        <w:t xml:space="preserve">(Source: Francis, 2013b)</w:t>
      </w:r>
    </w:p>
    <w:p w:rsidR="00000000" w:rsidDel="00000000" w:rsidP="00000000" w:rsidRDefault="00000000" w:rsidRPr="00000000" w14:paraId="00000056">
      <w:pPr>
        <w:rPr/>
      </w:pPr>
      <w:r w:rsidDel="00000000" w:rsidR="00000000" w:rsidRPr="00000000">
        <w:rPr>
          <w:rtl w:val="0"/>
        </w:rPr>
        <w:t xml:space="preserve">During 2007/08, 165 cases of C. difficile were diagnosed more than 48 hours after admission, and another 128 cases were recorded in 2008/09</w:t>
      </w:r>
      <w:r w:rsidDel="00000000" w:rsidR="00000000" w:rsidRPr="00000000">
        <w:rPr>
          <w:b w:val="1"/>
          <w:bCs w:val="1"/>
          <w:i w:val="1"/>
          <w:iCs w:val="1"/>
          <w:rtl w:val="0"/>
        </w:rPr>
        <w:t xml:space="preserve"> (Figure 1)</w:t>
      </w:r>
      <w:r w:rsidDel="00000000" w:rsidR="00000000" w:rsidRPr="00000000">
        <w:rPr>
          <w:rtl w:val="0"/>
        </w:rPr>
        <w:t xml:space="preserve">. Thus, this indicates significant weaknesses in infection prevention and control, resulting in higher patient risk. </w:t>
      </w:r>
    </w:p>
    <w:p w:rsidR="00000000" w:rsidDel="00000000" w:rsidP="00000000" w:rsidRDefault="00000000" w:rsidRPr="00000000" w14:paraId="00000057">
      <w:pPr>
        <w:numPr>
          <w:ilvl w:val="0"/>
          <w:numId w:val="2"/>
        </w:numPr>
        <w:ind w:left="720" w:hanging="360"/>
        <w:rPr>
          <w:b w:val="1"/>
          <w:bCs w:val="1"/>
          <w:i w:val="1"/>
          <w:iCs w:val="1"/>
        </w:rPr>
      </w:pPr>
      <w:r w:rsidDel="00000000" w:rsidR="00000000" w:rsidRPr="00000000">
        <w:rPr>
          <w:b w:val="1"/>
          <w:bCs w:val="1"/>
          <w:i w:val="1"/>
          <w:iCs w:val="1"/>
          <w:rtl w:val="0"/>
        </w:rPr>
        <w:t xml:space="preserve">Fragmented quality-information systems: </w:t>
      </w:r>
      <w:r w:rsidDel="00000000" w:rsidR="00000000" w:rsidRPr="00000000">
        <w:rPr>
          <w:rtl w:val="0"/>
        </w:rPr>
        <w:t xml:space="preserve">Lack of quality information systems: complaints were not given necessary priority, the communication between organisations was ineffective, and the agencies were more likely to be reassured than scrutinise the growing risk information by themselves (BBC News, 2019). </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All of these were reinforcing factors: workforce pressures undermined care, and ineffective governance and culture failed to produce warning signals to elicit corrective action. Thus, applying RCA clearly implies that no single cause can explain this failure; organisational conditions interacted and supported each other as time passed.</w:t>
      </w:r>
    </w:p>
    <w:p w:rsidR="00000000" w:rsidDel="00000000" w:rsidP="00000000" w:rsidRDefault="00000000" w:rsidRPr="00000000" w14:paraId="00000059">
      <w:pPr>
        <w:pStyle w:val="Heading2"/>
        <w:rPr/>
      </w:pPr>
      <w:bookmarkStart w:colFirst="0" w:colLast="0" w:name="_5f1ucch6rx5h" w:id="9"/>
      <w:bookmarkEnd w:id="9"/>
      <w:r w:rsidDel="00000000" w:rsidR="00000000" w:rsidRPr="00000000">
        <w:rPr>
          <w:rtl w:val="0"/>
        </w:rPr>
        <w:t xml:space="preserve">2.2 Fishbone Diagram Analysis</w:t>
      </w:r>
    </w:p>
    <w:p w:rsidR="00000000" w:rsidDel="00000000" w:rsidP="00000000" w:rsidRDefault="00000000" w:rsidRPr="00000000" w14:paraId="0000005A">
      <w:pPr>
        <w:jc w:val="center"/>
        <w:rPr/>
      </w:pPr>
      <w:r w:rsidDel="00000000" w:rsidR="00000000" w:rsidRPr="00000000">
        <w:rPr/>
        <w:drawing>
          <wp:inline distB="114300" distT="114300" distL="114300" distR="114300">
            <wp:extent cx="5300663" cy="3253452"/>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300663" cy="3253452"/>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pStyle w:val="Heading5"/>
        <w:rPr/>
      </w:pPr>
      <w:bookmarkStart w:colFirst="0" w:colLast="0" w:name="_k1rj0kv6p3z2" w:id="10"/>
      <w:bookmarkEnd w:id="10"/>
      <w:r w:rsidDel="00000000" w:rsidR="00000000" w:rsidRPr="00000000">
        <w:rPr>
          <w:rtl w:val="0"/>
        </w:rPr>
        <w:t xml:space="preserve">Figure 2: Fishbone Diagram</w:t>
      </w:r>
    </w:p>
    <w:p w:rsidR="00000000" w:rsidDel="00000000" w:rsidP="00000000" w:rsidRDefault="00000000" w:rsidRPr="00000000" w14:paraId="0000005C">
      <w:pPr>
        <w:rPr/>
      </w:pPr>
      <w:r w:rsidDel="00000000" w:rsidR="00000000" w:rsidRPr="00000000">
        <w:rPr>
          <w:b w:val="1"/>
          <w:bCs w:val="1"/>
          <w:i w:val="1"/>
          <w:iCs w:val="1"/>
          <w:rtl w:val="0"/>
        </w:rPr>
        <w:t xml:space="preserve">Figure 2 </w:t>
      </w:r>
      <w:r w:rsidDel="00000000" w:rsidR="00000000" w:rsidRPr="00000000">
        <w:rPr>
          <w:rtl w:val="0"/>
        </w:rPr>
        <w:t xml:space="preserve">represents a Fishbone analysis, which indicates that the organisational weaknesses interacted to cause patient-safety failures at Mid Staffordshire instead of a single cause. The lack of staffing and workload reduced the frontline capacity, and poor monitoring, escalation and complaints management enabled the situation to worsen. A weak accountability was further undermined by financial priorities and poor governance, with limited organisational learning being hindered by ineffective investigation. The effects of these failures were aggravated by the vulnerability of patients. Nevertheless, Fishbone is structured in contributory factors instead of providing causal power; thus, its results are to be viewed along with Donabedian and Five Whys analysis.</w:t>
      </w:r>
    </w:p>
    <w:p w:rsidR="00000000" w:rsidDel="00000000" w:rsidP="00000000" w:rsidRDefault="00000000" w:rsidRPr="00000000" w14:paraId="0000005D">
      <w:pPr>
        <w:pStyle w:val="Heading2"/>
        <w:rPr/>
      </w:pPr>
      <w:bookmarkStart w:colFirst="0" w:colLast="0" w:name="_2fih1kyj4iiv" w:id="11"/>
      <w:bookmarkEnd w:id="11"/>
      <w:r w:rsidDel="00000000" w:rsidR="00000000" w:rsidRPr="00000000">
        <w:rPr>
          <w:rtl w:val="0"/>
        </w:rPr>
        <w:t xml:space="preserve">2.3 Five Whys Analysis</w:t>
      </w:r>
    </w:p>
    <w:p w:rsidR="00000000" w:rsidDel="00000000" w:rsidP="00000000" w:rsidRDefault="00000000" w:rsidRPr="00000000" w14:paraId="0000005E">
      <w:pPr>
        <w:jc w:val="center"/>
        <w:rPr/>
      </w:pPr>
      <w:r w:rsidDel="00000000" w:rsidR="00000000" w:rsidRPr="00000000">
        <w:rPr/>
        <w:drawing>
          <wp:inline distB="0" distT="0" distL="0" distR="0">
            <wp:extent cx="5424993" cy="3835168"/>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424993" cy="3835168"/>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pStyle w:val="Heading5"/>
        <w:rPr/>
      </w:pPr>
      <w:bookmarkStart w:colFirst="0" w:colLast="0" w:name="_u8owtx2hio9l" w:id="12"/>
      <w:bookmarkEnd w:id="12"/>
      <w:r w:rsidDel="00000000" w:rsidR="00000000" w:rsidRPr="00000000">
        <w:rPr>
          <w:rtl w:val="0"/>
        </w:rPr>
        <w:t xml:space="preserve">Figure 3: “5 whys analysis procedure”</w:t>
      </w:r>
    </w:p>
    <w:p w:rsidR="00000000" w:rsidDel="00000000" w:rsidP="00000000" w:rsidRDefault="00000000" w:rsidRPr="00000000" w14:paraId="00000060">
      <w:pPr>
        <w:rPr/>
      </w:pPr>
      <w:r w:rsidDel="00000000" w:rsidR="00000000" w:rsidRPr="00000000">
        <w:rPr>
          <w:rtl w:val="0"/>
        </w:rPr>
        <w:t xml:space="preserve">Employing “Five Whys framework” is quite effective in repeatedly questioning why a problem occurred (Ahmedani, 2020). Applying Five Whys helps to shift analysis beyond visible symptoms towards underlying conditions that need to be targeted to improve them (Demirkesen, 2021). Main question at Mid Staffordshire is: “Why were unsafe and inadequate standards of care allowed to persist?”</w:t>
      </w:r>
    </w:p>
    <w:p w:rsidR="00000000" w:rsidDel="00000000" w:rsidP="00000000" w:rsidRDefault="00000000" w:rsidRPr="00000000" w14:paraId="00000061">
      <w:pPr>
        <w:numPr>
          <w:ilvl w:val="0"/>
          <w:numId w:val="1"/>
        </w:numPr>
        <w:ind w:left="720" w:hanging="360"/>
        <w:rPr/>
      </w:pPr>
      <w:r w:rsidDel="00000000" w:rsidR="00000000" w:rsidRPr="00000000">
        <w:rPr>
          <w:b w:val="1"/>
          <w:bCs w:val="1"/>
          <w:i w:val="1"/>
          <w:iCs w:val="1"/>
          <w:rtl w:val="0"/>
        </w:rPr>
        <w:t xml:space="preserve">Why 1: </w:t>
      </w:r>
      <w:r w:rsidDel="00000000" w:rsidR="00000000" w:rsidRPr="00000000">
        <w:rPr>
          <w:rtl w:val="0"/>
        </w:rPr>
        <w:t xml:space="preserve">Inadequate fundamental care, along with patient monitoring and responsiveness continued because identified issues were not adequately addressed. </w:t>
      </w:r>
    </w:p>
    <w:p w:rsidR="00000000" w:rsidDel="00000000" w:rsidP="00000000" w:rsidRDefault="00000000" w:rsidRPr="00000000" w14:paraId="00000062">
      <w:pPr>
        <w:numPr>
          <w:ilvl w:val="0"/>
          <w:numId w:val="1"/>
        </w:numPr>
        <w:ind w:left="720" w:hanging="360"/>
        <w:rPr/>
      </w:pPr>
      <w:r w:rsidDel="00000000" w:rsidR="00000000" w:rsidRPr="00000000">
        <w:rPr>
          <w:b w:val="1"/>
          <w:bCs w:val="1"/>
          <w:i w:val="1"/>
          <w:iCs w:val="1"/>
          <w:rtl w:val="0"/>
        </w:rPr>
        <w:t xml:space="preserve">Why 2: </w:t>
      </w:r>
      <w:r w:rsidDel="00000000" w:rsidR="00000000" w:rsidRPr="00000000">
        <w:rPr>
          <w:rtl w:val="0"/>
        </w:rPr>
        <w:t xml:space="preserve">Correction was unreliable due to lack of staffing, skilled supervision, and escalation. Clinical oversight was inadequate, and poor standards of nursing care were directly associated with poor leadership and staffing policies (Francis, 2013a). </w:t>
      </w:r>
    </w:p>
    <w:p w:rsidR="00000000" w:rsidDel="00000000" w:rsidP="00000000" w:rsidRDefault="00000000" w:rsidRPr="00000000" w14:paraId="00000063">
      <w:pPr>
        <w:numPr>
          <w:ilvl w:val="0"/>
          <w:numId w:val="1"/>
        </w:numPr>
        <w:ind w:left="720" w:hanging="360"/>
        <w:rPr/>
      </w:pPr>
      <w:r w:rsidDel="00000000" w:rsidR="00000000" w:rsidRPr="00000000">
        <w:rPr>
          <w:b w:val="1"/>
          <w:bCs w:val="1"/>
          <w:i w:val="1"/>
          <w:iCs w:val="1"/>
          <w:rtl w:val="0"/>
        </w:rPr>
        <w:t xml:space="preserve">Why 3:</w:t>
      </w:r>
      <w:r w:rsidDel="00000000" w:rsidR="00000000" w:rsidRPr="00000000">
        <w:rPr>
          <w:rtl w:val="0"/>
        </w:rPr>
        <w:t xml:space="preserve"> Workforce and clinical risks persisted as leadership did not always focus on patient-safety concerns and transforming them into effective action (While, 2015). </w:t>
      </w:r>
    </w:p>
    <w:p w:rsidR="00000000" w:rsidDel="00000000" w:rsidP="00000000" w:rsidRDefault="00000000" w:rsidRPr="00000000" w14:paraId="00000064">
      <w:pPr>
        <w:numPr>
          <w:ilvl w:val="0"/>
          <w:numId w:val="1"/>
        </w:numPr>
        <w:ind w:left="720" w:hanging="360"/>
        <w:rPr/>
      </w:pPr>
      <w:r w:rsidDel="00000000" w:rsidR="00000000" w:rsidRPr="00000000">
        <w:rPr>
          <w:b w:val="1"/>
          <w:bCs w:val="1"/>
          <w:i w:val="1"/>
          <w:iCs w:val="1"/>
          <w:rtl w:val="0"/>
        </w:rPr>
        <w:t xml:space="preserve">Why 4:</w:t>
      </w:r>
      <w:r w:rsidDel="00000000" w:rsidR="00000000" w:rsidRPr="00000000">
        <w:rPr>
          <w:rtl w:val="0"/>
        </w:rPr>
        <w:t xml:space="preserve"> Leadership focus was disproportionate with financial balance, targets and Foundation Trust objectives, while complaints and safety intelligence were poorly integrated (Holmes, 2013). </w:t>
      </w:r>
    </w:p>
    <w:p w:rsidR="00000000" w:rsidDel="00000000" w:rsidP="00000000" w:rsidRDefault="00000000" w:rsidRPr="00000000" w14:paraId="00000065">
      <w:pPr>
        <w:numPr>
          <w:ilvl w:val="0"/>
          <w:numId w:val="1"/>
        </w:numPr>
        <w:ind w:left="720" w:hanging="360"/>
        <w:rPr/>
      </w:pPr>
      <w:r w:rsidDel="00000000" w:rsidR="00000000" w:rsidRPr="00000000">
        <w:rPr>
          <w:b w:val="1"/>
          <w:bCs w:val="1"/>
          <w:i w:val="1"/>
          <w:iCs w:val="1"/>
          <w:rtl w:val="0"/>
        </w:rPr>
        <w:t xml:space="preserve">Why 5:</w:t>
      </w:r>
      <w:r w:rsidDel="00000000" w:rsidR="00000000" w:rsidRPr="00000000">
        <w:rPr>
          <w:rtl w:val="0"/>
        </w:rPr>
        <w:t xml:space="preserve"> Fundamentally, Mid Staffordshire did not have an open safety culture and governance-learning system that is open enough to transform concerns, incidents and patient experiences into prompt corrective action.</w:t>
      </w:r>
    </w:p>
    <w:p w:rsidR="00000000" w:rsidDel="00000000" w:rsidP="00000000" w:rsidRDefault="00000000" w:rsidRPr="00000000" w14:paraId="00000066">
      <w:pPr>
        <w:pStyle w:val="Heading2"/>
        <w:rPr/>
      </w:pPr>
      <w:bookmarkStart w:colFirst="0" w:colLast="0" w:name="_2srybhs49yvz" w:id="13"/>
      <w:bookmarkEnd w:id="13"/>
      <w:r w:rsidDel="00000000" w:rsidR="00000000" w:rsidRPr="00000000">
        <w:rPr>
          <w:rtl w:val="0"/>
        </w:rPr>
        <w:t xml:space="preserve">2.4 Donabedian Model Analysis</w:t>
      </w:r>
    </w:p>
    <w:p w:rsidR="00000000" w:rsidDel="00000000" w:rsidP="00000000" w:rsidRDefault="00000000" w:rsidRPr="00000000" w14:paraId="00000067">
      <w:pPr>
        <w:jc w:val="center"/>
        <w:rPr/>
      </w:pPr>
      <w:r w:rsidDel="00000000" w:rsidR="00000000" w:rsidRPr="00000000">
        <w:rPr/>
        <w:drawing>
          <wp:inline distB="114300" distT="114300" distL="114300" distR="114300">
            <wp:extent cx="3848100" cy="3495675"/>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84810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pStyle w:val="Heading5"/>
        <w:rPr/>
      </w:pPr>
      <w:bookmarkStart w:colFirst="0" w:colLast="0" w:name="_3df8nq335zbb" w:id="14"/>
      <w:bookmarkEnd w:id="14"/>
      <w:r w:rsidDel="00000000" w:rsidR="00000000" w:rsidRPr="00000000">
        <w:rPr>
          <w:rtl w:val="0"/>
        </w:rPr>
        <w:t xml:space="preserve">Figure 4: “Donabedian Model Analysis”</w:t>
      </w:r>
    </w:p>
    <w:p w:rsidR="00000000" w:rsidDel="00000000" w:rsidP="00000000" w:rsidRDefault="00000000" w:rsidRPr="00000000" w14:paraId="00000069">
      <w:pPr>
        <w:jc w:val="center"/>
        <w:rPr/>
      </w:pPr>
      <w:r w:rsidDel="00000000" w:rsidR="00000000" w:rsidRPr="00000000">
        <w:rPr>
          <w:rtl w:val="0"/>
        </w:rPr>
        <w:t xml:space="preserve">(Source: Tossaint-Schoenmakers </w:t>
      </w:r>
      <w:r w:rsidDel="00000000" w:rsidR="00000000" w:rsidRPr="00000000">
        <w:rPr>
          <w:i w:val="1"/>
          <w:iCs w:val="1"/>
          <w:rtl w:val="0"/>
        </w:rPr>
        <w:t xml:space="preserve">et al. </w:t>
      </w:r>
      <w:r w:rsidDel="00000000" w:rsidR="00000000" w:rsidRPr="00000000">
        <w:rPr>
          <w:rtl w:val="0"/>
        </w:rPr>
        <w:t xml:space="preserve">2021)</w:t>
      </w:r>
    </w:p>
    <w:p w:rsidR="00000000" w:rsidDel="00000000" w:rsidP="00000000" w:rsidRDefault="00000000" w:rsidRPr="00000000" w14:paraId="0000006A">
      <w:pPr>
        <w:rPr/>
      </w:pPr>
      <w:r w:rsidDel="00000000" w:rsidR="00000000" w:rsidRPr="00000000">
        <w:rPr>
          <w:rtl w:val="0"/>
        </w:rPr>
        <w:t xml:space="preserve">“Donabedian Model” analyses healthcare quality through 3 interconnected categories, which are “Structure, Process, and Outcome” (Robby </w:t>
      </w:r>
      <w:r w:rsidDel="00000000" w:rsidR="00000000" w:rsidRPr="00000000">
        <w:rPr>
          <w:i w:val="1"/>
          <w:iCs w:val="1"/>
          <w:rtl w:val="0"/>
        </w:rPr>
        <w:t xml:space="preserve">et al.</w:t>
      </w:r>
      <w:r w:rsidDel="00000000" w:rsidR="00000000" w:rsidRPr="00000000">
        <w:rPr>
          <w:rtl w:val="0"/>
        </w:rPr>
        <w:t xml:space="preserve"> 2025). Applying this model appears to be quite effective in Mid Staffordshire’s context and aids in evaluating where quality assurance failed. </w:t>
      </w:r>
    </w:p>
    <w:tbl>
      <w:tblPr>
        <w:tblStyle w:val="Table2"/>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7665"/>
        <w:tblGridChange w:id="0">
          <w:tblGrid>
            <w:gridCol w:w="1695"/>
            <w:gridCol w:w="7665"/>
          </w:tblGrid>
        </w:tblGridChange>
      </w:tblGrid>
      <w:tr>
        <w:trPr>
          <w:cantSplit w:val="0"/>
          <w:tblHeader w:val="0"/>
        </w:trPr>
        <w:tc>
          <w:tcPr>
            <w:shd w:fill="eaf1dd"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Donabedian dimension</w:t>
            </w:r>
          </w:p>
        </w:tc>
        <w:tc>
          <w:tcPr>
            <w:shd w:fill="eaf1dd"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Mid Staffordshire Application</w:t>
            </w:r>
          </w:p>
        </w:tc>
      </w:tr>
      <w:tr>
        <w:trPr>
          <w:cantSplit w:val="0"/>
          <w:tblHeader w:val="0"/>
        </w:trPr>
        <w:tc>
          <w:tcPr>
            <w:shd w:fill="eaf1dd"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Structure</w:t>
            </w:r>
          </w:p>
        </w:tc>
        <w:tc>
          <w:tcPr>
            <w:shd w:fill="eaf1dd"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Staffing levels and skill mix were inadequate to reflect patient dependency, with inconsistent staff supervision and development (Hughes, 2023).</w:t>
            </w:r>
          </w:p>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Mid Staffordshire’s weak board oversight and unstrategic leadership minimised clinical oversight and accountability (Rafferty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Organisational resources and governance systems, however, did not offer reliable environments that could offer consistently safe and patient-centred care (Francis, 2013a).</w:t>
            </w:r>
          </w:p>
        </w:tc>
      </w:tr>
      <w:tr>
        <w:trPr>
          <w:cantSplit w:val="0"/>
          <w:tblHeader w:val="0"/>
        </w:trPr>
        <w:tc>
          <w:tcPr>
            <w:shd w:fill="eaf1dd" w:val="clear"/>
            <w:tcMar>
              <w:top w:w="100.0" w:type="dxa"/>
              <w:left w:w="100.0" w:type="dxa"/>
              <w:bottom w:w="100.0" w:type="dxa"/>
              <w:right w:w="100.0" w:type="dxa"/>
            </w:tcMar>
          </w:tcPr>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Process</w:t>
            </w:r>
          </w:p>
        </w:tc>
        <w:tc>
          <w:tcPr>
            <w:shd w:fill="eaf1dd"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Structural deficiencies undermined patient assessment, along with monitoring, communication and escalation in event of deterioration (O’Neill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Basic care procedures, especially nutrition, hydration, dignity and responsiveness, were not consistently provided (Reader, 2022).</w:t>
            </w:r>
          </w:p>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There was a lack of sufficient links between complaints and incidents and organisational learning, which limited prompt corrective response when recurrent safety issues became evident (Francis, 2013b).</w:t>
            </w:r>
          </w:p>
        </w:tc>
      </w:tr>
      <w:tr>
        <w:trPr>
          <w:cantSplit w:val="0"/>
          <w:tblHeader w:val="0"/>
        </w:trPr>
        <w:tc>
          <w:tcPr>
            <w:shd w:fill="eaf1dd" w:val="clea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Outcome</w:t>
            </w:r>
          </w:p>
        </w:tc>
        <w:tc>
          <w:tcPr>
            <w:shd w:fill="eaf1dd" w:val="clea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Patients experienced injuries, lack of dignity and poor care experiences in addition to severe mortality issues (Entwistle and Doering, 2023).</w:t>
            </w:r>
          </w:p>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Unsafe conditions led to a decline in workforce morale and confidence (Entwistle and Doering, 2023).</w:t>
            </w:r>
          </w:p>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Public confidence was weakened due to negative results, concerns, and warning indicators, affecting overall trust and positive image (Francis, 2013a).</w:t>
            </w:r>
          </w:p>
        </w:tc>
      </w:tr>
    </w:tbl>
    <w:p w:rsidR="00000000" w:rsidDel="00000000" w:rsidP="00000000" w:rsidRDefault="00000000" w:rsidRPr="00000000" w14:paraId="00000079">
      <w:pPr>
        <w:pStyle w:val="Heading6"/>
        <w:rPr/>
      </w:pPr>
      <w:bookmarkStart w:colFirst="0" w:colLast="0" w:name="_sc42fii4q5u4" w:id="15"/>
      <w:bookmarkEnd w:id="15"/>
      <w:r w:rsidDel="00000000" w:rsidR="00000000" w:rsidRPr="00000000">
        <w:rPr>
          <w:rtl w:val="0"/>
        </w:rPr>
        <w:t xml:space="preserve">Table 1: Donabedian Model Analysis</w:t>
      </w:r>
    </w:p>
    <w:p w:rsidR="00000000" w:rsidDel="00000000" w:rsidP="00000000" w:rsidRDefault="00000000" w:rsidRPr="00000000" w14:paraId="0000007A">
      <w:pPr>
        <w:rPr/>
      </w:pPr>
      <w:r w:rsidDel="00000000" w:rsidR="00000000" w:rsidRPr="00000000">
        <w:rPr>
          <w:rtl w:val="0"/>
        </w:rPr>
        <w:t xml:space="preserve">Contemporary evidence considers interaction between these Donabedian dimensions, and systems research claims that healthcare quality arises out of complex organisational relationships (McCullough </w:t>
      </w:r>
      <w:r w:rsidDel="00000000" w:rsidR="00000000" w:rsidRPr="00000000">
        <w:rPr>
          <w:i w:val="1"/>
          <w:iCs w:val="1"/>
          <w:rtl w:val="0"/>
        </w:rPr>
        <w:t xml:space="preserve">et al.</w:t>
      </w:r>
      <w:r w:rsidDel="00000000" w:rsidR="00000000" w:rsidRPr="00000000">
        <w:rPr>
          <w:rtl w:val="0"/>
        </w:rPr>
        <w:t xml:space="preserve"> 2022; Geary, 2024). Considering Mid Staffordshire, poor performance, along with patient complaints and mortality indicators, should have been fed back to the Board; staffing choices and front-line operations. Rather, organisational learning was feeble. NHS incident standards emphasise that organisations should complete the triangulation of safety intelligence with complaints and broader governance information to detect potential risks and areas of improvement (NHS England, 2026a). Thus, lack of structures or processes was not root of weakness, but also inability to build a continuous learning cycle between outcomes, governance and frontline care.</w:t>
      </w:r>
    </w:p>
    <w:p w:rsidR="00000000" w:rsidDel="00000000" w:rsidP="00000000" w:rsidRDefault="00000000" w:rsidRPr="00000000" w14:paraId="0000007B">
      <w:pPr>
        <w:pStyle w:val="Heading2"/>
        <w:rPr/>
      </w:pPr>
      <w:bookmarkStart w:colFirst="0" w:colLast="0" w:name="_6y7tv6tspikx" w:id="16"/>
      <w:bookmarkEnd w:id="16"/>
      <w:r w:rsidDel="00000000" w:rsidR="00000000" w:rsidRPr="00000000">
        <w:rPr>
          <w:rtl w:val="0"/>
        </w:rPr>
        <w:t xml:space="preserve">2.5 SWOT strategic analysis</w:t>
      </w:r>
    </w:p>
    <w:p w:rsidR="00000000" w:rsidDel="00000000" w:rsidP="00000000" w:rsidRDefault="00000000" w:rsidRPr="00000000" w14:paraId="0000007C">
      <w:pPr>
        <w:rPr/>
      </w:pPr>
      <w:r w:rsidDel="00000000" w:rsidR="00000000" w:rsidRPr="00000000">
        <w:rPr>
          <w:rtl w:val="0"/>
        </w:rPr>
        <w:t xml:space="preserve">SWOT is used as it identifies internal strengths and weaknesses as well as external opportunities and threats, turning root-cause findings into strategic improvement opportunities.</w:t>
      </w:r>
    </w:p>
    <w:tbl>
      <w:tblPr>
        <w:tblStyle w:val="Table3"/>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7605"/>
        <w:tblGridChange w:id="0">
          <w:tblGrid>
            <w:gridCol w:w="1755"/>
            <w:gridCol w:w="7605"/>
          </w:tblGrid>
        </w:tblGridChange>
      </w:tblGrid>
      <w:tr>
        <w:trPr>
          <w:cantSplit w:val="0"/>
          <w:tblHeader w:val="0"/>
        </w:trPr>
        <w:tc>
          <w:tcPr>
            <w:shd w:fill="fde9d9"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rtl w:val="0"/>
              </w:rPr>
            </w:r>
          </w:p>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Strengths</w:t>
            </w:r>
          </w:p>
        </w:tc>
        <w:tc>
          <w:tcPr>
            <w:shd w:fill="fde9d9"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NHS organisations are regulated by a system of governance and regulation (NHS England, 2026c).</w:t>
            </w:r>
          </w:p>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Complaints, incidents and patient feedback may yield a lot of safety intelligence.</w:t>
            </w:r>
          </w:p>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A multidisciplinary workforce is a source of significant clinical knowledge to be improved (CQC, 2025b)</w:t>
            </w:r>
          </w:p>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Existing national standards offer more definite staffing, governance, accountability, and patient safety standards (CQC, 2025a).</w:t>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rtl w:val="0"/>
              </w:rPr>
            </w:r>
          </w:p>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Weaknesses</w:t>
            </w:r>
          </w:p>
        </w:tc>
        <w:tc>
          <w:tcPr>
            <w:shd w:fill="dbe5f1"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Board oversight failed to translate warning signs into action to correct (BBC News, 2019). </w:t>
            </w:r>
          </w:p>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Intelligence on safety was still non-integrated in terms of complaints, mortality, incidents and workforce issues.</w:t>
            </w:r>
          </w:p>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Human resource and skill-mix stress undermined supervision and front line dependability. </w:t>
            </w:r>
          </w:p>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A defensive organisational culture limited challenge, openness and learning through care failures (Francis, 2013a).</w:t>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rtl w:val="0"/>
              </w:rPr>
            </w:r>
          </w:p>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Opportunities</w:t>
            </w:r>
          </w:p>
        </w:tc>
        <w:tc>
          <w:tcPr>
            <w:shd w:fill="dbe5f1" w:val="clea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PSIRF facilitates learning based on the system as opposed to the simplistic aspect of attributing incidents to people.</w:t>
            </w:r>
          </w:p>
          <w:p w:rsidR="00000000" w:rsidDel="00000000" w:rsidP="00000000" w:rsidRDefault="00000000" w:rsidRPr="00000000" w14:paraId="0000008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Digital dashboards can be used to triangulate staffing, complaints, incidents and patient-experience indicators (Sekarini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8D">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“Freedom to Speak Up” can empower workforce’s voice and previous escalation (NHS England, 2026b). </w:t>
            </w:r>
          </w:p>
          <w:p w:rsidR="00000000" w:rsidDel="00000000" w:rsidP="00000000" w:rsidRDefault="00000000" w:rsidRPr="00000000" w14:paraId="0000008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Iterative improvement cycles and patient involvement can be incorporated into service redesign (Davie and Kiran, 2020). </w:t>
            </w:r>
          </w:p>
        </w:tc>
      </w:tr>
      <w:tr>
        <w:trPr>
          <w:cantSplit w:val="0"/>
          <w:tblHeader w:val="0"/>
        </w:trPr>
        <w:tc>
          <w:tcPr>
            <w:shd w:fill="fde9d9" w:val="clear"/>
            <w:tcMar>
              <w:top w:w="100.0" w:type="dxa"/>
              <w:left w:w="100.0" w:type="dxa"/>
              <w:bottom w:w="100.0" w:type="dxa"/>
              <w:right w:w="100.0" w:type="dxa"/>
            </w:tcMar>
          </w:tcPr>
          <w:p w:rsidR="00000000" w:rsidDel="00000000" w:rsidP="00000000" w:rsidRDefault="00000000" w:rsidRPr="00000000" w14:paraId="0000008F">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rtl w:val="0"/>
              </w:rPr>
            </w:r>
          </w:p>
          <w:p w:rsidR="00000000" w:rsidDel="00000000" w:rsidP="00000000" w:rsidRDefault="00000000" w:rsidRPr="00000000" w14:paraId="00000090">
            <w:pPr>
              <w:widowControl w:val="0"/>
              <w:pBdr>
                <w:top w:space="0" w:sz="0" w:val="nil"/>
                <w:left w:space="0" w:sz="0" w:val="nil"/>
                <w:bottom w:space="0" w:sz="0" w:val="nil"/>
                <w:right w:space="0" w:sz="0" w:val="nil"/>
                <w:between w:space="0" w:sz="0" w:val="nil"/>
              </w:pBdr>
              <w:spacing w:line="240" w:lineRule="auto"/>
              <w:jc w:val="center"/>
              <w:rPr>
                <w:b w:val="1"/>
                <w:bCs w:val="1"/>
                <w:i w:val="1"/>
                <w:iCs w:val="1"/>
              </w:rPr>
            </w:pPr>
            <w:r w:rsidDel="00000000" w:rsidR="00000000" w:rsidRPr="00000000">
              <w:rPr>
                <w:b w:val="1"/>
                <w:bCs w:val="1"/>
                <w:i w:val="1"/>
                <w:iCs w:val="1"/>
                <w:rtl w:val="0"/>
              </w:rPr>
              <w:t xml:space="preserve">Threats</w:t>
            </w:r>
          </w:p>
        </w:tc>
        <w:tc>
          <w:tcPr>
            <w:shd w:fill="fde9d9" w:val="clear"/>
            <w:tcMar>
              <w:top w:w="100.0" w:type="dxa"/>
              <w:left w:w="100.0" w:type="dxa"/>
              <w:bottom w:w="100.0" w:type="dxa"/>
              <w:right w:w="100.0" w:type="dxa"/>
            </w:tcMar>
          </w:tcPr>
          <w:p w:rsidR="00000000" w:rsidDel="00000000" w:rsidP="00000000" w:rsidRDefault="00000000" w:rsidRPr="00000000" w14:paraId="0000009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Constant staffing shortages might negatively impact safe staffing and capacity to improve (Jones and Allin, 2025). </w:t>
            </w:r>
          </w:p>
          <w:p w:rsidR="00000000" w:rsidDel="00000000" w:rsidP="00000000" w:rsidRDefault="00000000" w:rsidRPr="00000000" w14:paraId="0000009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Financial constraints create conflict between demands of efficiency and care quality (Dubas-Jakóbczyk </w:t>
            </w:r>
            <w:r w:rsidDel="00000000" w:rsidR="00000000" w:rsidRPr="00000000">
              <w:rPr>
                <w:i w:val="1"/>
                <w:iCs w:val="1"/>
                <w:rtl w:val="0"/>
              </w:rPr>
              <w:t xml:space="preserve">et al.</w:t>
            </w:r>
            <w:r w:rsidDel="00000000" w:rsidR="00000000" w:rsidRPr="00000000">
              <w:rPr>
                <w:rtl w:val="0"/>
              </w:rPr>
              <w:t xml:space="preserve"> 2022). </w:t>
            </w:r>
          </w:p>
          <w:p w:rsidR="00000000" w:rsidDel="00000000" w:rsidP="00000000" w:rsidRDefault="00000000" w:rsidRPr="00000000" w14:paraId="00000093">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Target-driven behaviour can affect organisational priorities (Murray </w:t>
            </w:r>
            <w:r w:rsidDel="00000000" w:rsidR="00000000" w:rsidRPr="00000000">
              <w:rPr>
                <w:i w:val="1"/>
                <w:iCs w:val="1"/>
                <w:rtl w:val="0"/>
              </w:rPr>
              <w:t xml:space="preserve">et al.</w:t>
            </w:r>
            <w:r w:rsidDel="00000000" w:rsidR="00000000" w:rsidRPr="00000000">
              <w:rPr>
                <w:rtl w:val="0"/>
              </w:rPr>
              <w:t xml:space="preserve"> 2026). </w:t>
            </w:r>
          </w:p>
          <w:p w:rsidR="00000000" w:rsidDel="00000000" w:rsidP="00000000" w:rsidRDefault="00000000" w:rsidRPr="00000000" w14:paraId="00000094">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Continuing mistrust and fatigue with reform may decrease workforce involvement in improvement efforts (NHS England, 2024). </w:t>
            </w:r>
          </w:p>
        </w:tc>
      </w:tr>
    </w:tbl>
    <w:p w:rsidR="00000000" w:rsidDel="00000000" w:rsidP="00000000" w:rsidRDefault="00000000" w:rsidRPr="00000000" w14:paraId="00000095">
      <w:pPr>
        <w:pStyle w:val="Heading6"/>
        <w:rPr/>
      </w:pPr>
      <w:bookmarkStart w:colFirst="0" w:colLast="0" w:name="_vppey0fha1zt" w:id="17"/>
      <w:bookmarkEnd w:id="17"/>
      <w:r w:rsidDel="00000000" w:rsidR="00000000" w:rsidRPr="00000000">
        <w:rPr>
          <w:rtl w:val="0"/>
        </w:rPr>
        <w:t xml:space="preserve">Table 2: SWOT Analysis of Mid Staffordshire</w:t>
      </w:r>
    </w:p>
    <w:p w:rsidR="00000000" w:rsidDel="00000000" w:rsidP="00000000" w:rsidRDefault="00000000" w:rsidRPr="00000000" w14:paraId="00000096">
      <w:pPr>
        <w:rPr/>
      </w:pPr>
      <w:r w:rsidDel="00000000" w:rsidR="00000000" w:rsidRPr="00000000">
        <w:rPr>
          <w:rtl w:val="0"/>
        </w:rPr>
        <w:t xml:space="preserve">In light of SWOT analysis, Mid Staffordshire's main weakness is not absence of safety information; rather, it is more about failure to integrate processes and respond to available intelligence. This, in turn, further translates into notable opportunities, like combining PSIRF, along with speaking-up arrangements and integrated quality dashboards, ensuring fragmented warning signals offer timely Board-level action rather than creating more policies (CQC, 2025c). This difference is significant since the present NHS guidelines mandate that patient-safety learning should be linked to complaints, clinical governance and broader quality-improvement systems (NHS England, 2026a). It also anticipates that leaders will seek to triangulate intelligence to work across various sources of information instead of single incident treatment. Therefore, the ability to implement and organisational learning should be used as the strategic priority and not additional accumulation of policies.</w:t>
      </w:r>
    </w:p>
    <w:p w:rsidR="00000000" w:rsidDel="00000000" w:rsidP="00000000" w:rsidRDefault="00000000" w:rsidRPr="00000000" w14:paraId="00000097">
      <w:pPr>
        <w:pStyle w:val="Heading2"/>
        <w:rPr/>
      </w:pPr>
      <w:bookmarkStart w:colFirst="0" w:colLast="0" w:name="_ebd5nckv10em" w:id="18"/>
      <w:bookmarkEnd w:id="18"/>
      <w:r w:rsidDel="00000000" w:rsidR="00000000" w:rsidRPr="00000000">
        <w:rPr>
          <w:rtl w:val="0"/>
        </w:rPr>
        <w:t xml:space="preserve">2.6 Policy, quality, efficiency and equity implications</w:t>
      </w:r>
    </w:p>
    <w:p w:rsidR="00000000" w:rsidDel="00000000" w:rsidP="00000000" w:rsidRDefault="00000000" w:rsidRPr="00000000" w14:paraId="00000098">
      <w:pPr>
        <w:rPr/>
      </w:pPr>
      <w:r w:rsidDel="00000000" w:rsidR="00000000" w:rsidRPr="00000000">
        <w:rPr>
          <w:rtl w:val="0"/>
        </w:rPr>
        <w:t xml:space="preserve">Quality assurance was enhanced through statutory “Duty of Candour”, along with CQC Fundamental Standards, leadership accountability and Freedom to Speak Up, and PSIRF currently connects incident learning with complaints, governance and improvement (GOV.UK, 2013b; CQC, 2025d). These reforms address inherent failure of Mid Staffordshire: warning signals were there, but it was not the governance that translated them into prompt action. Quality was compromised by unsafe and undignified care, and short-term savings created long-term expenses in terms of investigation, remediation, workforce displacement and lost confidence (GOV.UK, 2013a). There was also a breach of equity due to the fact that the dependent or less communicative patients were particularly vulnerable to inadequate staffing and responsiveness. Thus, efficiency cannot imply a decrease in cost where less than ideal resources create preventable damages.</w:t>
      </w:r>
    </w:p>
    <w:p w:rsidR="00000000" w:rsidDel="00000000" w:rsidP="00000000" w:rsidRDefault="00000000" w:rsidRPr="00000000" w14:paraId="00000099">
      <w:pPr>
        <w:pStyle w:val="Heading1"/>
        <w:rPr/>
      </w:pPr>
      <w:bookmarkStart w:colFirst="0" w:colLast="0" w:name="_xittw7z7ruhw" w:id="19"/>
      <w:bookmarkEnd w:id="19"/>
      <w:r w:rsidDel="00000000" w:rsidR="00000000" w:rsidRPr="00000000">
        <w:rPr>
          <w:rtl w:val="0"/>
        </w:rPr>
        <w:t xml:space="preserve">3. Recommendations and Implementation Strategy</w:t>
      </w:r>
    </w:p>
    <w:p w:rsidR="00000000" w:rsidDel="00000000" w:rsidP="00000000" w:rsidRDefault="00000000" w:rsidRPr="00000000" w14:paraId="0000009A">
      <w:pPr>
        <w:pStyle w:val="Heading2"/>
        <w:rPr/>
      </w:pPr>
      <w:bookmarkStart w:colFirst="0" w:colLast="0" w:name="_hhhuvm14i4a9" w:id="20"/>
      <w:bookmarkEnd w:id="20"/>
      <w:r w:rsidDel="00000000" w:rsidR="00000000" w:rsidRPr="00000000">
        <w:rPr>
          <w:rtl w:val="0"/>
        </w:rPr>
        <w:t xml:space="preserve">3.1 Recommendation 1: Safe Staffing and Clinical Supervision</w:t>
      </w:r>
    </w:p>
    <w:p w:rsidR="00000000" w:rsidDel="00000000" w:rsidP="00000000" w:rsidRDefault="00000000" w:rsidRPr="00000000" w14:paraId="0000009B">
      <w:pPr>
        <w:rPr/>
      </w:pPr>
      <w:r w:rsidDel="00000000" w:rsidR="00000000" w:rsidRPr="00000000">
        <w:rPr>
          <w:rtl w:val="0"/>
        </w:rPr>
        <w:t xml:space="preserve">Mid Staffordshire should employ an evidence-based safe staffing and clinical supervision framework, as insufficient staffing, skills and leadership were significant causes of unacceptable nursing standards (Francis, 2013). Instead of using fixed numbers to make staffing decisions, they should be based on patient acuity, dependency, workload and skill mix. NICE also needs systems to identify and respond promptly when available staffing does not meet patient requirements (NICE, 2014). In this regard, PDSA cycle can be used to test this framework on one high-risk ward. Four stages of this cycle are mentioned in following section: </w:t>
      </w:r>
    </w:p>
    <w:p w:rsidR="00000000" w:rsidDel="00000000" w:rsidP="00000000" w:rsidRDefault="00000000" w:rsidRPr="00000000" w14:paraId="0000009C">
      <w:pPr>
        <w:numPr>
          <w:ilvl w:val="0"/>
          <w:numId w:val="3"/>
        </w:numPr>
        <w:ind w:left="720" w:hanging="360"/>
        <w:rPr/>
      </w:pPr>
      <w:r w:rsidDel="00000000" w:rsidR="00000000" w:rsidRPr="00000000">
        <w:rPr>
          <w:rtl w:val="0"/>
        </w:rPr>
        <w:t xml:space="preserve">Plan should develop baselines for staffing, patient dependencies, missed-care events, and supervision availability, as well as safety indicators. </w:t>
      </w:r>
    </w:p>
    <w:p w:rsidR="00000000" w:rsidDel="00000000" w:rsidP="00000000" w:rsidRDefault="00000000" w:rsidRPr="00000000" w14:paraId="0000009D">
      <w:pPr>
        <w:numPr>
          <w:ilvl w:val="0"/>
          <w:numId w:val="3"/>
        </w:numPr>
        <w:ind w:left="720" w:hanging="360"/>
        <w:rPr/>
      </w:pPr>
      <w:r w:rsidDel="00000000" w:rsidR="00000000" w:rsidRPr="00000000">
        <w:rPr>
          <w:rtl w:val="0"/>
        </w:rPr>
        <w:t xml:space="preserve">Do should introduce shift-level acuity assessment, along with staffing-safe and senior mandatory supervision in case of unsafe staffing. </w:t>
      </w:r>
    </w:p>
    <w:p w:rsidR="00000000" w:rsidDel="00000000" w:rsidP="00000000" w:rsidRDefault="00000000" w:rsidRPr="00000000" w14:paraId="0000009E">
      <w:pPr>
        <w:numPr>
          <w:ilvl w:val="0"/>
          <w:numId w:val="3"/>
        </w:numPr>
        <w:ind w:left="720" w:hanging="360"/>
        <w:rPr/>
      </w:pPr>
      <w:r w:rsidDel="00000000" w:rsidR="00000000" w:rsidRPr="00000000">
        <w:rPr>
          <w:rtl w:val="0"/>
        </w:rPr>
        <w:t xml:space="preserve">Study should compare incidents, along with missed care, patient experience, staff feedback and staffing red flags against baseline performance. </w:t>
      </w:r>
    </w:p>
    <w:p w:rsidR="00000000" w:rsidDel="00000000" w:rsidP="00000000" w:rsidRDefault="00000000" w:rsidRPr="00000000" w14:paraId="0000009F">
      <w:pPr>
        <w:numPr>
          <w:ilvl w:val="0"/>
          <w:numId w:val="3"/>
        </w:numPr>
        <w:ind w:left="720" w:hanging="360"/>
        <w:rPr/>
      </w:pPr>
      <w:r w:rsidDel="00000000" w:rsidR="00000000" w:rsidRPr="00000000">
        <w:rPr>
          <w:rtl w:val="0"/>
        </w:rPr>
        <w:t xml:space="preserve">Act should refine weaknesses before implementing it on a broader basis. Overall, this iterative approach decreases risks related to immediate organisation-wide change.</w:t>
      </w:r>
    </w:p>
    <w:p w:rsidR="00000000" w:rsidDel="00000000" w:rsidP="00000000" w:rsidRDefault="00000000" w:rsidRPr="00000000" w14:paraId="000000A0">
      <w:pPr>
        <w:pStyle w:val="Heading2"/>
        <w:rPr/>
      </w:pPr>
      <w:bookmarkStart w:colFirst="0" w:colLast="0" w:name="_tuiuqp99t6kc" w:id="21"/>
      <w:bookmarkEnd w:id="21"/>
      <w:r w:rsidDel="00000000" w:rsidR="00000000" w:rsidRPr="00000000">
        <w:rPr>
          <w:rtl w:val="0"/>
        </w:rPr>
        <w:t xml:space="preserve">3.2 Recommendation 2: Integrated Patient-Safety Governance Dashboard</w:t>
      </w:r>
    </w:p>
    <w:p w:rsidR="00000000" w:rsidDel="00000000" w:rsidP="00000000" w:rsidRDefault="00000000" w:rsidRPr="00000000" w14:paraId="000000A1">
      <w:pPr>
        <w:rPr/>
      </w:pPr>
      <w:r w:rsidDel="00000000" w:rsidR="00000000" w:rsidRPr="00000000">
        <w:rPr>
          <w:rtl w:val="0"/>
        </w:rPr>
        <w:t xml:space="preserve">Mid Staffordshire needs to implement a unified patient-safety governance dashboard since its previous failure was related to fragmented warning indicators and lack of leadership action as opposed to lack of information. Francis pointed out Board preoccupation with financial goals alongside ineffective clinical governance and ineffective responses to mortality issues and complaints (Francis, 2013a). Dashboard should thus incorporate staffing, incidents, complaints, escalation events, patient experience, mortality indicators and workforce concerns (Rabiei and Almasi, 2022). In this regard, applying PDCA cycle aids in translating this intelligence into continuous governance action (Hapsari and Chalidyanto, 2025). Four stages of this cycle have been presented below: </w:t>
      </w:r>
    </w:p>
    <w:p w:rsidR="00000000" w:rsidDel="00000000" w:rsidP="00000000" w:rsidRDefault="00000000" w:rsidRPr="00000000" w14:paraId="000000A2">
      <w:pPr>
        <w:numPr>
          <w:ilvl w:val="0"/>
          <w:numId w:val="4"/>
        </w:numPr>
        <w:ind w:left="720" w:hanging="360"/>
        <w:rPr/>
      </w:pPr>
      <w:r w:rsidDel="00000000" w:rsidR="00000000" w:rsidRPr="00000000">
        <w:rPr>
          <w:rtl w:val="0"/>
        </w:rPr>
        <w:t xml:space="preserve">Plan must develop indicators, along with alerts, executive owners by name and required time frames (Murphy </w:t>
      </w:r>
      <w:r w:rsidDel="00000000" w:rsidR="00000000" w:rsidRPr="00000000">
        <w:rPr>
          <w:i w:val="1"/>
          <w:iCs w:val="1"/>
          <w:rtl w:val="0"/>
        </w:rPr>
        <w:t xml:space="preserve">et al. </w:t>
      </w:r>
      <w:r w:rsidDel="00000000" w:rsidR="00000000" w:rsidRPr="00000000">
        <w:rPr>
          <w:rtl w:val="0"/>
        </w:rPr>
        <w:t xml:space="preserve">2021). </w:t>
      </w:r>
    </w:p>
    <w:p w:rsidR="00000000" w:rsidDel="00000000" w:rsidP="00000000" w:rsidRDefault="00000000" w:rsidRPr="00000000" w14:paraId="000000A3">
      <w:pPr>
        <w:numPr>
          <w:ilvl w:val="0"/>
          <w:numId w:val="4"/>
        </w:numPr>
        <w:ind w:left="720" w:hanging="360"/>
        <w:rPr/>
      </w:pPr>
      <w:r w:rsidDel="00000000" w:rsidR="00000000" w:rsidRPr="00000000">
        <w:rPr>
          <w:rtl w:val="0"/>
        </w:rPr>
        <w:t xml:space="preserve">Do should pilot dashboard within chosen clinical areas through routine multidisciplinary review (Al-Ghraiybah </w:t>
      </w:r>
      <w:r w:rsidDel="00000000" w:rsidR="00000000" w:rsidRPr="00000000">
        <w:rPr>
          <w:i w:val="1"/>
          <w:iCs w:val="1"/>
          <w:rtl w:val="0"/>
        </w:rPr>
        <w:t xml:space="preserve">et al. </w:t>
      </w:r>
      <w:r w:rsidDel="00000000" w:rsidR="00000000" w:rsidRPr="00000000">
        <w:rPr>
          <w:rtl w:val="0"/>
        </w:rPr>
        <w:t xml:space="preserve">2024). </w:t>
      </w:r>
    </w:p>
    <w:p w:rsidR="00000000" w:rsidDel="00000000" w:rsidP="00000000" w:rsidRDefault="00000000" w:rsidRPr="00000000" w14:paraId="000000A4">
      <w:pPr>
        <w:numPr>
          <w:ilvl w:val="0"/>
          <w:numId w:val="4"/>
        </w:numPr>
        <w:ind w:left="720" w:hanging="360"/>
        <w:rPr/>
      </w:pPr>
      <w:r w:rsidDel="00000000" w:rsidR="00000000" w:rsidRPr="00000000">
        <w:rPr>
          <w:rtl w:val="0"/>
        </w:rPr>
        <w:t xml:space="preserve">Check should not triangulate indicators; rather, consider them as simultaneous: staffing pressure and frequent complaints, for example, should be accompanied by increased investigation. </w:t>
      </w:r>
    </w:p>
    <w:p w:rsidR="00000000" w:rsidDel="00000000" w:rsidP="00000000" w:rsidRDefault="00000000" w:rsidRPr="00000000" w14:paraId="000000A5">
      <w:pPr>
        <w:numPr>
          <w:ilvl w:val="0"/>
          <w:numId w:val="4"/>
        </w:numPr>
        <w:ind w:left="720" w:hanging="360"/>
        <w:rPr/>
      </w:pPr>
      <w:r w:rsidDel="00000000" w:rsidR="00000000" w:rsidRPr="00000000">
        <w:rPr>
          <w:rtl w:val="0"/>
        </w:rPr>
        <w:t xml:space="preserve">Act must modify staffing, procedures, supervision or leadership controls where risks are not addressed.</w:t>
      </w:r>
    </w:p>
    <w:p w:rsidR="00000000" w:rsidDel="00000000" w:rsidP="00000000" w:rsidRDefault="00000000" w:rsidRPr="00000000" w14:paraId="000000A6">
      <w:pPr>
        <w:rPr/>
      </w:pPr>
      <w:r w:rsidDel="00000000" w:rsidR="00000000" w:rsidRPr="00000000">
        <w:rPr>
          <w:rtl w:val="0"/>
        </w:rPr>
        <w:t xml:space="preserve">Sustainability; thus, it needs long-term Board ownership, open reporting and reported follow-up and makes dashboard a decision-making system as opposed to another reporting mechanism.</w:t>
      </w:r>
    </w:p>
    <w:p w:rsidR="00000000" w:rsidDel="00000000" w:rsidP="00000000" w:rsidRDefault="00000000" w:rsidRPr="00000000" w14:paraId="000000A7">
      <w:pPr>
        <w:pStyle w:val="Heading2"/>
        <w:rPr/>
      </w:pPr>
      <w:bookmarkStart w:colFirst="0" w:colLast="0" w:name="_rgh5cn8ejzkn" w:id="22"/>
      <w:bookmarkEnd w:id="22"/>
      <w:r w:rsidDel="00000000" w:rsidR="00000000" w:rsidRPr="00000000">
        <w:rPr>
          <w:rtl w:val="0"/>
        </w:rPr>
        <w:t xml:space="preserve">3.3 Recommendation 3: Streamlined Speaking-Up, Complaints and Escalation Pathway</w:t>
      </w:r>
    </w:p>
    <w:p w:rsidR="00000000" w:rsidDel="00000000" w:rsidP="00000000" w:rsidRDefault="00000000" w:rsidRPr="00000000" w14:paraId="000000A8">
      <w:pPr>
        <w:rPr/>
      </w:pPr>
      <w:r w:rsidDel="00000000" w:rsidR="00000000" w:rsidRPr="00000000">
        <w:rPr>
          <w:rtl w:val="0"/>
        </w:rPr>
        <w:t xml:space="preserve">Mid Staffordshire should redesign its clinical-escalation, speaking-up, and complaints pathway, as</w:t>
      </w:r>
      <w:r w:rsidDel="00000000" w:rsidR="00000000" w:rsidRPr="00000000">
        <w:rPr>
          <w:sz w:val="23"/>
          <w:szCs w:val="23"/>
          <w:rtl w:val="0"/>
        </w:rPr>
        <w:t xml:space="preserve"> safety issues would be ineffective when it is stalled by a lack of clarity in accountability, disjointed communication or defensive management. Implementing a safer culture not only heightens workers’ engagement but also enhances overall productivity level (Asamani, 2020). Applying Lean methodology aids in mapping complete pathway from raising an issue, through acknowledgement, investigation, corrective action, feedback and organisational learning (Evgenii, 2024). It must identify duplicated documents, handovers that are not necessary, waiting points and lack of ownership. Redesigned route must have available reporting channels, labelled accountability, set response time and automatic escalation of high-risk issues that are not addressed. Performance indicators must involve response time, completion of investigation, recurring complaints, unresolved issues, staff confidence in raising concerns and confidence of the staff in speaking up (Biswal </w:t>
      </w:r>
      <w:r w:rsidDel="00000000" w:rsidR="00000000" w:rsidRPr="00000000">
        <w:rPr>
          <w:i w:val="1"/>
          <w:iCs w:val="1"/>
          <w:sz w:val="23"/>
          <w:szCs w:val="23"/>
          <w:rtl w:val="0"/>
        </w:rPr>
        <w:t xml:space="preserve">et al.</w:t>
      </w:r>
      <w:r w:rsidDel="00000000" w:rsidR="00000000" w:rsidRPr="00000000">
        <w:rPr>
          <w:sz w:val="23"/>
          <w:szCs w:val="23"/>
          <w:rtl w:val="0"/>
        </w:rPr>
        <w:t xml:space="preserve"> 2022). Moreover, Lean can enhance communication and workflow; however, sustainability is weaker when implementation is limited to specific departments, but not to the organisational culture (Souza </w:t>
      </w:r>
      <w:r w:rsidDel="00000000" w:rsidR="00000000" w:rsidRPr="00000000">
        <w:rPr>
          <w:i w:val="1"/>
          <w:iCs w:val="1"/>
          <w:sz w:val="23"/>
          <w:szCs w:val="23"/>
          <w:rtl w:val="0"/>
        </w:rPr>
        <w:t xml:space="preserve">et al. </w:t>
      </w:r>
      <w:r w:rsidDel="00000000" w:rsidR="00000000" w:rsidRPr="00000000">
        <w:rPr>
          <w:sz w:val="23"/>
          <w:szCs w:val="23"/>
          <w:rtl w:val="0"/>
        </w:rPr>
        <w:t xml:space="preserve">2023). This is especially relevant if speed cannot in itself overcome defensive culture.</w:t>
      </w:r>
      <w:r w:rsidDel="00000000" w:rsidR="00000000" w:rsidRPr="00000000">
        <w:rPr>
          <w:rtl w:val="0"/>
        </w:rPr>
        <w:t xml:space="preserve"> </w:t>
      </w:r>
    </w:p>
    <w:p w:rsidR="00000000" w:rsidDel="00000000" w:rsidP="00000000" w:rsidRDefault="00000000" w:rsidRPr="00000000" w14:paraId="000000A9">
      <w:pPr>
        <w:pStyle w:val="Heading2"/>
        <w:rPr/>
      </w:pPr>
      <w:bookmarkStart w:colFirst="0" w:colLast="0" w:name="_mz0ikqfcjvoy" w:id="23"/>
      <w:bookmarkEnd w:id="23"/>
      <w:r w:rsidDel="00000000" w:rsidR="00000000" w:rsidRPr="00000000">
        <w:rPr>
          <w:rtl w:val="0"/>
        </w:rPr>
        <w:t xml:space="preserve">3.4 Recommendation 4: Standardised Patient-Safety Learning and Care Reliability Programme</w:t>
      </w:r>
    </w:p>
    <w:p w:rsidR="00000000" w:rsidDel="00000000" w:rsidP="00000000" w:rsidRDefault="00000000" w:rsidRPr="00000000" w14:paraId="000000AA">
      <w:pPr>
        <w:rPr/>
      </w:pPr>
      <w:r w:rsidDel="00000000" w:rsidR="00000000" w:rsidRPr="00000000">
        <w:rPr>
          <w:rtl w:val="0"/>
        </w:rPr>
        <w:t xml:space="preserve">Mid Staffordshire needs to implement a patient-safety learning and care-reliability programme based on Six Sigma DMAIC model to minimise variation in monitoring, escalation, essential care and response to safety incidents (Ahmed, 2019). Define should identify priority failures, such as missed observations, escalation delay or insufficient nutrition or hydration support. Measure should determine baseline frequencies, compliance rates and inter-ward variation. Triangulation of incidents, complaints, audits and patient experiences should be analysed to determine common system causes rather than automatically blaming the failure on an individual staff member (Fernando </w:t>
      </w:r>
      <w:r w:rsidDel="00000000" w:rsidR="00000000" w:rsidRPr="00000000">
        <w:rPr>
          <w:i w:val="1"/>
          <w:iCs w:val="1"/>
          <w:rtl w:val="0"/>
        </w:rPr>
        <w:t xml:space="preserve">et al.</w:t>
      </w:r>
      <w:r w:rsidDel="00000000" w:rsidR="00000000" w:rsidRPr="00000000">
        <w:rPr>
          <w:rtl w:val="0"/>
        </w:rPr>
        <w:t xml:space="preserve"> 2023). Improve should implement uniform monitoring standards, escalation mechanisms, employee training and multidisciplinary learning audits. Use of regular audits, governance dashboards and outcome indicators as controls to identify deterioration and help maintain improvements (Alhmoud </w:t>
      </w:r>
      <w:r w:rsidDel="00000000" w:rsidR="00000000" w:rsidRPr="00000000">
        <w:rPr>
          <w:i w:val="1"/>
          <w:iCs w:val="1"/>
          <w:rtl w:val="0"/>
        </w:rPr>
        <w:t xml:space="preserve">et al. </w:t>
      </w:r>
      <w:r w:rsidDel="00000000" w:rsidR="00000000" w:rsidRPr="00000000">
        <w:rPr>
          <w:rtl w:val="0"/>
        </w:rPr>
        <w:t xml:space="preserve">2022). While DMAIC is a systematic process of uncovering variation and waste in healthcare processes, the evidence is context-dependent (Jiang </w:t>
      </w:r>
      <w:r w:rsidDel="00000000" w:rsidR="00000000" w:rsidRPr="00000000">
        <w:rPr>
          <w:i w:val="1"/>
          <w:iCs w:val="1"/>
          <w:rtl w:val="0"/>
        </w:rPr>
        <w:t xml:space="preserve">et al.</w:t>
      </w:r>
      <w:r w:rsidDel="00000000" w:rsidR="00000000" w:rsidRPr="00000000">
        <w:rPr>
          <w:rtl w:val="0"/>
        </w:rPr>
        <w:t xml:space="preserve"> 2025). Therefore, numerical compliance should support, rather than replace, patient experience and professional judgement and should be maintained with a clear sense of accountability and consequences of poor performance immediately addressed.</w:t>
      </w:r>
    </w:p>
    <w:p w:rsidR="00000000" w:rsidDel="00000000" w:rsidP="00000000" w:rsidRDefault="00000000" w:rsidRPr="00000000" w14:paraId="000000AB">
      <w:pPr>
        <w:pStyle w:val="Heading1"/>
        <w:rPr/>
      </w:pPr>
      <w:bookmarkStart w:colFirst="0" w:colLast="0" w:name="_n0g85gbu6q52" w:id="24"/>
      <w:bookmarkEnd w:id="24"/>
      <w:r w:rsidDel="00000000" w:rsidR="00000000" w:rsidRPr="00000000">
        <w:rPr>
          <w:rtl w:val="0"/>
        </w:rPr>
        <w:t xml:space="preserve">4. Conclusion</w:t>
      </w:r>
    </w:p>
    <w:p w:rsidR="00000000" w:rsidDel="00000000" w:rsidP="00000000" w:rsidRDefault="00000000" w:rsidRPr="00000000" w14:paraId="000000AC">
      <w:pPr>
        <w:pStyle w:val="Heading2"/>
        <w:rPr/>
      </w:pPr>
      <w:bookmarkStart w:colFirst="0" w:colLast="0" w:name="_cxm7kg48ccb9" w:id="25"/>
      <w:bookmarkEnd w:id="25"/>
      <w:r w:rsidDel="00000000" w:rsidR="00000000" w:rsidRPr="00000000">
        <w:rPr>
          <w:rtl w:val="0"/>
        </w:rPr>
        <w:t xml:space="preserve">4.1 Overall finding</w:t>
      </w:r>
    </w:p>
    <w:p w:rsidR="00000000" w:rsidDel="00000000" w:rsidP="00000000" w:rsidRDefault="00000000" w:rsidRPr="00000000" w14:paraId="000000AD">
      <w:pPr>
        <w:rPr/>
      </w:pPr>
      <w:r w:rsidDel="00000000" w:rsidR="00000000" w:rsidRPr="00000000">
        <w:rPr>
          <w:rtl w:val="0"/>
        </w:rPr>
        <w:t xml:space="preserve">This analysis shows that failures at Mid Staffordshire were a systemic failure in quality assurance and patient safety and not individual misconduct. Continuous shortage in personnel, clinical oversight, leadership and governance fostered environments where unsafe and undignified care was perpetuated. These weaknesses were further exacerbated by a defensive organisational culture and a lack of response to complaints and incidents. Therefore, individual nurses, managers or even one policy cannot be considered as being at fault; rather, multiple levels of organisational priorities and failures, interacting with each other, have resulted in a compromise in safe, responsive and patient oriented care.</w:t>
      </w:r>
    </w:p>
    <w:p w:rsidR="00000000" w:rsidDel="00000000" w:rsidP="00000000" w:rsidRDefault="00000000" w:rsidRPr="00000000" w14:paraId="000000AE">
      <w:pPr>
        <w:pStyle w:val="Heading2"/>
        <w:rPr/>
      </w:pPr>
      <w:bookmarkStart w:colFirst="0" w:colLast="0" w:name="_s45wxckxmswd" w:id="26"/>
      <w:bookmarkEnd w:id="26"/>
      <w:r w:rsidDel="00000000" w:rsidR="00000000" w:rsidRPr="00000000">
        <w:rPr>
          <w:rtl w:val="0"/>
        </w:rPr>
        <w:t xml:space="preserve">4.2 Root-cause synthesis </w:t>
      </w:r>
    </w:p>
    <w:p w:rsidR="00000000" w:rsidDel="00000000" w:rsidP="00000000" w:rsidRDefault="00000000" w:rsidRPr="00000000" w14:paraId="000000AF">
      <w:pPr>
        <w:rPr/>
      </w:pPr>
      <w:r w:rsidDel="00000000" w:rsidR="00000000" w:rsidRPr="00000000">
        <w:rPr>
          <w:rtl w:val="0"/>
        </w:rPr>
        <w:t xml:space="preserve">Collectively, Fishbone, along with Five Whys, Donabedian and SWOT analyses show that the analysis has converged on the issue of staffing pressures, lack of leadership, poor governance, unsafe organisational culture and disjointed quality intelligence. Workforce limitations decrease frontline capacity, whereas governance weaknesses reduce risks from receiving appropriate scrutiny and escalation. A non-receptive safety culture further inhibited challenge and organisational learning. More importantly, there was the presence of complaints, incidents, mortality concerns and workforce information, which were not adequately combined to be a part of decision-making. It was not a single operational failure that was the main root cause but a system within an organisation that did not appreciate, link and act upon the cumulative evidence of worsening care.</w:t>
      </w:r>
    </w:p>
    <w:p w:rsidR="00000000" w:rsidDel="00000000" w:rsidP="00000000" w:rsidRDefault="00000000" w:rsidRPr="00000000" w14:paraId="000000B0">
      <w:pPr>
        <w:pStyle w:val="Heading2"/>
        <w:rPr/>
      </w:pPr>
      <w:bookmarkStart w:colFirst="0" w:colLast="0" w:name="_iykajewheuin" w:id="27"/>
      <w:bookmarkEnd w:id="27"/>
      <w:r w:rsidDel="00000000" w:rsidR="00000000" w:rsidRPr="00000000">
        <w:rPr>
          <w:rtl w:val="0"/>
        </w:rPr>
        <w:t xml:space="preserve">4.3 Service-improvement judgement </w:t>
      </w:r>
    </w:p>
    <w:p w:rsidR="00000000" w:rsidDel="00000000" w:rsidP="00000000" w:rsidRDefault="00000000" w:rsidRPr="00000000" w14:paraId="000000B1">
      <w:pPr>
        <w:rPr/>
      </w:pPr>
      <w:r w:rsidDel="00000000" w:rsidR="00000000" w:rsidRPr="00000000">
        <w:rPr>
          <w:rtl w:val="0"/>
        </w:rPr>
        <w:t xml:space="preserve">Reform of the policy is not sufficient to ensure a sustainable enhancement, unless the standards are regularly translated into frontline practice. The key areas of improvement need to be effective through reliable staffing, built-in safety intelligence, quick escalation, safeguarded staff voice, meaningful patient engagement and responsible leadership. These aspects must work as a continuous learning system where risks, as they arise, lead to action, review and sustained organisational improvement, which is measurable.</w:t>
      </w:r>
    </w:p>
    <w:p w:rsidR="00000000" w:rsidDel="00000000" w:rsidP="00000000" w:rsidRDefault="00000000" w:rsidRPr="00000000" w14:paraId="000000B2">
      <w:pPr>
        <w:rPr/>
      </w:pPr>
      <w:r w:rsidDel="00000000" w:rsidR="00000000" w:rsidRPr="00000000">
        <w:br w:type="page"/>
      </w:r>
      <w:r w:rsidDel="00000000" w:rsidR="00000000" w:rsidRPr="00000000">
        <w:rPr>
          <w:rtl w:val="0"/>
        </w:rPr>
      </w:r>
    </w:p>
    <w:p w:rsidR="00000000" w:rsidDel="00000000" w:rsidP="00000000" w:rsidRDefault="00000000" w:rsidRPr="00000000" w14:paraId="000000B3">
      <w:pPr>
        <w:pStyle w:val="Heading1"/>
        <w:rPr/>
      </w:pPr>
      <w:bookmarkStart w:colFirst="0" w:colLast="0" w:name="_4wqsfy9gmbun" w:id="28"/>
      <w:bookmarkEnd w:id="28"/>
      <w:r w:rsidDel="00000000" w:rsidR="00000000" w:rsidRPr="00000000">
        <w:rPr>
          <w:rtl w:val="0"/>
        </w:rPr>
        <w:t xml:space="preserve">References</w:t>
      </w:r>
    </w:p>
    <w:p w:rsidR="00000000" w:rsidDel="00000000" w:rsidP="00000000" w:rsidRDefault="00000000" w:rsidRPr="00000000" w14:paraId="000000B4">
      <w:pPr>
        <w:rPr/>
      </w:pPr>
      <w:r w:rsidDel="00000000" w:rsidR="00000000" w:rsidRPr="00000000">
        <w:rPr>
          <w:rtl w:val="0"/>
        </w:rPr>
        <w:t xml:space="preserve">Ahmed, S. (2019). Integrating DMAIC approach of Lean Six Sigma and theory of constraints toward quality improvement in healthcare. </w:t>
      </w:r>
      <w:r w:rsidDel="00000000" w:rsidR="00000000" w:rsidRPr="00000000">
        <w:rPr>
          <w:i w:val="1"/>
          <w:iCs w:val="1"/>
          <w:rtl w:val="0"/>
        </w:rPr>
        <w:t xml:space="preserve">Reviews on Environmental Health</w:t>
      </w:r>
      <w:r w:rsidDel="00000000" w:rsidR="00000000" w:rsidRPr="00000000">
        <w:rPr>
          <w:rtl w:val="0"/>
        </w:rPr>
        <w:t xml:space="preserve">, </w:t>
      </w:r>
      <w:r w:rsidDel="00000000" w:rsidR="00000000" w:rsidRPr="00000000">
        <w:rPr>
          <w:i w:val="1"/>
          <w:iCs w:val="1"/>
          <w:rtl w:val="0"/>
        </w:rPr>
        <w:t xml:space="preserve">34</w:t>
      </w:r>
      <w:r w:rsidDel="00000000" w:rsidR="00000000" w:rsidRPr="00000000">
        <w:rPr>
          <w:rtl w:val="0"/>
        </w:rPr>
        <w:t xml:space="preserve">(4), 427–434. </w:t>
      </w:r>
      <w:hyperlink r:id="rId10">
        <w:r w:rsidDel="00000000" w:rsidR="00000000" w:rsidRPr="00000000">
          <w:rPr>
            <w:color w:val="0000ff"/>
            <w:u w:val="single"/>
            <w:rtl w:val="0"/>
          </w:rPr>
          <w:t xml:space="preserve">https://doi.org/10.1515/reveh-2019-0003</w:t>
        </w:r>
      </w:hyperlink>
      <w:r w:rsidDel="00000000" w:rsidR="00000000" w:rsidRPr="00000000">
        <w:rPr>
          <w:rtl w:val="0"/>
        </w:rPr>
        <w:t xml:space="preserve"> </w:t>
      </w:r>
    </w:p>
    <w:p w:rsidR="00000000" w:rsidDel="00000000" w:rsidP="00000000" w:rsidRDefault="00000000" w:rsidRPr="00000000" w14:paraId="000000B5">
      <w:pPr>
        <w:rPr/>
      </w:pPr>
      <w:r w:rsidDel="00000000" w:rsidR="00000000" w:rsidRPr="00000000">
        <w:rPr>
          <w:rtl w:val="0"/>
        </w:rPr>
        <w:t xml:space="preserve">Ahmedani, M.S. (2020). Root Cause Analysis: A Quality Tool using 5 Whys.. </w:t>
      </w:r>
      <w:hyperlink r:id="rId11">
        <w:r w:rsidDel="00000000" w:rsidR="00000000" w:rsidRPr="00000000">
          <w:rPr>
            <w:color w:val="0000ff"/>
            <w:u w:val="single"/>
            <w:rtl w:val="0"/>
          </w:rPr>
          <w:t xml:space="preserve">https://doi.org/10.13140/RG.2.2.24886.73288</w:t>
        </w:r>
      </w:hyperlink>
      <w:r w:rsidDel="00000000" w:rsidR="00000000" w:rsidRPr="00000000">
        <w:rPr>
          <w:rtl w:val="0"/>
        </w:rPr>
        <w:t xml:space="preserve"> </w:t>
      </w:r>
    </w:p>
    <w:p w:rsidR="00000000" w:rsidDel="00000000" w:rsidP="00000000" w:rsidRDefault="00000000" w:rsidRPr="00000000" w14:paraId="000000B6">
      <w:pPr>
        <w:rPr/>
      </w:pPr>
      <w:r w:rsidDel="00000000" w:rsidR="00000000" w:rsidRPr="00000000">
        <w:rPr>
          <w:rtl w:val="0"/>
        </w:rPr>
        <w:t xml:space="preserve">Al-Ghraiybah, T., Lago, L., Fernandez, R. and Sim, J. (2024). Effects of the nursing practice environment, nurse staffing, patient surveillance and escalation of care on patient mortality: A multi-source quantitative study. </w:t>
      </w:r>
      <w:r w:rsidDel="00000000" w:rsidR="00000000" w:rsidRPr="00000000">
        <w:rPr>
          <w:i w:val="1"/>
          <w:iCs w:val="1"/>
          <w:rtl w:val="0"/>
        </w:rPr>
        <w:t xml:space="preserve">International Journal of Nursing Studies</w:t>
      </w:r>
      <w:r w:rsidDel="00000000" w:rsidR="00000000" w:rsidRPr="00000000">
        <w:rPr>
          <w:rtl w:val="0"/>
        </w:rPr>
        <w:t xml:space="preserve">, </w:t>
      </w:r>
      <w:r w:rsidDel="00000000" w:rsidR="00000000" w:rsidRPr="00000000">
        <w:rPr>
          <w:i w:val="1"/>
          <w:iCs w:val="1"/>
          <w:rtl w:val="0"/>
        </w:rPr>
        <w:t xml:space="preserve">156</w:t>
      </w:r>
      <w:r w:rsidDel="00000000" w:rsidR="00000000" w:rsidRPr="00000000">
        <w:rPr>
          <w:rtl w:val="0"/>
        </w:rPr>
        <w:t xml:space="preserve">, 104777. </w:t>
      </w:r>
      <w:hyperlink r:id="rId12">
        <w:r w:rsidDel="00000000" w:rsidR="00000000" w:rsidRPr="00000000">
          <w:rPr>
            <w:color w:val="0000ff"/>
            <w:u w:val="single"/>
            <w:rtl w:val="0"/>
          </w:rPr>
          <w:t xml:space="preserve">https://doi.org/10.1016/j.ijnurstu.2024.104777</w:t>
        </w:r>
      </w:hyperlink>
      <w:r w:rsidDel="00000000" w:rsidR="00000000" w:rsidRPr="00000000">
        <w:rPr>
          <w:rtl w:val="0"/>
        </w:rPr>
        <w:t xml:space="preserve"> </w:t>
      </w:r>
    </w:p>
    <w:p w:rsidR="00000000" w:rsidDel="00000000" w:rsidP="00000000" w:rsidRDefault="00000000" w:rsidRPr="00000000" w14:paraId="000000B7">
      <w:pPr>
        <w:rPr/>
      </w:pPr>
      <w:r w:rsidDel="00000000" w:rsidR="00000000" w:rsidRPr="00000000">
        <w:rPr>
          <w:rtl w:val="0"/>
        </w:rPr>
        <w:t xml:space="preserve">Alhmoud, B., Melley, D., Khan, N., Bonicci, T., Patel, R. and Banerjee, A. (2022). Evaluating a novel, integrative dashboard for health professionals’ performance in managing deteriorating patients: a quality improvement project. </w:t>
      </w:r>
      <w:r w:rsidDel="00000000" w:rsidR="00000000" w:rsidRPr="00000000">
        <w:rPr>
          <w:i w:val="1"/>
          <w:iCs w:val="1"/>
          <w:rtl w:val="0"/>
        </w:rPr>
        <w:t xml:space="preserve">BMJ Open Quality</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(4), e002033. </w:t>
      </w:r>
      <w:hyperlink r:id="rId13">
        <w:r w:rsidDel="00000000" w:rsidR="00000000" w:rsidRPr="00000000">
          <w:rPr>
            <w:color w:val="0000ff"/>
            <w:u w:val="single"/>
            <w:rtl w:val="0"/>
          </w:rPr>
          <w:t xml:space="preserve">https://doi.org/10.1136/bmjoq-2022-002033</w:t>
        </w:r>
      </w:hyperlink>
      <w:r w:rsidDel="00000000" w:rsidR="00000000" w:rsidRPr="00000000">
        <w:rPr>
          <w:rtl w:val="0"/>
        </w:rPr>
        <w:t xml:space="preserve"> </w:t>
      </w:r>
    </w:p>
    <w:p w:rsidR="00000000" w:rsidDel="00000000" w:rsidP="00000000" w:rsidRDefault="00000000" w:rsidRPr="00000000" w14:paraId="000000B8">
      <w:pPr>
        <w:rPr/>
      </w:pPr>
      <w:r w:rsidDel="00000000" w:rsidR="00000000" w:rsidRPr="00000000">
        <w:rPr>
          <w:rtl w:val="0"/>
        </w:rPr>
        <w:t xml:space="preserve">Althobaiti, F. M. (2026). The effects of leadership on patient safety culture in health care: a systematic review. </w:t>
      </w:r>
      <w:r w:rsidDel="00000000" w:rsidR="00000000" w:rsidRPr="00000000">
        <w:rPr>
          <w:i w:val="1"/>
          <w:iCs w:val="1"/>
          <w:rtl w:val="0"/>
        </w:rPr>
        <w:t xml:space="preserve">BMC Nursing</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(1), 125. </w:t>
      </w:r>
      <w:hyperlink r:id="rId14">
        <w:r w:rsidDel="00000000" w:rsidR="00000000" w:rsidRPr="00000000">
          <w:rPr>
            <w:color w:val="0000ff"/>
            <w:u w:val="single"/>
            <w:rtl w:val="0"/>
          </w:rPr>
          <w:t xml:space="preserve">https://doi.org/10.1186/s12912-025-04263-7</w:t>
        </w:r>
      </w:hyperlink>
      <w:r w:rsidDel="00000000" w:rsidR="00000000" w:rsidRPr="00000000">
        <w:rPr>
          <w:rtl w:val="0"/>
        </w:rPr>
        <w:t xml:space="preserve"> </w:t>
      </w:r>
    </w:p>
    <w:p w:rsidR="00000000" w:rsidDel="00000000" w:rsidP="00000000" w:rsidRDefault="00000000" w:rsidRPr="00000000" w14:paraId="000000B9">
      <w:pPr>
        <w:rPr/>
      </w:pPr>
      <w:r w:rsidDel="00000000" w:rsidR="00000000" w:rsidRPr="00000000">
        <w:rPr>
          <w:rtl w:val="0"/>
        </w:rPr>
        <w:t xml:space="preserve">Asamani, L. (2020). Promote Safety Culture and Enhance Safety Performance through Safety Behaviour. </w:t>
      </w:r>
      <w:r w:rsidDel="00000000" w:rsidR="00000000" w:rsidRPr="00000000">
        <w:rPr>
          <w:i w:val="1"/>
          <w:iCs w:val="1"/>
          <w:rtl w:val="0"/>
        </w:rPr>
        <w:t xml:space="preserve">European Journal of Business Management and Research</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(4). </w:t>
      </w:r>
      <w:hyperlink r:id="rId15">
        <w:r w:rsidDel="00000000" w:rsidR="00000000" w:rsidRPr="00000000">
          <w:rPr>
            <w:color w:val="0000ff"/>
            <w:u w:val="single"/>
            <w:rtl w:val="0"/>
          </w:rPr>
          <w:t xml:space="preserve">https://doi.org/10.24018/ejbmr.2020.5.4.405</w:t>
        </w:r>
      </w:hyperlink>
      <w:r w:rsidDel="00000000" w:rsidR="00000000" w:rsidRPr="00000000">
        <w:rPr>
          <w:rtl w:val="0"/>
        </w:rPr>
        <w:t xml:space="preserve"> </w:t>
      </w:r>
    </w:p>
    <w:p w:rsidR="00000000" w:rsidDel="00000000" w:rsidP="00000000" w:rsidRDefault="00000000" w:rsidRPr="00000000" w14:paraId="000000BA">
      <w:pPr>
        <w:rPr/>
      </w:pPr>
      <w:r w:rsidDel="00000000" w:rsidR="00000000" w:rsidRPr="00000000">
        <w:rPr>
          <w:rtl w:val="0"/>
        </w:rPr>
        <w:t xml:space="preserve">BBC News. (2019, December 19). </w:t>
      </w:r>
      <w:r w:rsidDel="00000000" w:rsidR="00000000" w:rsidRPr="00000000">
        <w:rPr>
          <w:i w:val="1"/>
          <w:iCs w:val="1"/>
          <w:rtl w:val="0"/>
        </w:rPr>
        <w:t xml:space="preserve">Stafford Hospital scandal: The real story behind Channel 4’s The Cure</w:t>
      </w:r>
      <w:r w:rsidDel="00000000" w:rsidR="00000000" w:rsidRPr="00000000">
        <w:rPr>
          <w:rtl w:val="0"/>
        </w:rPr>
        <w:t xml:space="preserve">. </w:t>
      </w:r>
      <w:hyperlink r:id="rId16">
        <w:r w:rsidDel="00000000" w:rsidR="00000000" w:rsidRPr="00000000">
          <w:rPr>
            <w:color w:val="0000ff"/>
            <w:u w:val="single"/>
            <w:rtl w:val="0"/>
          </w:rPr>
          <w:t xml:space="preserve">https://www.bbc.com/news/uk-england-stoke-staffordshire-50836324</w:t>
        </w:r>
      </w:hyperlink>
      <w:r w:rsidDel="00000000" w:rsidR="00000000" w:rsidRPr="00000000">
        <w:rPr>
          <w:rtl w:val="0"/>
        </w:rPr>
        <w:t xml:space="preserve"> </w:t>
      </w:r>
    </w:p>
    <w:p w:rsidR="00000000" w:rsidDel="00000000" w:rsidP="00000000" w:rsidRDefault="00000000" w:rsidRPr="00000000" w14:paraId="000000BB">
      <w:pPr>
        <w:rPr/>
      </w:pPr>
      <w:r w:rsidDel="00000000" w:rsidR="00000000" w:rsidRPr="00000000">
        <w:rPr>
          <w:rtl w:val="0"/>
        </w:rPr>
        <w:t xml:space="preserve">Biswal, B., Awasthi, S. and Sharma, V. (2022). Organizational performance indicators and their influence on patient satisfaction in healthcare environments. </w:t>
      </w:r>
      <w:r w:rsidDel="00000000" w:rsidR="00000000" w:rsidRPr="00000000">
        <w:rPr>
          <w:i w:val="1"/>
          <w:iCs w:val="1"/>
          <w:rtl w:val="0"/>
        </w:rPr>
        <w:t xml:space="preserve">Health Leadership and Quality of Life</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 121. </w:t>
      </w:r>
      <w:hyperlink r:id="rId17">
        <w:r w:rsidDel="00000000" w:rsidR="00000000" w:rsidRPr="00000000">
          <w:rPr>
            <w:color w:val="0000ff"/>
            <w:u w:val="single"/>
            <w:rtl w:val="0"/>
          </w:rPr>
          <w:t xml:space="preserve">https://doi.org/10.56294/hl2022121</w:t>
        </w:r>
      </w:hyperlink>
      <w:r w:rsidDel="00000000" w:rsidR="00000000" w:rsidRPr="00000000">
        <w:rPr>
          <w:rtl w:val="0"/>
        </w:rPr>
        <w:t xml:space="preserve"> </w:t>
      </w:r>
    </w:p>
    <w:p w:rsidR="00000000" w:rsidDel="00000000" w:rsidP="00000000" w:rsidRDefault="00000000" w:rsidRPr="00000000" w14:paraId="000000BC">
      <w:pPr>
        <w:rPr/>
      </w:pPr>
      <w:r w:rsidDel="00000000" w:rsidR="00000000" w:rsidRPr="00000000">
        <w:rPr>
          <w:rtl w:val="0"/>
        </w:rPr>
        <w:t xml:space="preserve">Campbell, D. (2022, August 17). Mid Staffs hospital scandal: the essential guide. </w:t>
      </w:r>
      <w:r w:rsidDel="00000000" w:rsidR="00000000" w:rsidRPr="00000000">
        <w:rPr>
          <w:i w:val="1"/>
          <w:iCs w:val="1"/>
          <w:rtl w:val="0"/>
        </w:rPr>
        <w:t xml:space="preserve">The Guardian</w:t>
      </w:r>
      <w:r w:rsidDel="00000000" w:rsidR="00000000" w:rsidRPr="00000000">
        <w:rPr>
          <w:rtl w:val="0"/>
        </w:rPr>
        <w:t xml:space="preserve">. </w:t>
      </w:r>
      <w:hyperlink r:id="rId18">
        <w:r w:rsidDel="00000000" w:rsidR="00000000" w:rsidRPr="00000000">
          <w:rPr>
            <w:color w:val="0000ff"/>
            <w:u w:val="single"/>
            <w:rtl w:val="0"/>
          </w:rPr>
          <w:t xml:space="preserve">https://www.theguardian.com/society/2013/feb/06/mid-staffs-hospital-scandal-guide</w:t>
        </w:r>
      </w:hyperlink>
      <w:r w:rsidDel="00000000" w:rsidR="00000000" w:rsidRPr="00000000">
        <w:rPr>
          <w:rtl w:val="0"/>
        </w:rPr>
        <w:t xml:space="preserve"> </w:t>
      </w:r>
    </w:p>
    <w:p w:rsidR="00000000" w:rsidDel="00000000" w:rsidP="00000000" w:rsidRDefault="00000000" w:rsidRPr="00000000" w14:paraId="000000BD">
      <w:pPr>
        <w:rPr/>
      </w:pPr>
      <w:r w:rsidDel="00000000" w:rsidR="00000000" w:rsidRPr="00000000">
        <w:rPr>
          <w:rtl w:val="0"/>
        </w:rPr>
        <w:t xml:space="preserve">CQC. (2025a). </w:t>
      </w:r>
      <w:r w:rsidDel="00000000" w:rsidR="00000000" w:rsidRPr="00000000">
        <w:rPr>
          <w:i w:val="1"/>
          <w:iCs w:val="1"/>
          <w:rtl w:val="0"/>
        </w:rPr>
        <w:t xml:space="preserve">Regulations for service providers and managers - Care Quality Commission</w:t>
      </w:r>
      <w:r w:rsidDel="00000000" w:rsidR="00000000" w:rsidRPr="00000000">
        <w:rPr>
          <w:rtl w:val="0"/>
        </w:rPr>
        <w:t xml:space="preserve">. </w:t>
      </w:r>
      <w:hyperlink r:id="rId19">
        <w:r w:rsidDel="00000000" w:rsidR="00000000" w:rsidRPr="00000000">
          <w:rPr>
            <w:color w:val="0000ff"/>
            <w:u w:val="single"/>
            <w:rtl w:val="0"/>
          </w:rPr>
          <w:t xml:space="preserve">https://www.cqc.org.uk/guidance-regulation/providers/regulations-service-providers-and-managers</w:t>
        </w:r>
      </w:hyperlink>
      <w:r w:rsidDel="00000000" w:rsidR="00000000" w:rsidRPr="00000000">
        <w:rPr>
          <w:rtl w:val="0"/>
        </w:rPr>
        <w:t xml:space="preserve"> </w:t>
      </w:r>
    </w:p>
    <w:p w:rsidR="00000000" w:rsidDel="00000000" w:rsidP="00000000" w:rsidRDefault="00000000" w:rsidRPr="00000000" w14:paraId="000000BE">
      <w:pPr>
        <w:rPr/>
      </w:pPr>
      <w:r w:rsidDel="00000000" w:rsidR="00000000" w:rsidRPr="00000000">
        <w:rPr>
          <w:rtl w:val="0"/>
        </w:rPr>
        <w:t xml:space="preserve">CQC. (2025b). </w:t>
      </w:r>
      <w:r w:rsidDel="00000000" w:rsidR="00000000" w:rsidRPr="00000000">
        <w:rPr>
          <w:rFonts w:ascii="Cambria" w:cs="Cambria" w:eastAsia="Cambria" w:hAnsi="Cambria"/>
          <w:i w:val="1"/>
          <w:iCs w:val="1"/>
          <w:rtl w:val="0"/>
        </w:rPr>
        <w:t xml:space="preserve">Regulation 18: Staffing - Care Quality Commission</w:t>
      </w:r>
      <w:r w:rsidDel="00000000" w:rsidR="00000000" w:rsidRPr="00000000">
        <w:rPr>
          <w:rFonts w:ascii="Cambria" w:cs="Cambria" w:eastAsia="Cambria" w:hAnsi="Cambria"/>
          <w:rtl w:val="0"/>
        </w:rPr>
        <w:t xml:space="preserve">. </w:t>
      </w:r>
      <w:hyperlink r:id="rId20">
        <w:r w:rsidDel="00000000" w:rsidR="00000000" w:rsidRPr="00000000">
          <w:rPr>
            <w:color w:val="0000ff"/>
            <w:u w:val="single"/>
            <w:rtl w:val="0"/>
          </w:rPr>
          <w:t xml:space="preserve">https://www.cqc.org.uk/guidance-regulation/providers/regulations-service-providers-and-managers/health-social-care-act/regulation-18</w:t>
        </w:r>
      </w:hyperlink>
      <w:r w:rsidDel="00000000" w:rsidR="00000000" w:rsidRPr="00000000">
        <w:rPr>
          <w:rtl w:val="0"/>
        </w:rPr>
        <w:t xml:space="preserve"> </w:t>
      </w:r>
    </w:p>
    <w:p w:rsidR="00000000" w:rsidDel="00000000" w:rsidP="00000000" w:rsidRDefault="00000000" w:rsidRPr="00000000" w14:paraId="000000BF">
      <w:pPr>
        <w:rPr/>
      </w:pPr>
      <w:r w:rsidDel="00000000" w:rsidR="00000000" w:rsidRPr="00000000">
        <w:rPr>
          <w:rtl w:val="0"/>
        </w:rPr>
        <w:t xml:space="preserve">CQC. (2025c). </w:t>
      </w:r>
      <w:r w:rsidDel="00000000" w:rsidR="00000000" w:rsidRPr="00000000">
        <w:rPr>
          <w:i w:val="1"/>
          <w:iCs w:val="1"/>
          <w:rtl w:val="0"/>
        </w:rPr>
        <w:t xml:space="preserve">Regulation 17: Good governance - Care Quality Commission</w:t>
      </w:r>
      <w:r w:rsidDel="00000000" w:rsidR="00000000" w:rsidRPr="00000000">
        <w:rPr>
          <w:rtl w:val="0"/>
        </w:rPr>
        <w:t xml:space="preserve">. </w:t>
      </w:r>
      <w:hyperlink r:id="rId21">
        <w:r w:rsidDel="00000000" w:rsidR="00000000" w:rsidRPr="00000000">
          <w:rPr>
            <w:color w:val="0000ff"/>
            <w:u w:val="single"/>
            <w:rtl w:val="0"/>
          </w:rPr>
          <w:t xml:space="preserve">https://www.cqc.org.uk/guidance-regulation/providers/regulations-service-providers-and-managers/health-social-care-act/regulation-17?trk=public_post_comment-text&amp;utm</w:t>
        </w:r>
      </w:hyperlink>
      <w:r w:rsidDel="00000000" w:rsidR="00000000" w:rsidRPr="00000000">
        <w:rPr>
          <w:rtl w:val="0"/>
        </w:rPr>
        <w:t xml:space="preserve"> </w:t>
      </w:r>
    </w:p>
    <w:p w:rsidR="00000000" w:rsidDel="00000000" w:rsidP="00000000" w:rsidRDefault="00000000" w:rsidRPr="00000000" w14:paraId="000000C0">
      <w:pPr>
        <w:rPr/>
      </w:pPr>
      <w:r w:rsidDel="00000000" w:rsidR="00000000" w:rsidRPr="00000000">
        <w:rPr>
          <w:rtl w:val="0"/>
        </w:rPr>
        <w:t xml:space="preserve">CQC. (2025d). </w:t>
      </w:r>
      <w:r w:rsidDel="00000000" w:rsidR="00000000" w:rsidRPr="00000000">
        <w:rPr>
          <w:rFonts w:ascii="Cambria" w:cs="Cambria" w:eastAsia="Cambria" w:hAnsi="Cambria"/>
          <w:i w:val="1"/>
          <w:iCs w:val="1"/>
          <w:rtl w:val="0"/>
        </w:rPr>
        <w:t xml:space="preserve">Regulation 20: Duty of candour - Care Quality Commission</w:t>
      </w:r>
      <w:r w:rsidDel="00000000" w:rsidR="00000000" w:rsidRPr="00000000">
        <w:rPr>
          <w:rFonts w:ascii="Cambria" w:cs="Cambria" w:eastAsia="Cambria" w:hAnsi="Cambria"/>
          <w:rtl w:val="0"/>
        </w:rPr>
        <w:t xml:space="preserve">. </w:t>
      </w:r>
      <w:hyperlink r:id="rId22">
        <w:r w:rsidDel="00000000" w:rsidR="00000000" w:rsidRPr="00000000">
          <w:rPr>
            <w:color w:val="0000ff"/>
            <w:u w:val="single"/>
            <w:rtl w:val="0"/>
          </w:rPr>
          <w:t xml:space="preserve">https://www.cqc.org.uk/guidance-regulation/providers/regulations-service-providers-and-managers/health-social-care-act/regulation-20</w:t>
        </w:r>
      </w:hyperlink>
      <w:r w:rsidDel="00000000" w:rsidR="00000000" w:rsidRPr="00000000">
        <w:rPr>
          <w:rtl w:val="0"/>
        </w:rPr>
        <w:t xml:space="preserve"> </w:t>
      </w:r>
    </w:p>
    <w:p w:rsidR="00000000" w:rsidDel="00000000" w:rsidP="00000000" w:rsidRDefault="00000000" w:rsidRPr="00000000" w14:paraId="000000C1">
      <w:pPr>
        <w:rPr/>
      </w:pPr>
      <w:r w:rsidDel="00000000" w:rsidR="00000000" w:rsidRPr="00000000">
        <w:rPr>
          <w:rtl w:val="0"/>
        </w:rPr>
        <w:t xml:space="preserve">CQC. (2026). </w:t>
      </w:r>
      <w:r w:rsidDel="00000000" w:rsidR="00000000" w:rsidRPr="00000000">
        <w:rPr>
          <w:i w:val="1"/>
          <w:iCs w:val="1"/>
          <w:rtl w:val="0"/>
        </w:rPr>
        <w:t xml:space="preserve">The fundamental standards of care - Care Quality Commission</w:t>
      </w:r>
      <w:r w:rsidDel="00000000" w:rsidR="00000000" w:rsidRPr="00000000">
        <w:rPr>
          <w:rtl w:val="0"/>
        </w:rPr>
        <w:t xml:space="preserve">. </w:t>
      </w:r>
      <w:hyperlink r:id="rId23">
        <w:r w:rsidDel="00000000" w:rsidR="00000000" w:rsidRPr="00000000">
          <w:rPr>
            <w:color w:val="0000ff"/>
            <w:u w:val="single"/>
            <w:rtl w:val="0"/>
          </w:rPr>
          <w:t xml:space="preserve">https://www.cqc.org.uk/about-us/fundamental-standards</w:t>
        </w:r>
      </w:hyperlink>
      <w:r w:rsidDel="00000000" w:rsidR="00000000" w:rsidRPr="00000000">
        <w:rPr>
          <w:rtl w:val="0"/>
        </w:rPr>
        <w:t xml:space="preserve"> </w:t>
      </w:r>
    </w:p>
    <w:p w:rsidR="00000000" w:rsidDel="00000000" w:rsidP="00000000" w:rsidRDefault="00000000" w:rsidRPr="00000000" w14:paraId="000000C2">
      <w:pPr>
        <w:rPr/>
      </w:pPr>
      <w:r w:rsidDel="00000000" w:rsidR="00000000" w:rsidRPr="00000000">
        <w:rPr>
          <w:rtl w:val="0"/>
        </w:rPr>
        <w:t xml:space="preserve">Davie, S. and Kiran, T. (2020). Partnering with patients to improve access to primary care. </w:t>
      </w:r>
      <w:r w:rsidDel="00000000" w:rsidR="00000000" w:rsidRPr="00000000">
        <w:rPr>
          <w:i w:val="1"/>
          <w:iCs w:val="1"/>
          <w:rtl w:val="0"/>
        </w:rPr>
        <w:t xml:space="preserve">BMJ Open Quality</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(2), e000777. </w:t>
      </w:r>
      <w:hyperlink r:id="rId24">
        <w:r w:rsidDel="00000000" w:rsidR="00000000" w:rsidRPr="00000000">
          <w:rPr>
            <w:color w:val="0000ff"/>
            <w:u w:val="single"/>
            <w:rtl w:val="0"/>
          </w:rPr>
          <w:t xml:space="preserve">https://doi.org/10.1136/bmjoq-2019-000777</w:t>
        </w:r>
      </w:hyperlink>
      <w:r w:rsidDel="00000000" w:rsidR="00000000" w:rsidRPr="00000000">
        <w:rPr>
          <w:rtl w:val="0"/>
        </w:rPr>
        <w:t xml:space="preserve"> </w:t>
      </w:r>
    </w:p>
    <w:p w:rsidR="00000000" w:rsidDel="00000000" w:rsidP="00000000" w:rsidRDefault="00000000" w:rsidRPr="00000000" w14:paraId="000000C3">
      <w:pPr>
        <w:rPr/>
      </w:pPr>
      <w:r w:rsidDel="00000000" w:rsidR="00000000" w:rsidRPr="00000000">
        <w:rPr>
          <w:rtl w:val="0"/>
        </w:rPr>
        <w:t xml:space="preserve">Demirkesen, S. (2021). From lean manufacturing to lean construction: How principles, tools, and techniques evolved. In </w:t>
      </w:r>
      <w:r w:rsidDel="00000000" w:rsidR="00000000" w:rsidRPr="00000000">
        <w:rPr>
          <w:i w:val="1"/>
          <w:iCs w:val="1"/>
          <w:rtl w:val="0"/>
        </w:rPr>
        <w:t xml:space="preserve">IntechOpen eBooks</w:t>
      </w:r>
      <w:r w:rsidDel="00000000" w:rsidR="00000000" w:rsidRPr="00000000">
        <w:rPr>
          <w:rtl w:val="0"/>
        </w:rPr>
        <w:t xml:space="preserve">. </w:t>
      </w:r>
      <w:hyperlink r:id="rId25">
        <w:r w:rsidDel="00000000" w:rsidR="00000000" w:rsidRPr="00000000">
          <w:rPr>
            <w:color w:val="0000ff"/>
            <w:u w:val="single"/>
            <w:rtl w:val="0"/>
          </w:rPr>
          <w:t xml:space="preserve">https://doi.org/10.5772/intechopen.96191</w:t>
        </w:r>
      </w:hyperlink>
      <w:r w:rsidDel="00000000" w:rsidR="00000000" w:rsidRPr="00000000">
        <w:rPr>
          <w:rtl w:val="0"/>
        </w:rPr>
        <w:t xml:space="preserve"> </w:t>
      </w:r>
    </w:p>
    <w:p w:rsidR="00000000" w:rsidDel="00000000" w:rsidP="00000000" w:rsidRDefault="00000000" w:rsidRPr="00000000" w14:paraId="000000C4">
      <w:pPr>
        <w:rPr/>
      </w:pPr>
      <w:r w:rsidDel="00000000" w:rsidR="00000000" w:rsidRPr="00000000">
        <w:rPr>
          <w:rtl w:val="0"/>
        </w:rPr>
        <w:t xml:space="preserve">Dubas-Jakóbczyk, K., Kocot, E., Tambor, M., Szetela, P., Kostrzewska, O., Siegrist, R. B., Jr and Quentin, W. (2022). The Association between Hospital financial Performance and the Quality of Care – A Scoping Literature review. </w:t>
      </w:r>
      <w:r w:rsidDel="00000000" w:rsidR="00000000" w:rsidRPr="00000000">
        <w:rPr>
          <w:i w:val="1"/>
          <w:iCs w:val="1"/>
          <w:rtl w:val="0"/>
        </w:rPr>
        <w:t xml:space="preserve">International Journal of Health Policy and Management</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(12), 2816–2828. </w:t>
      </w:r>
      <w:hyperlink r:id="rId26">
        <w:r w:rsidDel="00000000" w:rsidR="00000000" w:rsidRPr="00000000">
          <w:rPr>
            <w:color w:val="0000ff"/>
            <w:u w:val="single"/>
            <w:rtl w:val="0"/>
          </w:rPr>
          <w:t xml:space="preserve">https://doi.org/10.34172/ijhpm.2022.6957</w:t>
        </w:r>
      </w:hyperlink>
      <w:r w:rsidDel="00000000" w:rsidR="00000000" w:rsidRPr="00000000">
        <w:rPr>
          <w:rtl w:val="0"/>
        </w:rPr>
        <w:t xml:space="preserve"> </w:t>
      </w:r>
    </w:p>
    <w:p w:rsidR="00000000" w:rsidDel="00000000" w:rsidP="00000000" w:rsidRDefault="00000000" w:rsidRPr="00000000" w14:paraId="000000C5">
      <w:pPr>
        <w:rPr/>
      </w:pPr>
      <w:r w:rsidDel="00000000" w:rsidR="00000000" w:rsidRPr="00000000">
        <w:rPr>
          <w:rtl w:val="0"/>
        </w:rPr>
        <w:t xml:space="preserve">Entwistle, T. and Doering, H. (2023). Amoral management and the normalisation of deviance: the case of Stafford Hospital. </w:t>
      </w:r>
      <w:r w:rsidDel="00000000" w:rsidR="00000000" w:rsidRPr="00000000">
        <w:rPr>
          <w:i w:val="1"/>
          <w:iCs w:val="1"/>
          <w:rtl w:val="0"/>
        </w:rPr>
        <w:t xml:space="preserve">Journal of Business Ethics</w:t>
      </w:r>
      <w:r w:rsidDel="00000000" w:rsidR="00000000" w:rsidRPr="00000000">
        <w:rPr>
          <w:rtl w:val="0"/>
        </w:rPr>
        <w:t xml:space="preserve">, </w:t>
      </w:r>
      <w:r w:rsidDel="00000000" w:rsidR="00000000" w:rsidRPr="00000000">
        <w:rPr>
          <w:i w:val="1"/>
          <w:iCs w:val="1"/>
          <w:rtl w:val="0"/>
        </w:rPr>
        <w:t xml:space="preserve">190</w:t>
      </w:r>
      <w:r w:rsidDel="00000000" w:rsidR="00000000" w:rsidRPr="00000000">
        <w:rPr>
          <w:rtl w:val="0"/>
        </w:rPr>
        <w:t xml:space="preserve">(3), 723–738. </w:t>
      </w:r>
      <w:hyperlink r:id="rId27">
        <w:r w:rsidDel="00000000" w:rsidR="00000000" w:rsidRPr="00000000">
          <w:rPr>
            <w:color w:val="0000ff"/>
            <w:u w:val="single"/>
            <w:rtl w:val="0"/>
          </w:rPr>
          <w:t xml:space="preserve">https://doi.org/10.1007/s10551-023-05445-6</w:t>
        </w:r>
      </w:hyperlink>
      <w:r w:rsidDel="00000000" w:rsidR="00000000" w:rsidRPr="00000000">
        <w:rPr>
          <w:rtl w:val="0"/>
        </w:rPr>
        <w:t xml:space="preserve"> </w:t>
      </w:r>
    </w:p>
    <w:p w:rsidR="00000000" w:rsidDel="00000000" w:rsidP="00000000" w:rsidRDefault="00000000" w:rsidRPr="00000000" w14:paraId="000000C6">
      <w:pPr>
        <w:rPr/>
      </w:pPr>
      <w:r w:rsidDel="00000000" w:rsidR="00000000" w:rsidRPr="00000000">
        <w:rPr>
          <w:rtl w:val="0"/>
        </w:rPr>
        <w:t xml:space="preserve">Entwistle, T. and Doering, H. (2023). Amoral management and the normalisation of deviance: the case of Stafford Hospital. </w:t>
      </w:r>
      <w:r w:rsidDel="00000000" w:rsidR="00000000" w:rsidRPr="00000000">
        <w:rPr>
          <w:i w:val="1"/>
          <w:iCs w:val="1"/>
          <w:rtl w:val="0"/>
        </w:rPr>
        <w:t xml:space="preserve">Journal of Business Ethics</w:t>
      </w:r>
      <w:r w:rsidDel="00000000" w:rsidR="00000000" w:rsidRPr="00000000">
        <w:rPr>
          <w:rtl w:val="0"/>
        </w:rPr>
        <w:t xml:space="preserve">, </w:t>
      </w:r>
      <w:r w:rsidDel="00000000" w:rsidR="00000000" w:rsidRPr="00000000">
        <w:rPr>
          <w:i w:val="1"/>
          <w:iCs w:val="1"/>
          <w:rtl w:val="0"/>
        </w:rPr>
        <w:t xml:space="preserve">190</w:t>
      </w:r>
      <w:r w:rsidDel="00000000" w:rsidR="00000000" w:rsidRPr="00000000">
        <w:rPr>
          <w:rtl w:val="0"/>
        </w:rPr>
        <w:t xml:space="preserve">(3), 723–738. </w:t>
      </w:r>
      <w:hyperlink r:id="rId28">
        <w:r w:rsidDel="00000000" w:rsidR="00000000" w:rsidRPr="00000000">
          <w:rPr>
            <w:color w:val="0000ff"/>
            <w:u w:val="single"/>
            <w:rtl w:val="0"/>
          </w:rPr>
          <w:t xml:space="preserve">https://doi.org/10.1007/s10551-023-05445-6</w:t>
        </w:r>
      </w:hyperlink>
      <w:r w:rsidDel="00000000" w:rsidR="00000000" w:rsidRPr="00000000">
        <w:rPr>
          <w:rtl w:val="0"/>
        </w:rPr>
        <w:t xml:space="preserve"> </w:t>
      </w:r>
    </w:p>
    <w:p w:rsidR="00000000" w:rsidDel="00000000" w:rsidP="00000000" w:rsidRDefault="00000000" w:rsidRPr="00000000" w14:paraId="000000C7">
      <w:pPr>
        <w:rPr/>
      </w:pPr>
      <w:r w:rsidDel="00000000" w:rsidR="00000000" w:rsidRPr="00000000">
        <w:rPr>
          <w:rtl w:val="0"/>
        </w:rPr>
        <w:t xml:space="preserve">Evgenii, V. (2024). The use of Lean management to optimize business processes in the enterprise. </w:t>
      </w:r>
      <w:r w:rsidDel="00000000" w:rsidR="00000000" w:rsidRPr="00000000">
        <w:rPr>
          <w:i w:val="1"/>
          <w:iCs w:val="1"/>
          <w:rtl w:val="0"/>
        </w:rPr>
        <w:t xml:space="preserve">International Journal of Science and Research Archive</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(2), 180–185. </w:t>
      </w:r>
      <w:hyperlink r:id="rId29">
        <w:r w:rsidDel="00000000" w:rsidR="00000000" w:rsidRPr="00000000">
          <w:rPr>
            <w:color w:val="0000ff"/>
            <w:u w:val="single"/>
            <w:rtl w:val="0"/>
          </w:rPr>
          <w:t xml:space="preserve">https://doi.org/10.30574/ijsra.2024.13.2.2106</w:t>
        </w:r>
      </w:hyperlink>
      <w:r w:rsidDel="00000000" w:rsidR="00000000" w:rsidRPr="00000000">
        <w:rPr>
          <w:rtl w:val="0"/>
        </w:rPr>
        <w:t xml:space="preserve"> </w:t>
      </w:r>
    </w:p>
    <w:p w:rsidR="00000000" w:rsidDel="00000000" w:rsidP="00000000" w:rsidRDefault="00000000" w:rsidRPr="00000000" w14:paraId="000000C8">
      <w:pPr>
        <w:rPr/>
      </w:pPr>
      <w:r w:rsidDel="00000000" w:rsidR="00000000" w:rsidRPr="00000000">
        <w:rPr>
          <w:rtl w:val="0"/>
        </w:rPr>
        <w:t xml:space="preserve">Fernando, G., Bandara, T. and Purva, M. (2023). Are incident reporting systems in healthcare systems a requirement for improving patient safety? A review. </w:t>
      </w:r>
      <w:r w:rsidDel="00000000" w:rsidR="00000000" w:rsidRPr="00000000">
        <w:rPr>
          <w:i w:val="1"/>
          <w:iCs w:val="1"/>
          <w:rtl w:val="0"/>
        </w:rPr>
        <w:t xml:space="preserve">International Journal of Health Systems Resilience</w:t>
      </w:r>
      <w:r w:rsidDel="00000000" w:rsidR="00000000" w:rsidRPr="00000000">
        <w:rPr>
          <w:rtl w:val="0"/>
        </w:rPr>
        <w:t xml:space="preserve">. </w:t>
      </w:r>
      <w:hyperlink r:id="rId30">
        <w:r w:rsidDel="00000000" w:rsidR="00000000" w:rsidRPr="00000000">
          <w:rPr>
            <w:color w:val="0000ff"/>
            <w:u w:val="single"/>
            <w:rtl w:val="0"/>
          </w:rPr>
          <w:t xml:space="preserve">https://doi.org/10.51595/injhsr22/019</w:t>
        </w:r>
      </w:hyperlink>
      <w:r w:rsidDel="00000000" w:rsidR="00000000" w:rsidRPr="00000000">
        <w:rPr>
          <w:rtl w:val="0"/>
        </w:rPr>
        <w:t xml:space="preserve"> </w:t>
      </w:r>
    </w:p>
    <w:p w:rsidR="00000000" w:rsidDel="00000000" w:rsidP="00000000" w:rsidRDefault="00000000" w:rsidRPr="00000000" w14:paraId="000000C9">
      <w:pPr>
        <w:rPr/>
      </w:pPr>
      <w:r w:rsidDel="00000000" w:rsidR="00000000" w:rsidRPr="00000000">
        <w:rPr>
          <w:rtl w:val="0"/>
        </w:rPr>
        <w:t xml:space="preserve">Francis, R. (2013a). </w:t>
      </w:r>
      <w:r w:rsidDel="00000000" w:rsidR="00000000" w:rsidRPr="00000000">
        <w:rPr>
          <w:i w:val="1"/>
          <w:iCs w:val="1"/>
          <w:rtl w:val="0"/>
        </w:rPr>
        <w:t xml:space="preserve">Report of the Mid Staffordshire NHS Foundation Trust Public Inquiry: Executive summary</w:t>
      </w:r>
      <w:r w:rsidDel="00000000" w:rsidR="00000000" w:rsidRPr="00000000">
        <w:rPr>
          <w:rtl w:val="0"/>
        </w:rPr>
        <w:t xml:space="preserve">. The Stationery Office. </w:t>
      </w:r>
      <w:hyperlink r:id="rId31">
        <w:r w:rsidDel="00000000" w:rsidR="00000000" w:rsidRPr="00000000">
          <w:rPr>
            <w:color w:val="0000ff"/>
            <w:u w:val="single"/>
            <w:rtl w:val="0"/>
          </w:rPr>
          <w:t xml:space="preserve">https://assets.publishing.service.gov.uk/media/5a7ba0faed915d13110607c8/0947.pdf</w:t>
        </w:r>
      </w:hyperlink>
      <w:r w:rsidDel="00000000" w:rsidR="00000000" w:rsidRPr="00000000">
        <w:rPr>
          <w:rtl w:val="0"/>
        </w:rPr>
        <w:t xml:space="preserve"> </w:t>
      </w:r>
    </w:p>
    <w:p w:rsidR="00000000" w:rsidDel="00000000" w:rsidP="00000000" w:rsidRDefault="00000000" w:rsidRPr="00000000" w14:paraId="000000CA">
      <w:pPr>
        <w:rPr/>
      </w:pPr>
      <w:r w:rsidDel="00000000" w:rsidR="00000000" w:rsidRPr="00000000">
        <w:rPr>
          <w:rtl w:val="0"/>
        </w:rPr>
        <w:t xml:space="preserve">Francis, R. (2013b). </w:t>
      </w:r>
      <w:r w:rsidDel="00000000" w:rsidR="00000000" w:rsidRPr="00000000">
        <w:rPr>
          <w:i w:val="1"/>
          <w:iCs w:val="1"/>
          <w:rtl w:val="0"/>
        </w:rPr>
        <w:t xml:space="preserve">Report of the Mid Staffordshire NHS Foundation Trust Public Inquiry: Volume 1, analysis of evidence and lessons learned (Part 1)</w:t>
      </w:r>
      <w:r w:rsidDel="00000000" w:rsidR="00000000" w:rsidRPr="00000000">
        <w:rPr>
          <w:rtl w:val="0"/>
        </w:rPr>
        <w:t xml:space="preserve"> (HC 898-I). The Stationery Office. </w:t>
      </w:r>
      <w:hyperlink r:id="rId32">
        <w:r w:rsidDel="00000000" w:rsidR="00000000" w:rsidRPr="00000000">
          <w:rPr>
            <w:color w:val="0000ff"/>
            <w:u w:val="single"/>
            <w:rtl w:val="0"/>
          </w:rPr>
          <w:t xml:space="preserve">https://assets.publishing.service.gov.uk/media/5a7c9bec40f0b65b3de09fde/0898_i.pdf</w:t>
        </w:r>
      </w:hyperlink>
      <w:r w:rsidDel="00000000" w:rsidR="00000000" w:rsidRPr="00000000">
        <w:rPr>
          <w:rtl w:val="0"/>
        </w:rPr>
        <w:t xml:space="preserve"> </w:t>
      </w:r>
    </w:p>
    <w:p w:rsidR="00000000" w:rsidDel="00000000" w:rsidP="00000000" w:rsidRDefault="00000000" w:rsidRPr="00000000" w14:paraId="000000CB">
      <w:pPr>
        <w:rPr/>
      </w:pPr>
      <w:r w:rsidDel="00000000" w:rsidR="00000000" w:rsidRPr="00000000">
        <w:rPr>
          <w:rtl w:val="0"/>
        </w:rPr>
        <w:t xml:space="preserve">Fuentes, L. B. E. H., Gardim, L., Da Silva, T. O., De Moura, A. A. and Bernardes, A. (2023). Applying Lean Healthcare in the hospitalization and patient discharge process: an integrative review. </w:t>
      </w:r>
      <w:r w:rsidDel="00000000" w:rsidR="00000000" w:rsidRPr="00000000">
        <w:rPr>
          <w:i w:val="1"/>
          <w:iCs w:val="1"/>
          <w:rtl w:val="0"/>
        </w:rPr>
        <w:t xml:space="preserve">Revista Brasileira De Enfermagem</w:t>
      </w:r>
      <w:r w:rsidDel="00000000" w:rsidR="00000000" w:rsidRPr="00000000">
        <w:rPr>
          <w:rtl w:val="0"/>
        </w:rPr>
        <w:t xml:space="preserve">, </w:t>
      </w:r>
      <w:r w:rsidDel="00000000" w:rsidR="00000000" w:rsidRPr="00000000">
        <w:rPr>
          <w:i w:val="1"/>
          <w:iCs w:val="1"/>
          <w:rtl w:val="0"/>
        </w:rPr>
        <w:t xml:space="preserve">76</w:t>
      </w:r>
      <w:r w:rsidDel="00000000" w:rsidR="00000000" w:rsidRPr="00000000">
        <w:rPr>
          <w:rtl w:val="0"/>
        </w:rPr>
        <w:t xml:space="preserve">(5), e20220751. </w:t>
      </w:r>
      <w:hyperlink r:id="rId33">
        <w:r w:rsidDel="00000000" w:rsidR="00000000" w:rsidRPr="00000000">
          <w:rPr>
            <w:color w:val="0000ff"/>
            <w:u w:val="single"/>
            <w:rtl w:val="0"/>
          </w:rPr>
          <w:t xml:space="preserve">https://doi.org/10.1590/0034-7167-2022-0751</w:t>
        </w:r>
      </w:hyperlink>
      <w:r w:rsidDel="00000000" w:rsidR="00000000" w:rsidRPr="00000000">
        <w:rPr>
          <w:rtl w:val="0"/>
        </w:rPr>
        <w:t xml:space="preserve"> </w:t>
      </w:r>
    </w:p>
    <w:p w:rsidR="00000000" w:rsidDel="00000000" w:rsidP="00000000" w:rsidRDefault="00000000" w:rsidRPr="00000000" w14:paraId="000000CC">
      <w:pPr>
        <w:rPr/>
      </w:pPr>
      <w:r w:rsidDel="00000000" w:rsidR="00000000" w:rsidRPr="00000000">
        <w:rPr>
          <w:rtl w:val="0"/>
        </w:rPr>
        <w:t xml:space="preserve">Geary, U. (2024). Healthcare quality improvement: It’s time to update the Donabedian approach with a complex systems perspective. </w:t>
      </w:r>
      <w:r w:rsidDel="00000000" w:rsidR="00000000" w:rsidRPr="00000000">
        <w:rPr>
          <w:i w:val="1"/>
          <w:iCs w:val="1"/>
          <w:rtl w:val="0"/>
        </w:rPr>
        <w:t xml:space="preserve">The International Journal of Health Planning and Management</w:t>
      </w:r>
      <w:r w:rsidDel="00000000" w:rsidR="00000000" w:rsidRPr="00000000">
        <w:rPr>
          <w:rtl w:val="0"/>
        </w:rPr>
        <w:t xml:space="preserve">, </w:t>
      </w:r>
      <w:r w:rsidDel="00000000" w:rsidR="00000000" w:rsidRPr="00000000">
        <w:rPr>
          <w:i w:val="1"/>
          <w:iCs w:val="1"/>
          <w:rtl w:val="0"/>
        </w:rPr>
        <w:t xml:space="preserve">39</w:t>
      </w:r>
      <w:r w:rsidDel="00000000" w:rsidR="00000000" w:rsidRPr="00000000">
        <w:rPr>
          <w:rtl w:val="0"/>
        </w:rPr>
        <w:t xml:space="preserve">(5), 1669–1672. </w:t>
      </w:r>
      <w:hyperlink r:id="rId34">
        <w:r w:rsidDel="00000000" w:rsidR="00000000" w:rsidRPr="00000000">
          <w:rPr>
            <w:color w:val="0000ff"/>
            <w:u w:val="single"/>
            <w:rtl w:val="0"/>
          </w:rPr>
          <w:t xml:space="preserve">https://doi.org/10.1002/hpm.3830</w:t>
        </w:r>
      </w:hyperlink>
      <w:r w:rsidDel="00000000" w:rsidR="00000000" w:rsidRPr="00000000">
        <w:rPr>
          <w:rtl w:val="0"/>
        </w:rPr>
        <w:t xml:space="preserve"> </w:t>
      </w:r>
    </w:p>
    <w:p w:rsidR="00000000" w:rsidDel="00000000" w:rsidP="00000000" w:rsidRDefault="00000000" w:rsidRPr="00000000" w14:paraId="000000CD">
      <w:pPr>
        <w:rPr/>
      </w:pPr>
      <w:r w:rsidDel="00000000" w:rsidR="00000000" w:rsidRPr="00000000">
        <w:rPr>
          <w:rtl w:val="0"/>
        </w:rPr>
        <w:t xml:space="preserve">GOV.UK. (2013a, March 26). The Government’s response to the Francis report. </w:t>
      </w:r>
      <w:r w:rsidDel="00000000" w:rsidR="00000000" w:rsidRPr="00000000">
        <w:rPr>
          <w:i w:val="1"/>
          <w:iCs w:val="1"/>
          <w:rtl w:val="0"/>
        </w:rPr>
        <w:t xml:space="preserve">GOV.UK</w:t>
      </w:r>
      <w:r w:rsidDel="00000000" w:rsidR="00000000" w:rsidRPr="00000000">
        <w:rPr>
          <w:rtl w:val="0"/>
        </w:rPr>
        <w:t xml:space="preserve">. </w:t>
      </w:r>
      <w:hyperlink r:id="rId35">
        <w:r w:rsidDel="00000000" w:rsidR="00000000" w:rsidRPr="00000000">
          <w:rPr>
            <w:color w:val="0000ff"/>
            <w:u w:val="single"/>
            <w:rtl w:val="0"/>
          </w:rPr>
          <w:t xml:space="preserve">https://www.gov.uk/government/speeches/the-government-s-response-to-the-francis-report</w:t>
        </w:r>
      </w:hyperlink>
      <w:r w:rsidDel="00000000" w:rsidR="00000000" w:rsidRPr="00000000">
        <w:rPr>
          <w:rtl w:val="0"/>
        </w:rPr>
        <w:t xml:space="preserve"> </w:t>
      </w:r>
    </w:p>
    <w:p w:rsidR="00000000" w:rsidDel="00000000" w:rsidP="00000000" w:rsidRDefault="00000000" w:rsidRPr="00000000" w14:paraId="000000CE">
      <w:pPr>
        <w:rPr/>
      </w:pPr>
      <w:r w:rsidDel="00000000" w:rsidR="00000000" w:rsidRPr="00000000">
        <w:rPr>
          <w:rtl w:val="0"/>
        </w:rPr>
        <w:t xml:space="preserve">GOV.UK. (2013b, March 26). Government publishes initial response to the Mid Staffordshire NHS Public Inquiry Report. </w:t>
      </w:r>
      <w:r w:rsidDel="00000000" w:rsidR="00000000" w:rsidRPr="00000000">
        <w:rPr>
          <w:i w:val="1"/>
          <w:iCs w:val="1"/>
          <w:rtl w:val="0"/>
        </w:rPr>
        <w:t xml:space="preserve">GOV.UK</w:t>
      </w:r>
      <w:r w:rsidDel="00000000" w:rsidR="00000000" w:rsidRPr="00000000">
        <w:rPr>
          <w:rtl w:val="0"/>
        </w:rPr>
        <w:t xml:space="preserve">. </w:t>
      </w:r>
      <w:hyperlink r:id="rId36">
        <w:r w:rsidDel="00000000" w:rsidR="00000000" w:rsidRPr="00000000">
          <w:rPr>
            <w:color w:val="0000ff"/>
            <w:u w:val="single"/>
            <w:rtl w:val="0"/>
          </w:rPr>
          <w:t xml:space="preserve">https://www.gov.uk/government/news/government-publishes-initial-response-to-the-mid-staffordshire-nhs-public-inquiry-report</w:t>
        </w:r>
      </w:hyperlink>
      <w:r w:rsidDel="00000000" w:rsidR="00000000" w:rsidRPr="00000000">
        <w:rPr>
          <w:rtl w:val="0"/>
        </w:rPr>
        <w:t xml:space="preserve"> </w:t>
      </w:r>
    </w:p>
    <w:p w:rsidR="00000000" w:rsidDel="00000000" w:rsidP="00000000" w:rsidRDefault="00000000" w:rsidRPr="00000000" w14:paraId="000000CF">
      <w:pPr>
        <w:rPr/>
      </w:pPr>
      <w:r w:rsidDel="00000000" w:rsidR="00000000" w:rsidRPr="00000000">
        <w:rPr>
          <w:rtl w:val="0"/>
        </w:rPr>
        <w:t xml:space="preserve">Hapsari, N. I. and Chalidyanto, D. (2025). The Impact of PDCA cycle implementation on nursing management in Hospitals: A Systematic literature review. </w:t>
      </w:r>
      <w:r w:rsidDel="00000000" w:rsidR="00000000" w:rsidRPr="00000000">
        <w:rPr>
          <w:i w:val="1"/>
          <w:iCs w:val="1"/>
          <w:rtl w:val="0"/>
        </w:rPr>
        <w:t xml:space="preserve">Nursing Information Journal</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(1), 160–171. </w:t>
      </w:r>
      <w:hyperlink r:id="rId37">
        <w:r w:rsidDel="00000000" w:rsidR="00000000" w:rsidRPr="00000000">
          <w:rPr>
            <w:color w:val="0000ff"/>
            <w:u w:val="single"/>
            <w:rtl w:val="0"/>
          </w:rPr>
          <w:t xml:space="preserve">https://doi.org/10.54832/nij.v5i1.1235</w:t>
        </w:r>
      </w:hyperlink>
      <w:r w:rsidDel="00000000" w:rsidR="00000000" w:rsidRPr="00000000">
        <w:rPr>
          <w:rtl w:val="0"/>
        </w:rPr>
        <w:t xml:space="preserve"> </w:t>
      </w:r>
    </w:p>
    <w:p w:rsidR="00000000" w:rsidDel="00000000" w:rsidP="00000000" w:rsidRDefault="00000000" w:rsidRPr="00000000" w14:paraId="000000D0">
      <w:pPr>
        <w:rPr/>
      </w:pPr>
      <w:r w:rsidDel="00000000" w:rsidR="00000000" w:rsidRPr="00000000">
        <w:rPr>
          <w:rtl w:val="0"/>
        </w:rPr>
        <w:t xml:space="preserve">Holmes, D. (2013). Mid Staffordshire scandal highlights NHS cultural crisis. </w:t>
      </w:r>
      <w:r w:rsidDel="00000000" w:rsidR="00000000" w:rsidRPr="00000000">
        <w:rPr>
          <w:i w:val="1"/>
          <w:iCs w:val="1"/>
          <w:rtl w:val="0"/>
        </w:rPr>
        <w:t xml:space="preserve">The Lancet</w:t>
      </w:r>
      <w:r w:rsidDel="00000000" w:rsidR="00000000" w:rsidRPr="00000000">
        <w:rPr>
          <w:rtl w:val="0"/>
        </w:rPr>
        <w:t xml:space="preserve">, </w:t>
      </w:r>
      <w:r w:rsidDel="00000000" w:rsidR="00000000" w:rsidRPr="00000000">
        <w:rPr>
          <w:i w:val="1"/>
          <w:iCs w:val="1"/>
          <w:rtl w:val="0"/>
        </w:rPr>
        <w:t xml:space="preserve">381</w:t>
      </w:r>
      <w:r w:rsidDel="00000000" w:rsidR="00000000" w:rsidRPr="00000000">
        <w:rPr>
          <w:rtl w:val="0"/>
        </w:rPr>
        <w:t xml:space="preserve">(9866), 521–522. </w:t>
      </w:r>
      <w:hyperlink r:id="rId38">
        <w:r w:rsidDel="00000000" w:rsidR="00000000" w:rsidRPr="00000000">
          <w:rPr>
            <w:color w:val="0000ff"/>
            <w:u w:val="single"/>
            <w:rtl w:val="0"/>
          </w:rPr>
          <w:t xml:space="preserve">https://doi.org/10.1016/s0140-6736(13)60264-0</w:t>
        </w:r>
      </w:hyperlink>
      <w:r w:rsidDel="00000000" w:rsidR="00000000" w:rsidRPr="00000000">
        <w:rPr>
          <w:rtl w:val="0"/>
        </w:rPr>
        <w:t xml:space="preserve"> </w:t>
      </w:r>
    </w:p>
    <w:p w:rsidR="00000000" w:rsidDel="00000000" w:rsidP="00000000" w:rsidRDefault="00000000" w:rsidRPr="00000000" w14:paraId="000000D1">
      <w:pPr>
        <w:rPr/>
      </w:pPr>
      <w:r w:rsidDel="00000000" w:rsidR="00000000" w:rsidRPr="00000000">
        <w:rPr>
          <w:rtl w:val="0"/>
        </w:rPr>
        <w:t xml:space="preserve">Hughes, H. (2023). Public inquiries, patient safety and the implementation gap. </w:t>
      </w:r>
      <w:r w:rsidDel="00000000" w:rsidR="00000000" w:rsidRPr="00000000">
        <w:rPr>
          <w:i w:val="1"/>
          <w:iCs w:val="1"/>
          <w:rtl w:val="0"/>
        </w:rPr>
        <w:t xml:space="preserve">Future Healthcare Journal</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(1), 7–9. </w:t>
      </w:r>
      <w:hyperlink r:id="rId39">
        <w:r w:rsidDel="00000000" w:rsidR="00000000" w:rsidRPr="00000000">
          <w:rPr>
            <w:color w:val="0000ff"/>
            <w:u w:val="single"/>
            <w:rtl w:val="0"/>
          </w:rPr>
          <w:t xml:space="preserve">https://doi.org/10.7861/fhj.2023-fr103</w:t>
        </w:r>
      </w:hyperlink>
      <w:r w:rsidDel="00000000" w:rsidR="00000000" w:rsidRPr="00000000">
        <w:rPr>
          <w:rtl w:val="0"/>
        </w:rPr>
        <w:t xml:space="preserve"> </w:t>
      </w:r>
    </w:p>
    <w:p w:rsidR="00000000" w:rsidDel="00000000" w:rsidP="00000000" w:rsidRDefault="00000000" w:rsidRPr="00000000" w14:paraId="000000D2">
      <w:pPr>
        <w:rPr/>
      </w:pPr>
      <w:r w:rsidDel="00000000" w:rsidR="00000000" w:rsidRPr="00000000">
        <w:rPr>
          <w:rtl w:val="0"/>
        </w:rPr>
        <w:t xml:space="preserve">Ibrahim, S. A., Sharma, T. and Chasta, P. (2025). Quality assurance in health care Improving patient safety of service quality. </w:t>
      </w:r>
      <w:r w:rsidDel="00000000" w:rsidR="00000000" w:rsidRPr="00000000">
        <w:rPr>
          <w:i w:val="1"/>
          <w:iCs w:val="1"/>
          <w:rtl w:val="0"/>
        </w:rPr>
        <w:t xml:space="preserve">International Journal of Allied Medical Sciences and Clinical Research</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(2), 351–359. </w:t>
      </w:r>
      <w:hyperlink r:id="rId40">
        <w:r w:rsidDel="00000000" w:rsidR="00000000" w:rsidRPr="00000000">
          <w:rPr>
            <w:color w:val="0000ff"/>
            <w:u w:val="single"/>
            <w:rtl w:val="0"/>
          </w:rPr>
          <w:t xml:space="preserve">https://doi.org/10.61096/ijamscr.v13.iss2.2025.351-359</w:t>
        </w:r>
      </w:hyperlink>
      <w:r w:rsidDel="00000000" w:rsidR="00000000" w:rsidRPr="00000000">
        <w:rPr>
          <w:rtl w:val="0"/>
        </w:rPr>
        <w:t xml:space="preserve"> </w:t>
      </w:r>
    </w:p>
    <w:p w:rsidR="00000000" w:rsidDel="00000000" w:rsidP="00000000" w:rsidRDefault="00000000" w:rsidRPr="00000000" w14:paraId="000000D3">
      <w:pPr>
        <w:rPr/>
      </w:pPr>
      <w:r w:rsidDel="00000000" w:rsidR="00000000" w:rsidRPr="00000000">
        <w:rPr>
          <w:rtl w:val="0"/>
        </w:rPr>
        <w:t xml:space="preserve">Jiang, P., Liu, Y., Gu, H., Li, Q. and Xue, L. (2025). Implementation of six sigma management to standardize surgical hand disinfection practices. </w:t>
      </w:r>
      <w:r w:rsidDel="00000000" w:rsidR="00000000" w:rsidRPr="00000000">
        <w:rPr>
          <w:i w:val="1"/>
          <w:iCs w:val="1"/>
          <w:rtl w:val="0"/>
        </w:rPr>
        <w:t xml:space="preserve">BMC Surgery</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(1), 118. </w:t>
      </w:r>
      <w:hyperlink r:id="rId41">
        <w:r w:rsidDel="00000000" w:rsidR="00000000" w:rsidRPr="00000000">
          <w:rPr>
            <w:color w:val="0000ff"/>
            <w:u w:val="single"/>
            <w:rtl w:val="0"/>
          </w:rPr>
          <w:t xml:space="preserve">https://doi.org/10.1186/s12893-025-02854-4</w:t>
        </w:r>
      </w:hyperlink>
      <w:r w:rsidDel="00000000" w:rsidR="00000000" w:rsidRPr="00000000">
        <w:rPr>
          <w:rtl w:val="0"/>
        </w:rPr>
        <w:t xml:space="preserve"> </w:t>
      </w:r>
    </w:p>
    <w:p w:rsidR="00000000" w:rsidDel="00000000" w:rsidP="00000000" w:rsidRDefault="00000000" w:rsidRPr="00000000" w14:paraId="000000D4">
      <w:pPr>
        <w:rPr/>
      </w:pPr>
      <w:r w:rsidDel="00000000" w:rsidR="00000000" w:rsidRPr="00000000">
        <w:rPr>
          <w:rtl w:val="0"/>
        </w:rPr>
        <w:t xml:space="preserve">Jiang, P., Liu, Y., Gu, H., Li, Q. and Xue, L. (2025). Implementation of six sigma management to standardize surgical hand disinfection practices. </w:t>
      </w:r>
      <w:r w:rsidDel="00000000" w:rsidR="00000000" w:rsidRPr="00000000">
        <w:rPr>
          <w:i w:val="1"/>
          <w:iCs w:val="1"/>
          <w:rtl w:val="0"/>
        </w:rPr>
        <w:t xml:space="preserve">BMC Surgery</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(1), 118. </w:t>
      </w:r>
      <w:hyperlink r:id="rId42">
        <w:r w:rsidDel="00000000" w:rsidR="00000000" w:rsidRPr="00000000">
          <w:rPr>
            <w:color w:val="0000ff"/>
            <w:u w:val="single"/>
            <w:rtl w:val="0"/>
          </w:rPr>
          <w:t xml:space="preserve">https://doi.org/10.1186/s12893-025-02854-4</w:t>
        </w:r>
      </w:hyperlink>
      <w:r w:rsidDel="00000000" w:rsidR="00000000" w:rsidRPr="00000000">
        <w:rPr>
          <w:rtl w:val="0"/>
        </w:rPr>
        <w:t xml:space="preserve"> </w:t>
      </w:r>
    </w:p>
    <w:p w:rsidR="00000000" w:rsidDel="00000000" w:rsidP="00000000" w:rsidRDefault="00000000" w:rsidRPr="00000000" w14:paraId="000000D5">
      <w:pPr>
        <w:rPr/>
      </w:pPr>
      <w:r w:rsidDel="00000000" w:rsidR="00000000" w:rsidRPr="00000000">
        <w:rPr>
          <w:rtl w:val="0"/>
        </w:rPr>
        <w:t xml:space="preserve">Jones, D. and Allin, S. (2025). Causes and effects of hospital nursing shortages to consider potential feedback effects: an umbrella review. </w:t>
      </w:r>
      <w:r w:rsidDel="00000000" w:rsidR="00000000" w:rsidRPr="00000000">
        <w:rPr>
          <w:i w:val="1"/>
          <w:iCs w:val="1"/>
          <w:rtl w:val="0"/>
        </w:rPr>
        <w:t xml:space="preserve">Human Resources for Health</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(1), 61. </w:t>
      </w:r>
      <w:hyperlink r:id="rId43">
        <w:r w:rsidDel="00000000" w:rsidR="00000000" w:rsidRPr="00000000">
          <w:rPr>
            <w:color w:val="0000ff"/>
            <w:u w:val="single"/>
            <w:rtl w:val="0"/>
          </w:rPr>
          <w:t xml:space="preserve">https://doi.org/10.1186/s12960-025-01028-w</w:t>
        </w:r>
      </w:hyperlink>
      <w:r w:rsidDel="00000000" w:rsidR="00000000" w:rsidRPr="00000000">
        <w:rPr>
          <w:rtl w:val="0"/>
        </w:rPr>
        <w:t xml:space="preserve"> </w:t>
      </w:r>
    </w:p>
    <w:p w:rsidR="00000000" w:rsidDel="00000000" w:rsidP="00000000" w:rsidRDefault="00000000" w:rsidRPr="00000000" w14:paraId="000000D6">
      <w:pPr>
        <w:rPr/>
      </w:pPr>
      <w:r w:rsidDel="00000000" w:rsidR="00000000" w:rsidRPr="00000000">
        <w:rPr>
          <w:rtl w:val="0"/>
        </w:rPr>
        <w:t xml:space="preserve">Majka, M. (2024). Root cause analysis. </w:t>
      </w:r>
      <w:r w:rsidDel="00000000" w:rsidR="00000000" w:rsidRPr="00000000">
        <w:rPr>
          <w:i w:val="1"/>
          <w:iCs w:val="1"/>
          <w:rtl w:val="0"/>
        </w:rPr>
        <w:t xml:space="preserve">ResearchGate</w:t>
      </w:r>
      <w:r w:rsidDel="00000000" w:rsidR="00000000" w:rsidRPr="00000000">
        <w:rPr>
          <w:rtl w:val="0"/>
        </w:rPr>
        <w:t xml:space="preserve">. </w:t>
      </w:r>
      <w:hyperlink r:id="rId44">
        <w:r w:rsidDel="00000000" w:rsidR="00000000" w:rsidRPr="00000000">
          <w:rPr>
            <w:color w:val="0000ff"/>
            <w:u w:val="single"/>
            <w:rtl w:val="0"/>
          </w:rPr>
          <w:t xml:space="preserve">https://www.researchgate.net/publication/384965537_Root_Cause_Analysis</w:t>
        </w:r>
      </w:hyperlink>
      <w:r w:rsidDel="00000000" w:rsidR="00000000" w:rsidRPr="00000000">
        <w:rPr>
          <w:rtl w:val="0"/>
        </w:rPr>
        <w:t xml:space="preserve"> </w:t>
      </w:r>
    </w:p>
    <w:p w:rsidR="00000000" w:rsidDel="00000000" w:rsidP="00000000" w:rsidRDefault="00000000" w:rsidRPr="00000000" w14:paraId="000000D7">
      <w:pPr>
        <w:rPr/>
      </w:pPr>
      <w:r w:rsidDel="00000000" w:rsidR="00000000" w:rsidRPr="00000000">
        <w:rPr>
          <w:rtl w:val="0"/>
        </w:rPr>
        <w:t xml:space="preserve">McCullough, K., Andrew, L., Genoni, A., Dunham, M., Whitehead, L. and Porock, D. (2022). An examination of primary health care nursing service evaluation using the Donabedian model: A systematic review. </w:t>
      </w:r>
      <w:r w:rsidDel="00000000" w:rsidR="00000000" w:rsidRPr="00000000">
        <w:rPr>
          <w:i w:val="1"/>
          <w:iCs w:val="1"/>
          <w:rtl w:val="0"/>
        </w:rPr>
        <w:t xml:space="preserve">Research in Nursing &amp; Health</w:t>
      </w:r>
      <w:r w:rsidDel="00000000" w:rsidR="00000000" w:rsidRPr="00000000">
        <w:rPr>
          <w:rtl w:val="0"/>
        </w:rPr>
        <w:t xml:space="preserve">, </w:t>
      </w:r>
      <w:r w:rsidDel="00000000" w:rsidR="00000000" w:rsidRPr="00000000">
        <w:rPr>
          <w:i w:val="1"/>
          <w:iCs w:val="1"/>
          <w:rtl w:val="0"/>
        </w:rPr>
        <w:t xml:space="preserve">46</w:t>
      </w:r>
      <w:r w:rsidDel="00000000" w:rsidR="00000000" w:rsidRPr="00000000">
        <w:rPr>
          <w:rtl w:val="0"/>
        </w:rPr>
        <w:t xml:space="preserve">(1), 159–176. </w:t>
      </w:r>
      <w:hyperlink r:id="rId45">
        <w:r w:rsidDel="00000000" w:rsidR="00000000" w:rsidRPr="00000000">
          <w:rPr>
            <w:color w:val="0000ff"/>
            <w:u w:val="single"/>
            <w:rtl w:val="0"/>
          </w:rPr>
          <w:t xml:space="preserve">https://doi.org/10.1002/nur.22291</w:t>
        </w:r>
      </w:hyperlink>
      <w:r w:rsidDel="00000000" w:rsidR="00000000" w:rsidRPr="00000000">
        <w:rPr>
          <w:rtl w:val="0"/>
        </w:rPr>
        <w:t xml:space="preserve"> </w:t>
      </w:r>
    </w:p>
    <w:p w:rsidR="00000000" w:rsidDel="00000000" w:rsidP="00000000" w:rsidRDefault="00000000" w:rsidRPr="00000000" w14:paraId="000000D8">
      <w:pPr>
        <w:rPr/>
      </w:pPr>
      <w:r w:rsidDel="00000000" w:rsidR="00000000" w:rsidRPr="00000000">
        <w:rPr>
          <w:rtl w:val="0"/>
        </w:rPr>
        <w:t xml:space="preserve">Murphy, D. R., Savoy, A., Satterly, T., Sittig, D. F. and Singh, H. (2021). Dashboards for visual display of patient safety data: a systematic review. </w:t>
      </w:r>
      <w:r w:rsidDel="00000000" w:rsidR="00000000" w:rsidRPr="00000000">
        <w:rPr>
          <w:i w:val="1"/>
          <w:iCs w:val="1"/>
          <w:rtl w:val="0"/>
        </w:rPr>
        <w:t xml:space="preserve">BMJ Health &amp; Care Informatics</w:t>
      </w:r>
      <w:r w:rsidDel="00000000" w:rsidR="00000000" w:rsidRPr="00000000">
        <w:rPr>
          <w:rtl w:val="0"/>
        </w:rPr>
        <w:t xml:space="preserve">, </w:t>
      </w:r>
      <w:r w:rsidDel="00000000" w:rsidR="00000000" w:rsidRPr="00000000">
        <w:rPr>
          <w:i w:val="1"/>
          <w:iCs w:val="1"/>
          <w:rtl w:val="0"/>
        </w:rPr>
        <w:t xml:space="preserve">28</w:t>
      </w:r>
      <w:r w:rsidDel="00000000" w:rsidR="00000000" w:rsidRPr="00000000">
        <w:rPr>
          <w:rtl w:val="0"/>
        </w:rPr>
        <w:t xml:space="preserve">(1), e100437. </w:t>
      </w:r>
      <w:hyperlink r:id="rId46">
        <w:r w:rsidDel="00000000" w:rsidR="00000000" w:rsidRPr="00000000">
          <w:rPr>
            <w:color w:val="0000ff"/>
            <w:u w:val="single"/>
            <w:rtl w:val="0"/>
          </w:rPr>
          <w:t xml:space="preserve">https://doi.org/10.1136/bmjhci-2021-100437</w:t>
        </w:r>
      </w:hyperlink>
      <w:r w:rsidDel="00000000" w:rsidR="00000000" w:rsidRPr="00000000">
        <w:rPr>
          <w:rtl w:val="0"/>
        </w:rPr>
        <w:t xml:space="preserve"> </w:t>
      </w:r>
    </w:p>
    <w:p w:rsidR="00000000" w:rsidDel="00000000" w:rsidP="00000000" w:rsidRDefault="00000000" w:rsidRPr="00000000" w14:paraId="000000D9">
      <w:pPr>
        <w:rPr/>
      </w:pPr>
      <w:r w:rsidDel="00000000" w:rsidR="00000000" w:rsidRPr="00000000">
        <w:rPr>
          <w:rtl w:val="0"/>
        </w:rPr>
        <w:t xml:space="preserve">Murray, A., Harker, R. and Stiebahl, S. (2026, July 8). </w:t>
      </w:r>
      <w:r w:rsidDel="00000000" w:rsidR="00000000" w:rsidRPr="00000000">
        <w:rPr>
          <w:i w:val="1"/>
          <w:iCs w:val="1"/>
          <w:rtl w:val="0"/>
        </w:rPr>
        <w:t xml:space="preserve">NHS key statistics: England - House of Commons Library</w:t>
      </w:r>
      <w:r w:rsidDel="00000000" w:rsidR="00000000" w:rsidRPr="00000000">
        <w:rPr>
          <w:rtl w:val="0"/>
        </w:rPr>
        <w:t xml:space="preserve">. House of Commons Library. </w:t>
      </w:r>
      <w:hyperlink r:id="rId47">
        <w:r w:rsidDel="00000000" w:rsidR="00000000" w:rsidRPr="00000000">
          <w:rPr>
            <w:color w:val="0000ff"/>
            <w:u w:val="single"/>
            <w:rtl w:val="0"/>
          </w:rPr>
          <w:t xml:space="preserve">https://commonslibrary.parliament.uk/research-briefings/cbp-7281/0/</w:t>
        </w:r>
      </w:hyperlink>
      <w:r w:rsidDel="00000000" w:rsidR="00000000" w:rsidRPr="00000000">
        <w:rPr>
          <w:rtl w:val="0"/>
        </w:rPr>
        <w:t xml:space="preserve"> </w:t>
      </w:r>
    </w:p>
    <w:p w:rsidR="00000000" w:rsidDel="00000000" w:rsidP="00000000" w:rsidRDefault="00000000" w:rsidRPr="00000000" w14:paraId="000000DA">
      <w:pPr>
        <w:rPr/>
      </w:pPr>
      <w:r w:rsidDel="00000000" w:rsidR="00000000" w:rsidRPr="00000000">
        <w:rPr>
          <w:rtl w:val="0"/>
        </w:rPr>
        <w:t xml:space="preserve">NHS England. (2024). </w:t>
      </w:r>
      <w:r w:rsidDel="00000000" w:rsidR="00000000" w:rsidRPr="00000000">
        <w:rPr>
          <w:rFonts w:ascii="Cambria" w:cs="Cambria" w:eastAsia="Cambria" w:hAnsi="Cambria"/>
          <w:i w:val="1"/>
          <w:iCs w:val="1"/>
          <w:rtl w:val="0"/>
        </w:rPr>
        <w:t xml:space="preserve">NHS England » NHS Long Term Workforce Plan</w:t>
      </w:r>
      <w:r w:rsidDel="00000000" w:rsidR="00000000" w:rsidRPr="00000000">
        <w:rPr>
          <w:rFonts w:ascii="Cambria" w:cs="Cambria" w:eastAsia="Cambria" w:hAnsi="Cambria"/>
          <w:rtl w:val="0"/>
        </w:rPr>
        <w:t xml:space="preserve">. </w:t>
      </w:r>
      <w:hyperlink r:id="rId48">
        <w:r w:rsidDel="00000000" w:rsidR="00000000" w:rsidRPr="00000000">
          <w:rPr>
            <w:color w:val="0000ff"/>
            <w:u w:val="single"/>
            <w:rtl w:val="0"/>
          </w:rPr>
          <w:t xml:space="preserve">https://www.england.nhs.uk/long-read/nhs-long-term-workforce-plan-2/</w:t>
        </w:r>
      </w:hyperlink>
      <w:r w:rsidDel="00000000" w:rsidR="00000000" w:rsidRPr="00000000">
        <w:rPr>
          <w:rtl w:val="0"/>
        </w:rPr>
        <w:t xml:space="preserve"> </w:t>
      </w:r>
    </w:p>
    <w:p w:rsidR="00000000" w:rsidDel="00000000" w:rsidP="00000000" w:rsidRDefault="00000000" w:rsidRPr="00000000" w14:paraId="000000DB">
      <w:pPr>
        <w:rPr/>
      </w:pPr>
      <w:r w:rsidDel="00000000" w:rsidR="00000000" w:rsidRPr="00000000">
        <w:rPr>
          <w:rtl w:val="0"/>
        </w:rPr>
        <w:t xml:space="preserve">NHS England. (2025). </w:t>
      </w:r>
      <w:r w:rsidDel="00000000" w:rsidR="00000000" w:rsidRPr="00000000">
        <w:rPr>
          <w:i w:val="1"/>
          <w:iCs w:val="1"/>
          <w:rtl w:val="0"/>
        </w:rPr>
        <w:t xml:space="preserve">NHS England » Patient Safety Incident Response Framework</w:t>
      </w:r>
      <w:r w:rsidDel="00000000" w:rsidR="00000000" w:rsidRPr="00000000">
        <w:rPr>
          <w:rtl w:val="0"/>
        </w:rPr>
        <w:t xml:space="preserve">. </w:t>
      </w:r>
      <w:hyperlink r:id="rId49">
        <w:r w:rsidDel="00000000" w:rsidR="00000000" w:rsidRPr="00000000">
          <w:rPr>
            <w:color w:val="0000ff"/>
            <w:u w:val="single"/>
            <w:rtl w:val="0"/>
          </w:rPr>
          <w:t xml:space="preserve">https://www.england.nhs.uk/long-read/patient-safety-incident-response-framework/</w:t>
        </w:r>
      </w:hyperlink>
      <w:r w:rsidDel="00000000" w:rsidR="00000000" w:rsidRPr="00000000">
        <w:rPr>
          <w:rtl w:val="0"/>
        </w:rPr>
        <w:t xml:space="preserve"> </w:t>
      </w:r>
    </w:p>
    <w:p w:rsidR="00000000" w:rsidDel="00000000" w:rsidP="00000000" w:rsidRDefault="00000000" w:rsidRPr="00000000" w14:paraId="000000DC">
      <w:pPr>
        <w:rPr/>
      </w:pPr>
      <w:r w:rsidDel="00000000" w:rsidR="00000000" w:rsidRPr="00000000">
        <w:rPr>
          <w:rtl w:val="0"/>
        </w:rPr>
        <w:t xml:space="preserve">NHS England. (2026a). </w:t>
      </w:r>
      <w:r w:rsidDel="00000000" w:rsidR="00000000" w:rsidRPr="00000000">
        <w:rPr>
          <w:i w:val="1"/>
          <w:iCs w:val="1"/>
          <w:rtl w:val="0"/>
        </w:rPr>
        <w:t xml:space="preserve">NHS England » Patient safety incident response standards</w:t>
      </w:r>
      <w:r w:rsidDel="00000000" w:rsidR="00000000" w:rsidRPr="00000000">
        <w:rPr>
          <w:rtl w:val="0"/>
        </w:rPr>
        <w:t xml:space="preserve">. </w:t>
      </w:r>
      <w:hyperlink r:id="rId50">
        <w:r w:rsidDel="00000000" w:rsidR="00000000" w:rsidRPr="00000000">
          <w:rPr>
            <w:color w:val="0000ff"/>
            <w:u w:val="single"/>
            <w:rtl w:val="0"/>
          </w:rPr>
          <w:t xml:space="preserve">https://www.england.nhs.uk/long-read/patient-safety-incident-response-standards/</w:t>
        </w:r>
      </w:hyperlink>
      <w:r w:rsidDel="00000000" w:rsidR="00000000" w:rsidRPr="00000000">
        <w:rPr>
          <w:rtl w:val="0"/>
        </w:rPr>
        <w:t xml:space="preserve"> </w:t>
      </w:r>
    </w:p>
    <w:p w:rsidR="00000000" w:rsidDel="00000000" w:rsidP="00000000" w:rsidRDefault="00000000" w:rsidRPr="00000000" w14:paraId="000000DD">
      <w:pPr>
        <w:rPr/>
      </w:pPr>
      <w:r w:rsidDel="00000000" w:rsidR="00000000" w:rsidRPr="00000000">
        <w:rPr>
          <w:rtl w:val="0"/>
        </w:rPr>
        <w:t xml:space="preserve">NHS England. (2026b). </w:t>
      </w:r>
      <w:r w:rsidDel="00000000" w:rsidR="00000000" w:rsidRPr="00000000">
        <w:rPr>
          <w:i w:val="1"/>
          <w:iCs w:val="1"/>
          <w:rtl w:val="0"/>
        </w:rPr>
        <w:t xml:space="preserve">NHS England » Freedom to speak up</w:t>
      </w:r>
      <w:r w:rsidDel="00000000" w:rsidR="00000000" w:rsidRPr="00000000">
        <w:rPr>
          <w:rtl w:val="0"/>
        </w:rPr>
        <w:t xml:space="preserve">. </w:t>
      </w:r>
      <w:hyperlink r:id="rId51">
        <w:r w:rsidDel="00000000" w:rsidR="00000000" w:rsidRPr="00000000">
          <w:rPr>
            <w:color w:val="0000ff"/>
            <w:u w:val="single"/>
            <w:rtl w:val="0"/>
          </w:rPr>
          <w:t xml:space="preserve">https://www.england.nhs.uk/ourwork/freedom-to-speak-up/?utm</w:t>
        </w:r>
      </w:hyperlink>
      <w:r w:rsidDel="00000000" w:rsidR="00000000" w:rsidRPr="00000000">
        <w:rPr>
          <w:rtl w:val="0"/>
        </w:rPr>
        <w:t xml:space="preserve"> </w:t>
      </w:r>
    </w:p>
    <w:p w:rsidR="00000000" w:rsidDel="00000000" w:rsidP="00000000" w:rsidRDefault="00000000" w:rsidRPr="00000000" w14:paraId="000000DE">
      <w:pPr>
        <w:rPr/>
      </w:pPr>
      <w:r w:rsidDel="00000000" w:rsidR="00000000" w:rsidRPr="00000000">
        <w:rPr>
          <w:rtl w:val="0"/>
        </w:rPr>
        <w:t xml:space="preserve">NHS England. (2026c). </w:t>
      </w:r>
      <w:r w:rsidDel="00000000" w:rsidR="00000000" w:rsidRPr="00000000">
        <w:rPr>
          <w:i w:val="1"/>
          <w:iCs w:val="1"/>
          <w:rtl w:val="0"/>
        </w:rPr>
        <w:t xml:space="preserve">NHS England » Governance, patient safety and quality</w:t>
      </w:r>
      <w:r w:rsidDel="00000000" w:rsidR="00000000" w:rsidRPr="00000000">
        <w:rPr>
          <w:rtl w:val="0"/>
        </w:rPr>
        <w:t xml:space="preserve">. </w:t>
      </w:r>
      <w:hyperlink r:id="rId52">
        <w:r w:rsidDel="00000000" w:rsidR="00000000" w:rsidRPr="00000000">
          <w:rPr>
            <w:color w:val="0000ff"/>
            <w:u w:val="single"/>
            <w:rtl w:val="0"/>
          </w:rPr>
          <w:t xml:space="preserve">https://www.england.nhs.uk/mat-transformation/matrons-handbook/governance-patient-safety-and-quality/</w:t>
        </w:r>
      </w:hyperlink>
      <w:r w:rsidDel="00000000" w:rsidR="00000000" w:rsidRPr="00000000">
        <w:rPr>
          <w:rtl w:val="0"/>
        </w:rPr>
        <w:t xml:space="preserve"> </w:t>
      </w:r>
    </w:p>
    <w:p w:rsidR="00000000" w:rsidDel="00000000" w:rsidP="00000000" w:rsidRDefault="00000000" w:rsidRPr="00000000" w14:paraId="000000DF">
      <w:pPr>
        <w:rPr/>
      </w:pPr>
      <w:r w:rsidDel="00000000" w:rsidR="00000000" w:rsidRPr="00000000">
        <w:rPr>
          <w:rtl w:val="0"/>
        </w:rPr>
        <w:t xml:space="preserve">O’Neill, S. M., Clyne, B., Bell, M., Casey, A., Leen, B., Smith, S. M., Ryan, M. and O’Neill, M. (2021). Why do healthcare professionals fail to escalate as per the early warning system (EWS) protocol? A qualitative evidence synthesis of the barriers and facilitators of escalation. </w:t>
      </w:r>
      <w:r w:rsidDel="00000000" w:rsidR="00000000" w:rsidRPr="00000000">
        <w:rPr>
          <w:i w:val="1"/>
          <w:iCs w:val="1"/>
          <w:rtl w:val="0"/>
        </w:rPr>
        <w:t xml:space="preserve">BMC Emergency Medicine</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(1), 15. </w:t>
      </w:r>
      <w:hyperlink r:id="rId53">
        <w:r w:rsidDel="00000000" w:rsidR="00000000" w:rsidRPr="00000000">
          <w:rPr>
            <w:color w:val="0000ff"/>
            <w:u w:val="single"/>
            <w:rtl w:val="0"/>
          </w:rPr>
          <w:t xml:space="preserve">https://doi.org/10.1186/s12873-021-00403-9</w:t>
        </w:r>
      </w:hyperlink>
      <w:r w:rsidDel="00000000" w:rsidR="00000000" w:rsidRPr="00000000">
        <w:rPr>
          <w:rtl w:val="0"/>
        </w:rPr>
        <w:t xml:space="preserve"> </w:t>
      </w:r>
    </w:p>
    <w:p w:rsidR="00000000" w:rsidDel="00000000" w:rsidP="00000000" w:rsidRDefault="00000000" w:rsidRPr="00000000" w14:paraId="000000E0">
      <w:pPr>
        <w:rPr/>
      </w:pPr>
      <w:r w:rsidDel="00000000" w:rsidR="00000000" w:rsidRPr="00000000">
        <w:rPr>
          <w:rtl w:val="0"/>
        </w:rPr>
        <w:t xml:space="preserve">Powell, T. (2026, July 8). </w:t>
      </w:r>
      <w:r w:rsidDel="00000000" w:rsidR="00000000" w:rsidRPr="00000000">
        <w:rPr>
          <w:i w:val="1"/>
          <w:iCs w:val="1"/>
          <w:rtl w:val="0"/>
        </w:rPr>
        <w:t xml:space="preserve">The Francis Report (Report of the Mid-Staffordshire NHS Foundation Trust public inquiry) and the Government’s response - House of Commons Library</w:t>
      </w:r>
      <w:r w:rsidDel="00000000" w:rsidR="00000000" w:rsidRPr="00000000">
        <w:rPr>
          <w:rtl w:val="0"/>
        </w:rPr>
        <w:t xml:space="preserve">. House of Commons Library. </w:t>
      </w:r>
      <w:hyperlink r:id="rId54">
        <w:r w:rsidDel="00000000" w:rsidR="00000000" w:rsidRPr="00000000">
          <w:rPr>
            <w:color w:val="0000ff"/>
            <w:u w:val="single"/>
            <w:rtl w:val="0"/>
          </w:rPr>
          <w:t xml:space="preserve">https://commonslibrary.parliament.uk/research-briefings/sn06690/</w:t>
        </w:r>
      </w:hyperlink>
      <w:r w:rsidDel="00000000" w:rsidR="00000000" w:rsidRPr="00000000">
        <w:rPr>
          <w:rtl w:val="0"/>
        </w:rPr>
        <w:t xml:space="preserve"> </w:t>
      </w:r>
    </w:p>
    <w:p w:rsidR="00000000" w:rsidDel="00000000" w:rsidP="00000000" w:rsidRDefault="00000000" w:rsidRPr="00000000" w14:paraId="000000E1">
      <w:pPr>
        <w:rPr/>
      </w:pPr>
      <w:r w:rsidDel="00000000" w:rsidR="00000000" w:rsidRPr="00000000">
        <w:rPr>
          <w:rtl w:val="0"/>
        </w:rPr>
        <w:t xml:space="preserve">Rabiei, R. and Almasi, S. (2022). Requirements and challenges of hospital dashboards: a systematic literature review. </w:t>
      </w:r>
      <w:r w:rsidDel="00000000" w:rsidR="00000000" w:rsidRPr="00000000">
        <w:rPr>
          <w:i w:val="1"/>
          <w:iCs w:val="1"/>
          <w:rtl w:val="0"/>
        </w:rPr>
        <w:t xml:space="preserve">BMC Medical Informatics and Decision Making</w:t>
      </w:r>
      <w:r w:rsidDel="00000000" w:rsidR="00000000" w:rsidRPr="00000000">
        <w:rPr>
          <w:rtl w:val="0"/>
        </w:rPr>
        <w:t xml:space="preserve">, </w:t>
      </w:r>
      <w:r w:rsidDel="00000000" w:rsidR="00000000" w:rsidRPr="00000000">
        <w:rPr>
          <w:i w:val="1"/>
          <w:iCs w:val="1"/>
          <w:rtl w:val="0"/>
        </w:rPr>
        <w:t xml:space="preserve">22</w:t>
      </w:r>
      <w:r w:rsidDel="00000000" w:rsidR="00000000" w:rsidRPr="00000000">
        <w:rPr>
          <w:rtl w:val="0"/>
        </w:rPr>
        <w:t xml:space="preserve">(1), 287. </w:t>
      </w:r>
      <w:hyperlink r:id="rId55">
        <w:r w:rsidDel="00000000" w:rsidR="00000000" w:rsidRPr="00000000">
          <w:rPr>
            <w:color w:val="0000ff"/>
            <w:u w:val="single"/>
            <w:rtl w:val="0"/>
          </w:rPr>
          <w:t xml:space="preserve">https://doi.org/10.1186/s12911-022-02037-8</w:t>
        </w:r>
      </w:hyperlink>
      <w:r w:rsidDel="00000000" w:rsidR="00000000" w:rsidRPr="00000000">
        <w:rPr>
          <w:rtl w:val="0"/>
        </w:rPr>
        <w:t xml:space="preserve"> </w:t>
      </w:r>
    </w:p>
    <w:p w:rsidR="00000000" w:rsidDel="00000000" w:rsidP="00000000" w:rsidRDefault="00000000" w:rsidRPr="00000000" w14:paraId="000000E2">
      <w:pPr>
        <w:rPr/>
      </w:pPr>
      <w:r w:rsidDel="00000000" w:rsidR="00000000" w:rsidRPr="00000000">
        <w:rPr>
          <w:rtl w:val="0"/>
        </w:rPr>
        <w:t xml:space="preserve">Rafferty, A. M. and Leary, A. (2023). Nursing notes on a scandal. </w:t>
      </w:r>
      <w:r w:rsidDel="00000000" w:rsidR="00000000" w:rsidRPr="00000000">
        <w:rPr>
          <w:i w:val="1"/>
          <w:iCs w:val="1"/>
          <w:rtl w:val="0"/>
        </w:rPr>
        <w:t xml:space="preserve">Future Healthcare Journal</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(1), 3–6. </w:t>
      </w:r>
      <w:hyperlink r:id="rId56">
        <w:r w:rsidDel="00000000" w:rsidR="00000000" w:rsidRPr="00000000">
          <w:rPr>
            <w:color w:val="0000ff"/>
            <w:u w:val="single"/>
            <w:rtl w:val="0"/>
          </w:rPr>
          <w:t xml:space="preserve">https://doi.org/10.7861/fhj.2023-fr102</w:t>
        </w:r>
      </w:hyperlink>
      <w:r w:rsidDel="00000000" w:rsidR="00000000" w:rsidRPr="00000000">
        <w:rPr>
          <w:rtl w:val="0"/>
        </w:rPr>
        <w:t xml:space="preserve"> </w:t>
      </w:r>
    </w:p>
    <w:p w:rsidR="00000000" w:rsidDel="00000000" w:rsidP="00000000" w:rsidRDefault="00000000" w:rsidRPr="00000000" w14:paraId="000000E3">
      <w:pPr>
        <w:rPr/>
      </w:pPr>
      <w:r w:rsidDel="00000000" w:rsidR="00000000" w:rsidRPr="00000000">
        <w:rPr>
          <w:rtl w:val="0"/>
        </w:rPr>
        <w:t xml:space="preserve">Rafferty, A. M., Philippou, J., Fitzpatrick, J. M., Pike, G. and Ball, J. (2017). Development and testing of the ‘Culture of Care Barometer’ (CoCB) in healthcare organisations: a mixed methods study. </w:t>
      </w:r>
      <w:r w:rsidDel="00000000" w:rsidR="00000000" w:rsidRPr="00000000">
        <w:rPr>
          <w:i w:val="1"/>
          <w:iCs w:val="1"/>
          <w:rtl w:val="0"/>
        </w:rPr>
        <w:t xml:space="preserve">BMJ Open</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(8), e016677. </w:t>
      </w:r>
      <w:hyperlink r:id="rId57">
        <w:r w:rsidDel="00000000" w:rsidR="00000000" w:rsidRPr="00000000">
          <w:rPr>
            <w:color w:val="0000ff"/>
            <w:u w:val="single"/>
            <w:rtl w:val="0"/>
          </w:rPr>
          <w:t xml:space="preserve">https://doi.org/10.1136/bmjopen-2017-016677</w:t>
        </w:r>
      </w:hyperlink>
      <w:r w:rsidDel="00000000" w:rsidR="00000000" w:rsidRPr="00000000">
        <w:rPr>
          <w:rtl w:val="0"/>
        </w:rPr>
        <w:t xml:space="preserve"> </w:t>
      </w:r>
    </w:p>
    <w:p w:rsidR="00000000" w:rsidDel="00000000" w:rsidP="00000000" w:rsidRDefault="00000000" w:rsidRPr="00000000" w14:paraId="000000E4">
      <w:pPr>
        <w:rPr/>
      </w:pPr>
      <w:r w:rsidDel="00000000" w:rsidR="00000000" w:rsidRPr="00000000">
        <w:rPr>
          <w:rtl w:val="0"/>
        </w:rPr>
        <w:t xml:space="preserve">Reader, T. W. (2022). Stakeholder safety communication: patient and family reports on safety risks in hospitals. </w:t>
      </w:r>
      <w:r w:rsidDel="00000000" w:rsidR="00000000" w:rsidRPr="00000000">
        <w:rPr>
          <w:i w:val="1"/>
          <w:iCs w:val="1"/>
          <w:rtl w:val="0"/>
        </w:rPr>
        <w:t xml:space="preserve">Journal of Risk Research</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(7), 807–824. </w:t>
      </w:r>
      <w:hyperlink r:id="rId58">
        <w:r w:rsidDel="00000000" w:rsidR="00000000" w:rsidRPr="00000000">
          <w:rPr>
            <w:color w:val="0000ff"/>
            <w:u w:val="single"/>
            <w:rtl w:val="0"/>
          </w:rPr>
          <w:t xml:space="preserve">https://doi.org/10.1080/13669877.2022.2061036</w:t>
        </w:r>
      </w:hyperlink>
      <w:r w:rsidDel="00000000" w:rsidR="00000000" w:rsidRPr="00000000">
        <w:rPr>
          <w:rtl w:val="0"/>
        </w:rPr>
        <w:t xml:space="preserve"> </w:t>
      </w:r>
    </w:p>
    <w:p w:rsidR="00000000" w:rsidDel="00000000" w:rsidP="00000000" w:rsidRDefault="00000000" w:rsidRPr="00000000" w14:paraId="000000E5">
      <w:pPr>
        <w:rPr/>
      </w:pPr>
      <w:r w:rsidDel="00000000" w:rsidR="00000000" w:rsidRPr="00000000">
        <w:rPr>
          <w:rtl w:val="0"/>
        </w:rPr>
        <w:t xml:space="preserve">Robby, K. N. A., Nurjazuli, N., Izzah, L., Tallapessy, A. and Astuti, I. S. W. (2025). From Structure to Outcome: The role of the Donabedian Model in Global Health Service Management Research (1987–2024). </w:t>
      </w:r>
      <w:r w:rsidDel="00000000" w:rsidR="00000000" w:rsidRPr="00000000">
        <w:rPr>
          <w:i w:val="1"/>
          <w:iCs w:val="1"/>
          <w:rtl w:val="0"/>
        </w:rPr>
        <w:t xml:space="preserve">E3S Web of Conferences</w:t>
      </w:r>
      <w:r w:rsidDel="00000000" w:rsidR="00000000" w:rsidRPr="00000000">
        <w:rPr>
          <w:rtl w:val="0"/>
        </w:rPr>
        <w:t xml:space="preserve">, </w:t>
      </w:r>
      <w:r w:rsidDel="00000000" w:rsidR="00000000" w:rsidRPr="00000000">
        <w:rPr>
          <w:i w:val="1"/>
          <w:iCs w:val="1"/>
          <w:rtl w:val="0"/>
        </w:rPr>
        <w:t xml:space="preserve">650</w:t>
      </w:r>
      <w:r w:rsidDel="00000000" w:rsidR="00000000" w:rsidRPr="00000000">
        <w:rPr>
          <w:rtl w:val="0"/>
        </w:rPr>
        <w:t xml:space="preserve">, 02025. </w:t>
      </w:r>
      <w:hyperlink r:id="rId59">
        <w:r w:rsidDel="00000000" w:rsidR="00000000" w:rsidRPr="00000000">
          <w:rPr>
            <w:color w:val="0000ff"/>
            <w:u w:val="single"/>
            <w:rtl w:val="0"/>
          </w:rPr>
          <w:t xml:space="preserve">https://doi.org/10.1051/e3sconf/202565002025</w:t>
        </w:r>
      </w:hyperlink>
      <w:r w:rsidDel="00000000" w:rsidR="00000000" w:rsidRPr="00000000">
        <w:rPr>
          <w:rtl w:val="0"/>
        </w:rPr>
        <w:t xml:space="preserve"> </w:t>
      </w:r>
    </w:p>
    <w:p w:rsidR="00000000" w:rsidDel="00000000" w:rsidP="00000000" w:rsidRDefault="00000000" w:rsidRPr="00000000" w14:paraId="000000E6">
      <w:pPr>
        <w:rPr/>
      </w:pPr>
      <w:r w:rsidDel="00000000" w:rsidR="00000000" w:rsidRPr="00000000">
        <w:rPr>
          <w:rtl w:val="0"/>
        </w:rPr>
        <w:t xml:space="preserve">Sekarini, I. G. a. A., Widhiyanti, A. a. S. and Dewi, N. M. R. M. (2025). Dashboard application for monitoring patient data in hospitals. </w:t>
      </w:r>
      <w:r w:rsidDel="00000000" w:rsidR="00000000" w:rsidRPr="00000000">
        <w:rPr>
          <w:i w:val="1"/>
          <w:iCs w:val="1"/>
          <w:rtl w:val="0"/>
        </w:rPr>
        <w:t xml:space="preserve">Eduvest - Journal of Universal Studies</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(8), 10339–10352. </w:t>
      </w:r>
      <w:hyperlink r:id="rId60">
        <w:r w:rsidDel="00000000" w:rsidR="00000000" w:rsidRPr="00000000">
          <w:rPr>
            <w:color w:val="0000ff"/>
            <w:u w:val="single"/>
            <w:rtl w:val="0"/>
          </w:rPr>
          <w:t xml:space="preserve">https://doi.org/10.59188/eduvest.v5i8.51010</w:t>
        </w:r>
      </w:hyperlink>
      <w:r w:rsidDel="00000000" w:rsidR="00000000" w:rsidRPr="00000000">
        <w:rPr>
          <w:rtl w:val="0"/>
        </w:rPr>
        <w:t xml:space="preserve"> </w:t>
      </w:r>
    </w:p>
    <w:p w:rsidR="00000000" w:rsidDel="00000000" w:rsidP="00000000" w:rsidRDefault="00000000" w:rsidRPr="00000000" w14:paraId="000000E7">
      <w:pPr>
        <w:rPr/>
      </w:pPr>
      <w:r w:rsidDel="00000000" w:rsidR="00000000" w:rsidRPr="00000000">
        <w:rPr>
          <w:rtl w:val="0"/>
        </w:rPr>
        <w:t xml:space="preserve">Tossaint-Schoenmakers, R., Versluis, A., Chavannes, N., Talboom-Kamp, E. and Kasteleyn, M. (2021). The Challenge of Integrating eHealth into Health Care: Systematic Literature review of the Donabedian Model of Structure, Process, and Outcome. </w:t>
      </w:r>
      <w:r w:rsidDel="00000000" w:rsidR="00000000" w:rsidRPr="00000000">
        <w:rPr>
          <w:i w:val="1"/>
          <w:iCs w:val="1"/>
          <w:rtl w:val="0"/>
        </w:rPr>
        <w:t xml:space="preserve">Journal of Medical Internet Research</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(5), e27180. </w:t>
      </w:r>
      <w:hyperlink r:id="rId61">
        <w:r w:rsidDel="00000000" w:rsidR="00000000" w:rsidRPr="00000000">
          <w:rPr>
            <w:color w:val="0000ff"/>
            <w:u w:val="single"/>
            <w:rtl w:val="0"/>
          </w:rPr>
          <w:t xml:space="preserve">https://doi.org/10.2196/27180</w:t>
        </w:r>
      </w:hyperlink>
      <w:r w:rsidDel="00000000" w:rsidR="00000000" w:rsidRPr="00000000">
        <w:rPr>
          <w:rtl w:val="0"/>
        </w:rPr>
        <w:t xml:space="preserve"> </w:t>
      </w:r>
    </w:p>
    <w:p w:rsidR="00000000" w:rsidDel="00000000" w:rsidP="00000000" w:rsidRDefault="00000000" w:rsidRPr="00000000" w14:paraId="000000E8">
      <w:pPr>
        <w:rPr/>
      </w:pPr>
      <w:r w:rsidDel="00000000" w:rsidR="00000000" w:rsidRPr="00000000">
        <w:rPr>
          <w:rtl w:val="0"/>
        </w:rPr>
        <w:t xml:space="preserve">UK Parliament. (2010, February 24). </w:t>
      </w:r>
      <w:r w:rsidDel="00000000" w:rsidR="00000000" w:rsidRPr="00000000">
        <w:rPr>
          <w:i w:val="1"/>
          <w:iCs w:val="1"/>
          <w:rtl w:val="0"/>
        </w:rPr>
        <w:t xml:space="preserve">Mid Staffordshire NHS Foundation Trust - Hansard - UK Parliament</w:t>
      </w:r>
      <w:r w:rsidDel="00000000" w:rsidR="00000000" w:rsidRPr="00000000">
        <w:rPr>
          <w:rtl w:val="0"/>
        </w:rPr>
        <w:t xml:space="preserve">. </w:t>
      </w:r>
      <w:hyperlink r:id="rId62">
        <w:r w:rsidDel="00000000" w:rsidR="00000000" w:rsidRPr="00000000">
          <w:rPr>
            <w:color w:val="0000ff"/>
            <w:u w:val="single"/>
            <w:rtl w:val="0"/>
          </w:rPr>
          <w:t xml:space="preserve">https://hansard.parliament.uk/Commons/2010-02-24/debates/10022460000004/MidStaffordshireNHSFoundationTrust</w:t>
        </w:r>
      </w:hyperlink>
      <w:r w:rsidDel="00000000" w:rsidR="00000000" w:rsidRPr="00000000">
        <w:rPr>
          <w:rtl w:val="0"/>
        </w:rPr>
        <w:t xml:space="preserve"> </w:t>
      </w:r>
    </w:p>
    <w:p w:rsidR="00000000" w:rsidDel="00000000" w:rsidP="00000000" w:rsidRDefault="00000000" w:rsidRPr="00000000" w14:paraId="000000E9">
      <w:pPr>
        <w:rPr/>
      </w:pPr>
      <w:r w:rsidDel="00000000" w:rsidR="00000000" w:rsidRPr="00000000">
        <w:rPr>
          <w:rtl w:val="0"/>
        </w:rPr>
        <w:t xml:space="preserve">While, A. (2015). Can we learn from the Mid-Staffordshire Inquiry or is it always someone else’s problem? </w:t>
      </w:r>
      <w:r w:rsidDel="00000000" w:rsidR="00000000" w:rsidRPr="00000000">
        <w:rPr>
          <w:i w:val="1"/>
          <w:iCs w:val="1"/>
          <w:rtl w:val="0"/>
        </w:rPr>
        <w:t xml:space="preserve">London Journal of Primary Care</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(2), 23–24. </w:t>
      </w:r>
      <w:hyperlink r:id="rId63">
        <w:r w:rsidDel="00000000" w:rsidR="00000000" w:rsidRPr="00000000">
          <w:rPr>
            <w:color w:val="0000ff"/>
            <w:u w:val="single"/>
            <w:rtl w:val="0"/>
          </w:rPr>
          <w:t xml:space="preserve">https://doi.org/10.1080/17571472.2015.11493431</w:t>
        </w:r>
      </w:hyperlink>
      <w:r w:rsidDel="00000000" w:rsidR="00000000" w:rsidRPr="00000000">
        <w:rPr>
          <w:rtl w:val="0"/>
        </w:rPr>
        <w:t xml:space="preserve"> </w:t>
      </w:r>
    </w:p>
    <w:sectPr>
      <w:footerReference r:id="rId6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jc w:val="center"/>
    </w:pPr>
    <w:rPr>
      <w:b w:val="1"/>
      <w:bCs w:val="1"/>
    </w:rPr>
  </w:style>
  <w:style w:type="paragraph" w:styleId="Heading5">
    <w:name w:val="heading 5"/>
    <w:basedOn w:val="Normal"/>
    <w:next w:val="Normal"/>
    <w:pPr>
      <w:keepNext w:val="1"/>
      <w:keepLines w:val="1"/>
      <w:jc w:val="center"/>
    </w:pPr>
    <w:rPr>
      <w:b w:val="1"/>
      <w:bCs w:val="1"/>
    </w:rPr>
  </w:style>
  <w:style w:type="paragraph" w:styleId="Heading6">
    <w:name w:val="heading 6"/>
    <w:basedOn w:val="Normal"/>
    <w:next w:val="Normal"/>
    <w:pPr>
      <w:keepNext w:val="1"/>
      <w:keepLines w:val="1"/>
      <w:jc w:val="center"/>
    </w:pPr>
    <w:rPr>
      <w:b w:val="1"/>
      <w:bCs w:val="1"/>
    </w:rPr>
  </w:style>
  <w:style w:type="paragraph" w:styleId="Title">
    <w:name w:val="Title"/>
    <w:basedOn w:val="Normal"/>
    <w:next w:val="Normal"/>
    <w:pPr>
      <w:keepNext w:val="1"/>
      <w:keepLines w:val="1"/>
      <w:jc w:val="center"/>
    </w:pPr>
    <w:rPr>
      <w:b w:val="1"/>
      <w:bCs w:val="1"/>
      <w:sz w:val="32"/>
      <w:szCs w:val="3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61096/ijamscr.v13.iss2.2025.351-359" TargetMode="External"/><Relationship Id="rId42" Type="http://schemas.openxmlformats.org/officeDocument/2006/relationships/hyperlink" Target="https://doi.org/10.1186/s12893-025-02854-4" TargetMode="External"/><Relationship Id="rId41" Type="http://schemas.openxmlformats.org/officeDocument/2006/relationships/hyperlink" Target="https://doi.org/10.1186/s12893-025-02854-4" TargetMode="External"/><Relationship Id="rId44" Type="http://schemas.openxmlformats.org/officeDocument/2006/relationships/hyperlink" Target="https://www.researchgate.net/publication/384965537_Root_Cause_Analysis" TargetMode="External"/><Relationship Id="rId43" Type="http://schemas.openxmlformats.org/officeDocument/2006/relationships/hyperlink" Target="https://doi.org/10.1186/s12960-025-01028-w" TargetMode="External"/><Relationship Id="rId46" Type="http://schemas.openxmlformats.org/officeDocument/2006/relationships/hyperlink" Target="https://doi.org/10.1136/bmjhci-2021-100437" TargetMode="External"/><Relationship Id="rId45" Type="http://schemas.openxmlformats.org/officeDocument/2006/relationships/hyperlink" Target="https://doi.org/10.1002/nur.2229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48" Type="http://schemas.openxmlformats.org/officeDocument/2006/relationships/hyperlink" Target="https://www.england.nhs.uk/long-read/nhs-long-term-workforce-plan-2/" TargetMode="External"/><Relationship Id="rId47" Type="http://schemas.openxmlformats.org/officeDocument/2006/relationships/hyperlink" Target="https://commonslibrary.parliament.uk/research-briefings/cbp-7281/0/" TargetMode="External"/><Relationship Id="rId49" Type="http://schemas.openxmlformats.org/officeDocument/2006/relationships/hyperlink" Target="https://www.england.nhs.uk/long-read/patient-safety-incident-response-framewor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assets.publishing.service.gov.uk/media/5a7ba0faed915d13110607c8/0947.pdf" TargetMode="External"/><Relationship Id="rId30" Type="http://schemas.openxmlformats.org/officeDocument/2006/relationships/hyperlink" Target="https://doi.org/10.51595/injhsr22/019" TargetMode="External"/><Relationship Id="rId33" Type="http://schemas.openxmlformats.org/officeDocument/2006/relationships/hyperlink" Target="https://doi.org/10.1590/0034-7167-2022-0751" TargetMode="External"/><Relationship Id="rId32" Type="http://schemas.openxmlformats.org/officeDocument/2006/relationships/hyperlink" Target="https://assets.publishing.service.gov.uk/media/5a7c9bec40f0b65b3de09fde/0898_i.pdf" TargetMode="External"/><Relationship Id="rId35" Type="http://schemas.openxmlformats.org/officeDocument/2006/relationships/hyperlink" Target="https://www.gov.uk/government/speeches/the-government-s-response-to-the-francis-report" TargetMode="External"/><Relationship Id="rId34" Type="http://schemas.openxmlformats.org/officeDocument/2006/relationships/hyperlink" Target="https://doi.org/10.1002/hpm.3830" TargetMode="External"/><Relationship Id="rId37" Type="http://schemas.openxmlformats.org/officeDocument/2006/relationships/hyperlink" Target="https://doi.org/10.54832/nij.v5i1.1235" TargetMode="External"/><Relationship Id="rId36" Type="http://schemas.openxmlformats.org/officeDocument/2006/relationships/hyperlink" Target="https://www.gov.uk/government/news/government-publishes-initial-response-to-the-mid-staffordshire-nhs-public-inquiry-report" TargetMode="External"/><Relationship Id="rId39" Type="http://schemas.openxmlformats.org/officeDocument/2006/relationships/hyperlink" Target="https://doi.org/10.7861/fhj.2023-fr103" TargetMode="External"/><Relationship Id="rId38" Type="http://schemas.openxmlformats.org/officeDocument/2006/relationships/hyperlink" Target="https://doi.org/10.1016/s0140-6736(13)60264-0" TargetMode="External"/><Relationship Id="rId62" Type="http://schemas.openxmlformats.org/officeDocument/2006/relationships/hyperlink" Target="https://hansard.parliament.uk/Commons/2010-02-24/debates/10022460000004/MidStaffordshireNHSFoundationTrust" TargetMode="External"/><Relationship Id="rId61" Type="http://schemas.openxmlformats.org/officeDocument/2006/relationships/hyperlink" Target="https://doi.org/10.2196/27180" TargetMode="External"/><Relationship Id="rId20" Type="http://schemas.openxmlformats.org/officeDocument/2006/relationships/hyperlink" Target="https://www.cqc.org.uk/guidance-regulation/providers/regulations-service-providers-and-managers/health-social-care-act/regulation-18" TargetMode="External"/><Relationship Id="rId64" Type="http://schemas.openxmlformats.org/officeDocument/2006/relationships/footer" Target="footer1.xml"/><Relationship Id="rId63" Type="http://schemas.openxmlformats.org/officeDocument/2006/relationships/hyperlink" Target="https://doi.org/10.1080/17571472.2015.11493431" TargetMode="External"/><Relationship Id="rId22" Type="http://schemas.openxmlformats.org/officeDocument/2006/relationships/hyperlink" Target="https://www.cqc.org.uk/guidance-regulation/providers/regulations-service-providers-and-managers/health-social-care-act/regulation-20" TargetMode="External"/><Relationship Id="rId21" Type="http://schemas.openxmlformats.org/officeDocument/2006/relationships/hyperlink" Target="https://www.cqc.org.uk/guidance-regulation/providers/regulations-service-providers-and-managers/health-social-care-act/regulation-17?trk=public_post_comment-text&amp;utm" TargetMode="External"/><Relationship Id="rId24" Type="http://schemas.openxmlformats.org/officeDocument/2006/relationships/hyperlink" Target="https://doi.org/10.1136/bmjoq-2019-000777" TargetMode="External"/><Relationship Id="rId23" Type="http://schemas.openxmlformats.org/officeDocument/2006/relationships/hyperlink" Target="https://www.cqc.org.uk/about-us/fundamental-standards" TargetMode="External"/><Relationship Id="rId60" Type="http://schemas.openxmlformats.org/officeDocument/2006/relationships/hyperlink" Target="https://doi.org/10.59188/eduvest.v5i8.51010" TargetMode="External"/><Relationship Id="rId26" Type="http://schemas.openxmlformats.org/officeDocument/2006/relationships/hyperlink" Target="https://doi.org/10.34172/ijhpm.2022.6957" TargetMode="External"/><Relationship Id="rId25" Type="http://schemas.openxmlformats.org/officeDocument/2006/relationships/hyperlink" Target="https://doi.org/10.5772/intechopen.96191" TargetMode="External"/><Relationship Id="rId28" Type="http://schemas.openxmlformats.org/officeDocument/2006/relationships/hyperlink" Target="https://doi.org/10.1007/s10551-023-05445-6" TargetMode="External"/><Relationship Id="rId27" Type="http://schemas.openxmlformats.org/officeDocument/2006/relationships/hyperlink" Target="https://doi.org/10.1007/s10551-023-05445-6" TargetMode="External"/><Relationship Id="rId29" Type="http://schemas.openxmlformats.org/officeDocument/2006/relationships/hyperlink" Target="https://doi.org/10.30574/ijsra.2024.13.2.2106" TargetMode="External"/><Relationship Id="rId51" Type="http://schemas.openxmlformats.org/officeDocument/2006/relationships/hyperlink" Target="https://www.england.nhs.uk/ourwork/freedom-to-speak-up/?utm" TargetMode="External"/><Relationship Id="rId50" Type="http://schemas.openxmlformats.org/officeDocument/2006/relationships/hyperlink" Target="https://www.england.nhs.uk/long-read/patient-safety-incident-response-standards/" TargetMode="External"/><Relationship Id="rId53" Type="http://schemas.openxmlformats.org/officeDocument/2006/relationships/hyperlink" Target="https://doi.org/10.1186/s12873-021-00403-9" TargetMode="External"/><Relationship Id="rId52" Type="http://schemas.openxmlformats.org/officeDocument/2006/relationships/hyperlink" Target="https://www.england.nhs.uk/mat-transformation/matrons-handbook/governance-patient-safety-and-quality/" TargetMode="External"/><Relationship Id="rId11" Type="http://schemas.openxmlformats.org/officeDocument/2006/relationships/hyperlink" Target="https://doi.org/10.13140/RG.2.2.24886.73288" TargetMode="External"/><Relationship Id="rId55" Type="http://schemas.openxmlformats.org/officeDocument/2006/relationships/hyperlink" Target="https://doi.org/10.1186/s12911-022-02037-8" TargetMode="External"/><Relationship Id="rId10" Type="http://schemas.openxmlformats.org/officeDocument/2006/relationships/hyperlink" Target="https://doi.org/10.1515/reveh-2019-0003" TargetMode="External"/><Relationship Id="rId54" Type="http://schemas.openxmlformats.org/officeDocument/2006/relationships/hyperlink" Target="https://commonslibrary.parliament.uk/research-briefings/sn06690/" TargetMode="External"/><Relationship Id="rId13" Type="http://schemas.openxmlformats.org/officeDocument/2006/relationships/hyperlink" Target="https://doi.org/10.1136/bmjoq-2022-002033" TargetMode="External"/><Relationship Id="rId57" Type="http://schemas.openxmlformats.org/officeDocument/2006/relationships/hyperlink" Target="https://doi.org/10.1136/bmjopen-2017-016677" TargetMode="External"/><Relationship Id="rId12" Type="http://schemas.openxmlformats.org/officeDocument/2006/relationships/hyperlink" Target="https://doi.org/10.1016/j.ijnurstu.2024.104777" TargetMode="External"/><Relationship Id="rId56" Type="http://schemas.openxmlformats.org/officeDocument/2006/relationships/hyperlink" Target="https://doi.org/10.7861/fhj.2023-fr102" TargetMode="External"/><Relationship Id="rId15" Type="http://schemas.openxmlformats.org/officeDocument/2006/relationships/hyperlink" Target="https://doi.org/10.24018/ejbmr.2020.5.4.405" TargetMode="External"/><Relationship Id="rId59" Type="http://schemas.openxmlformats.org/officeDocument/2006/relationships/hyperlink" Target="https://doi.org/10.1051/e3sconf/202565002025" TargetMode="External"/><Relationship Id="rId14" Type="http://schemas.openxmlformats.org/officeDocument/2006/relationships/hyperlink" Target="https://doi.org/10.1186/s12912-025-04263-7" TargetMode="External"/><Relationship Id="rId58" Type="http://schemas.openxmlformats.org/officeDocument/2006/relationships/hyperlink" Target="https://doi.org/10.1080/13669877.2022.2061036" TargetMode="External"/><Relationship Id="rId17" Type="http://schemas.openxmlformats.org/officeDocument/2006/relationships/hyperlink" Target="https://doi.org/10.56294/hl2022121" TargetMode="External"/><Relationship Id="rId16" Type="http://schemas.openxmlformats.org/officeDocument/2006/relationships/hyperlink" Target="https://www.bbc.com/news/uk-england-stoke-staffordshire-50836324" TargetMode="External"/><Relationship Id="rId19" Type="http://schemas.openxmlformats.org/officeDocument/2006/relationships/hyperlink" Target="https://www.cqc.org.uk/guidance-regulation/providers/regulations-service-providers-and-managers" TargetMode="External"/><Relationship Id="rId18" Type="http://schemas.openxmlformats.org/officeDocument/2006/relationships/hyperlink" Target="https://www.theguardian.com/society/2013/feb/06/mid-staffs-hospital-scandal-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