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F455BA" w14:textId="7CE3C778" w:rsidR="00A57175" w:rsidRPr="00E94FED" w:rsidRDefault="00A57175" w:rsidP="00F3159B">
      <w:pPr>
        <w:jc w:val="center"/>
        <w:rPr>
          <w:rFonts w:ascii="Times New Roman" w:hAnsi="Times New Roman" w:cs="Times New Roman"/>
          <w:b/>
          <w:sz w:val="24"/>
          <w:u w:val="single"/>
        </w:rPr>
      </w:pPr>
      <w:r w:rsidRPr="00E94FED">
        <w:rPr>
          <w:rFonts w:ascii="Times New Roman" w:hAnsi="Times New Roman" w:cs="Times New Roman"/>
          <w:b/>
          <w:sz w:val="24"/>
          <w:u w:val="single"/>
        </w:rPr>
        <w:t>How signific</w:t>
      </w:r>
      <w:r w:rsidR="00800FE9" w:rsidRPr="00E94FED">
        <w:rPr>
          <w:rFonts w:ascii="Times New Roman" w:hAnsi="Times New Roman" w:cs="Times New Roman"/>
          <w:b/>
          <w:sz w:val="24"/>
          <w:u w:val="single"/>
        </w:rPr>
        <w:t>a</w:t>
      </w:r>
      <w:r w:rsidRPr="00E94FED">
        <w:rPr>
          <w:rFonts w:ascii="Times New Roman" w:hAnsi="Times New Roman" w:cs="Times New Roman"/>
          <w:b/>
          <w:sz w:val="24"/>
          <w:u w:val="single"/>
        </w:rPr>
        <w:t>nt were the</w:t>
      </w:r>
      <w:r w:rsidR="00614808">
        <w:rPr>
          <w:rFonts w:ascii="Times New Roman" w:hAnsi="Times New Roman" w:cs="Times New Roman"/>
          <w:b/>
          <w:sz w:val="24"/>
          <w:u w:val="single"/>
        </w:rPr>
        <w:t xml:space="preserve"> effects of the Black Death on m</w:t>
      </w:r>
      <w:r w:rsidRPr="00E94FED">
        <w:rPr>
          <w:rFonts w:ascii="Times New Roman" w:hAnsi="Times New Roman" w:cs="Times New Roman"/>
          <w:b/>
          <w:sz w:val="24"/>
          <w:u w:val="single"/>
        </w:rPr>
        <w:t>edieval religion and culture?</w:t>
      </w:r>
    </w:p>
    <w:p w14:paraId="23899C0F" w14:textId="574FAFBB" w:rsidR="00800FE9" w:rsidRPr="00E94FED" w:rsidRDefault="00800FE9" w:rsidP="003F70F3">
      <w:pPr>
        <w:jc w:val="both"/>
        <w:rPr>
          <w:rFonts w:ascii="Times New Roman" w:hAnsi="Times New Roman" w:cs="Times New Roman"/>
          <w:sz w:val="24"/>
        </w:rPr>
      </w:pPr>
      <w:r w:rsidRPr="00E94FED">
        <w:rPr>
          <w:rFonts w:ascii="Times New Roman" w:hAnsi="Times New Roman" w:cs="Times New Roman"/>
          <w:sz w:val="24"/>
        </w:rPr>
        <w:t>The term Black Death refers to the epidemic that spread throughout Europe between 1347 and 1351 and is believed to have taken the lives of around one-third of the</w:t>
      </w:r>
      <w:r w:rsidR="0062048C">
        <w:rPr>
          <w:rFonts w:ascii="Times New Roman" w:hAnsi="Times New Roman" w:cs="Times New Roman"/>
          <w:sz w:val="24"/>
        </w:rPr>
        <w:t xml:space="preserve"> total population of Europe, </w:t>
      </w:r>
      <w:r w:rsidRPr="00E94FED">
        <w:rPr>
          <w:rFonts w:ascii="Times New Roman" w:hAnsi="Times New Roman" w:cs="Times New Roman"/>
          <w:sz w:val="24"/>
        </w:rPr>
        <w:t>estimated to</w:t>
      </w:r>
      <w:bookmarkStart w:id="0" w:name="_GoBack"/>
      <w:bookmarkEnd w:id="0"/>
      <w:r w:rsidRPr="00E94FED">
        <w:rPr>
          <w:rFonts w:ascii="Times New Roman" w:hAnsi="Times New Roman" w:cs="Times New Roman"/>
          <w:sz w:val="24"/>
        </w:rPr>
        <w:t xml:space="preserve"> be 75 million in 1300.</w:t>
      </w:r>
      <w:r w:rsidRPr="00E94FED">
        <w:rPr>
          <w:rStyle w:val="FootnoteReference"/>
          <w:rFonts w:ascii="Times New Roman" w:hAnsi="Times New Roman" w:cs="Times New Roman"/>
          <w:sz w:val="24"/>
        </w:rPr>
        <w:footnoteReference w:id="1"/>
      </w:r>
      <w:r w:rsidR="00B23A37" w:rsidRPr="00E94FED">
        <w:rPr>
          <w:rFonts w:ascii="Times New Roman" w:hAnsi="Times New Roman" w:cs="Times New Roman"/>
          <w:sz w:val="24"/>
        </w:rPr>
        <w:t xml:space="preserve"> The actual disease of the Black Death has long been debated by both historians and scientists who claim that the death toll cannot have been as a result of solely one form of plague. The current scientific thinking on this is that the term Black Death would have actually referred to a mixture of both bubonic and pneumonic plague.</w:t>
      </w:r>
      <w:r w:rsidR="00B23A37" w:rsidRPr="00E94FED">
        <w:rPr>
          <w:rStyle w:val="FootnoteReference"/>
          <w:rFonts w:ascii="Times New Roman" w:hAnsi="Times New Roman" w:cs="Times New Roman"/>
          <w:sz w:val="24"/>
        </w:rPr>
        <w:footnoteReference w:id="2"/>
      </w:r>
      <w:r w:rsidR="00B23A37" w:rsidRPr="00E94FED">
        <w:rPr>
          <w:rFonts w:ascii="Times New Roman" w:hAnsi="Times New Roman" w:cs="Times New Roman"/>
          <w:sz w:val="24"/>
        </w:rPr>
        <w:t xml:space="preserve"> Given that </w:t>
      </w:r>
      <w:r w:rsidR="00F3159B" w:rsidRPr="00E94FED">
        <w:rPr>
          <w:rFonts w:ascii="Times New Roman" w:hAnsi="Times New Roman" w:cs="Times New Roman"/>
          <w:sz w:val="24"/>
        </w:rPr>
        <w:t>bubonic plague can only survive between 68˚ and 78˚ Fahrenheit and pneumonic plague spreads as easily as the common cold, it is more likely that the winter outbreaks were pneumonic whilst the summer outbreaks were bubonic.</w:t>
      </w:r>
      <w:r w:rsidR="00F3159B" w:rsidRPr="00E94FED">
        <w:rPr>
          <w:rStyle w:val="FootnoteReference"/>
          <w:rFonts w:ascii="Times New Roman" w:hAnsi="Times New Roman" w:cs="Times New Roman"/>
          <w:sz w:val="24"/>
        </w:rPr>
        <w:footnoteReference w:id="3"/>
      </w:r>
      <w:r w:rsidR="005A7572" w:rsidRPr="00E94FED">
        <w:rPr>
          <w:rFonts w:ascii="Times New Roman" w:hAnsi="Times New Roman" w:cs="Times New Roman"/>
          <w:sz w:val="24"/>
        </w:rPr>
        <w:t xml:space="preserve"> Given that the Black Death is believed to have spread to even the most remote parts of Europe, such as the Orkney and Shetland Islands of Scotland, as well as the major metropolis</w:t>
      </w:r>
      <w:r w:rsidR="0062048C">
        <w:rPr>
          <w:rFonts w:ascii="Times New Roman" w:hAnsi="Times New Roman" w:cs="Times New Roman"/>
          <w:sz w:val="24"/>
        </w:rPr>
        <w:t>es,</w:t>
      </w:r>
      <w:r w:rsidR="005A7572" w:rsidRPr="00E94FED">
        <w:rPr>
          <w:rFonts w:ascii="Times New Roman" w:hAnsi="Times New Roman" w:cs="Times New Roman"/>
          <w:sz w:val="24"/>
        </w:rPr>
        <w:t xml:space="preserve"> it is no surprise that the aftermath of the</w:t>
      </w:r>
      <w:r w:rsidR="00614808">
        <w:rPr>
          <w:rFonts w:ascii="Times New Roman" w:hAnsi="Times New Roman" w:cs="Times New Roman"/>
          <w:sz w:val="24"/>
        </w:rPr>
        <w:t xml:space="preserve"> epidemic saw major changes to m</w:t>
      </w:r>
      <w:r w:rsidR="005A7572" w:rsidRPr="00E94FED">
        <w:rPr>
          <w:rFonts w:ascii="Times New Roman" w:hAnsi="Times New Roman" w:cs="Times New Roman"/>
          <w:sz w:val="24"/>
        </w:rPr>
        <w:t>edieval culture and religion.</w:t>
      </w:r>
      <w:r w:rsidR="005A7572" w:rsidRPr="00E94FED">
        <w:rPr>
          <w:rStyle w:val="FootnoteReference"/>
          <w:rFonts w:ascii="Times New Roman" w:hAnsi="Times New Roman" w:cs="Times New Roman"/>
          <w:sz w:val="24"/>
        </w:rPr>
        <w:footnoteReference w:id="4"/>
      </w:r>
      <w:r w:rsidR="005A7572" w:rsidRPr="00E94FED">
        <w:rPr>
          <w:rFonts w:ascii="Times New Roman" w:hAnsi="Times New Roman" w:cs="Times New Roman"/>
          <w:sz w:val="24"/>
        </w:rPr>
        <w:t xml:space="preserve"> </w:t>
      </w:r>
      <w:r w:rsidR="00E37C0D" w:rsidRPr="00E94FED">
        <w:rPr>
          <w:rFonts w:ascii="Times New Roman" w:hAnsi="Times New Roman" w:cs="Times New Roman"/>
          <w:sz w:val="24"/>
        </w:rPr>
        <w:t>The religion of the Middle Ages was already showing signs of issues that would go on to cause the reformation in the six</w:t>
      </w:r>
      <w:r w:rsidR="00614808">
        <w:rPr>
          <w:rFonts w:ascii="Times New Roman" w:hAnsi="Times New Roman" w:cs="Times New Roman"/>
          <w:sz w:val="24"/>
        </w:rPr>
        <w:t>teenth century. On top of this m</w:t>
      </w:r>
      <w:r w:rsidR="00E37C0D" w:rsidRPr="00E94FED">
        <w:rPr>
          <w:rFonts w:ascii="Times New Roman" w:hAnsi="Times New Roman" w:cs="Times New Roman"/>
          <w:sz w:val="24"/>
        </w:rPr>
        <w:t xml:space="preserve">edieval culture developed as a result of the plague to create a society that allowed social mobility among the lower classes and was more focused on the reality of death. </w:t>
      </w:r>
      <w:r w:rsidR="00B23A37" w:rsidRPr="00E94FED">
        <w:rPr>
          <w:rFonts w:ascii="Times New Roman" w:hAnsi="Times New Roman" w:cs="Times New Roman"/>
          <w:sz w:val="24"/>
        </w:rPr>
        <w:t>However, the significance of the Black Death to these changes has often been debated by historians, as although school teachers and social historians often cite the epidemic as being the causes of many of the changes that occurred in the late 18</w:t>
      </w:r>
      <w:r w:rsidR="00B23A37" w:rsidRPr="00E94FED">
        <w:rPr>
          <w:rFonts w:ascii="Times New Roman" w:hAnsi="Times New Roman" w:cs="Times New Roman"/>
          <w:sz w:val="24"/>
          <w:vertAlign w:val="superscript"/>
        </w:rPr>
        <w:t>th</w:t>
      </w:r>
      <w:r w:rsidR="00B23A37" w:rsidRPr="00E94FED">
        <w:rPr>
          <w:rFonts w:ascii="Times New Roman" w:hAnsi="Times New Roman" w:cs="Times New Roman"/>
          <w:sz w:val="24"/>
        </w:rPr>
        <w:t xml:space="preserve"> Century</w:t>
      </w:r>
      <w:r w:rsidR="00E03CD4" w:rsidRPr="00E94FED">
        <w:rPr>
          <w:rFonts w:ascii="Times New Roman" w:hAnsi="Times New Roman" w:cs="Times New Roman"/>
          <w:sz w:val="24"/>
        </w:rPr>
        <w:t>,</w:t>
      </w:r>
      <w:r w:rsidR="00B23A37" w:rsidRPr="00E94FED">
        <w:rPr>
          <w:rFonts w:ascii="Times New Roman" w:hAnsi="Times New Roman" w:cs="Times New Roman"/>
          <w:sz w:val="24"/>
        </w:rPr>
        <w:t xml:space="preserve"> it appears that some of these may have already been developing across Europe. </w:t>
      </w:r>
    </w:p>
    <w:p w14:paraId="7134BCF8" w14:textId="62F3B7EA" w:rsidR="00644D06" w:rsidRPr="00E94FED" w:rsidRDefault="00A81D9A" w:rsidP="003F70F3">
      <w:pPr>
        <w:jc w:val="both"/>
        <w:rPr>
          <w:rFonts w:ascii="Times New Roman" w:hAnsi="Times New Roman" w:cs="Times New Roman"/>
          <w:sz w:val="24"/>
        </w:rPr>
      </w:pPr>
      <w:r w:rsidRPr="00E94FED">
        <w:rPr>
          <w:rFonts w:ascii="Times New Roman" w:hAnsi="Times New Roman" w:cs="Times New Roman"/>
          <w:sz w:val="24"/>
        </w:rPr>
        <w:t xml:space="preserve">One reason for the religious changes that took place in the late fourteenth </w:t>
      </w:r>
      <w:r w:rsidR="0062048C">
        <w:rPr>
          <w:rFonts w:ascii="Times New Roman" w:hAnsi="Times New Roman" w:cs="Times New Roman"/>
          <w:sz w:val="24"/>
        </w:rPr>
        <w:t>c</w:t>
      </w:r>
      <w:r w:rsidRPr="00E94FED">
        <w:rPr>
          <w:rFonts w:ascii="Times New Roman" w:hAnsi="Times New Roman" w:cs="Times New Roman"/>
          <w:sz w:val="24"/>
        </w:rPr>
        <w:t xml:space="preserve">entury was the </w:t>
      </w:r>
      <w:r w:rsidR="008A696D" w:rsidRPr="00E94FED">
        <w:rPr>
          <w:rFonts w:ascii="Times New Roman" w:hAnsi="Times New Roman" w:cs="Times New Roman"/>
          <w:sz w:val="24"/>
        </w:rPr>
        <w:t>de</w:t>
      </w:r>
      <w:r w:rsidR="00B52686" w:rsidRPr="00E94FED">
        <w:rPr>
          <w:rFonts w:ascii="Times New Roman" w:hAnsi="Times New Roman" w:cs="Times New Roman"/>
          <w:sz w:val="24"/>
        </w:rPr>
        <w:t>clining numbers</w:t>
      </w:r>
      <w:r w:rsidR="008A696D" w:rsidRPr="00E94FED">
        <w:rPr>
          <w:rFonts w:ascii="Times New Roman" w:hAnsi="Times New Roman" w:cs="Times New Roman"/>
          <w:sz w:val="24"/>
        </w:rPr>
        <w:t xml:space="preserve"> of religious communities that was in part caused by the Black Death.</w:t>
      </w:r>
      <w:r w:rsidR="008A696D" w:rsidRPr="00E94FED">
        <w:rPr>
          <w:rStyle w:val="FootnoteReference"/>
          <w:rFonts w:ascii="Times New Roman" w:hAnsi="Times New Roman" w:cs="Times New Roman"/>
          <w:sz w:val="24"/>
        </w:rPr>
        <w:footnoteReference w:id="5"/>
      </w:r>
      <w:r w:rsidR="008A696D" w:rsidRPr="00E94FED">
        <w:rPr>
          <w:rFonts w:ascii="Times New Roman" w:hAnsi="Times New Roman" w:cs="Times New Roman"/>
          <w:sz w:val="24"/>
        </w:rPr>
        <w:t xml:space="preserve"> Given that society was very religious during this period, it seems obvious that they would turn to the religious communities for spiritual advice during times of crisis and the Black Death was no exception. It is </w:t>
      </w:r>
      <w:r w:rsidR="0094645D" w:rsidRPr="00E94FED">
        <w:rPr>
          <w:rFonts w:ascii="Times New Roman" w:hAnsi="Times New Roman" w:cs="Times New Roman"/>
          <w:sz w:val="24"/>
        </w:rPr>
        <w:t xml:space="preserve">believed that around 44 </w:t>
      </w:r>
      <w:r w:rsidR="008A696D" w:rsidRPr="00E94FED">
        <w:rPr>
          <w:rFonts w:ascii="Times New Roman" w:hAnsi="Times New Roman" w:cs="Times New Roman"/>
          <w:sz w:val="24"/>
        </w:rPr>
        <w:t xml:space="preserve">per cent of priests </w:t>
      </w:r>
      <w:r w:rsidR="0094645D" w:rsidRPr="00E94FED">
        <w:rPr>
          <w:rFonts w:ascii="Times New Roman" w:hAnsi="Times New Roman" w:cs="Times New Roman"/>
          <w:sz w:val="24"/>
        </w:rPr>
        <w:t xml:space="preserve">in England </w:t>
      </w:r>
      <w:r w:rsidR="008A696D" w:rsidRPr="00E94FED">
        <w:rPr>
          <w:rFonts w:ascii="Times New Roman" w:hAnsi="Times New Roman" w:cs="Times New Roman"/>
          <w:sz w:val="24"/>
        </w:rPr>
        <w:t xml:space="preserve">died as a result of </w:t>
      </w:r>
      <w:r w:rsidR="00155DAA" w:rsidRPr="00E94FED">
        <w:rPr>
          <w:rFonts w:ascii="Times New Roman" w:hAnsi="Times New Roman" w:cs="Times New Roman"/>
          <w:sz w:val="24"/>
        </w:rPr>
        <w:t>contracting the Black Death, most likely from administering the last rites of d</w:t>
      </w:r>
      <w:r w:rsidR="0062048C">
        <w:rPr>
          <w:rFonts w:ascii="Times New Roman" w:hAnsi="Times New Roman" w:cs="Times New Roman"/>
          <w:sz w:val="24"/>
        </w:rPr>
        <w:t>ying</w:t>
      </w:r>
      <w:r w:rsidR="00155DAA" w:rsidRPr="00E94FED">
        <w:rPr>
          <w:rFonts w:ascii="Times New Roman" w:hAnsi="Times New Roman" w:cs="Times New Roman"/>
          <w:sz w:val="24"/>
        </w:rPr>
        <w:t xml:space="preserve"> plague </w:t>
      </w:r>
      <w:r w:rsidR="00155DAA" w:rsidRPr="00E94FED">
        <w:rPr>
          <w:rFonts w:ascii="Times New Roman" w:hAnsi="Times New Roman" w:cs="Times New Roman"/>
          <w:sz w:val="24"/>
        </w:rPr>
        <w:lastRenderedPageBreak/>
        <w:t>victims.</w:t>
      </w:r>
      <w:r w:rsidR="00155DAA" w:rsidRPr="00E94FED">
        <w:rPr>
          <w:rStyle w:val="FootnoteReference"/>
          <w:rFonts w:ascii="Times New Roman" w:hAnsi="Times New Roman" w:cs="Times New Roman"/>
          <w:sz w:val="24"/>
        </w:rPr>
        <w:footnoteReference w:id="6"/>
      </w:r>
      <w:r w:rsidR="00155DAA" w:rsidRPr="00E94FED">
        <w:rPr>
          <w:rFonts w:ascii="Times New Roman" w:hAnsi="Times New Roman" w:cs="Times New Roman"/>
          <w:sz w:val="24"/>
        </w:rPr>
        <w:t xml:space="preserve"> Although there is some debate over the </w:t>
      </w:r>
      <w:r w:rsidR="0094645D" w:rsidRPr="00E94FED">
        <w:rPr>
          <w:rFonts w:ascii="Times New Roman" w:hAnsi="Times New Roman" w:cs="Times New Roman"/>
          <w:sz w:val="24"/>
        </w:rPr>
        <w:t xml:space="preserve">reason for the </w:t>
      </w:r>
      <w:r w:rsidR="00155DAA" w:rsidRPr="00E94FED">
        <w:rPr>
          <w:rFonts w:ascii="Times New Roman" w:hAnsi="Times New Roman" w:cs="Times New Roman"/>
          <w:sz w:val="24"/>
        </w:rPr>
        <w:t>depletion of priests across Europe</w:t>
      </w:r>
      <w:r w:rsidR="0062048C">
        <w:rPr>
          <w:rFonts w:ascii="Times New Roman" w:hAnsi="Times New Roman" w:cs="Times New Roman"/>
          <w:sz w:val="24"/>
        </w:rPr>
        <w:t>,</w:t>
      </w:r>
      <w:r w:rsidR="00155DAA" w:rsidRPr="00E94FED">
        <w:rPr>
          <w:rFonts w:ascii="Times New Roman" w:hAnsi="Times New Roman" w:cs="Times New Roman"/>
          <w:sz w:val="24"/>
        </w:rPr>
        <w:t xml:space="preserve"> given that there is evidence to suggest a large number of priests were leaving the profession out of choice.</w:t>
      </w:r>
      <w:r w:rsidR="00E03CD4" w:rsidRPr="00E94FED">
        <w:rPr>
          <w:rStyle w:val="FootnoteReference"/>
          <w:rFonts w:ascii="Times New Roman" w:hAnsi="Times New Roman" w:cs="Times New Roman"/>
          <w:sz w:val="24"/>
        </w:rPr>
        <w:footnoteReference w:id="7"/>
      </w:r>
      <w:r w:rsidR="0094645D" w:rsidRPr="00E94FED">
        <w:rPr>
          <w:rStyle w:val="FootnoteReference"/>
          <w:rFonts w:ascii="Times New Roman" w:hAnsi="Times New Roman" w:cs="Times New Roman"/>
          <w:sz w:val="24"/>
        </w:rPr>
        <w:t xml:space="preserve"> </w:t>
      </w:r>
      <w:r w:rsidR="0094645D" w:rsidRPr="00E94FED">
        <w:rPr>
          <w:rFonts w:ascii="Times New Roman" w:hAnsi="Times New Roman" w:cs="Times New Roman"/>
          <w:sz w:val="24"/>
        </w:rPr>
        <w:t xml:space="preserve">Coulton states that </w:t>
      </w:r>
      <w:r w:rsidR="0062048C">
        <w:rPr>
          <w:rFonts w:ascii="Times New Roman" w:hAnsi="Times New Roman" w:cs="Times New Roman"/>
          <w:sz w:val="24"/>
        </w:rPr>
        <w:t xml:space="preserve">in </w:t>
      </w:r>
      <w:r w:rsidR="0094645D" w:rsidRPr="00E94FED">
        <w:rPr>
          <w:rFonts w:ascii="Times New Roman" w:hAnsi="Times New Roman" w:cs="Times New Roman"/>
          <w:sz w:val="24"/>
        </w:rPr>
        <w:t>the Lichfield register 22 priests resigned from the profession</w:t>
      </w:r>
      <w:r w:rsidR="0062048C">
        <w:rPr>
          <w:rFonts w:ascii="Times New Roman" w:hAnsi="Times New Roman" w:cs="Times New Roman"/>
          <w:sz w:val="24"/>
        </w:rPr>
        <w:t>, at the time of the epidemic,</w:t>
      </w:r>
      <w:r w:rsidR="0094645D" w:rsidRPr="00E94FED">
        <w:rPr>
          <w:rFonts w:ascii="Times New Roman" w:hAnsi="Times New Roman" w:cs="Times New Roman"/>
          <w:sz w:val="24"/>
        </w:rPr>
        <w:t xml:space="preserve"> while 77 did in fact die from the plague.</w:t>
      </w:r>
      <w:r w:rsidR="0094645D" w:rsidRPr="00E94FED">
        <w:rPr>
          <w:rStyle w:val="FootnoteReference"/>
          <w:rFonts w:ascii="Times New Roman" w:hAnsi="Times New Roman" w:cs="Times New Roman"/>
          <w:sz w:val="24"/>
        </w:rPr>
        <w:footnoteReference w:id="8"/>
      </w:r>
      <w:r w:rsidR="0094645D" w:rsidRPr="00E94FED">
        <w:rPr>
          <w:rFonts w:ascii="Times New Roman" w:hAnsi="Times New Roman" w:cs="Times New Roman"/>
          <w:sz w:val="24"/>
        </w:rPr>
        <w:t xml:space="preserve"> If we assume that the numbers of resignation of priests is similar across the whole of England, then it becomes difficult to claim that the Black Death was solely responsible for the declining numbers of clergy. </w:t>
      </w:r>
    </w:p>
    <w:p w14:paraId="0F4267EA" w14:textId="349697B8" w:rsidR="00122EC6" w:rsidRPr="00E94FED" w:rsidRDefault="00155DAA" w:rsidP="003F70F3">
      <w:pPr>
        <w:jc w:val="both"/>
        <w:rPr>
          <w:rFonts w:ascii="Times New Roman" w:hAnsi="Times New Roman" w:cs="Times New Roman"/>
          <w:sz w:val="24"/>
        </w:rPr>
      </w:pPr>
      <w:r w:rsidRPr="00E94FED">
        <w:rPr>
          <w:rFonts w:ascii="Times New Roman" w:hAnsi="Times New Roman" w:cs="Times New Roman"/>
          <w:sz w:val="24"/>
        </w:rPr>
        <w:t>Whatever the reason for the declining numbers of pr</w:t>
      </w:r>
      <w:r w:rsidR="0062048C">
        <w:rPr>
          <w:rFonts w:ascii="Times New Roman" w:hAnsi="Times New Roman" w:cs="Times New Roman"/>
          <w:sz w:val="24"/>
        </w:rPr>
        <w:t xml:space="preserve">iests in Europe it became clear </w:t>
      </w:r>
      <w:r w:rsidRPr="00E94FED">
        <w:rPr>
          <w:rFonts w:ascii="Times New Roman" w:hAnsi="Times New Roman" w:cs="Times New Roman"/>
          <w:sz w:val="24"/>
        </w:rPr>
        <w:t xml:space="preserve">to the papacy that they needed to act quickly in order to train new priests so as to ensure society was able to be spiritually provided for. This need for priests is also clear from the difference in the number of parishes in England compared to the number of towns. </w:t>
      </w:r>
      <w:r w:rsidR="00006AAB" w:rsidRPr="00E94FED">
        <w:rPr>
          <w:rFonts w:ascii="Times New Roman" w:hAnsi="Times New Roman" w:cs="Times New Roman"/>
          <w:sz w:val="24"/>
        </w:rPr>
        <w:t xml:space="preserve">In Caxton’s </w:t>
      </w:r>
      <w:r w:rsidR="00006AAB" w:rsidRPr="00E94FED">
        <w:rPr>
          <w:rFonts w:ascii="Times New Roman" w:hAnsi="Times New Roman" w:cs="Times New Roman"/>
          <w:i/>
          <w:sz w:val="24"/>
        </w:rPr>
        <w:t>Liber Loci Benedicti</w:t>
      </w:r>
      <w:r w:rsidR="00006AAB" w:rsidRPr="00E94FED">
        <w:rPr>
          <w:rFonts w:ascii="Times New Roman" w:hAnsi="Times New Roman" w:cs="Times New Roman"/>
          <w:sz w:val="24"/>
        </w:rPr>
        <w:t xml:space="preserve"> </w:t>
      </w:r>
      <w:r w:rsidRPr="00E94FED">
        <w:rPr>
          <w:rFonts w:ascii="Times New Roman" w:hAnsi="Times New Roman" w:cs="Times New Roman"/>
          <w:sz w:val="24"/>
        </w:rPr>
        <w:t xml:space="preserve">there were </w:t>
      </w:r>
      <w:r w:rsidR="00006AAB" w:rsidRPr="00E94FED">
        <w:rPr>
          <w:rFonts w:ascii="Times New Roman" w:hAnsi="Times New Roman" w:cs="Times New Roman"/>
          <w:sz w:val="24"/>
        </w:rPr>
        <w:t>45,002 parish churches</w:t>
      </w:r>
      <w:r w:rsidRPr="00E94FED">
        <w:rPr>
          <w:rFonts w:ascii="Times New Roman" w:hAnsi="Times New Roman" w:cs="Times New Roman"/>
          <w:sz w:val="24"/>
        </w:rPr>
        <w:t xml:space="preserve"> compared to </w:t>
      </w:r>
      <w:r w:rsidR="00006AAB" w:rsidRPr="00E94FED">
        <w:rPr>
          <w:rFonts w:ascii="Times New Roman" w:hAnsi="Times New Roman" w:cs="Times New Roman"/>
          <w:sz w:val="24"/>
        </w:rPr>
        <w:t xml:space="preserve">50,080 </w:t>
      </w:r>
      <w:r w:rsidRPr="00E94FED">
        <w:rPr>
          <w:rFonts w:ascii="Times New Roman" w:hAnsi="Times New Roman" w:cs="Times New Roman"/>
          <w:sz w:val="24"/>
        </w:rPr>
        <w:t>towns, meaning that not every town can have had a church, as if often co</w:t>
      </w:r>
      <w:r w:rsidR="00614808">
        <w:rPr>
          <w:rFonts w:ascii="Times New Roman" w:hAnsi="Times New Roman" w:cs="Times New Roman"/>
          <w:sz w:val="24"/>
        </w:rPr>
        <w:t>nsidered to be the case in the m</w:t>
      </w:r>
      <w:r w:rsidRPr="00E94FED">
        <w:rPr>
          <w:rFonts w:ascii="Times New Roman" w:hAnsi="Times New Roman" w:cs="Times New Roman"/>
          <w:sz w:val="24"/>
        </w:rPr>
        <w:t>edieval world.</w:t>
      </w:r>
      <w:r w:rsidRPr="00E94FED">
        <w:rPr>
          <w:rStyle w:val="FootnoteReference"/>
          <w:rFonts w:ascii="Times New Roman" w:hAnsi="Times New Roman" w:cs="Times New Roman"/>
          <w:sz w:val="24"/>
        </w:rPr>
        <w:footnoteReference w:id="9"/>
      </w:r>
      <w:r w:rsidRPr="00E94FED">
        <w:rPr>
          <w:rFonts w:ascii="Times New Roman" w:hAnsi="Times New Roman" w:cs="Times New Roman"/>
          <w:sz w:val="24"/>
        </w:rPr>
        <w:t xml:space="preserve"> The result of this need for priests was the creation of the </w:t>
      </w:r>
      <w:r w:rsidRPr="00E94FED">
        <w:rPr>
          <w:rFonts w:ascii="Times New Roman" w:hAnsi="Times New Roman" w:cs="Times New Roman"/>
          <w:i/>
          <w:sz w:val="24"/>
        </w:rPr>
        <w:t xml:space="preserve">Ars Moriendi, </w:t>
      </w:r>
      <w:r w:rsidRPr="00E94FED">
        <w:rPr>
          <w:rFonts w:ascii="Times New Roman" w:hAnsi="Times New Roman" w:cs="Times New Roman"/>
          <w:sz w:val="24"/>
        </w:rPr>
        <w:t xml:space="preserve">or </w:t>
      </w:r>
      <w:r w:rsidR="00006AAB" w:rsidRPr="00E94FED">
        <w:rPr>
          <w:rFonts w:ascii="Times New Roman" w:hAnsi="Times New Roman" w:cs="Times New Roman"/>
          <w:i/>
          <w:sz w:val="24"/>
        </w:rPr>
        <w:t>T</w:t>
      </w:r>
      <w:r w:rsidR="0033795A" w:rsidRPr="00E94FED">
        <w:rPr>
          <w:rFonts w:ascii="Times New Roman" w:hAnsi="Times New Roman" w:cs="Times New Roman"/>
          <w:i/>
          <w:sz w:val="24"/>
        </w:rPr>
        <w:t>he</w:t>
      </w:r>
      <w:r w:rsidR="00006AAB" w:rsidRPr="00E94FED">
        <w:rPr>
          <w:rFonts w:ascii="Times New Roman" w:hAnsi="Times New Roman" w:cs="Times New Roman"/>
          <w:i/>
          <w:sz w:val="24"/>
        </w:rPr>
        <w:t xml:space="preserve"> Art of </w:t>
      </w:r>
      <w:r w:rsidR="00006AAB" w:rsidRPr="00E94FED">
        <w:rPr>
          <w:rFonts w:ascii="Times New Roman" w:hAnsi="Times New Roman" w:cs="Times New Roman"/>
          <w:sz w:val="24"/>
        </w:rPr>
        <w:t>Dying</w:t>
      </w:r>
      <w:r w:rsidR="0033795A" w:rsidRPr="00E94FED">
        <w:rPr>
          <w:rFonts w:ascii="Times New Roman" w:hAnsi="Times New Roman" w:cs="Times New Roman"/>
          <w:sz w:val="24"/>
        </w:rPr>
        <w:t>. Written in</w:t>
      </w:r>
      <w:r w:rsidR="00006AAB" w:rsidRPr="00E94FED">
        <w:rPr>
          <w:rFonts w:ascii="Times New Roman" w:hAnsi="Times New Roman" w:cs="Times New Roman"/>
          <w:sz w:val="24"/>
        </w:rPr>
        <w:t xml:space="preserve"> 1415</w:t>
      </w:r>
      <w:r w:rsidR="0033795A" w:rsidRPr="00E94FED">
        <w:rPr>
          <w:rFonts w:ascii="Times New Roman" w:hAnsi="Times New Roman" w:cs="Times New Roman"/>
          <w:sz w:val="24"/>
        </w:rPr>
        <w:t xml:space="preserve"> as part of the </w:t>
      </w:r>
      <w:r w:rsidR="00006AAB" w:rsidRPr="00E94FED">
        <w:rPr>
          <w:rFonts w:ascii="Times New Roman" w:hAnsi="Times New Roman" w:cs="Times New Roman"/>
          <w:sz w:val="24"/>
        </w:rPr>
        <w:t>C</w:t>
      </w:r>
      <w:r w:rsidR="0033795A" w:rsidRPr="00E94FED">
        <w:rPr>
          <w:rFonts w:ascii="Times New Roman" w:hAnsi="Times New Roman" w:cs="Times New Roman"/>
          <w:sz w:val="24"/>
        </w:rPr>
        <w:t>ouncil</w:t>
      </w:r>
      <w:r w:rsidR="00006AAB" w:rsidRPr="00E94FED">
        <w:rPr>
          <w:rFonts w:ascii="Times New Roman" w:hAnsi="Times New Roman" w:cs="Times New Roman"/>
          <w:sz w:val="24"/>
        </w:rPr>
        <w:t xml:space="preserve"> of Constance</w:t>
      </w:r>
      <w:r w:rsidR="0033795A" w:rsidRPr="00E94FED">
        <w:rPr>
          <w:rFonts w:ascii="Times New Roman" w:hAnsi="Times New Roman" w:cs="Times New Roman"/>
          <w:sz w:val="24"/>
        </w:rPr>
        <w:t xml:space="preserve"> the </w:t>
      </w:r>
      <w:r w:rsidR="0033795A" w:rsidRPr="00E94FED">
        <w:rPr>
          <w:rFonts w:ascii="Times New Roman" w:hAnsi="Times New Roman" w:cs="Times New Roman"/>
          <w:i/>
          <w:sz w:val="24"/>
        </w:rPr>
        <w:t>Ars Moriendi</w:t>
      </w:r>
      <w:r w:rsidR="0033795A" w:rsidRPr="00E94FED">
        <w:rPr>
          <w:rFonts w:ascii="Times New Roman" w:hAnsi="Times New Roman" w:cs="Times New Roman"/>
          <w:sz w:val="24"/>
        </w:rPr>
        <w:t xml:space="preserve"> was intended to be an instruction manual for trainee priests who needed to be trained quickly and as such was translated into multiple vernacular languages, such as English, French and German.</w:t>
      </w:r>
      <w:r w:rsidR="0033795A" w:rsidRPr="00E94FED">
        <w:rPr>
          <w:rStyle w:val="FootnoteReference"/>
          <w:rFonts w:ascii="Times New Roman" w:hAnsi="Times New Roman" w:cs="Times New Roman"/>
          <w:sz w:val="24"/>
        </w:rPr>
        <w:footnoteReference w:id="10"/>
      </w:r>
      <w:r w:rsidR="00006AAB" w:rsidRPr="00E94FED">
        <w:rPr>
          <w:rFonts w:ascii="Times New Roman" w:hAnsi="Times New Roman" w:cs="Times New Roman"/>
          <w:sz w:val="24"/>
        </w:rPr>
        <w:t xml:space="preserve"> While the </w:t>
      </w:r>
      <w:r w:rsidR="00006AAB" w:rsidRPr="00E94FED">
        <w:rPr>
          <w:rFonts w:ascii="Times New Roman" w:hAnsi="Times New Roman" w:cs="Times New Roman"/>
          <w:i/>
          <w:sz w:val="24"/>
        </w:rPr>
        <w:t xml:space="preserve">Ars Moriendi </w:t>
      </w:r>
      <w:r w:rsidR="00006AAB" w:rsidRPr="00E94FED">
        <w:rPr>
          <w:rFonts w:ascii="Times New Roman" w:hAnsi="Times New Roman" w:cs="Times New Roman"/>
          <w:sz w:val="24"/>
        </w:rPr>
        <w:t>appeared as a direct result of the depl</w:t>
      </w:r>
      <w:r w:rsidR="00B52686" w:rsidRPr="00E94FED">
        <w:rPr>
          <w:rFonts w:ascii="Times New Roman" w:hAnsi="Times New Roman" w:cs="Times New Roman"/>
          <w:sz w:val="24"/>
        </w:rPr>
        <w:t>etion</w:t>
      </w:r>
      <w:r w:rsidR="00006AAB" w:rsidRPr="00E94FED">
        <w:rPr>
          <w:rFonts w:ascii="Times New Roman" w:hAnsi="Times New Roman" w:cs="Times New Roman"/>
          <w:sz w:val="24"/>
        </w:rPr>
        <w:t xml:space="preserve"> in numbers of priests, the Council itself was in fact intended to bring an end to the schism in the Catholic Church and reunite the religious community.</w:t>
      </w:r>
      <w:r w:rsidR="00644D06" w:rsidRPr="00E94FED">
        <w:rPr>
          <w:rStyle w:val="FootnoteReference"/>
          <w:rFonts w:ascii="Times New Roman" w:hAnsi="Times New Roman" w:cs="Times New Roman"/>
          <w:sz w:val="24"/>
        </w:rPr>
        <w:footnoteReference w:id="11"/>
      </w:r>
      <w:r w:rsidR="00006AAB" w:rsidRPr="00E94FED">
        <w:rPr>
          <w:rFonts w:ascii="Times New Roman" w:hAnsi="Times New Roman" w:cs="Times New Roman"/>
          <w:sz w:val="24"/>
        </w:rPr>
        <w:t xml:space="preserve"> As such, it is impossible to state that the </w:t>
      </w:r>
      <w:r w:rsidR="00644D06" w:rsidRPr="00E94FED">
        <w:rPr>
          <w:rFonts w:ascii="Times New Roman" w:hAnsi="Times New Roman" w:cs="Times New Roman"/>
          <w:sz w:val="24"/>
        </w:rPr>
        <w:t xml:space="preserve">Black Death was </w:t>
      </w:r>
      <w:r w:rsidR="0062048C">
        <w:rPr>
          <w:rFonts w:ascii="Times New Roman" w:hAnsi="Times New Roman" w:cs="Times New Roman"/>
          <w:sz w:val="24"/>
        </w:rPr>
        <w:t>alone</w:t>
      </w:r>
      <w:r w:rsidR="00644D06" w:rsidRPr="00E94FED">
        <w:rPr>
          <w:rFonts w:ascii="Times New Roman" w:hAnsi="Times New Roman" w:cs="Times New Roman"/>
          <w:sz w:val="24"/>
        </w:rPr>
        <w:t xml:space="preserve"> responsible for the reducing number of clergy and the efforts put in place to combat it. </w:t>
      </w:r>
    </w:p>
    <w:p w14:paraId="01992C31" w14:textId="69D07974" w:rsidR="003749B3" w:rsidRPr="00E94FED" w:rsidRDefault="00644D06" w:rsidP="003F70F3">
      <w:pPr>
        <w:tabs>
          <w:tab w:val="left" w:pos="3261"/>
        </w:tabs>
        <w:jc w:val="both"/>
        <w:rPr>
          <w:rFonts w:ascii="Times New Roman" w:hAnsi="Times New Roman" w:cs="Times New Roman"/>
          <w:sz w:val="24"/>
        </w:rPr>
      </w:pPr>
      <w:r w:rsidRPr="00E94FED">
        <w:rPr>
          <w:rFonts w:ascii="Times New Roman" w:hAnsi="Times New Roman" w:cs="Times New Roman"/>
          <w:sz w:val="24"/>
        </w:rPr>
        <w:t xml:space="preserve">Regardless of the declining number of </w:t>
      </w:r>
      <w:r w:rsidR="00B52686" w:rsidRPr="00E94FED">
        <w:rPr>
          <w:rFonts w:ascii="Times New Roman" w:hAnsi="Times New Roman" w:cs="Times New Roman"/>
          <w:sz w:val="24"/>
        </w:rPr>
        <w:t>priests, religion was still of immense importance</w:t>
      </w:r>
      <w:r w:rsidR="00B604B8" w:rsidRPr="00E94FED">
        <w:rPr>
          <w:rFonts w:ascii="Times New Roman" w:hAnsi="Times New Roman" w:cs="Times New Roman"/>
          <w:sz w:val="24"/>
        </w:rPr>
        <w:t xml:space="preserve"> to medieval society. As </w:t>
      </w:r>
      <w:r w:rsidR="00A85508" w:rsidRPr="00E94FED">
        <w:rPr>
          <w:rFonts w:ascii="Times New Roman" w:hAnsi="Times New Roman" w:cs="Times New Roman"/>
          <w:sz w:val="24"/>
        </w:rPr>
        <w:t>Paul Doherty points out</w:t>
      </w:r>
      <w:r w:rsidR="00E03CD4" w:rsidRPr="00E94FED">
        <w:rPr>
          <w:rFonts w:ascii="Times New Roman" w:hAnsi="Times New Roman" w:cs="Times New Roman"/>
          <w:sz w:val="24"/>
        </w:rPr>
        <w:t>,</w:t>
      </w:r>
      <w:r w:rsidR="00A85508" w:rsidRPr="00E94FED">
        <w:rPr>
          <w:rFonts w:ascii="Times New Roman" w:hAnsi="Times New Roman" w:cs="Times New Roman"/>
          <w:sz w:val="24"/>
        </w:rPr>
        <w:t xml:space="preserve"> the community of the fourteenth century were ‘only too aware of the spiritual realities which framed their everyday existence’.</w:t>
      </w:r>
      <w:r w:rsidR="00A85508" w:rsidRPr="00E94FED">
        <w:rPr>
          <w:rStyle w:val="FootnoteReference"/>
          <w:rFonts w:ascii="Times New Roman" w:hAnsi="Times New Roman" w:cs="Times New Roman"/>
          <w:sz w:val="24"/>
        </w:rPr>
        <w:footnoteReference w:id="12"/>
      </w:r>
      <w:r w:rsidR="00A85508" w:rsidRPr="00E94FED">
        <w:rPr>
          <w:rFonts w:ascii="Times New Roman" w:hAnsi="Times New Roman" w:cs="Times New Roman"/>
          <w:sz w:val="24"/>
        </w:rPr>
        <w:t xml:space="preserve"> As </w:t>
      </w:r>
      <w:r w:rsidR="00B604B8" w:rsidRPr="00E94FED">
        <w:rPr>
          <w:rFonts w:ascii="Times New Roman" w:hAnsi="Times New Roman" w:cs="Times New Roman"/>
          <w:sz w:val="24"/>
        </w:rPr>
        <w:t>such, the high death rate of the period of the Black Death led to a religious focus o</w:t>
      </w:r>
      <w:r w:rsidR="0062048C">
        <w:rPr>
          <w:rFonts w:ascii="Times New Roman" w:hAnsi="Times New Roman" w:cs="Times New Roman"/>
          <w:sz w:val="24"/>
        </w:rPr>
        <w:t xml:space="preserve">n </w:t>
      </w:r>
      <w:r w:rsidR="00B604B8" w:rsidRPr="00E94FED">
        <w:rPr>
          <w:rFonts w:ascii="Times New Roman" w:hAnsi="Times New Roman" w:cs="Times New Roman"/>
          <w:sz w:val="24"/>
        </w:rPr>
        <w:t xml:space="preserve">death for the secular congregation. The </w:t>
      </w:r>
      <w:r w:rsidR="0062048C">
        <w:rPr>
          <w:rFonts w:ascii="Times New Roman" w:hAnsi="Times New Roman" w:cs="Times New Roman"/>
          <w:sz w:val="24"/>
        </w:rPr>
        <w:t>c</w:t>
      </w:r>
      <w:r w:rsidR="00B604B8" w:rsidRPr="00E94FED">
        <w:rPr>
          <w:rFonts w:ascii="Times New Roman" w:hAnsi="Times New Roman" w:cs="Times New Roman"/>
          <w:sz w:val="24"/>
        </w:rPr>
        <w:t xml:space="preserve">ult of the </w:t>
      </w:r>
      <w:r w:rsidR="0062048C">
        <w:rPr>
          <w:rFonts w:ascii="Times New Roman" w:hAnsi="Times New Roman" w:cs="Times New Roman"/>
          <w:sz w:val="24"/>
        </w:rPr>
        <w:t>F</w:t>
      </w:r>
      <w:r w:rsidR="00B604B8" w:rsidRPr="00E94FED">
        <w:rPr>
          <w:rFonts w:ascii="Times New Roman" w:hAnsi="Times New Roman" w:cs="Times New Roman"/>
          <w:sz w:val="24"/>
        </w:rPr>
        <w:t>ourtee</w:t>
      </w:r>
      <w:r w:rsidR="0062048C">
        <w:rPr>
          <w:rFonts w:ascii="Times New Roman" w:hAnsi="Times New Roman" w:cs="Times New Roman"/>
          <w:sz w:val="24"/>
        </w:rPr>
        <w:t>n H</w:t>
      </w:r>
      <w:r w:rsidR="00B604B8" w:rsidRPr="00E94FED">
        <w:rPr>
          <w:rFonts w:ascii="Times New Roman" w:hAnsi="Times New Roman" w:cs="Times New Roman"/>
          <w:sz w:val="24"/>
        </w:rPr>
        <w:t xml:space="preserve">oly </w:t>
      </w:r>
      <w:r w:rsidR="0062048C">
        <w:rPr>
          <w:rFonts w:ascii="Times New Roman" w:hAnsi="Times New Roman" w:cs="Times New Roman"/>
          <w:sz w:val="24"/>
        </w:rPr>
        <w:t>H</w:t>
      </w:r>
      <w:r w:rsidR="00B604B8" w:rsidRPr="00E94FED">
        <w:rPr>
          <w:rFonts w:ascii="Times New Roman" w:hAnsi="Times New Roman" w:cs="Times New Roman"/>
          <w:sz w:val="24"/>
        </w:rPr>
        <w:t>elpers developed in</w:t>
      </w:r>
      <w:r w:rsidR="00A85508" w:rsidRPr="00E94FED">
        <w:rPr>
          <w:rFonts w:ascii="Times New Roman" w:hAnsi="Times New Roman" w:cs="Times New Roman"/>
          <w:sz w:val="24"/>
        </w:rPr>
        <w:t xml:space="preserve"> Germany, where they were </w:t>
      </w:r>
      <w:r w:rsidR="00A85508" w:rsidRPr="00E94FED">
        <w:rPr>
          <w:rFonts w:ascii="Times New Roman" w:hAnsi="Times New Roman" w:cs="Times New Roman"/>
          <w:sz w:val="24"/>
        </w:rPr>
        <w:lastRenderedPageBreak/>
        <w:t xml:space="preserve">known as </w:t>
      </w:r>
      <w:r w:rsidR="00A85508" w:rsidRPr="00E94FED">
        <w:rPr>
          <w:rFonts w:ascii="Times New Roman" w:hAnsi="Times New Roman" w:cs="Times New Roman"/>
          <w:i/>
          <w:sz w:val="24"/>
        </w:rPr>
        <w:t>Nothelfer</w:t>
      </w:r>
      <w:r w:rsidR="00A85508" w:rsidRPr="00E94FED">
        <w:rPr>
          <w:rFonts w:ascii="Times New Roman" w:hAnsi="Times New Roman" w:cs="Times New Roman"/>
          <w:sz w:val="24"/>
        </w:rPr>
        <w:t xml:space="preserve"> or ‘helpers in need’, in</w:t>
      </w:r>
      <w:r w:rsidR="00B604B8" w:rsidRPr="00E94FED">
        <w:rPr>
          <w:rFonts w:ascii="Times New Roman" w:hAnsi="Times New Roman" w:cs="Times New Roman"/>
          <w:sz w:val="24"/>
        </w:rPr>
        <w:t xml:space="preserve"> around</w:t>
      </w:r>
      <w:r w:rsidR="00A85508" w:rsidRPr="00E94FED">
        <w:rPr>
          <w:rFonts w:ascii="Times New Roman" w:hAnsi="Times New Roman" w:cs="Times New Roman"/>
          <w:sz w:val="24"/>
        </w:rPr>
        <w:t xml:space="preserve"> 1347 </w:t>
      </w:r>
      <w:r w:rsidR="00B604B8" w:rsidRPr="00E94FED">
        <w:rPr>
          <w:rFonts w:ascii="Times New Roman" w:hAnsi="Times New Roman" w:cs="Times New Roman"/>
          <w:sz w:val="24"/>
        </w:rPr>
        <w:t>as a</w:t>
      </w:r>
      <w:r w:rsidR="00A85508" w:rsidRPr="00E94FED">
        <w:rPr>
          <w:rFonts w:ascii="Times New Roman" w:hAnsi="Times New Roman" w:cs="Times New Roman"/>
          <w:sz w:val="24"/>
        </w:rPr>
        <w:t xml:space="preserve"> direct </w:t>
      </w:r>
      <w:r w:rsidR="00B604B8" w:rsidRPr="00E94FED">
        <w:rPr>
          <w:rFonts w:ascii="Times New Roman" w:hAnsi="Times New Roman" w:cs="Times New Roman"/>
          <w:sz w:val="24"/>
        </w:rPr>
        <w:t>result of</w:t>
      </w:r>
      <w:r w:rsidR="00A85508" w:rsidRPr="00E94FED">
        <w:rPr>
          <w:rFonts w:ascii="Times New Roman" w:hAnsi="Times New Roman" w:cs="Times New Roman"/>
          <w:sz w:val="24"/>
        </w:rPr>
        <w:t xml:space="preserve"> the Black Death</w:t>
      </w:r>
      <w:r w:rsidR="00B604B8" w:rsidRPr="00E94FED">
        <w:rPr>
          <w:rFonts w:ascii="Times New Roman" w:hAnsi="Times New Roman" w:cs="Times New Roman"/>
          <w:sz w:val="24"/>
        </w:rPr>
        <w:t>.</w:t>
      </w:r>
      <w:r w:rsidR="00B604B8" w:rsidRPr="00E94FED">
        <w:rPr>
          <w:rStyle w:val="FootnoteReference"/>
          <w:rFonts w:ascii="Times New Roman" w:hAnsi="Times New Roman" w:cs="Times New Roman"/>
          <w:sz w:val="24"/>
        </w:rPr>
        <w:footnoteReference w:id="13"/>
      </w:r>
      <w:r w:rsidR="00B604B8" w:rsidRPr="00E94FED">
        <w:rPr>
          <w:rFonts w:ascii="Times New Roman" w:hAnsi="Times New Roman" w:cs="Times New Roman"/>
          <w:sz w:val="24"/>
        </w:rPr>
        <w:t xml:space="preserve"> The </w:t>
      </w:r>
      <w:r w:rsidR="0062048C">
        <w:rPr>
          <w:rFonts w:ascii="Times New Roman" w:hAnsi="Times New Roman" w:cs="Times New Roman"/>
          <w:sz w:val="24"/>
        </w:rPr>
        <w:t>F</w:t>
      </w:r>
      <w:r w:rsidR="00B604B8" w:rsidRPr="00E94FED">
        <w:rPr>
          <w:rFonts w:ascii="Times New Roman" w:hAnsi="Times New Roman" w:cs="Times New Roman"/>
          <w:sz w:val="24"/>
        </w:rPr>
        <w:t>o</w:t>
      </w:r>
      <w:r w:rsidR="0062048C">
        <w:rPr>
          <w:rFonts w:ascii="Times New Roman" w:hAnsi="Times New Roman" w:cs="Times New Roman"/>
          <w:sz w:val="24"/>
        </w:rPr>
        <w:t>urteen Holy H</w:t>
      </w:r>
      <w:r w:rsidR="00B604B8" w:rsidRPr="00E94FED">
        <w:rPr>
          <w:rFonts w:ascii="Times New Roman" w:hAnsi="Times New Roman" w:cs="Times New Roman"/>
          <w:sz w:val="24"/>
        </w:rPr>
        <w:t xml:space="preserve">elpers refer to fourteen </w:t>
      </w:r>
      <w:r w:rsidR="00E03CD4" w:rsidRPr="00E94FED">
        <w:rPr>
          <w:rFonts w:ascii="Times New Roman" w:hAnsi="Times New Roman" w:cs="Times New Roman"/>
          <w:sz w:val="24"/>
        </w:rPr>
        <w:t>s</w:t>
      </w:r>
      <w:r w:rsidR="00B604B8" w:rsidRPr="00E94FED">
        <w:rPr>
          <w:rFonts w:ascii="Times New Roman" w:hAnsi="Times New Roman" w:cs="Times New Roman"/>
          <w:sz w:val="24"/>
        </w:rPr>
        <w:t xml:space="preserve">aints who were considered to be </w:t>
      </w:r>
      <w:r w:rsidR="00A85508" w:rsidRPr="00E94FED">
        <w:rPr>
          <w:rFonts w:ascii="Times New Roman" w:hAnsi="Times New Roman" w:cs="Times New Roman"/>
          <w:sz w:val="24"/>
        </w:rPr>
        <w:t xml:space="preserve">able to protect those devoted to them from the Black Death using their combined power as </w:t>
      </w:r>
      <w:r w:rsidR="00B604B8" w:rsidRPr="00E94FED">
        <w:rPr>
          <w:rFonts w:ascii="Times New Roman" w:hAnsi="Times New Roman" w:cs="Times New Roman"/>
          <w:sz w:val="24"/>
        </w:rPr>
        <w:t>patron saint</w:t>
      </w:r>
      <w:r w:rsidR="00A85508" w:rsidRPr="00E94FED">
        <w:rPr>
          <w:rFonts w:ascii="Times New Roman" w:hAnsi="Times New Roman" w:cs="Times New Roman"/>
          <w:sz w:val="24"/>
        </w:rPr>
        <w:t>s</w:t>
      </w:r>
      <w:r w:rsidR="00B604B8" w:rsidRPr="00E94FED">
        <w:rPr>
          <w:rFonts w:ascii="Times New Roman" w:hAnsi="Times New Roman" w:cs="Times New Roman"/>
          <w:sz w:val="24"/>
        </w:rPr>
        <w:t xml:space="preserve"> of healing in one way or another</w:t>
      </w:r>
      <w:r w:rsidR="00A85508" w:rsidRPr="00E94FED">
        <w:rPr>
          <w:rFonts w:ascii="Times New Roman" w:hAnsi="Times New Roman" w:cs="Times New Roman"/>
          <w:sz w:val="24"/>
        </w:rPr>
        <w:t>.</w:t>
      </w:r>
      <w:r w:rsidR="00A85508" w:rsidRPr="00E94FED">
        <w:rPr>
          <w:rStyle w:val="FootnoteReference"/>
          <w:rFonts w:ascii="Times New Roman" w:hAnsi="Times New Roman" w:cs="Times New Roman"/>
          <w:sz w:val="24"/>
        </w:rPr>
        <w:footnoteReference w:id="14"/>
      </w:r>
      <w:r w:rsidR="00A85508" w:rsidRPr="00E94FED">
        <w:rPr>
          <w:rFonts w:ascii="Times New Roman" w:hAnsi="Times New Roman" w:cs="Times New Roman"/>
          <w:sz w:val="24"/>
        </w:rPr>
        <w:t xml:space="preserve"> The fourteen include Saint George</w:t>
      </w:r>
      <w:r w:rsidR="00E03CD4" w:rsidRPr="00E94FED">
        <w:rPr>
          <w:rFonts w:ascii="Times New Roman" w:hAnsi="Times New Roman" w:cs="Times New Roman"/>
          <w:sz w:val="24"/>
        </w:rPr>
        <w:t>,</w:t>
      </w:r>
      <w:r w:rsidR="00A85508" w:rsidRPr="00E94FED">
        <w:rPr>
          <w:rFonts w:ascii="Times New Roman" w:hAnsi="Times New Roman" w:cs="Times New Roman"/>
          <w:sz w:val="24"/>
        </w:rPr>
        <w:t xml:space="preserve"> </w:t>
      </w:r>
      <w:r w:rsidR="00B604B8" w:rsidRPr="00E94FED">
        <w:rPr>
          <w:rFonts w:ascii="Times New Roman" w:hAnsi="Times New Roman" w:cs="Times New Roman"/>
          <w:sz w:val="24"/>
        </w:rPr>
        <w:t xml:space="preserve">who was the patron saint of </w:t>
      </w:r>
      <w:r w:rsidR="00A85508" w:rsidRPr="00E94FED">
        <w:rPr>
          <w:rFonts w:ascii="Times New Roman" w:hAnsi="Times New Roman" w:cs="Times New Roman"/>
          <w:sz w:val="24"/>
        </w:rPr>
        <w:t>diseases of the skin and palsy</w:t>
      </w:r>
      <w:r w:rsidR="00E03CD4" w:rsidRPr="00E94FED">
        <w:rPr>
          <w:rFonts w:ascii="Times New Roman" w:hAnsi="Times New Roman" w:cs="Times New Roman"/>
          <w:sz w:val="24"/>
        </w:rPr>
        <w:t>,</w:t>
      </w:r>
      <w:r w:rsidR="00A85508" w:rsidRPr="00E94FED">
        <w:rPr>
          <w:rFonts w:ascii="Times New Roman" w:hAnsi="Times New Roman" w:cs="Times New Roman"/>
          <w:sz w:val="24"/>
        </w:rPr>
        <w:t xml:space="preserve"> and Saint </w:t>
      </w:r>
      <w:r w:rsidR="00563260" w:rsidRPr="00E94FED">
        <w:rPr>
          <w:rFonts w:ascii="Times New Roman" w:hAnsi="Times New Roman" w:cs="Times New Roman"/>
          <w:sz w:val="24"/>
        </w:rPr>
        <w:t>Denis</w:t>
      </w:r>
      <w:r w:rsidR="00E03CD4" w:rsidRPr="00E94FED">
        <w:rPr>
          <w:rFonts w:ascii="Times New Roman" w:hAnsi="Times New Roman" w:cs="Times New Roman"/>
          <w:sz w:val="24"/>
        </w:rPr>
        <w:t>,</w:t>
      </w:r>
      <w:r w:rsidR="00B604B8" w:rsidRPr="00E94FED">
        <w:rPr>
          <w:rFonts w:ascii="Times New Roman" w:hAnsi="Times New Roman" w:cs="Times New Roman"/>
          <w:sz w:val="24"/>
        </w:rPr>
        <w:t xml:space="preserve"> patron saint of</w:t>
      </w:r>
      <w:r w:rsidR="00563260" w:rsidRPr="00E94FED">
        <w:rPr>
          <w:rFonts w:ascii="Times New Roman" w:hAnsi="Times New Roman" w:cs="Times New Roman"/>
          <w:sz w:val="24"/>
        </w:rPr>
        <w:t xml:space="preserve"> demonic assaults</w:t>
      </w:r>
      <w:r w:rsidR="00B604B8" w:rsidRPr="00E94FED">
        <w:rPr>
          <w:rFonts w:ascii="Times New Roman" w:hAnsi="Times New Roman" w:cs="Times New Roman"/>
          <w:sz w:val="24"/>
        </w:rPr>
        <w:t>.</w:t>
      </w:r>
      <w:r w:rsidR="00B604B8" w:rsidRPr="00E94FED">
        <w:rPr>
          <w:rStyle w:val="FootnoteReference"/>
          <w:rFonts w:ascii="Times New Roman" w:hAnsi="Times New Roman" w:cs="Times New Roman"/>
          <w:sz w:val="24"/>
        </w:rPr>
        <w:footnoteReference w:id="15"/>
      </w:r>
      <w:r w:rsidR="00563260" w:rsidRPr="00E94FED">
        <w:rPr>
          <w:rFonts w:ascii="Times New Roman" w:hAnsi="Times New Roman" w:cs="Times New Roman"/>
          <w:sz w:val="24"/>
        </w:rPr>
        <w:t xml:space="preserve"> Given the bubonic plague created p</w:t>
      </w:r>
      <w:r w:rsidR="0062048C">
        <w:rPr>
          <w:rFonts w:ascii="Times New Roman" w:hAnsi="Times New Roman" w:cs="Times New Roman"/>
          <w:sz w:val="24"/>
        </w:rPr>
        <w:t>us-</w:t>
      </w:r>
      <w:r w:rsidR="00563260" w:rsidRPr="00E94FED">
        <w:rPr>
          <w:rFonts w:ascii="Times New Roman" w:hAnsi="Times New Roman" w:cs="Times New Roman"/>
          <w:sz w:val="24"/>
        </w:rPr>
        <w:t>filled buboes on the body and the belief that God was punishing Catholics</w:t>
      </w:r>
      <w:r w:rsidR="0062048C">
        <w:rPr>
          <w:rFonts w:ascii="Times New Roman" w:hAnsi="Times New Roman" w:cs="Times New Roman"/>
          <w:sz w:val="24"/>
        </w:rPr>
        <w:t>,</w:t>
      </w:r>
      <w:r w:rsidR="00563260" w:rsidRPr="00E94FED">
        <w:rPr>
          <w:rFonts w:ascii="Times New Roman" w:hAnsi="Times New Roman" w:cs="Times New Roman"/>
          <w:sz w:val="24"/>
        </w:rPr>
        <w:t xml:space="preserve"> it is no surprise that these two saints are part of the fourteen. </w:t>
      </w:r>
      <w:r w:rsidR="00B604B8" w:rsidRPr="00E94FED">
        <w:rPr>
          <w:rFonts w:ascii="Times New Roman" w:hAnsi="Times New Roman" w:cs="Times New Roman"/>
          <w:sz w:val="24"/>
        </w:rPr>
        <w:t xml:space="preserve">Although the </w:t>
      </w:r>
      <w:r w:rsidR="00E03CD4" w:rsidRPr="00E94FED">
        <w:rPr>
          <w:rFonts w:ascii="Times New Roman" w:hAnsi="Times New Roman" w:cs="Times New Roman"/>
          <w:sz w:val="24"/>
        </w:rPr>
        <w:t>c</w:t>
      </w:r>
      <w:r w:rsidR="00B604B8" w:rsidRPr="00E94FED">
        <w:rPr>
          <w:rFonts w:ascii="Times New Roman" w:hAnsi="Times New Roman" w:cs="Times New Roman"/>
          <w:sz w:val="24"/>
        </w:rPr>
        <w:t xml:space="preserve">ult appeared as a direct result of the </w:t>
      </w:r>
      <w:r w:rsidR="00DB63E0" w:rsidRPr="00E94FED">
        <w:rPr>
          <w:rFonts w:ascii="Times New Roman" w:hAnsi="Times New Roman" w:cs="Times New Roman"/>
          <w:sz w:val="24"/>
        </w:rPr>
        <w:t xml:space="preserve">high death toll of the </w:t>
      </w:r>
      <w:r w:rsidR="00B604B8" w:rsidRPr="00E94FED">
        <w:rPr>
          <w:rFonts w:ascii="Times New Roman" w:hAnsi="Times New Roman" w:cs="Times New Roman"/>
          <w:sz w:val="24"/>
        </w:rPr>
        <w:t>Black Death, it could also be claimed that the</w:t>
      </w:r>
      <w:r w:rsidR="00DB63E0" w:rsidRPr="00E94FED">
        <w:rPr>
          <w:rFonts w:ascii="Times New Roman" w:hAnsi="Times New Roman" w:cs="Times New Roman"/>
          <w:sz w:val="24"/>
        </w:rPr>
        <w:t xml:space="preserve"> </w:t>
      </w:r>
      <w:r w:rsidR="00E03CD4" w:rsidRPr="00E94FED">
        <w:rPr>
          <w:rFonts w:ascii="Times New Roman" w:hAnsi="Times New Roman" w:cs="Times New Roman"/>
          <w:sz w:val="24"/>
        </w:rPr>
        <w:t>c</w:t>
      </w:r>
      <w:r w:rsidR="00DB63E0" w:rsidRPr="00E94FED">
        <w:rPr>
          <w:rFonts w:ascii="Times New Roman" w:hAnsi="Times New Roman" w:cs="Times New Roman"/>
          <w:sz w:val="24"/>
        </w:rPr>
        <w:t xml:space="preserve">ult’s </w:t>
      </w:r>
      <w:r w:rsidR="00B604B8" w:rsidRPr="00E94FED">
        <w:rPr>
          <w:rFonts w:ascii="Times New Roman" w:hAnsi="Times New Roman" w:cs="Times New Roman"/>
          <w:sz w:val="24"/>
        </w:rPr>
        <w:t>development was as a result of the ever increasing levels of death due to intense prolonged periods of fighting, such as the Hundred Years War.</w:t>
      </w:r>
      <w:r w:rsidR="00B52686" w:rsidRPr="00E94FED">
        <w:rPr>
          <w:rStyle w:val="FootnoteReference"/>
          <w:rFonts w:ascii="Times New Roman" w:hAnsi="Times New Roman" w:cs="Times New Roman"/>
          <w:sz w:val="24"/>
        </w:rPr>
        <w:footnoteReference w:id="16"/>
      </w:r>
      <w:r w:rsidR="00DB63E0" w:rsidRPr="00E94FED">
        <w:rPr>
          <w:rFonts w:ascii="Times New Roman" w:hAnsi="Times New Roman" w:cs="Times New Roman"/>
          <w:sz w:val="24"/>
        </w:rPr>
        <w:t xml:space="preserve"> </w:t>
      </w:r>
      <w:r w:rsidR="00DB63E0" w:rsidRPr="00E94FED">
        <w:rPr>
          <w:rFonts w:ascii="Times New Roman" w:hAnsi="Times New Roman" w:cs="Times New Roman"/>
          <w:sz w:val="24"/>
        </w:rPr>
        <w:br/>
        <w:t xml:space="preserve">The high death toll of war effected all levels of society, therefore bring death closer to the whole population meaning society would be much more likely to look for ways to protect themselves. It is clear that the </w:t>
      </w:r>
      <w:r w:rsidR="0062048C">
        <w:rPr>
          <w:rFonts w:ascii="Times New Roman" w:hAnsi="Times New Roman" w:cs="Times New Roman"/>
          <w:sz w:val="24"/>
        </w:rPr>
        <w:t>F</w:t>
      </w:r>
      <w:r w:rsidR="00DB63E0" w:rsidRPr="00E94FED">
        <w:rPr>
          <w:rFonts w:ascii="Times New Roman" w:hAnsi="Times New Roman" w:cs="Times New Roman"/>
          <w:sz w:val="24"/>
        </w:rPr>
        <w:t xml:space="preserve">ourteen </w:t>
      </w:r>
      <w:r w:rsidR="0062048C">
        <w:rPr>
          <w:rFonts w:ascii="Times New Roman" w:hAnsi="Times New Roman" w:cs="Times New Roman"/>
          <w:sz w:val="24"/>
        </w:rPr>
        <w:t>H</w:t>
      </w:r>
      <w:r w:rsidR="00DB63E0" w:rsidRPr="00E94FED">
        <w:rPr>
          <w:rFonts w:ascii="Times New Roman" w:hAnsi="Times New Roman" w:cs="Times New Roman"/>
          <w:sz w:val="24"/>
        </w:rPr>
        <w:t xml:space="preserve">oly </w:t>
      </w:r>
      <w:r w:rsidR="0062048C">
        <w:rPr>
          <w:rFonts w:ascii="Times New Roman" w:hAnsi="Times New Roman" w:cs="Times New Roman"/>
          <w:sz w:val="24"/>
        </w:rPr>
        <w:t>H</w:t>
      </w:r>
      <w:r w:rsidR="00DB63E0" w:rsidRPr="00E94FED">
        <w:rPr>
          <w:rFonts w:ascii="Times New Roman" w:hAnsi="Times New Roman" w:cs="Times New Roman"/>
          <w:sz w:val="24"/>
        </w:rPr>
        <w:t>elpers were looked to in this way as the fourteen include Saint Barbara, who was the patron saint against explosions, a technique that became more popular in warfare given the development o</w:t>
      </w:r>
      <w:r w:rsidR="0062048C">
        <w:rPr>
          <w:rFonts w:ascii="Times New Roman" w:hAnsi="Times New Roman" w:cs="Times New Roman"/>
          <w:sz w:val="24"/>
        </w:rPr>
        <w:t>f</w:t>
      </w:r>
      <w:r w:rsidR="00DB63E0" w:rsidRPr="00E94FED">
        <w:rPr>
          <w:rFonts w:ascii="Times New Roman" w:hAnsi="Times New Roman" w:cs="Times New Roman"/>
          <w:sz w:val="24"/>
        </w:rPr>
        <w:t xml:space="preserve"> Greek fire and gunpowder.</w:t>
      </w:r>
      <w:r w:rsidR="00DB63E0" w:rsidRPr="00E94FED">
        <w:rPr>
          <w:rStyle w:val="FootnoteReference"/>
          <w:rFonts w:ascii="Times New Roman" w:hAnsi="Times New Roman" w:cs="Times New Roman"/>
          <w:sz w:val="24"/>
        </w:rPr>
        <w:footnoteReference w:id="17"/>
      </w:r>
      <w:r w:rsidR="00DB63E0" w:rsidRPr="00E94FED">
        <w:rPr>
          <w:rFonts w:ascii="Times New Roman" w:hAnsi="Times New Roman" w:cs="Times New Roman"/>
          <w:sz w:val="24"/>
        </w:rPr>
        <w:t xml:space="preserve"> </w:t>
      </w:r>
    </w:p>
    <w:p w14:paraId="6C40FF68" w14:textId="460EB98F" w:rsidR="00F26D64" w:rsidRPr="00E94FED" w:rsidRDefault="00B604B8" w:rsidP="003F70F3">
      <w:pPr>
        <w:tabs>
          <w:tab w:val="left" w:pos="3261"/>
        </w:tabs>
        <w:jc w:val="both"/>
        <w:rPr>
          <w:rFonts w:ascii="Times New Roman" w:hAnsi="Times New Roman" w:cs="Times New Roman"/>
          <w:color w:val="FF0000"/>
          <w:sz w:val="24"/>
        </w:rPr>
      </w:pPr>
      <w:r w:rsidRPr="00E94FED">
        <w:rPr>
          <w:rFonts w:ascii="Times New Roman" w:hAnsi="Times New Roman" w:cs="Times New Roman"/>
          <w:sz w:val="24"/>
        </w:rPr>
        <w:t>On top of this</w:t>
      </w:r>
      <w:r w:rsidR="00024FB0" w:rsidRPr="00E94FED">
        <w:rPr>
          <w:rFonts w:ascii="Times New Roman" w:hAnsi="Times New Roman" w:cs="Times New Roman"/>
          <w:sz w:val="24"/>
        </w:rPr>
        <w:t>,</w:t>
      </w:r>
      <w:r w:rsidRPr="00E94FED">
        <w:rPr>
          <w:rFonts w:ascii="Times New Roman" w:hAnsi="Times New Roman" w:cs="Times New Roman"/>
          <w:sz w:val="24"/>
        </w:rPr>
        <w:t xml:space="preserve"> the Flagellant movement was another religious movement that developed as a result of the </w:t>
      </w:r>
      <w:r w:rsidR="006C6AAA" w:rsidRPr="00E94FED">
        <w:rPr>
          <w:rFonts w:ascii="Times New Roman" w:hAnsi="Times New Roman" w:cs="Times New Roman"/>
          <w:sz w:val="24"/>
        </w:rPr>
        <w:t>focus of mortality that occurred as a result of the Black Death.</w:t>
      </w:r>
      <w:r w:rsidR="006C6AAA" w:rsidRPr="00E94FED">
        <w:rPr>
          <w:rFonts w:ascii="Times New Roman" w:hAnsi="Times New Roman" w:cs="Times New Roman"/>
          <w:color w:val="FF0000"/>
          <w:sz w:val="24"/>
        </w:rPr>
        <w:t xml:space="preserve"> </w:t>
      </w:r>
      <w:r w:rsidR="006C6AAA" w:rsidRPr="00E94FED">
        <w:rPr>
          <w:rFonts w:ascii="Times New Roman" w:hAnsi="Times New Roman" w:cs="Times New Roman"/>
          <w:sz w:val="24"/>
        </w:rPr>
        <w:t xml:space="preserve">The Flagellant movement appears to have begun in </w:t>
      </w:r>
      <w:r w:rsidR="00024FB0" w:rsidRPr="00E94FED">
        <w:rPr>
          <w:rFonts w:ascii="Times New Roman" w:hAnsi="Times New Roman" w:cs="Times New Roman"/>
          <w:sz w:val="24"/>
        </w:rPr>
        <w:t>Germany</w:t>
      </w:r>
      <w:r w:rsidR="006C6AAA" w:rsidRPr="00E94FED">
        <w:rPr>
          <w:rFonts w:ascii="Times New Roman" w:hAnsi="Times New Roman" w:cs="Times New Roman"/>
          <w:sz w:val="24"/>
        </w:rPr>
        <w:t xml:space="preserve"> </w:t>
      </w:r>
      <w:r w:rsidR="00024FB0" w:rsidRPr="00E94FED">
        <w:rPr>
          <w:rFonts w:ascii="Times New Roman" w:hAnsi="Times New Roman" w:cs="Times New Roman"/>
          <w:sz w:val="24"/>
        </w:rPr>
        <w:t>i</w:t>
      </w:r>
      <w:r w:rsidR="006C6AAA" w:rsidRPr="00E94FED">
        <w:rPr>
          <w:rFonts w:ascii="Times New Roman" w:hAnsi="Times New Roman" w:cs="Times New Roman"/>
          <w:sz w:val="24"/>
        </w:rPr>
        <w:t>n</w:t>
      </w:r>
      <w:r w:rsidR="00024FB0" w:rsidRPr="00E94FED">
        <w:rPr>
          <w:rFonts w:ascii="Times New Roman" w:hAnsi="Times New Roman" w:cs="Times New Roman"/>
          <w:sz w:val="24"/>
        </w:rPr>
        <w:t xml:space="preserve"> 1438, the same year the Black Death arrived in northern Europe</w:t>
      </w:r>
      <w:r w:rsidR="006C6AAA" w:rsidRPr="00E94FED">
        <w:rPr>
          <w:rFonts w:ascii="Times New Roman" w:hAnsi="Times New Roman" w:cs="Times New Roman"/>
          <w:sz w:val="24"/>
        </w:rPr>
        <w:t>.</w:t>
      </w:r>
      <w:r w:rsidR="006C6AAA" w:rsidRPr="00E94FED">
        <w:rPr>
          <w:rStyle w:val="FootnoteReference"/>
          <w:rFonts w:ascii="Times New Roman" w:hAnsi="Times New Roman" w:cs="Times New Roman"/>
          <w:sz w:val="24"/>
        </w:rPr>
        <w:footnoteReference w:id="18"/>
      </w:r>
      <w:r w:rsidR="00280262" w:rsidRPr="00E94FED">
        <w:rPr>
          <w:rFonts w:ascii="Times New Roman" w:hAnsi="Times New Roman" w:cs="Times New Roman"/>
          <w:sz w:val="24"/>
        </w:rPr>
        <w:t xml:space="preserve"> </w:t>
      </w:r>
      <w:r w:rsidR="00024FB0" w:rsidRPr="00E94FED">
        <w:rPr>
          <w:rFonts w:ascii="Times New Roman" w:hAnsi="Times New Roman" w:cs="Times New Roman"/>
          <w:sz w:val="24"/>
        </w:rPr>
        <w:t>Although the movement was condemned by the papacy in 1349, it still gained traction as a way for members of society to punish themselves with the aim to appease God, and therefore not contract the plague.</w:t>
      </w:r>
      <w:r w:rsidR="00024FB0" w:rsidRPr="00E94FED">
        <w:rPr>
          <w:rStyle w:val="FootnoteReference"/>
          <w:rFonts w:ascii="Times New Roman" w:hAnsi="Times New Roman" w:cs="Times New Roman"/>
          <w:sz w:val="24"/>
        </w:rPr>
        <w:footnoteReference w:id="19"/>
      </w:r>
      <w:r w:rsidR="00024FB0" w:rsidRPr="00E94FED">
        <w:rPr>
          <w:rFonts w:ascii="Times New Roman" w:hAnsi="Times New Roman" w:cs="Times New Roman"/>
          <w:sz w:val="24"/>
        </w:rPr>
        <w:t xml:space="preserve"> Although the Flagellant movement died out as a result of its condemnation it</w:t>
      </w:r>
      <w:r w:rsidR="0062048C">
        <w:rPr>
          <w:rFonts w:ascii="Times New Roman" w:hAnsi="Times New Roman" w:cs="Times New Roman"/>
          <w:sz w:val="24"/>
        </w:rPr>
        <w:t>,</w:t>
      </w:r>
      <w:r w:rsidR="00024FB0" w:rsidRPr="00E94FED">
        <w:rPr>
          <w:rFonts w:ascii="Times New Roman" w:hAnsi="Times New Roman" w:cs="Times New Roman"/>
          <w:sz w:val="24"/>
        </w:rPr>
        <w:t xml:space="preserve"> clearly shows how the Black Death affected medieval religion as from this point onwards, religion would become more about perso</w:t>
      </w:r>
      <w:r w:rsidR="0062048C">
        <w:rPr>
          <w:rFonts w:ascii="Times New Roman" w:hAnsi="Times New Roman" w:cs="Times New Roman"/>
          <w:sz w:val="24"/>
        </w:rPr>
        <w:t>nal spirituality than that of each church community</w:t>
      </w:r>
      <w:r w:rsidR="00024FB0" w:rsidRPr="00E94FED">
        <w:rPr>
          <w:rFonts w:ascii="Times New Roman" w:hAnsi="Times New Roman" w:cs="Times New Roman"/>
          <w:sz w:val="24"/>
        </w:rPr>
        <w:t xml:space="preserve">. </w:t>
      </w:r>
    </w:p>
    <w:p w14:paraId="14932E0C" w14:textId="4BC80570" w:rsidR="00AB3F7D" w:rsidRPr="00E94FED" w:rsidRDefault="004A4CBC" w:rsidP="003F70F3">
      <w:pPr>
        <w:jc w:val="both"/>
        <w:rPr>
          <w:rFonts w:ascii="Times New Roman" w:hAnsi="Times New Roman" w:cs="Times New Roman"/>
          <w:color w:val="FF0000"/>
          <w:sz w:val="24"/>
        </w:rPr>
      </w:pPr>
      <w:r w:rsidRPr="00E94FED">
        <w:rPr>
          <w:rFonts w:ascii="Times New Roman" w:hAnsi="Times New Roman" w:cs="Times New Roman"/>
          <w:sz w:val="24"/>
        </w:rPr>
        <w:lastRenderedPageBreak/>
        <w:t>Perhaps the biggest secular change that occurred during the late fo</w:t>
      </w:r>
      <w:r w:rsidR="00E25AA5" w:rsidRPr="00E94FED">
        <w:rPr>
          <w:rFonts w:ascii="Times New Roman" w:hAnsi="Times New Roman" w:cs="Times New Roman"/>
          <w:sz w:val="24"/>
        </w:rPr>
        <w:t xml:space="preserve">urteenth </w:t>
      </w:r>
      <w:r w:rsidR="0062048C">
        <w:rPr>
          <w:rFonts w:ascii="Times New Roman" w:hAnsi="Times New Roman" w:cs="Times New Roman"/>
          <w:sz w:val="24"/>
        </w:rPr>
        <w:t>c</w:t>
      </w:r>
      <w:r w:rsidR="00E25AA5" w:rsidRPr="00E94FED">
        <w:rPr>
          <w:rFonts w:ascii="Times New Roman" w:hAnsi="Times New Roman" w:cs="Times New Roman"/>
          <w:sz w:val="24"/>
        </w:rPr>
        <w:t>entury was the de-centralisation of power that occurred as a result of the declining population</w:t>
      </w:r>
      <w:r w:rsidRPr="00E94FED">
        <w:rPr>
          <w:rFonts w:ascii="Times New Roman" w:hAnsi="Times New Roman" w:cs="Times New Roman"/>
          <w:sz w:val="24"/>
        </w:rPr>
        <w:t>.</w:t>
      </w:r>
      <w:r w:rsidR="00A57175" w:rsidRPr="00E94FED">
        <w:rPr>
          <w:rFonts w:ascii="Times New Roman" w:hAnsi="Times New Roman" w:cs="Times New Roman"/>
          <w:sz w:val="24"/>
        </w:rPr>
        <w:t xml:space="preserve"> </w:t>
      </w:r>
      <w:r w:rsidR="00E25AA5" w:rsidRPr="00E94FED">
        <w:rPr>
          <w:rFonts w:ascii="Times New Roman" w:hAnsi="Times New Roman" w:cs="Times New Roman"/>
          <w:sz w:val="24"/>
        </w:rPr>
        <w:t>In the Holy Roman Empire, 40,000 of the 170,000 settlements disappeared as a result of the Black Death killing off the majority of the occupants.</w:t>
      </w:r>
      <w:r w:rsidR="00E25AA5" w:rsidRPr="00E94FED">
        <w:rPr>
          <w:rStyle w:val="FootnoteReference"/>
          <w:rFonts w:ascii="Times New Roman" w:hAnsi="Times New Roman" w:cs="Times New Roman"/>
          <w:sz w:val="24"/>
        </w:rPr>
        <w:footnoteReference w:id="20"/>
      </w:r>
      <w:r w:rsidR="00E25AA5" w:rsidRPr="00E94FED">
        <w:rPr>
          <w:rFonts w:ascii="Times New Roman" w:hAnsi="Times New Roman" w:cs="Times New Roman"/>
          <w:sz w:val="24"/>
        </w:rPr>
        <w:t xml:space="preserve"> While there is evidence to suggestion that the population was already declining before </w:t>
      </w:r>
      <w:r w:rsidR="006F1338" w:rsidRPr="00E94FED">
        <w:rPr>
          <w:rFonts w:ascii="Times New Roman" w:hAnsi="Times New Roman" w:cs="Times New Roman"/>
          <w:sz w:val="24"/>
        </w:rPr>
        <w:t>the Black Death hit, due a number of bad harvests with low yields leading to higher mortality</w:t>
      </w:r>
      <w:r w:rsidR="00B52686" w:rsidRPr="00E94FED">
        <w:rPr>
          <w:rFonts w:ascii="Times New Roman" w:hAnsi="Times New Roman" w:cs="Times New Roman"/>
          <w:sz w:val="24"/>
        </w:rPr>
        <w:t>, the epidemic created a spike in the death rate</w:t>
      </w:r>
      <w:r w:rsidR="006F1338" w:rsidRPr="00E94FED">
        <w:rPr>
          <w:rFonts w:ascii="Times New Roman" w:hAnsi="Times New Roman" w:cs="Times New Roman"/>
          <w:sz w:val="24"/>
        </w:rPr>
        <w:t>.</w:t>
      </w:r>
      <w:r w:rsidR="006F1338" w:rsidRPr="00E94FED">
        <w:rPr>
          <w:rStyle w:val="FootnoteReference"/>
          <w:rFonts w:ascii="Times New Roman" w:hAnsi="Times New Roman" w:cs="Times New Roman"/>
          <w:sz w:val="24"/>
        </w:rPr>
        <w:footnoteReference w:id="21"/>
      </w:r>
      <w:r w:rsidR="006F1338" w:rsidRPr="00E94FED">
        <w:rPr>
          <w:rFonts w:ascii="Times New Roman" w:hAnsi="Times New Roman" w:cs="Times New Roman"/>
          <w:sz w:val="24"/>
        </w:rPr>
        <w:t xml:space="preserve"> The declining population, whether as a result of</w:t>
      </w:r>
      <w:r w:rsidRPr="00E94FED">
        <w:rPr>
          <w:rFonts w:ascii="Times New Roman" w:hAnsi="Times New Roman" w:cs="Times New Roman"/>
          <w:color w:val="FF0000"/>
          <w:sz w:val="24"/>
        </w:rPr>
        <w:t xml:space="preserve"> </w:t>
      </w:r>
      <w:r w:rsidRPr="00E94FED">
        <w:rPr>
          <w:rFonts w:ascii="Times New Roman" w:hAnsi="Times New Roman" w:cs="Times New Roman"/>
          <w:sz w:val="24"/>
        </w:rPr>
        <w:t xml:space="preserve">the Black Death </w:t>
      </w:r>
      <w:r w:rsidR="006F1338" w:rsidRPr="00E94FED">
        <w:rPr>
          <w:rFonts w:ascii="Times New Roman" w:hAnsi="Times New Roman" w:cs="Times New Roman"/>
          <w:sz w:val="24"/>
        </w:rPr>
        <w:t>or not</w:t>
      </w:r>
      <w:r w:rsidR="0062048C">
        <w:rPr>
          <w:rFonts w:ascii="Times New Roman" w:hAnsi="Times New Roman" w:cs="Times New Roman"/>
          <w:sz w:val="24"/>
        </w:rPr>
        <w:t>,</w:t>
      </w:r>
      <w:r w:rsidR="006F1338" w:rsidRPr="00E94FED">
        <w:rPr>
          <w:rFonts w:ascii="Times New Roman" w:hAnsi="Times New Roman" w:cs="Times New Roman"/>
          <w:sz w:val="24"/>
        </w:rPr>
        <w:t xml:space="preserve"> can be </w:t>
      </w:r>
      <w:r w:rsidRPr="00E94FED">
        <w:rPr>
          <w:rFonts w:ascii="Times New Roman" w:hAnsi="Times New Roman" w:cs="Times New Roman"/>
          <w:sz w:val="24"/>
        </w:rPr>
        <w:t xml:space="preserve">seen to be the trigger to end of serfdom and the feudal system. </w:t>
      </w:r>
      <w:r w:rsidR="006F1338" w:rsidRPr="00E94FED">
        <w:rPr>
          <w:rFonts w:ascii="Times New Roman" w:hAnsi="Times New Roman" w:cs="Times New Roman"/>
          <w:sz w:val="24"/>
        </w:rPr>
        <w:t>The labour shortage caused by a lower population sent wages soaring to the point whereby even serfs, who were tied to the land they worked, were able to move to the employers who offered the best wages and benefits.</w:t>
      </w:r>
      <w:r w:rsidR="006F1338" w:rsidRPr="00E94FED">
        <w:rPr>
          <w:rStyle w:val="FootnoteReference"/>
          <w:rFonts w:ascii="Times New Roman" w:hAnsi="Times New Roman" w:cs="Times New Roman"/>
          <w:sz w:val="24"/>
        </w:rPr>
        <w:footnoteReference w:id="22"/>
      </w:r>
      <w:r w:rsidR="006F1338" w:rsidRPr="00E94FED">
        <w:rPr>
          <w:rFonts w:ascii="Times New Roman" w:hAnsi="Times New Roman" w:cs="Times New Roman"/>
          <w:sz w:val="24"/>
        </w:rPr>
        <w:t xml:space="preserve"> In order to try and combat this movement of peasantry</w:t>
      </w:r>
      <w:r w:rsidR="00E03CD4" w:rsidRPr="00E94FED">
        <w:rPr>
          <w:rFonts w:ascii="Times New Roman" w:hAnsi="Times New Roman" w:cs="Times New Roman"/>
          <w:sz w:val="24"/>
        </w:rPr>
        <w:t>,</w:t>
      </w:r>
      <w:r w:rsidR="006F1338" w:rsidRPr="00E94FED">
        <w:rPr>
          <w:rFonts w:ascii="Times New Roman" w:hAnsi="Times New Roman" w:cs="Times New Roman"/>
          <w:sz w:val="24"/>
        </w:rPr>
        <w:t xml:space="preserve"> t</w:t>
      </w:r>
      <w:r w:rsidRPr="00E94FED">
        <w:rPr>
          <w:rFonts w:ascii="Times New Roman" w:hAnsi="Times New Roman" w:cs="Times New Roman"/>
          <w:sz w:val="24"/>
        </w:rPr>
        <w:t>he Statute of Labourers was put in place in 1351</w:t>
      </w:r>
      <w:r w:rsidR="006F1338" w:rsidRPr="00E94FED">
        <w:rPr>
          <w:rFonts w:ascii="Times New Roman" w:hAnsi="Times New Roman" w:cs="Times New Roman"/>
          <w:sz w:val="24"/>
        </w:rPr>
        <w:t xml:space="preserve"> by parliament</w:t>
      </w:r>
      <w:r w:rsidR="0062048C">
        <w:rPr>
          <w:rFonts w:ascii="Times New Roman" w:hAnsi="Times New Roman" w:cs="Times New Roman"/>
          <w:sz w:val="24"/>
        </w:rPr>
        <w:t>,</w:t>
      </w:r>
      <w:r w:rsidRPr="00E94FED">
        <w:rPr>
          <w:rFonts w:ascii="Times New Roman" w:hAnsi="Times New Roman" w:cs="Times New Roman"/>
          <w:sz w:val="24"/>
        </w:rPr>
        <w:t xml:space="preserve"> in order to try and limit the movement of serfs between different lords and the wages they could earn. </w:t>
      </w:r>
      <w:r w:rsidR="00E25AA5" w:rsidRPr="00E94FED">
        <w:rPr>
          <w:rFonts w:ascii="Times New Roman" w:hAnsi="Times New Roman" w:cs="Times New Roman"/>
          <w:sz w:val="24"/>
        </w:rPr>
        <w:t>Given that the peasantry believed statute’s aim was to ‘hinder the movement towards freedom’, regardless that parliament claimed it would lessen the dependence of the villain on the lord, it is no wonder that the statute was ignored by the majority.</w:t>
      </w:r>
      <w:r w:rsidR="00E25AA5" w:rsidRPr="00E94FED">
        <w:rPr>
          <w:rStyle w:val="FootnoteReference"/>
          <w:rFonts w:ascii="Times New Roman" w:hAnsi="Times New Roman" w:cs="Times New Roman"/>
          <w:sz w:val="24"/>
        </w:rPr>
        <w:footnoteReference w:id="23"/>
      </w:r>
      <w:r w:rsidR="00E25AA5" w:rsidRPr="00E94FED">
        <w:rPr>
          <w:rFonts w:ascii="Times New Roman" w:hAnsi="Times New Roman" w:cs="Times New Roman"/>
          <w:sz w:val="24"/>
        </w:rPr>
        <w:t xml:space="preserve"> </w:t>
      </w:r>
      <w:r w:rsidR="001D3ED5" w:rsidRPr="00E94FED">
        <w:rPr>
          <w:rFonts w:ascii="Times New Roman" w:hAnsi="Times New Roman" w:cs="Times New Roman"/>
          <w:sz w:val="24"/>
        </w:rPr>
        <w:t>The statute was not only ignored by peasants who were determined to create a better life for themselves, but also by the lords who would try to outbid each other in order to try and retain the number of workers they needed.</w:t>
      </w:r>
      <w:r w:rsidR="001D3ED5" w:rsidRPr="00E94FED">
        <w:rPr>
          <w:rStyle w:val="FootnoteReference"/>
          <w:rFonts w:ascii="Times New Roman" w:hAnsi="Times New Roman" w:cs="Times New Roman"/>
          <w:sz w:val="24"/>
        </w:rPr>
        <w:footnoteReference w:id="24"/>
      </w:r>
      <w:r w:rsidR="001D3ED5" w:rsidRPr="00E94FED">
        <w:rPr>
          <w:rFonts w:ascii="Times New Roman" w:hAnsi="Times New Roman" w:cs="Times New Roman"/>
          <w:sz w:val="24"/>
        </w:rPr>
        <w:t xml:space="preserve"> The</w:t>
      </w:r>
      <w:r w:rsidRPr="00E94FED">
        <w:rPr>
          <w:rFonts w:ascii="Times New Roman" w:hAnsi="Times New Roman" w:cs="Times New Roman"/>
          <w:color w:val="FF0000"/>
          <w:sz w:val="24"/>
        </w:rPr>
        <w:t xml:space="preserve"> </w:t>
      </w:r>
      <w:r w:rsidRPr="00E94FED">
        <w:rPr>
          <w:rFonts w:ascii="Times New Roman" w:hAnsi="Times New Roman" w:cs="Times New Roman"/>
          <w:sz w:val="24"/>
        </w:rPr>
        <w:t>limitation of wages was not</w:t>
      </w:r>
      <w:r w:rsidR="001D3ED5" w:rsidRPr="00E94FED">
        <w:rPr>
          <w:rFonts w:ascii="Times New Roman" w:hAnsi="Times New Roman" w:cs="Times New Roman"/>
          <w:sz w:val="24"/>
        </w:rPr>
        <w:t xml:space="preserve"> only unsuccessful but</w:t>
      </w:r>
      <w:r w:rsidRPr="00E94FED">
        <w:rPr>
          <w:rFonts w:ascii="Times New Roman" w:hAnsi="Times New Roman" w:cs="Times New Roman"/>
          <w:sz w:val="24"/>
        </w:rPr>
        <w:t xml:space="preserve"> would eventually lead to the Peasant’s Revolt of 1381. </w:t>
      </w:r>
      <w:r w:rsidR="001D3ED5" w:rsidRPr="00E94FED">
        <w:rPr>
          <w:rFonts w:ascii="Times New Roman" w:hAnsi="Times New Roman" w:cs="Times New Roman"/>
          <w:sz w:val="24"/>
        </w:rPr>
        <w:t>The trigger to the revolt was the poll-tax lev</w:t>
      </w:r>
      <w:r w:rsidR="00E03CD4" w:rsidRPr="00E94FED">
        <w:rPr>
          <w:rFonts w:ascii="Times New Roman" w:hAnsi="Times New Roman" w:cs="Times New Roman"/>
          <w:sz w:val="24"/>
        </w:rPr>
        <w:t>i</w:t>
      </w:r>
      <w:r w:rsidR="001D3ED5" w:rsidRPr="00E94FED">
        <w:rPr>
          <w:rFonts w:ascii="Times New Roman" w:hAnsi="Times New Roman" w:cs="Times New Roman"/>
          <w:sz w:val="24"/>
        </w:rPr>
        <w:t>ed by Richard II in 1377 in order to pay for war against France.</w:t>
      </w:r>
      <w:r w:rsidR="001D3ED5" w:rsidRPr="00E94FED">
        <w:rPr>
          <w:rStyle w:val="FootnoteReference"/>
          <w:rFonts w:ascii="Times New Roman" w:hAnsi="Times New Roman" w:cs="Times New Roman"/>
          <w:sz w:val="24"/>
        </w:rPr>
        <w:footnoteReference w:id="25"/>
      </w:r>
      <w:r w:rsidR="001D3ED5" w:rsidRPr="00E94FED">
        <w:rPr>
          <w:rFonts w:ascii="Times New Roman" w:hAnsi="Times New Roman" w:cs="Times New Roman"/>
          <w:sz w:val="24"/>
        </w:rPr>
        <w:t xml:space="preserve"> The Black Death, however, can be considered to be the long-term cause of the revolt as the changing population and resulting social mobility led to a higher resentment of government and the feudal system that would lead to the events of 1381. </w:t>
      </w:r>
    </w:p>
    <w:p w14:paraId="6D5A4BB6" w14:textId="2EF97187" w:rsidR="00AB3F7D" w:rsidRPr="00E94FED" w:rsidRDefault="00AB3F7D" w:rsidP="003F70F3">
      <w:pPr>
        <w:jc w:val="both"/>
        <w:rPr>
          <w:rFonts w:ascii="Times New Roman" w:hAnsi="Times New Roman" w:cs="Times New Roman"/>
          <w:sz w:val="24"/>
        </w:rPr>
      </w:pPr>
      <w:r w:rsidRPr="00E94FED">
        <w:rPr>
          <w:rFonts w:ascii="Times New Roman" w:hAnsi="Times New Roman" w:cs="Times New Roman"/>
          <w:sz w:val="24"/>
        </w:rPr>
        <w:t>Another way in which the Black Death b</w:t>
      </w:r>
      <w:r w:rsidR="00A57175" w:rsidRPr="00E94FED">
        <w:rPr>
          <w:rFonts w:ascii="Times New Roman" w:hAnsi="Times New Roman" w:cs="Times New Roman"/>
          <w:sz w:val="24"/>
        </w:rPr>
        <w:t>enefit</w:t>
      </w:r>
      <w:r w:rsidRPr="00E94FED">
        <w:rPr>
          <w:rFonts w:ascii="Times New Roman" w:hAnsi="Times New Roman" w:cs="Times New Roman"/>
          <w:sz w:val="24"/>
        </w:rPr>
        <w:t xml:space="preserve">ed the </w:t>
      </w:r>
      <w:r w:rsidR="00A57175" w:rsidRPr="00E94FED">
        <w:rPr>
          <w:rFonts w:ascii="Times New Roman" w:hAnsi="Times New Roman" w:cs="Times New Roman"/>
          <w:sz w:val="24"/>
        </w:rPr>
        <w:t>peasant</w:t>
      </w:r>
      <w:r w:rsidRPr="00E94FED">
        <w:rPr>
          <w:rFonts w:ascii="Times New Roman" w:hAnsi="Times New Roman" w:cs="Times New Roman"/>
          <w:sz w:val="24"/>
        </w:rPr>
        <w:t>ry was to raise the standard of living. The higher level of social mobility not only meant higher wages but also ‘blurred the social status’ so that the villain and freeman could be found working side by side on the land.</w:t>
      </w:r>
      <w:r w:rsidRPr="00E94FED">
        <w:rPr>
          <w:rStyle w:val="FootnoteReference"/>
          <w:rFonts w:ascii="Times New Roman" w:hAnsi="Times New Roman" w:cs="Times New Roman"/>
          <w:sz w:val="24"/>
        </w:rPr>
        <w:footnoteReference w:id="26"/>
      </w:r>
      <w:r w:rsidRPr="00E94FED">
        <w:rPr>
          <w:rFonts w:ascii="Times New Roman" w:hAnsi="Times New Roman" w:cs="Times New Roman"/>
          <w:sz w:val="24"/>
        </w:rPr>
        <w:t xml:space="preserve"> </w:t>
      </w:r>
      <w:r w:rsidR="00527B4B" w:rsidRPr="00E94FED">
        <w:rPr>
          <w:rFonts w:ascii="Times New Roman" w:hAnsi="Times New Roman" w:cs="Times New Roman"/>
          <w:sz w:val="24"/>
        </w:rPr>
        <w:lastRenderedPageBreak/>
        <w:t>The drop in the price of land and in demand for food meant that a shift occurred in which the only farmland used for producing food was that which was most profitable in terms of its yield, meaning that</w:t>
      </w:r>
      <w:r w:rsidR="0062048C">
        <w:rPr>
          <w:rFonts w:ascii="Times New Roman" w:hAnsi="Times New Roman" w:cs="Times New Roman"/>
          <w:sz w:val="24"/>
        </w:rPr>
        <w:t>,</w:t>
      </w:r>
      <w:r w:rsidR="00527B4B" w:rsidRPr="00E94FED">
        <w:rPr>
          <w:rFonts w:ascii="Times New Roman" w:hAnsi="Times New Roman" w:cs="Times New Roman"/>
          <w:sz w:val="24"/>
        </w:rPr>
        <w:t xml:space="preserve"> as a result</w:t>
      </w:r>
      <w:r w:rsidR="0062048C">
        <w:rPr>
          <w:rFonts w:ascii="Times New Roman" w:hAnsi="Times New Roman" w:cs="Times New Roman"/>
          <w:sz w:val="24"/>
        </w:rPr>
        <w:t>,</w:t>
      </w:r>
      <w:r w:rsidR="00527B4B" w:rsidRPr="00E94FED">
        <w:rPr>
          <w:rFonts w:ascii="Times New Roman" w:hAnsi="Times New Roman" w:cs="Times New Roman"/>
          <w:sz w:val="24"/>
        </w:rPr>
        <w:t xml:space="preserve"> the price of corn fell dramatically.</w:t>
      </w:r>
      <w:r w:rsidR="00527B4B" w:rsidRPr="00E94FED">
        <w:rPr>
          <w:rStyle w:val="FootnoteReference"/>
          <w:rFonts w:ascii="Times New Roman" w:hAnsi="Times New Roman" w:cs="Times New Roman"/>
          <w:sz w:val="24"/>
        </w:rPr>
        <w:footnoteReference w:id="27"/>
      </w:r>
      <w:r w:rsidR="00527B4B" w:rsidRPr="00E94FED">
        <w:rPr>
          <w:rFonts w:ascii="Times New Roman" w:hAnsi="Times New Roman" w:cs="Times New Roman"/>
          <w:sz w:val="24"/>
        </w:rPr>
        <w:t xml:space="preserve"> </w:t>
      </w:r>
      <w:r w:rsidRPr="00E94FED">
        <w:rPr>
          <w:rFonts w:ascii="Times New Roman" w:hAnsi="Times New Roman" w:cs="Times New Roman"/>
          <w:sz w:val="24"/>
        </w:rPr>
        <w:t xml:space="preserve">Given the </w:t>
      </w:r>
      <w:r w:rsidR="00527B4B" w:rsidRPr="00E94FED">
        <w:rPr>
          <w:rFonts w:ascii="Times New Roman" w:hAnsi="Times New Roman" w:cs="Times New Roman"/>
          <w:sz w:val="24"/>
        </w:rPr>
        <w:t>lower p</w:t>
      </w:r>
      <w:r w:rsidRPr="00E94FED">
        <w:rPr>
          <w:rFonts w:ascii="Times New Roman" w:hAnsi="Times New Roman" w:cs="Times New Roman"/>
          <w:sz w:val="24"/>
        </w:rPr>
        <w:t>rice of meat and corn the peasantry, who normally lived off a diet of mainly bread and vegetables were able to afford to eat meat</w:t>
      </w:r>
      <w:r w:rsidR="00527B4B" w:rsidRPr="00E94FED">
        <w:rPr>
          <w:rFonts w:ascii="Times New Roman" w:hAnsi="Times New Roman" w:cs="Times New Roman"/>
          <w:sz w:val="24"/>
        </w:rPr>
        <w:t>, fish and dairy products in higher quantities than they had before</w:t>
      </w:r>
      <w:r w:rsidRPr="00E94FED">
        <w:rPr>
          <w:rFonts w:ascii="Times New Roman" w:hAnsi="Times New Roman" w:cs="Times New Roman"/>
          <w:sz w:val="24"/>
        </w:rPr>
        <w:t>.</w:t>
      </w:r>
      <w:r w:rsidRPr="00E94FED">
        <w:rPr>
          <w:rStyle w:val="FootnoteReference"/>
          <w:rFonts w:ascii="Times New Roman" w:hAnsi="Times New Roman" w:cs="Times New Roman"/>
          <w:sz w:val="24"/>
        </w:rPr>
        <w:footnoteReference w:id="28"/>
      </w:r>
      <w:r w:rsidRPr="00E94FED">
        <w:rPr>
          <w:rFonts w:ascii="Times New Roman" w:hAnsi="Times New Roman" w:cs="Times New Roman"/>
          <w:sz w:val="24"/>
        </w:rPr>
        <w:t xml:space="preserve"> </w:t>
      </w:r>
      <w:r w:rsidR="0076271A" w:rsidRPr="00E94FED">
        <w:rPr>
          <w:rFonts w:ascii="Times New Roman" w:hAnsi="Times New Roman" w:cs="Times New Roman"/>
          <w:sz w:val="24"/>
        </w:rPr>
        <w:t>When looking at the estimations of life expectancy in the Middle Ages, although it is impossible to gain definite figures due to the lack of records, it is suggested that life expectancy between 1276 and 1300, directly preceding the plague, was 25.19, while the period 1401 to 1425, directly after the Black Death, had a life expectancy of 29.38.</w:t>
      </w:r>
      <w:r w:rsidR="0076271A" w:rsidRPr="00E94FED">
        <w:rPr>
          <w:rStyle w:val="FootnoteReference"/>
          <w:rFonts w:ascii="Times New Roman" w:hAnsi="Times New Roman" w:cs="Times New Roman"/>
          <w:sz w:val="24"/>
        </w:rPr>
        <w:footnoteReference w:id="29"/>
      </w:r>
      <w:r w:rsidR="0076271A" w:rsidRPr="00E94FED">
        <w:rPr>
          <w:rFonts w:ascii="Times New Roman" w:hAnsi="Times New Roman" w:cs="Times New Roman"/>
          <w:sz w:val="24"/>
        </w:rPr>
        <w:t xml:space="preserve"> Clearly, therefore, the </w:t>
      </w:r>
      <w:r w:rsidR="000D2C0B" w:rsidRPr="00E94FED">
        <w:rPr>
          <w:rFonts w:ascii="Times New Roman" w:hAnsi="Times New Roman" w:cs="Times New Roman"/>
          <w:sz w:val="24"/>
        </w:rPr>
        <w:t>improvement in diet</w:t>
      </w:r>
      <w:r w:rsidR="00440D19" w:rsidRPr="00E94FED">
        <w:rPr>
          <w:rFonts w:ascii="Times New Roman" w:hAnsi="Times New Roman" w:cs="Times New Roman"/>
          <w:sz w:val="24"/>
        </w:rPr>
        <w:t xml:space="preserve"> that came as a direct result of the Black Death</w:t>
      </w:r>
      <w:r w:rsidR="000D2C0B" w:rsidRPr="00E94FED">
        <w:rPr>
          <w:rFonts w:ascii="Times New Roman" w:hAnsi="Times New Roman" w:cs="Times New Roman"/>
          <w:sz w:val="24"/>
        </w:rPr>
        <w:t xml:space="preserve"> allowed for the lowest level of population to improve their own mortality rate</w:t>
      </w:r>
      <w:r w:rsidR="0076271A" w:rsidRPr="00E94FED">
        <w:rPr>
          <w:rFonts w:ascii="Times New Roman" w:hAnsi="Times New Roman" w:cs="Times New Roman"/>
          <w:sz w:val="24"/>
        </w:rPr>
        <w:t xml:space="preserve"> by 4.19 years</w:t>
      </w:r>
      <w:r w:rsidR="000D2C0B" w:rsidRPr="00E94FED">
        <w:rPr>
          <w:rFonts w:ascii="Times New Roman" w:hAnsi="Times New Roman" w:cs="Times New Roman"/>
          <w:sz w:val="24"/>
        </w:rPr>
        <w:t xml:space="preserve"> as well as, as Marxist historians claim, allowing the lowest classes of the </w:t>
      </w:r>
      <w:r w:rsidR="00B52686" w:rsidRPr="00E94FED">
        <w:rPr>
          <w:rFonts w:ascii="Times New Roman" w:hAnsi="Times New Roman" w:cs="Times New Roman"/>
          <w:sz w:val="24"/>
        </w:rPr>
        <w:t>p</w:t>
      </w:r>
      <w:r w:rsidR="000D2C0B" w:rsidRPr="00E94FED">
        <w:rPr>
          <w:rFonts w:ascii="Times New Roman" w:hAnsi="Times New Roman" w:cs="Times New Roman"/>
          <w:sz w:val="24"/>
        </w:rPr>
        <w:t xml:space="preserve">roletariat to challenge the </w:t>
      </w:r>
      <w:r w:rsidR="00B52686" w:rsidRPr="00E94FED">
        <w:rPr>
          <w:rFonts w:ascii="Times New Roman" w:hAnsi="Times New Roman" w:cs="Times New Roman"/>
          <w:sz w:val="24"/>
        </w:rPr>
        <w:t>b</w:t>
      </w:r>
      <w:r w:rsidR="000D2C0B" w:rsidRPr="00E94FED">
        <w:rPr>
          <w:rFonts w:ascii="Times New Roman" w:hAnsi="Times New Roman" w:cs="Times New Roman"/>
          <w:sz w:val="24"/>
        </w:rPr>
        <w:t>ourgeoisie in order to demand a better life for themselves</w:t>
      </w:r>
      <w:r w:rsidR="00B52686" w:rsidRPr="00E94FED">
        <w:rPr>
          <w:rFonts w:ascii="Times New Roman" w:hAnsi="Times New Roman" w:cs="Times New Roman"/>
          <w:sz w:val="24"/>
        </w:rPr>
        <w:t>, meaning that for the survivors the Black Death was significant</w:t>
      </w:r>
      <w:r w:rsidR="000D2C0B" w:rsidRPr="00E94FED">
        <w:rPr>
          <w:rFonts w:ascii="Times New Roman" w:hAnsi="Times New Roman" w:cs="Times New Roman"/>
          <w:sz w:val="24"/>
        </w:rPr>
        <w:t>.</w:t>
      </w:r>
      <w:r w:rsidR="000D2C0B" w:rsidRPr="00E94FED">
        <w:rPr>
          <w:rStyle w:val="FootnoteReference"/>
          <w:rFonts w:ascii="Times New Roman" w:hAnsi="Times New Roman" w:cs="Times New Roman"/>
          <w:sz w:val="24"/>
        </w:rPr>
        <w:footnoteReference w:id="30"/>
      </w:r>
      <w:r w:rsidR="000D2C0B" w:rsidRPr="00E94FED">
        <w:rPr>
          <w:rFonts w:ascii="Times New Roman" w:hAnsi="Times New Roman" w:cs="Times New Roman"/>
          <w:sz w:val="24"/>
        </w:rPr>
        <w:t xml:space="preserve"> </w:t>
      </w:r>
    </w:p>
    <w:p w14:paraId="3C177EA7" w14:textId="66705A6C" w:rsidR="00AB3F7D" w:rsidRPr="00E94FED" w:rsidRDefault="00AB3F7D" w:rsidP="003F70F3">
      <w:pPr>
        <w:jc w:val="both"/>
        <w:rPr>
          <w:rFonts w:ascii="Times New Roman" w:hAnsi="Times New Roman" w:cs="Times New Roman"/>
          <w:color w:val="FF0000"/>
          <w:sz w:val="24"/>
        </w:rPr>
      </w:pPr>
      <w:r w:rsidRPr="00E94FED">
        <w:rPr>
          <w:rFonts w:ascii="Times New Roman" w:hAnsi="Times New Roman" w:cs="Times New Roman"/>
          <w:sz w:val="24"/>
        </w:rPr>
        <w:t xml:space="preserve"> On top of this, working conditions also impro</w:t>
      </w:r>
      <w:r w:rsidR="00B37583" w:rsidRPr="00E94FED">
        <w:rPr>
          <w:rFonts w:ascii="Times New Roman" w:hAnsi="Times New Roman" w:cs="Times New Roman"/>
          <w:sz w:val="24"/>
        </w:rPr>
        <w:t>ved;</w:t>
      </w:r>
      <w:r w:rsidRPr="00E94FED">
        <w:rPr>
          <w:rFonts w:ascii="Times New Roman" w:hAnsi="Times New Roman" w:cs="Times New Roman"/>
          <w:sz w:val="24"/>
        </w:rPr>
        <w:t xml:space="preserve"> lower population numbers meant that those who were able to own land were able to afford better land,</w:t>
      </w:r>
      <w:r w:rsidR="00B37583" w:rsidRPr="00E94FED">
        <w:rPr>
          <w:rFonts w:ascii="Times New Roman" w:hAnsi="Times New Roman" w:cs="Times New Roman"/>
          <w:sz w:val="24"/>
        </w:rPr>
        <w:t xml:space="preserve"> rather than having to farm the</w:t>
      </w:r>
      <w:r w:rsidRPr="00E94FED">
        <w:rPr>
          <w:rFonts w:ascii="Times New Roman" w:hAnsi="Times New Roman" w:cs="Times New Roman"/>
          <w:sz w:val="24"/>
        </w:rPr>
        <w:t xml:space="preserve"> land</w:t>
      </w:r>
      <w:r w:rsidR="00B37583" w:rsidRPr="00E94FED">
        <w:rPr>
          <w:rFonts w:ascii="Times New Roman" w:hAnsi="Times New Roman" w:cs="Times New Roman"/>
          <w:sz w:val="24"/>
        </w:rPr>
        <w:t xml:space="preserve"> that produced</w:t>
      </w:r>
      <w:r w:rsidR="00EB5B78" w:rsidRPr="00E94FED">
        <w:rPr>
          <w:rFonts w:ascii="Times New Roman" w:hAnsi="Times New Roman" w:cs="Times New Roman"/>
          <w:sz w:val="24"/>
        </w:rPr>
        <w:t xml:space="preserve"> lower yields. The land that was no longer used for food production was turned over to growing the English cloth trade. While England had been providing wool for the cloth industry in Flanders and Italy, the fourteenth century saw a development in the wool produced being made into cloth in England.</w:t>
      </w:r>
      <w:r w:rsidR="00EB5B78" w:rsidRPr="00E94FED">
        <w:rPr>
          <w:rStyle w:val="FootnoteReference"/>
          <w:rFonts w:ascii="Times New Roman" w:hAnsi="Times New Roman" w:cs="Times New Roman"/>
          <w:sz w:val="24"/>
        </w:rPr>
        <w:footnoteReference w:id="31"/>
      </w:r>
      <w:r w:rsidR="00EB5B78" w:rsidRPr="00E94FED">
        <w:rPr>
          <w:rFonts w:ascii="Times New Roman" w:hAnsi="Times New Roman" w:cs="Times New Roman"/>
          <w:sz w:val="24"/>
        </w:rPr>
        <w:t xml:space="preserve"> While this change was already developing before 1348, the sudden wealth of land and lower numbers of workers meant that there was an increase in wool production</w:t>
      </w:r>
      <w:r w:rsidR="0062048C">
        <w:rPr>
          <w:rFonts w:ascii="Times New Roman" w:hAnsi="Times New Roman" w:cs="Times New Roman"/>
          <w:sz w:val="24"/>
        </w:rPr>
        <w:t xml:space="preserve">, as it </w:t>
      </w:r>
      <w:r w:rsidR="00EB5B78" w:rsidRPr="00E94FED">
        <w:rPr>
          <w:rFonts w:ascii="Times New Roman" w:hAnsi="Times New Roman" w:cs="Times New Roman"/>
          <w:sz w:val="24"/>
        </w:rPr>
        <w:t xml:space="preserve">was the obvious choice for land owners </w:t>
      </w:r>
      <w:r w:rsidR="0062048C">
        <w:rPr>
          <w:rFonts w:ascii="Times New Roman" w:hAnsi="Times New Roman" w:cs="Times New Roman"/>
          <w:sz w:val="24"/>
        </w:rPr>
        <w:t>given that</w:t>
      </w:r>
      <w:r w:rsidR="00EB5B78" w:rsidRPr="00E94FED">
        <w:rPr>
          <w:rFonts w:ascii="Times New Roman" w:hAnsi="Times New Roman" w:cs="Times New Roman"/>
          <w:sz w:val="24"/>
        </w:rPr>
        <w:t xml:space="preserve"> sheep need relatively low </w:t>
      </w:r>
      <w:r w:rsidR="0062048C">
        <w:rPr>
          <w:rFonts w:ascii="Times New Roman" w:hAnsi="Times New Roman" w:cs="Times New Roman"/>
          <w:sz w:val="24"/>
        </w:rPr>
        <w:t xml:space="preserve">numbers </w:t>
      </w:r>
      <w:r w:rsidR="00EB5B78" w:rsidRPr="00E94FED">
        <w:rPr>
          <w:rFonts w:ascii="Times New Roman" w:hAnsi="Times New Roman" w:cs="Times New Roman"/>
          <w:sz w:val="24"/>
        </w:rPr>
        <w:t>of workers.</w:t>
      </w:r>
      <w:r w:rsidR="00EB5B78" w:rsidRPr="00E94FED">
        <w:rPr>
          <w:rStyle w:val="FootnoteReference"/>
          <w:rFonts w:ascii="Times New Roman" w:hAnsi="Times New Roman" w:cs="Times New Roman"/>
          <w:sz w:val="24"/>
        </w:rPr>
        <w:footnoteReference w:id="32"/>
      </w:r>
      <w:r w:rsidR="00EB5B78" w:rsidRPr="00E94FED">
        <w:rPr>
          <w:rFonts w:ascii="Times New Roman" w:hAnsi="Times New Roman" w:cs="Times New Roman"/>
          <w:sz w:val="24"/>
        </w:rPr>
        <w:t xml:space="preserve"> </w:t>
      </w:r>
      <w:r w:rsidRPr="00E94FED">
        <w:rPr>
          <w:rFonts w:ascii="Times New Roman" w:hAnsi="Times New Roman" w:cs="Times New Roman"/>
          <w:sz w:val="24"/>
        </w:rPr>
        <w:t xml:space="preserve">Furthermore, those peasants who wanted to were able to afford to move out of the lowest levels of the feudal system and own their own land. This movement </w:t>
      </w:r>
      <w:r w:rsidRPr="00E94FED">
        <w:rPr>
          <w:rFonts w:ascii="Times New Roman" w:hAnsi="Times New Roman" w:cs="Times New Roman"/>
          <w:sz w:val="24"/>
        </w:rPr>
        <w:lastRenderedPageBreak/>
        <w:t xml:space="preserve">towards a larger yeoman class is seen by many Marxist historians to be the beginnings of the middle class. </w:t>
      </w:r>
    </w:p>
    <w:p w14:paraId="6C62981E" w14:textId="2B459F77" w:rsidR="00CA7C8F" w:rsidRPr="00E94FED" w:rsidRDefault="005D20F6" w:rsidP="003F70F3">
      <w:pPr>
        <w:jc w:val="both"/>
        <w:rPr>
          <w:rFonts w:ascii="Times New Roman" w:hAnsi="Times New Roman" w:cs="Times New Roman"/>
          <w:sz w:val="24"/>
        </w:rPr>
      </w:pPr>
      <w:r w:rsidRPr="00E94FED">
        <w:rPr>
          <w:rFonts w:ascii="Times New Roman" w:hAnsi="Times New Roman" w:cs="Times New Roman"/>
          <w:sz w:val="24"/>
        </w:rPr>
        <w:t>The changes in society that occurred as a result of the high mortality rate of the Black Death led to a f</w:t>
      </w:r>
      <w:r w:rsidR="00A57175" w:rsidRPr="00E94FED">
        <w:rPr>
          <w:rFonts w:ascii="Times New Roman" w:hAnsi="Times New Roman" w:cs="Times New Roman"/>
          <w:sz w:val="24"/>
        </w:rPr>
        <w:t>ocus on death socially</w:t>
      </w:r>
      <w:r w:rsidRPr="00E94FED">
        <w:rPr>
          <w:rFonts w:ascii="Times New Roman" w:hAnsi="Times New Roman" w:cs="Times New Roman"/>
          <w:sz w:val="24"/>
        </w:rPr>
        <w:t xml:space="preserve"> that is displayed most clearly through the art of the medieval world. </w:t>
      </w:r>
      <w:r w:rsidR="00541623" w:rsidRPr="00E94FED">
        <w:rPr>
          <w:rFonts w:ascii="Times New Roman" w:hAnsi="Times New Roman" w:cs="Times New Roman"/>
          <w:sz w:val="24"/>
        </w:rPr>
        <w:t xml:space="preserve">The </w:t>
      </w:r>
      <w:r w:rsidR="00541623" w:rsidRPr="0062048C">
        <w:rPr>
          <w:rFonts w:ascii="Times New Roman" w:hAnsi="Times New Roman" w:cs="Times New Roman"/>
          <w:i/>
          <w:sz w:val="24"/>
        </w:rPr>
        <w:t>Danse Macabre</w:t>
      </w:r>
      <w:r w:rsidR="00541623" w:rsidRPr="00E94FED">
        <w:rPr>
          <w:rFonts w:ascii="Times New Roman" w:hAnsi="Times New Roman" w:cs="Times New Roman"/>
          <w:sz w:val="24"/>
        </w:rPr>
        <w:t xml:space="preserve">, which </w:t>
      </w:r>
      <w:r w:rsidR="0062048C">
        <w:rPr>
          <w:rFonts w:ascii="Times New Roman" w:hAnsi="Times New Roman" w:cs="Times New Roman"/>
          <w:sz w:val="24"/>
        </w:rPr>
        <w:t>historians seem to be unable to pinpoint the reason for its development</w:t>
      </w:r>
      <w:r w:rsidRPr="00E94FED">
        <w:rPr>
          <w:rFonts w:ascii="Times New Roman" w:hAnsi="Times New Roman" w:cs="Times New Roman"/>
          <w:sz w:val="24"/>
        </w:rPr>
        <w:t xml:space="preserve"> in 1424, shows this through art that displayed the developing relationship with death of medieval society.</w:t>
      </w:r>
      <w:r w:rsidR="00541623" w:rsidRPr="00E94FED">
        <w:rPr>
          <w:rStyle w:val="FootnoteReference"/>
          <w:rFonts w:ascii="Times New Roman" w:hAnsi="Times New Roman" w:cs="Times New Roman"/>
          <w:sz w:val="24"/>
        </w:rPr>
        <w:footnoteReference w:id="33"/>
      </w:r>
      <w:r w:rsidRPr="00E94FED">
        <w:rPr>
          <w:rFonts w:ascii="Times New Roman" w:hAnsi="Times New Roman" w:cs="Times New Roman"/>
          <w:sz w:val="24"/>
        </w:rPr>
        <w:t xml:space="preserve"> </w:t>
      </w:r>
      <w:r w:rsidR="00541623" w:rsidRPr="00E94FED">
        <w:rPr>
          <w:rFonts w:ascii="Times New Roman" w:hAnsi="Times New Roman" w:cs="Times New Roman"/>
          <w:sz w:val="24"/>
        </w:rPr>
        <w:t xml:space="preserve">The artistic movement however, can be traced back the thirteenth century Italy and the </w:t>
      </w:r>
      <w:r w:rsidR="00B52686" w:rsidRPr="00E94FED">
        <w:rPr>
          <w:rFonts w:ascii="Times New Roman" w:hAnsi="Times New Roman" w:cs="Times New Roman"/>
          <w:i/>
          <w:sz w:val="24"/>
        </w:rPr>
        <w:t>I</w:t>
      </w:r>
      <w:r w:rsidR="00541623" w:rsidRPr="00E94FED">
        <w:rPr>
          <w:rFonts w:ascii="Times New Roman" w:hAnsi="Times New Roman" w:cs="Times New Roman"/>
          <w:i/>
          <w:sz w:val="24"/>
        </w:rPr>
        <w:t xml:space="preserve"> </w:t>
      </w:r>
      <w:r w:rsidR="00B52686" w:rsidRPr="00E94FED">
        <w:rPr>
          <w:rFonts w:ascii="Times New Roman" w:hAnsi="Times New Roman" w:cs="Times New Roman"/>
          <w:i/>
          <w:sz w:val="24"/>
        </w:rPr>
        <w:t>T</w:t>
      </w:r>
      <w:r w:rsidR="00541623" w:rsidRPr="00E94FED">
        <w:rPr>
          <w:rFonts w:ascii="Times New Roman" w:hAnsi="Times New Roman" w:cs="Times New Roman"/>
          <w:i/>
          <w:sz w:val="24"/>
        </w:rPr>
        <w:t xml:space="preserve">re </w:t>
      </w:r>
      <w:r w:rsidR="00B52686" w:rsidRPr="00E94FED">
        <w:rPr>
          <w:rFonts w:ascii="Times New Roman" w:hAnsi="Times New Roman" w:cs="Times New Roman"/>
          <w:i/>
          <w:sz w:val="24"/>
        </w:rPr>
        <w:t>V</w:t>
      </w:r>
      <w:r w:rsidR="00541623" w:rsidRPr="00E94FED">
        <w:rPr>
          <w:rFonts w:ascii="Times New Roman" w:hAnsi="Times New Roman" w:cs="Times New Roman"/>
          <w:i/>
          <w:sz w:val="24"/>
        </w:rPr>
        <w:t xml:space="preserve">ivi e </w:t>
      </w:r>
      <w:r w:rsidR="00B52686" w:rsidRPr="00E94FED">
        <w:rPr>
          <w:rFonts w:ascii="Times New Roman" w:hAnsi="Times New Roman" w:cs="Times New Roman"/>
          <w:i/>
          <w:sz w:val="24"/>
        </w:rPr>
        <w:t>I</w:t>
      </w:r>
      <w:r w:rsidR="00541623" w:rsidRPr="00E94FED">
        <w:rPr>
          <w:rFonts w:ascii="Times New Roman" w:hAnsi="Times New Roman" w:cs="Times New Roman"/>
          <w:i/>
          <w:sz w:val="24"/>
        </w:rPr>
        <w:t xml:space="preserve"> </w:t>
      </w:r>
      <w:r w:rsidR="00B52686" w:rsidRPr="00E94FED">
        <w:rPr>
          <w:rFonts w:ascii="Times New Roman" w:hAnsi="Times New Roman" w:cs="Times New Roman"/>
          <w:i/>
          <w:sz w:val="24"/>
        </w:rPr>
        <w:t>Tre M</w:t>
      </w:r>
      <w:r w:rsidR="00541623" w:rsidRPr="00E94FED">
        <w:rPr>
          <w:rFonts w:ascii="Times New Roman" w:hAnsi="Times New Roman" w:cs="Times New Roman"/>
          <w:i/>
          <w:sz w:val="24"/>
        </w:rPr>
        <w:t xml:space="preserve">orti, </w:t>
      </w:r>
      <w:r w:rsidR="00B52686" w:rsidRPr="00E94FED">
        <w:rPr>
          <w:rFonts w:ascii="Times New Roman" w:hAnsi="Times New Roman" w:cs="Times New Roman"/>
          <w:sz w:val="24"/>
        </w:rPr>
        <w:t>or The Three Living and The Three D</w:t>
      </w:r>
      <w:r w:rsidR="00541623" w:rsidRPr="00E94FED">
        <w:rPr>
          <w:rFonts w:ascii="Times New Roman" w:hAnsi="Times New Roman" w:cs="Times New Roman"/>
          <w:sz w:val="24"/>
        </w:rPr>
        <w:t>ead, the poem which describes the encounter of three decaying corpses by three kings.</w:t>
      </w:r>
      <w:r w:rsidR="00541623" w:rsidRPr="00E94FED">
        <w:rPr>
          <w:rStyle w:val="FootnoteReference"/>
          <w:rFonts w:ascii="Times New Roman" w:hAnsi="Times New Roman" w:cs="Times New Roman"/>
          <w:sz w:val="24"/>
        </w:rPr>
        <w:footnoteReference w:id="34"/>
      </w:r>
      <w:r w:rsidR="00EB79FB" w:rsidRPr="00E94FED">
        <w:rPr>
          <w:rFonts w:ascii="Times New Roman" w:hAnsi="Times New Roman" w:cs="Times New Roman"/>
          <w:sz w:val="24"/>
        </w:rPr>
        <w:t xml:space="preserve"> The poem as well as the </w:t>
      </w:r>
      <w:r w:rsidR="00EB79FB" w:rsidRPr="0062048C">
        <w:rPr>
          <w:rFonts w:ascii="Times New Roman" w:hAnsi="Times New Roman" w:cs="Times New Roman"/>
          <w:i/>
          <w:sz w:val="24"/>
        </w:rPr>
        <w:t>Danse Macabre</w:t>
      </w:r>
      <w:r w:rsidR="00EB79FB" w:rsidRPr="00E94FED">
        <w:rPr>
          <w:rFonts w:ascii="Times New Roman" w:hAnsi="Times New Roman" w:cs="Times New Roman"/>
          <w:sz w:val="24"/>
        </w:rPr>
        <w:t xml:space="preserve"> were intended to get the secular community to </w:t>
      </w:r>
      <w:r w:rsidR="00BE7370" w:rsidRPr="00E94FED">
        <w:rPr>
          <w:rFonts w:ascii="Times New Roman" w:hAnsi="Times New Roman" w:cs="Times New Roman"/>
          <w:sz w:val="24"/>
        </w:rPr>
        <w:t>focus on death and to change their behaviour in order to be able to reach salvation at the last judgement.</w:t>
      </w:r>
      <w:r w:rsidR="00BE7370" w:rsidRPr="00E94FED">
        <w:rPr>
          <w:rStyle w:val="FootnoteReference"/>
          <w:rFonts w:ascii="Times New Roman" w:hAnsi="Times New Roman" w:cs="Times New Roman"/>
          <w:sz w:val="24"/>
        </w:rPr>
        <w:footnoteReference w:id="35"/>
      </w:r>
      <w:r w:rsidR="00EB79FB" w:rsidRPr="00E94FED">
        <w:rPr>
          <w:rFonts w:ascii="Times New Roman" w:hAnsi="Times New Roman" w:cs="Times New Roman"/>
          <w:sz w:val="24"/>
        </w:rPr>
        <w:t xml:space="preserve"> </w:t>
      </w:r>
      <w:r w:rsidR="00BE7370" w:rsidRPr="00E94FED">
        <w:rPr>
          <w:rFonts w:ascii="Times New Roman" w:hAnsi="Times New Roman" w:cs="Times New Roman"/>
          <w:sz w:val="24"/>
        </w:rPr>
        <w:t xml:space="preserve">One clear example of the intention of the </w:t>
      </w:r>
      <w:r w:rsidR="00BE7370" w:rsidRPr="0062048C">
        <w:rPr>
          <w:rFonts w:ascii="Times New Roman" w:hAnsi="Times New Roman" w:cs="Times New Roman"/>
          <w:i/>
          <w:sz w:val="24"/>
        </w:rPr>
        <w:t>Danse Macabre</w:t>
      </w:r>
      <w:r w:rsidR="00BE7370" w:rsidRPr="00E94FED">
        <w:rPr>
          <w:rFonts w:ascii="Times New Roman" w:hAnsi="Times New Roman" w:cs="Times New Roman"/>
          <w:sz w:val="24"/>
        </w:rPr>
        <w:t xml:space="preserve"> is the dance of death painted on the walls at St. Mary;s Church, Lürbeck. Although destroyed by World War Two bombing the original painting sho</w:t>
      </w:r>
      <w:r w:rsidR="00E03CD4" w:rsidRPr="00E94FED">
        <w:rPr>
          <w:rFonts w:ascii="Times New Roman" w:hAnsi="Times New Roman" w:cs="Times New Roman"/>
          <w:sz w:val="24"/>
        </w:rPr>
        <w:t>wed</w:t>
      </w:r>
      <w:r w:rsidR="00BE7370" w:rsidRPr="00E94FED">
        <w:rPr>
          <w:rFonts w:ascii="Times New Roman" w:hAnsi="Times New Roman" w:cs="Times New Roman"/>
          <w:sz w:val="24"/>
        </w:rPr>
        <w:t xml:space="preserve"> death interacting with people from all walks of life and telling them how they should have behaved in order to get into heaven.</w:t>
      </w:r>
      <w:r w:rsidR="00BE7370" w:rsidRPr="00E94FED">
        <w:rPr>
          <w:rStyle w:val="FootnoteReference"/>
          <w:rFonts w:ascii="Times New Roman" w:hAnsi="Times New Roman" w:cs="Times New Roman"/>
          <w:sz w:val="24"/>
        </w:rPr>
        <w:footnoteReference w:id="36"/>
      </w:r>
      <w:r w:rsidR="00BE7370" w:rsidRPr="00E94FED">
        <w:rPr>
          <w:rFonts w:ascii="Times New Roman" w:hAnsi="Times New Roman" w:cs="Times New Roman"/>
          <w:sz w:val="24"/>
        </w:rPr>
        <w:t xml:space="preserve"> Another way in which art developed in response to the Black Death</w:t>
      </w:r>
      <w:r w:rsidR="003F008E" w:rsidRPr="00E94FED">
        <w:rPr>
          <w:rFonts w:ascii="Times New Roman" w:hAnsi="Times New Roman" w:cs="Times New Roman"/>
          <w:sz w:val="24"/>
        </w:rPr>
        <w:t>, which can be</w:t>
      </w:r>
      <w:r w:rsidR="00122CE1" w:rsidRPr="00E94FED">
        <w:rPr>
          <w:rFonts w:ascii="Times New Roman" w:hAnsi="Times New Roman" w:cs="Times New Roman"/>
          <w:sz w:val="24"/>
        </w:rPr>
        <w:t xml:space="preserve"> clearly seen through the work of Bartolo di Fredi. Di Fredi </w:t>
      </w:r>
      <w:r w:rsidR="003F008E" w:rsidRPr="00E94FED">
        <w:rPr>
          <w:rFonts w:ascii="Times New Roman" w:hAnsi="Times New Roman" w:cs="Times New Roman"/>
          <w:sz w:val="24"/>
        </w:rPr>
        <w:t>was only 18 a</w:t>
      </w:r>
      <w:r w:rsidR="00700BF5" w:rsidRPr="00E94FED">
        <w:rPr>
          <w:rFonts w:ascii="Times New Roman" w:hAnsi="Times New Roman" w:cs="Times New Roman"/>
          <w:sz w:val="24"/>
        </w:rPr>
        <w:t>t the time the epidemic hit Sien</w:t>
      </w:r>
      <w:r w:rsidR="003F008E" w:rsidRPr="00E94FED">
        <w:rPr>
          <w:rFonts w:ascii="Times New Roman" w:hAnsi="Times New Roman" w:cs="Times New Roman"/>
          <w:sz w:val="24"/>
        </w:rPr>
        <w:t>a and so was able to benefit from the lower levels of competition in the art world</w:t>
      </w:r>
      <w:r w:rsidR="005A064D" w:rsidRPr="00E94FED">
        <w:rPr>
          <w:rFonts w:ascii="Times New Roman" w:hAnsi="Times New Roman" w:cs="Times New Roman"/>
          <w:sz w:val="24"/>
        </w:rPr>
        <w:t>.</w:t>
      </w:r>
      <w:r w:rsidR="005A064D" w:rsidRPr="00E94FED">
        <w:rPr>
          <w:rStyle w:val="FootnoteReference"/>
          <w:rFonts w:ascii="Times New Roman" w:hAnsi="Times New Roman" w:cs="Times New Roman"/>
          <w:sz w:val="24"/>
        </w:rPr>
        <w:footnoteReference w:id="37"/>
      </w:r>
      <w:r w:rsidR="00122CE1" w:rsidRPr="00E94FED">
        <w:rPr>
          <w:rFonts w:ascii="Times New Roman" w:hAnsi="Times New Roman" w:cs="Times New Roman"/>
          <w:sz w:val="24"/>
        </w:rPr>
        <w:t xml:space="preserve"> When looking at </w:t>
      </w:r>
      <w:r w:rsidR="003F008E" w:rsidRPr="00E94FED">
        <w:rPr>
          <w:rFonts w:ascii="Times New Roman" w:hAnsi="Times New Roman" w:cs="Times New Roman"/>
          <w:sz w:val="24"/>
        </w:rPr>
        <w:t>art</w:t>
      </w:r>
      <w:r w:rsidR="00122CE1" w:rsidRPr="00E94FED">
        <w:rPr>
          <w:rFonts w:ascii="Times New Roman" w:hAnsi="Times New Roman" w:cs="Times New Roman"/>
          <w:sz w:val="24"/>
        </w:rPr>
        <w:t>work from the period before the</w:t>
      </w:r>
      <w:r w:rsidR="003F008E" w:rsidRPr="00E94FED">
        <w:rPr>
          <w:rFonts w:ascii="Times New Roman" w:hAnsi="Times New Roman" w:cs="Times New Roman"/>
          <w:sz w:val="24"/>
        </w:rPr>
        <w:t xml:space="preserve"> Black Death it is clear that </w:t>
      </w:r>
      <w:r w:rsidR="00700BF5" w:rsidRPr="00E94FED">
        <w:rPr>
          <w:rFonts w:ascii="Times New Roman" w:hAnsi="Times New Roman" w:cs="Times New Roman"/>
          <w:sz w:val="24"/>
        </w:rPr>
        <w:t>artist took a more realistic tone in their painting</w:t>
      </w:r>
      <w:r w:rsidRPr="00E94FED">
        <w:rPr>
          <w:rFonts w:ascii="Times New Roman" w:hAnsi="Times New Roman" w:cs="Times New Roman"/>
          <w:sz w:val="24"/>
        </w:rPr>
        <w:t>.</w:t>
      </w:r>
      <w:r w:rsidR="005A064D" w:rsidRPr="00E94FED">
        <w:rPr>
          <w:rStyle w:val="FootnoteReference"/>
          <w:rFonts w:ascii="Times New Roman" w:hAnsi="Times New Roman" w:cs="Times New Roman"/>
          <w:sz w:val="24"/>
        </w:rPr>
        <w:footnoteReference w:id="38"/>
      </w:r>
      <w:r w:rsidRPr="00E94FED">
        <w:rPr>
          <w:rFonts w:ascii="Times New Roman" w:hAnsi="Times New Roman" w:cs="Times New Roman"/>
          <w:sz w:val="24"/>
        </w:rPr>
        <w:t xml:space="preserve"> </w:t>
      </w:r>
      <w:r w:rsidR="00700BF5" w:rsidRPr="00E94FED">
        <w:rPr>
          <w:rFonts w:ascii="Times New Roman" w:hAnsi="Times New Roman" w:cs="Times New Roman"/>
          <w:sz w:val="24"/>
        </w:rPr>
        <w:t xml:space="preserve">Duccio di Buoninsegna, painted the </w:t>
      </w:r>
      <w:r w:rsidR="00700BF5" w:rsidRPr="00E94FED">
        <w:rPr>
          <w:rFonts w:ascii="Times New Roman" w:hAnsi="Times New Roman" w:cs="Times New Roman"/>
          <w:i/>
          <w:sz w:val="24"/>
        </w:rPr>
        <w:t xml:space="preserve">Madonna and Child </w:t>
      </w:r>
      <w:r w:rsidR="00700BF5" w:rsidRPr="00E94FED">
        <w:rPr>
          <w:rFonts w:ascii="Times New Roman" w:hAnsi="Times New Roman" w:cs="Times New Roman"/>
          <w:sz w:val="24"/>
        </w:rPr>
        <w:t>altarpiece, (see appendix one) between 1290 and 1300, for the cathedral in Siena he chose to paint the Madonna holding the Child alone and on a plain background to ensure the focus was on them.</w:t>
      </w:r>
      <w:r w:rsidR="00700BF5" w:rsidRPr="00E94FED">
        <w:rPr>
          <w:rStyle w:val="FootnoteReference"/>
          <w:rFonts w:ascii="Times New Roman" w:hAnsi="Times New Roman" w:cs="Times New Roman"/>
          <w:sz w:val="24"/>
        </w:rPr>
        <w:footnoteReference w:id="39"/>
      </w:r>
      <w:r w:rsidR="00700BF5" w:rsidRPr="00E94FED">
        <w:rPr>
          <w:rFonts w:ascii="Times New Roman" w:hAnsi="Times New Roman" w:cs="Times New Roman"/>
          <w:sz w:val="24"/>
        </w:rPr>
        <w:t xml:space="preserve"> Whereas the work of Fredi, from</w:t>
      </w:r>
      <w:r w:rsidR="00122CE1" w:rsidRPr="00E94FED">
        <w:rPr>
          <w:rFonts w:ascii="Times New Roman" w:hAnsi="Times New Roman" w:cs="Times New Roman"/>
          <w:color w:val="FF0000"/>
          <w:sz w:val="24"/>
        </w:rPr>
        <w:t xml:space="preserve"> </w:t>
      </w:r>
      <w:r w:rsidR="00122CE1" w:rsidRPr="00E94FED">
        <w:rPr>
          <w:rFonts w:ascii="Times New Roman" w:hAnsi="Times New Roman" w:cs="Times New Roman"/>
          <w:sz w:val="24"/>
        </w:rPr>
        <w:t xml:space="preserve">period </w:t>
      </w:r>
      <w:r w:rsidR="00122CE1" w:rsidRPr="00E94FED">
        <w:rPr>
          <w:rFonts w:ascii="Times New Roman" w:hAnsi="Times New Roman" w:cs="Times New Roman"/>
          <w:sz w:val="24"/>
        </w:rPr>
        <w:lastRenderedPageBreak/>
        <w:t>f</w:t>
      </w:r>
      <w:r w:rsidR="00700BF5" w:rsidRPr="00E94FED">
        <w:rPr>
          <w:rFonts w:ascii="Times New Roman" w:hAnsi="Times New Roman" w:cs="Times New Roman"/>
          <w:sz w:val="24"/>
        </w:rPr>
        <w:t xml:space="preserve">ollowing the Black Death, in particular </w:t>
      </w:r>
      <w:r w:rsidR="00700BF5" w:rsidRPr="00E94FED">
        <w:rPr>
          <w:rFonts w:ascii="Times New Roman" w:hAnsi="Times New Roman" w:cs="Times New Roman"/>
          <w:i/>
          <w:sz w:val="24"/>
        </w:rPr>
        <w:t xml:space="preserve">The Adoration of Magi </w:t>
      </w:r>
      <w:r w:rsidR="00700BF5" w:rsidRPr="00E94FED">
        <w:rPr>
          <w:rFonts w:ascii="Times New Roman" w:hAnsi="Times New Roman" w:cs="Times New Roman"/>
          <w:sz w:val="24"/>
        </w:rPr>
        <w:t>(see appendix two), shows the way in which the Black Death pushed artists to focus on the act of devotion</w:t>
      </w:r>
      <w:r w:rsidR="00496412" w:rsidRPr="00E94FED">
        <w:rPr>
          <w:rFonts w:ascii="Times New Roman" w:hAnsi="Times New Roman" w:cs="Times New Roman"/>
          <w:sz w:val="24"/>
        </w:rPr>
        <w:t>.</w:t>
      </w:r>
      <w:r w:rsidR="00496412" w:rsidRPr="00E94FED">
        <w:rPr>
          <w:rStyle w:val="FootnoteReference"/>
          <w:rFonts w:ascii="Times New Roman" w:hAnsi="Times New Roman" w:cs="Times New Roman"/>
          <w:sz w:val="24"/>
        </w:rPr>
        <w:footnoteReference w:id="40"/>
      </w:r>
      <w:r w:rsidR="00496412" w:rsidRPr="00E94FED">
        <w:rPr>
          <w:rFonts w:ascii="Times New Roman" w:hAnsi="Times New Roman" w:cs="Times New Roman"/>
          <w:sz w:val="24"/>
        </w:rPr>
        <w:t xml:space="preserve"> </w:t>
      </w:r>
      <w:r w:rsidR="003F008E" w:rsidRPr="00E94FED">
        <w:rPr>
          <w:rFonts w:ascii="Times New Roman" w:hAnsi="Times New Roman" w:cs="Times New Roman"/>
          <w:sz w:val="24"/>
        </w:rPr>
        <w:t xml:space="preserve">Millard Meiss suggests that the Black Death created a clear break from the art of the earlier part of the century, which would show a higher focus on religious conservatism, as shown in di Fredi’s </w:t>
      </w:r>
      <w:r w:rsidR="003F008E" w:rsidRPr="00E94FED">
        <w:rPr>
          <w:rFonts w:ascii="Times New Roman" w:hAnsi="Times New Roman" w:cs="Times New Roman"/>
          <w:i/>
          <w:sz w:val="24"/>
        </w:rPr>
        <w:t>The Adoration of Magi</w:t>
      </w:r>
      <w:r w:rsidR="00496412" w:rsidRPr="00E94FED">
        <w:rPr>
          <w:rFonts w:ascii="Times New Roman" w:hAnsi="Times New Roman" w:cs="Times New Roman"/>
          <w:sz w:val="24"/>
        </w:rPr>
        <w:t>.</w:t>
      </w:r>
      <w:r w:rsidR="00496412" w:rsidRPr="00E94FED">
        <w:rPr>
          <w:rStyle w:val="FootnoteReference"/>
          <w:rFonts w:ascii="Times New Roman" w:hAnsi="Times New Roman" w:cs="Times New Roman"/>
          <w:sz w:val="24"/>
        </w:rPr>
        <w:footnoteReference w:id="41"/>
      </w:r>
      <w:r w:rsidR="00496412" w:rsidRPr="00E94FED">
        <w:rPr>
          <w:rFonts w:ascii="Times New Roman" w:hAnsi="Times New Roman" w:cs="Times New Roman"/>
          <w:sz w:val="24"/>
        </w:rPr>
        <w:t xml:space="preserve"> </w:t>
      </w:r>
      <w:r w:rsidR="00BE7370" w:rsidRPr="00E94FED">
        <w:rPr>
          <w:rFonts w:ascii="Times New Roman" w:hAnsi="Times New Roman" w:cs="Times New Roman"/>
          <w:sz w:val="24"/>
        </w:rPr>
        <w:t xml:space="preserve">The main reason for this development of art towards that which represents the mortality of human life is the less prudish nature of fourteenth century community about death and decay. </w:t>
      </w:r>
      <w:r w:rsidR="005A064D" w:rsidRPr="00E94FED">
        <w:rPr>
          <w:rFonts w:ascii="Times New Roman" w:hAnsi="Times New Roman" w:cs="Times New Roman"/>
          <w:sz w:val="24"/>
        </w:rPr>
        <w:t>It is impossible to remove the Black Death from being responsible for this</w:t>
      </w:r>
      <w:r w:rsidR="0062048C">
        <w:rPr>
          <w:rFonts w:ascii="Times New Roman" w:hAnsi="Times New Roman" w:cs="Times New Roman"/>
          <w:sz w:val="24"/>
        </w:rPr>
        <w:t>,</w:t>
      </w:r>
      <w:r w:rsidR="005A064D" w:rsidRPr="00E94FED">
        <w:rPr>
          <w:rFonts w:ascii="Times New Roman" w:hAnsi="Times New Roman" w:cs="Times New Roman"/>
          <w:sz w:val="24"/>
        </w:rPr>
        <w:t xml:space="preserve"> </w:t>
      </w:r>
      <w:r w:rsidR="007F4589" w:rsidRPr="00E94FED">
        <w:rPr>
          <w:rFonts w:ascii="Times New Roman" w:hAnsi="Times New Roman" w:cs="Times New Roman"/>
          <w:sz w:val="24"/>
        </w:rPr>
        <w:t xml:space="preserve">given the high death toll it caused across such a large area. </w:t>
      </w:r>
    </w:p>
    <w:p w14:paraId="1D72B3BB" w14:textId="3F90BB14" w:rsidR="00B95EA4" w:rsidRPr="00E94FED" w:rsidRDefault="00CA7C8F" w:rsidP="003F70F3">
      <w:pPr>
        <w:jc w:val="both"/>
        <w:rPr>
          <w:rFonts w:ascii="Times New Roman" w:hAnsi="Times New Roman" w:cs="Times New Roman"/>
          <w:color w:val="FF0000"/>
          <w:sz w:val="24"/>
        </w:rPr>
      </w:pPr>
      <w:r w:rsidRPr="00E94FED">
        <w:rPr>
          <w:rFonts w:ascii="Times New Roman" w:hAnsi="Times New Roman" w:cs="Times New Roman"/>
          <w:sz w:val="24"/>
        </w:rPr>
        <w:t xml:space="preserve">Society not only changed in the way it viewed death but also in the way it viewed those on the edges of society. The Jewish population had long been </w:t>
      </w:r>
      <w:r w:rsidR="00B95EA4" w:rsidRPr="00E94FED">
        <w:rPr>
          <w:rFonts w:ascii="Times New Roman" w:hAnsi="Times New Roman" w:cs="Times New Roman"/>
          <w:sz w:val="24"/>
        </w:rPr>
        <w:t>persecuted for their ability to act as Europe’</w:t>
      </w:r>
      <w:r w:rsidR="00CF572F" w:rsidRPr="00E94FED">
        <w:rPr>
          <w:rFonts w:ascii="Times New Roman" w:hAnsi="Times New Roman" w:cs="Times New Roman"/>
          <w:sz w:val="24"/>
        </w:rPr>
        <w:t>s bankers, as a result of Pope</w:t>
      </w:r>
      <w:r w:rsidR="00074767" w:rsidRPr="00E94FED">
        <w:rPr>
          <w:rFonts w:ascii="Times New Roman" w:hAnsi="Times New Roman" w:cs="Times New Roman"/>
          <w:sz w:val="24"/>
        </w:rPr>
        <w:t xml:space="preserve"> Alexander III declaring usury, or lending money at a profit, a sin as part of the Third Lateran Council and therefore leaving only those not of a Catholic faith to take on the role.</w:t>
      </w:r>
      <w:r w:rsidR="00074767" w:rsidRPr="00E94FED">
        <w:rPr>
          <w:rStyle w:val="FootnoteReference"/>
          <w:rFonts w:ascii="Times New Roman" w:hAnsi="Times New Roman" w:cs="Times New Roman"/>
          <w:sz w:val="24"/>
        </w:rPr>
        <w:footnoteReference w:id="42"/>
      </w:r>
      <w:r w:rsidR="00074767" w:rsidRPr="00E94FED">
        <w:rPr>
          <w:rFonts w:ascii="Times New Roman" w:hAnsi="Times New Roman" w:cs="Times New Roman"/>
          <w:sz w:val="24"/>
        </w:rPr>
        <w:t xml:space="preserve"> On top of this, the</w:t>
      </w:r>
      <w:r w:rsidR="00B95EA4" w:rsidRPr="00E94FED">
        <w:rPr>
          <w:rFonts w:ascii="Times New Roman" w:hAnsi="Times New Roman" w:cs="Times New Roman"/>
          <w:color w:val="FF0000"/>
          <w:sz w:val="24"/>
        </w:rPr>
        <w:t xml:space="preserve"> </w:t>
      </w:r>
      <w:r w:rsidR="00B95EA4" w:rsidRPr="00E94FED">
        <w:rPr>
          <w:rFonts w:ascii="Times New Roman" w:hAnsi="Times New Roman" w:cs="Times New Roman"/>
          <w:sz w:val="24"/>
        </w:rPr>
        <w:t>high</w:t>
      </w:r>
      <w:r w:rsidR="00074767" w:rsidRPr="00E94FED">
        <w:rPr>
          <w:rFonts w:ascii="Times New Roman" w:hAnsi="Times New Roman" w:cs="Times New Roman"/>
          <w:sz w:val="24"/>
        </w:rPr>
        <w:t>er levels of hygiene</w:t>
      </w:r>
      <w:r w:rsidR="00B95EA4" w:rsidRPr="00E94FED">
        <w:rPr>
          <w:rFonts w:ascii="Times New Roman" w:hAnsi="Times New Roman" w:cs="Times New Roman"/>
          <w:sz w:val="24"/>
        </w:rPr>
        <w:t xml:space="preserve"> of the Jewish population due to their religious culture meant that </w:t>
      </w:r>
      <w:r w:rsidR="00E03CD4" w:rsidRPr="00E94FED">
        <w:rPr>
          <w:rFonts w:ascii="Times New Roman" w:hAnsi="Times New Roman" w:cs="Times New Roman"/>
          <w:sz w:val="24"/>
        </w:rPr>
        <w:t>fewer</w:t>
      </w:r>
      <w:r w:rsidR="00B95EA4" w:rsidRPr="00E94FED">
        <w:rPr>
          <w:rFonts w:ascii="Times New Roman" w:hAnsi="Times New Roman" w:cs="Times New Roman"/>
          <w:sz w:val="24"/>
        </w:rPr>
        <w:t xml:space="preserve"> Jewish people died from the Black Death.</w:t>
      </w:r>
      <w:r w:rsidR="00074767" w:rsidRPr="00E94FED">
        <w:rPr>
          <w:rStyle w:val="FootnoteReference"/>
          <w:rFonts w:ascii="Times New Roman" w:hAnsi="Times New Roman" w:cs="Times New Roman"/>
          <w:sz w:val="24"/>
        </w:rPr>
        <w:footnoteReference w:id="43"/>
      </w:r>
      <w:r w:rsidR="00CF572F" w:rsidRPr="00E94FED">
        <w:rPr>
          <w:rFonts w:ascii="Times New Roman" w:hAnsi="Times New Roman" w:cs="Times New Roman"/>
          <w:sz w:val="24"/>
        </w:rPr>
        <w:t xml:space="preserve"> Given that even Pope Clement VI had hidden himself away from public view in Avignon, although he did pay doctors to treat the poor and ensured there were consecrated burial pits for the dead, Christians were left without a leader t</w:t>
      </w:r>
      <w:r w:rsidR="00807493" w:rsidRPr="00E94FED">
        <w:rPr>
          <w:rFonts w:ascii="Times New Roman" w:hAnsi="Times New Roman" w:cs="Times New Roman"/>
          <w:sz w:val="24"/>
        </w:rPr>
        <w:t>o ensure that they acted in a Christian manner</w:t>
      </w:r>
      <w:r w:rsidR="00CF572F" w:rsidRPr="00E94FED">
        <w:rPr>
          <w:rFonts w:ascii="Times New Roman" w:hAnsi="Times New Roman" w:cs="Times New Roman"/>
          <w:sz w:val="24"/>
        </w:rPr>
        <w:t>.</w:t>
      </w:r>
      <w:r w:rsidR="00CF572F" w:rsidRPr="00E94FED">
        <w:rPr>
          <w:rStyle w:val="FootnoteReference"/>
          <w:rFonts w:ascii="Times New Roman" w:hAnsi="Times New Roman" w:cs="Times New Roman"/>
          <w:sz w:val="24"/>
        </w:rPr>
        <w:footnoteReference w:id="44"/>
      </w:r>
      <w:r w:rsidR="00B95EA4" w:rsidRPr="00E94FED">
        <w:rPr>
          <w:rFonts w:ascii="Times New Roman" w:hAnsi="Times New Roman" w:cs="Times New Roman"/>
          <w:sz w:val="24"/>
        </w:rPr>
        <w:t xml:space="preserve"> The result of this was the Christian population looking to the Jewish population as someone to blame for the Black Death. </w:t>
      </w:r>
      <w:r w:rsidR="00074767" w:rsidRPr="00E94FED">
        <w:rPr>
          <w:rFonts w:ascii="Times New Roman" w:hAnsi="Times New Roman" w:cs="Times New Roman"/>
          <w:sz w:val="24"/>
        </w:rPr>
        <w:t>In Switzerland, Count Amadeus VI of Savoy ordered the arrest and torture of a number of Jews who ‘naturally confessed anything their inquisitors suggested’ and as such incriminated other Jewish populations.</w:t>
      </w:r>
      <w:r w:rsidR="00074767" w:rsidRPr="00E94FED">
        <w:rPr>
          <w:rStyle w:val="FootnoteReference"/>
          <w:rFonts w:ascii="Times New Roman" w:hAnsi="Times New Roman" w:cs="Times New Roman"/>
          <w:sz w:val="24"/>
        </w:rPr>
        <w:footnoteReference w:id="45"/>
      </w:r>
      <w:r w:rsidR="00074767" w:rsidRPr="00E94FED">
        <w:rPr>
          <w:rFonts w:ascii="Times New Roman" w:hAnsi="Times New Roman" w:cs="Times New Roman"/>
          <w:color w:val="FF0000"/>
          <w:sz w:val="24"/>
        </w:rPr>
        <w:t xml:space="preserve"> </w:t>
      </w:r>
      <w:r w:rsidR="005C452A" w:rsidRPr="00E94FED">
        <w:rPr>
          <w:rFonts w:ascii="Times New Roman" w:hAnsi="Times New Roman" w:cs="Times New Roman"/>
          <w:sz w:val="24"/>
        </w:rPr>
        <w:t xml:space="preserve">As the Confession of Agimet of Geneva </w:t>
      </w:r>
      <w:r w:rsidR="00101AC5" w:rsidRPr="00E94FED">
        <w:rPr>
          <w:rFonts w:ascii="Times New Roman" w:hAnsi="Times New Roman" w:cs="Times New Roman"/>
          <w:sz w:val="24"/>
        </w:rPr>
        <w:t>states the Jewish population were accused of, and confessed to, distributing poison into the water systems</w:t>
      </w:r>
      <w:r w:rsidR="0062048C">
        <w:rPr>
          <w:rFonts w:ascii="Times New Roman" w:hAnsi="Times New Roman" w:cs="Times New Roman"/>
          <w:sz w:val="24"/>
        </w:rPr>
        <w:t>,</w:t>
      </w:r>
      <w:r w:rsidR="00101AC5" w:rsidRPr="00E94FED">
        <w:rPr>
          <w:rFonts w:ascii="Times New Roman" w:hAnsi="Times New Roman" w:cs="Times New Roman"/>
          <w:sz w:val="24"/>
        </w:rPr>
        <w:t xml:space="preserve"> ‘in order to poison the people who use the water’.</w:t>
      </w:r>
      <w:r w:rsidR="00101AC5" w:rsidRPr="00E94FED">
        <w:rPr>
          <w:rStyle w:val="FootnoteReference"/>
          <w:rFonts w:ascii="Times New Roman" w:hAnsi="Times New Roman" w:cs="Times New Roman"/>
          <w:sz w:val="24"/>
        </w:rPr>
        <w:footnoteReference w:id="46"/>
      </w:r>
      <w:r w:rsidR="00101AC5" w:rsidRPr="00E94FED">
        <w:rPr>
          <w:rFonts w:ascii="Times New Roman" w:hAnsi="Times New Roman" w:cs="Times New Roman"/>
          <w:sz w:val="24"/>
        </w:rPr>
        <w:t xml:space="preserve"> Confessions similar to this across Europe led to many Jews being burnt or ‘caught by </w:t>
      </w:r>
      <w:r w:rsidR="00101AC5" w:rsidRPr="00E94FED">
        <w:rPr>
          <w:rFonts w:ascii="Times New Roman" w:hAnsi="Times New Roman" w:cs="Times New Roman"/>
          <w:sz w:val="24"/>
        </w:rPr>
        <w:lastRenderedPageBreak/>
        <w:t>peasants and stabbed or drowned’</w:t>
      </w:r>
      <w:r w:rsidR="0062048C">
        <w:rPr>
          <w:rFonts w:ascii="Times New Roman" w:hAnsi="Times New Roman" w:cs="Times New Roman"/>
          <w:sz w:val="24"/>
        </w:rPr>
        <w:t>,</w:t>
      </w:r>
      <w:r w:rsidR="00101AC5" w:rsidRPr="00E94FED">
        <w:rPr>
          <w:rFonts w:ascii="Times New Roman" w:hAnsi="Times New Roman" w:cs="Times New Roman"/>
          <w:sz w:val="24"/>
        </w:rPr>
        <w:t xml:space="preserve"> in order to stop the spread of the Black Death, or so they thought.</w:t>
      </w:r>
      <w:r w:rsidR="00101AC5" w:rsidRPr="00E94FED">
        <w:rPr>
          <w:rStyle w:val="FootnoteReference"/>
          <w:rFonts w:ascii="Times New Roman" w:hAnsi="Times New Roman" w:cs="Times New Roman"/>
          <w:sz w:val="24"/>
        </w:rPr>
        <w:footnoteReference w:id="47"/>
      </w:r>
      <w:r w:rsidR="00101AC5" w:rsidRPr="00E94FED">
        <w:rPr>
          <w:rFonts w:ascii="Times New Roman" w:hAnsi="Times New Roman" w:cs="Times New Roman"/>
          <w:sz w:val="24"/>
        </w:rPr>
        <w:t xml:space="preserve"> </w:t>
      </w:r>
      <w:r w:rsidR="00B95EA4" w:rsidRPr="00E94FED">
        <w:rPr>
          <w:rFonts w:ascii="Times New Roman" w:hAnsi="Times New Roman" w:cs="Times New Roman"/>
          <w:sz w:val="24"/>
        </w:rPr>
        <w:t>The Jewish population were not the only ones blamed for the arrival of the plague</w:t>
      </w:r>
      <w:r w:rsidR="00E03CD4" w:rsidRPr="00E94FED">
        <w:rPr>
          <w:rFonts w:ascii="Times New Roman" w:hAnsi="Times New Roman" w:cs="Times New Roman"/>
          <w:sz w:val="24"/>
        </w:rPr>
        <w:t>:</w:t>
      </w:r>
      <w:r w:rsidR="00B95EA4" w:rsidRPr="00E94FED">
        <w:rPr>
          <w:rFonts w:ascii="Times New Roman" w:hAnsi="Times New Roman" w:cs="Times New Roman"/>
          <w:sz w:val="24"/>
        </w:rPr>
        <w:t xml:space="preserve"> f</w:t>
      </w:r>
      <w:r w:rsidR="00E03CD4" w:rsidRPr="00E94FED">
        <w:rPr>
          <w:rFonts w:ascii="Times New Roman" w:hAnsi="Times New Roman" w:cs="Times New Roman"/>
          <w:sz w:val="24"/>
        </w:rPr>
        <w:t>riar</w:t>
      </w:r>
      <w:r w:rsidR="00122EC6" w:rsidRPr="00E94FED">
        <w:rPr>
          <w:rFonts w:ascii="Times New Roman" w:hAnsi="Times New Roman" w:cs="Times New Roman"/>
          <w:sz w:val="24"/>
        </w:rPr>
        <w:t>s, foreigners, b</w:t>
      </w:r>
      <w:r w:rsidR="00E03CD4" w:rsidRPr="00E94FED">
        <w:rPr>
          <w:rFonts w:ascii="Times New Roman" w:hAnsi="Times New Roman" w:cs="Times New Roman"/>
          <w:sz w:val="24"/>
        </w:rPr>
        <w:t>egga</w:t>
      </w:r>
      <w:r w:rsidR="00122EC6" w:rsidRPr="00E94FED">
        <w:rPr>
          <w:rFonts w:ascii="Times New Roman" w:hAnsi="Times New Roman" w:cs="Times New Roman"/>
          <w:sz w:val="24"/>
        </w:rPr>
        <w:t>rs, pilgrims</w:t>
      </w:r>
      <w:r w:rsidR="00B95EA4" w:rsidRPr="00E94FED">
        <w:rPr>
          <w:rFonts w:ascii="Times New Roman" w:hAnsi="Times New Roman" w:cs="Times New Roman"/>
          <w:sz w:val="24"/>
        </w:rPr>
        <w:t xml:space="preserve"> and lepers were all subject to blame and acts of persecution as a result</w:t>
      </w:r>
      <w:r w:rsidR="00122EC6" w:rsidRPr="00E94FED">
        <w:rPr>
          <w:rFonts w:ascii="Times New Roman" w:hAnsi="Times New Roman" w:cs="Times New Roman"/>
          <w:sz w:val="24"/>
        </w:rPr>
        <w:t xml:space="preserve">. </w:t>
      </w:r>
      <w:r w:rsidR="00101AC5" w:rsidRPr="00E94FED">
        <w:rPr>
          <w:rFonts w:ascii="Times New Roman" w:hAnsi="Times New Roman" w:cs="Times New Roman"/>
          <w:sz w:val="24"/>
        </w:rPr>
        <w:t xml:space="preserve">Clearly, the hysteria </w:t>
      </w:r>
      <w:r w:rsidR="00B95EA4" w:rsidRPr="00E94FED">
        <w:rPr>
          <w:rFonts w:ascii="Times New Roman" w:hAnsi="Times New Roman" w:cs="Times New Roman"/>
          <w:sz w:val="24"/>
        </w:rPr>
        <w:t xml:space="preserve">about the cause of the Black Death did nothing for society other than create a division that would turn out to be irreversible. </w:t>
      </w:r>
      <w:r w:rsidR="00101AC5" w:rsidRPr="00E94FED">
        <w:rPr>
          <w:rFonts w:ascii="Times New Roman" w:hAnsi="Times New Roman" w:cs="Times New Roman"/>
          <w:sz w:val="24"/>
        </w:rPr>
        <w:t xml:space="preserve">The Black Death, therefore, can be seen to be directly responsible for </w:t>
      </w:r>
      <w:r w:rsidR="00807493" w:rsidRPr="00E94FED">
        <w:rPr>
          <w:rFonts w:ascii="Times New Roman" w:hAnsi="Times New Roman" w:cs="Times New Roman"/>
          <w:sz w:val="24"/>
        </w:rPr>
        <w:t>increasing the</w:t>
      </w:r>
      <w:r w:rsidR="00101AC5" w:rsidRPr="00E94FED">
        <w:rPr>
          <w:rFonts w:ascii="Times New Roman" w:hAnsi="Times New Roman" w:cs="Times New Roman"/>
          <w:sz w:val="24"/>
        </w:rPr>
        <w:t xml:space="preserve"> acts of persecution that were aimed at the Jewish population, such as Martin Luther’s condemnation of them in 1543, which would lead all the way through to the genocide of the Jews by Hitler in World War Two.</w:t>
      </w:r>
      <w:r w:rsidR="00101AC5" w:rsidRPr="00E94FED">
        <w:rPr>
          <w:rStyle w:val="FootnoteReference"/>
          <w:rFonts w:ascii="Times New Roman" w:hAnsi="Times New Roman" w:cs="Times New Roman"/>
          <w:sz w:val="24"/>
        </w:rPr>
        <w:footnoteReference w:id="48"/>
      </w:r>
    </w:p>
    <w:p w14:paraId="5465D816" w14:textId="0810492E" w:rsidR="009965C8" w:rsidRDefault="00662743" w:rsidP="003F70F3">
      <w:pPr>
        <w:jc w:val="both"/>
        <w:rPr>
          <w:rFonts w:ascii="Times New Roman" w:hAnsi="Times New Roman" w:cs="Times New Roman"/>
          <w:sz w:val="24"/>
        </w:rPr>
      </w:pPr>
      <w:r w:rsidRPr="00E94FED">
        <w:rPr>
          <w:rFonts w:ascii="Times New Roman" w:hAnsi="Times New Roman" w:cs="Times New Roman"/>
          <w:sz w:val="24"/>
        </w:rPr>
        <w:t>The Black Death therefore, has to be seen as having a large effect on medieval religion and culture as it proved to be a t</w:t>
      </w:r>
      <w:r w:rsidR="00122EC6" w:rsidRPr="00E94FED">
        <w:rPr>
          <w:rFonts w:ascii="Times New Roman" w:hAnsi="Times New Roman" w:cs="Times New Roman"/>
          <w:sz w:val="24"/>
        </w:rPr>
        <w:t>urning point</w:t>
      </w:r>
      <w:r w:rsidRPr="00E94FED">
        <w:rPr>
          <w:rFonts w:ascii="Times New Roman" w:hAnsi="Times New Roman" w:cs="Times New Roman"/>
          <w:sz w:val="24"/>
        </w:rPr>
        <w:t xml:space="preserve"> for a number of key features of the medieval world. Without a doubt, the most significant change to come about as a result of the Black Death killing off a third of the population was the end to feudalism. Although, this did not occur immediately after the plague, the events caused by the plague, the Statute of Labourers and Peasant’s Revolt, put in motion the social changes that would eventually lead to the development of the class system. On top of this the new focus on death both socially and religiously </w:t>
      </w:r>
      <w:r w:rsidR="00313E7A" w:rsidRPr="00E94FED">
        <w:rPr>
          <w:rFonts w:ascii="Times New Roman" w:hAnsi="Times New Roman" w:cs="Times New Roman"/>
          <w:sz w:val="24"/>
        </w:rPr>
        <w:t>made society more religiously superstitious, in that they became hysterically anti-Jewish during and immediately after the epidemic. However, the Black Death cannot be seen to have had as big an effect on the medieval world as first thought. Wages and living standards were already on the rise, with living standards being in fact lowered by the plague making it harder to ensure a good diet due to food shortages as there w</w:t>
      </w:r>
      <w:r w:rsidR="0062048C">
        <w:rPr>
          <w:rFonts w:ascii="Times New Roman" w:hAnsi="Times New Roman" w:cs="Times New Roman"/>
          <w:sz w:val="24"/>
        </w:rPr>
        <w:t>ere not</w:t>
      </w:r>
      <w:r w:rsidR="00313E7A" w:rsidRPr="00E94FED">
        <w:rPr>
          <w:rFonts w:ascii="Times New Roman" w:hAnsi="Times New Roman" w:cs="Times New Roman"/>
          <w:sz w:val="24"/>
        </w:rPr>
        <w:t xml:space="preserve"> the worke</w:t>
      </w:r>
      <w:r w:rsidR="0062048C">
        <w:rPr>
          <w:rFonts w:ascii="Times New Roman" w:hAnsi="Times New Roman" w:cs="Times New Roman"/>
          <w:sz w:val="24"/>
        </w:rPr>
        <w:t xml:space="preserve">rs </w:t>
      </w:r>
      <w:r w:rsidR="00313E7A" w:rsidRPr="00E94FED">
        <w:rPr>
          <w:rFonts w:ascii="Times New Roman" w:hAnsi="Times New Roman" w:cs="Times New Roman"/>
          <w:sz w:val="24"/>
        </w:rPr>
        <w:t>to farm them.  The world was already changing and so</w:t>
      </w:r>
      <w:r w:rsidR="00E03CD4" w:rsidRPr="00E94FED">
        <w:rPr>
          <w:rFonts w:ascii="Times New Roman" w:hAnsi="Times New Roman" w:cs="Times New Roman"/>
          <w:sz w:val="24"/>
        </w:rPr>
        <w:t>,</w:t>
      </w:r>
      <w:r w:rsidR="00313E7A" w:rsidRPr="00E94FED">
        <w:rPr>
          <w:rFonts w:ascii="Times New Roman" w:hAnsi="Times New Roman" w:cs="Times New Roman"/>
          <w:sz w:val="24"/>
        </w:rPr>
        <w:t xml:space="preserve"> as Coulton points out</w:t>
      </w:r>
      <w:r w:rsidR="00E03CD4" w:rsidRPr="00E94FED">
        <w:rPr>
          <w:rFonts w:ascii="Times New Roman" w:hAnsi="Times New Roman" w:cs="Times New Roman"/>
          <w:sz w:val="24"/>
        </w:rPr>
        <w:t>,</w:t>
      </w:r>
      <w:r w:rsidR="00313E7A" w:rsidRPr="00E94FED">
        <w:rPr>
          <w:rFonts w:ascii="Times New Roman" w:hAnsi="Times New Roman" w:cs="Times New Roman"/>
          <w:sz w:val="24"/>
        </w:rPr>
        <w:t xml:space="preserve"> ‘the plague shook, and even shattered, many things which were already decaying or unstable’, meaning its influence was in fact limited to being the trigger to the changes that would occur.</w:t>
      </w:r>
      <w:r w:rsidR="00313E7A" w:rsidRPr="00E94FED">
        <w:rPr>
          <w:rStyle w:val="FootnoteReference"/>
          <w:rFonts w:ascii="Times New Roman" w:hAnsi="Times New Roman" w:cs="Times New Roman"/>
          <w:sz w:val="24"/>
        </w:rPr>
        <w:footnoteReference w:id="49"/>
      </w:r>
    </w:p>
    <w:p w14:paraId="2769D7B8" w14:textId="77777777" w:rsidR="00412C54" w:rsidRDefault="00412C54" w:rsidP="003F70F3">
      <w:pPr>
        <w:jc w:val="both"/>
        <w:rPr>
          <w:rFonts w:ascii="Times New Roman" w:hAnsi="Times New Roman" w:cs="Times New Roman"/>
          <w:sz w:val="24"/>
        </w:rPr>
      </w:pPr>
    </w:p>
    <w:p w14:paraId="781E5CE8" w14:textId="77777777" w:rsidR="003F70F3" w:rsidRDefault="003F70F3" w:rsidP="003F70F3">
      <w:pPr>
        <w:jc w:val="both"/>
        <w:rPr>
          <w:rFonts w:ascii="Times New Roman" w:hAnsi="Times New Roman" w:cs="Times New Roman"/>
          <w:sz w:val="24"/>
        </w:rPr>
      </w:pPr>
    </w:p>
    <w:p w14:paraId="3FDF2B3D" w14:textId="77777777" w:rsidR="003F70F3" w:rsidRDefault="003F70F3" w:rsidP="003F70F3">
      <w:pPr>
        <w:jc w:val="both"/>
        <w:rPr>
          <w:rFonts w:ascii="Times New Roman" w:hAnsi="Times New Roman" w:cs="Times New Roman"/>
          <w:sz w:val="24"/>
        </w:rPr>
      </w:pPr>
    </w:p>
    <w:p w14:paraId="6F8A9FD8" w14:textId="77777777" w:rsidR="003F70F3" w:rsidRPr="00E94FED" w:rsidRDefault="003F70F3" w:rsidP="003F70F3">
      <w:pPr>
        <w:jc w:val="both"/>
        <w:rPr>
          <w:rFonts w:ascii="Times New Roman" w:hAnsi="Times New Roman" w:cs="Times New Roman"/>
          <w:sz w:val="24"/>
        </w:rPr>
      </w:pPr>
    </w:p>
    <w:p w14:paraId="7CF4B61D" w14:textId="119FDE16" w:rsidR="00700BF5" w:rsidRPr="00E94FED" w:rsidRDefault="00700BF5" w:rsidP="00313E7A">
      <w:pPr>
        <w:rPr>
          <w:rFonts w:ascii="Times New Roman" w:hAnsi="Times New Roman" w:cs="Times New Roman"/>
          <w:b/>
          <w:sz w:val="24"/>
          <w:u w:val="single"/>
        </w:rPr>
      </w:pPr>
      <w:r w:rsidRPr="00E94FED">
        <w:rPr>
          <w:rFonts w:ascii="Times New Roman" w:hAnsi="Times New Roman" w:cs="Times New Roman"/>
          <w:b/>
          <w:sz w:val="24"/>
          <w:u w:val="single"/>
        </w:rPr>
        <w:lastRenderedPageBreak/>
        <w:t xml:space="preserve">Appendices </w:t>
      </w:r>
    </w:p>
    <w:p w14:paraId="52FB66B4" w14:textId="501C93CA" w:rsidR="00700BF5" w:rsidRDefault="00700BF5" w:rsidP="00313E7A">
      <w:pPr>
        <w:rPr>
          <w:rFonts w:ascii="Times New Roman" w:hAnsi="Times New Roman" w:cs="Times New Roman"/>
          <w:sz w:val="24"/>
        </w:rPr>
      </w:pPr>
      <w:r w:rsidRPr="00E94FED">
        <w:rPr>
          <w:rFonts w:ascii="Times New Roman" w:hAnsi="Times New Roman" w:cs="Times New Roman"/>
          <w:sz w:val="24"/>
        </w:rPr>
        <w:t xml:space="preserve">Appendix one </w:t>
      </w:r>
    </w:p>
    <w:p w14:paraId="0204BF44" w14:textId="52EF5B03" w:rsidR="00E94FED" w:rsidRPr="00E94FED" w:rsidRDefault="00E94FED" w:rsidP="00313E7A">
      <w:pPr>
        <w:rPr>
          <w:rFonts w:ascii="Times New Roman" w:hAnsi="Times New Roman" w:cs="Times New Roman"/>
          <w:sz w:val="24"/>
        </w:rPr>
      </w:pPr>
      <w:r>
        <w:rPr>
          <w:rFonts w:ascii="Times New Roman" w:hAnsi="Times New Roman" w:cs="Times New Roman"/>
          <w:sz w:val="24"/>
        </w:rPr>
        <w:t xml:space="preserve">Madonna and Child, Duccio di Buoninsegna, c.1290-1300. Image available at </w:t>
      </w:r>
      <w:r w:rsidRPr="00E94FED">
        <w:rPr>
          <w:rFonts w:ascii="Times New Roman" w:hAnsi="Times New Roman" w:cs="Times New Roman"/>
          <w:sz w:val="24"/>
        </w:rPr>
        <w:t>The Met Museum, ‘Madonna and Child’,</w:t>
      </w:r>
      <w:r w:rsidRPr="00E94FED">
        <w:rPr>
          <w:rFonts w:ascii="Times New Roman" w:hAnsi="Times New Roman" w:cs="Times New Roman"/>
          <w:i/>
          <w:sz w:val="24"/>
        </w:rPr>
        <w:t xml:space="preserve"> The Met Museum </w:t>
      </w:r>
      <w:r w:rsidRPr="00E94FED">
        <w:rPr>
          <w:rFonts w:ascii="Times New Roman" w:hAnsi="Times New Roman" w:cs="Times New Roman"/>
          <w:sz w:val="24"/>
        </w:rPr>
        <w:t xml:space="preserve">(New York: The Met Museum, 2017) Available at </w:t>
      </w:r>
      <w:hyperlink r:id="rId8" w:history="1">
        <w:r w:rsidRPr="00E94FED">
          <w:rPr>
            <w:rStyle w:val="Hyperlink"/>
            <w:rFonts w:ascii="Times New Roman" w:hAnsi="Times New Roman" w:cs="Times New Roman"/>
            <w:sz w:val="24"/>
          </w:rPr>
          <w:t>https://www.metmuseum.org/toah/works-of-art/2004.442/</w:t>
        </w:r>
      </w:hyperlink>
      <w:r w:rsidRPr="00E94FED">
        <w:rPr>
          <w:rFonts w:ascii="Times New Roman" w:hAnsi="Times New Roman" w:cs="Times New Roman"/>
          <w:sz w:val="24"/>
        </w:rPr>
        <w:t xml:space="preserve"> [accessed 14/12/2017].</w:t>
      </w:r>
    </w:p>
    <w:p w14:paraId="3D17AB8A" w14:textId="56CC1392" w:rsidR="00700BF5" w:rsidRPr="00E94FED" w:rsidRDefault="00700BF5" w:rsidP="00313E7A">
      <w:pPr>
        <w:rPr>
          <w:rFonts w:ascii="Times New Roman" w:hAnsi="Times New Roman" w:cs="Times New Roman"/>
          <w:color w:val="FF0000"/>
          <w:sz w:val="24"/>
        </w:rPr>
      </w:pPr>
      <w:r w:rsidRPr="00E94FED">
        <w:rPr>
          <w:rFonts w:ascii="Times New Roman" w:hAnsi="Times New Roman" w:cs="Times New Roman"/>
          <w:noProof/>
          <w:sz w:val="24"/>
          <w:lang w:eastAsia="en-GB"/>
        </w:rPr>
        <w:drawing>
          <wp:inline distT="0" distB="0" distL="0" distR="0" wp14:anchorId="46FAFAB5" wp14:editId="37185846">
            <wp:extent cx="1933219" cy="2495550"/>
            <wp:effectExtent l="0" t="0" r="0" b="0"/>
            <wp:docPr id="1" name="Picture 1" descr="Madonna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donna and Chil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42714" cy="2507807"/>
                    </a:xfrm>
                    <a:prstGeom prst="rect">
                      <a:avLst/>
                    </a:prstGeom>
                    <a:noFill/>
                    <a:ln>
                      <a:noFill/>
                    </a:ln>
                  </pic:spPr>
                </pic:pic>
              </a:graphicData>
            </a:graphic>
          </wp:inline>
        </w:drawing>
      </w:r>
    </w:p>
    <w:p w14:paraId="5D95E277" w14:textId="5A1DCEEA" w:rsidR="003A1DDA" w:rsidRDefault="003A1DDA" w:rsidP="00313E7A">
      <w:pPr>
        <w:rPr>
          <w:rFonts w:ascii="Times New Roman" w:hAnsi="Times New Roman" w:cs="Times New Roman"/>
          <w:sz w:val="24"/>
        </w:rPr>
      </w:pPr>
      <w:r w:rsidRPr="00E94FED">
        <w:rPr>
          <w:rFonts w:ascii="Times New Roman" w:hAnsi="Times New Roman" w:cs="Times New Roman"/>
          <w:sz w:val="24"/>
        </w:rPr>
        <w:t xml:space="preserve">Appendix two </w:t>
      </w:r>
    </w:p>
    <w:p w14:paraId="3BFF34E5" w14:textId="59828A8F" w:rsidR="00E94FED" w:rsidRPr="00E94FED" w:rsidRDefault="00E94FED" w:rsidP="00313E7A">
      <w:pPr>
        <w:rPr>
          <w:rFonts w:ascii="Times New Roman" w:hAnsi="Times New Roman" w:cs="Times New Roman"/>
          <w:sz w:val="24"/>
        </w:rPr>
      </w:pPr>
      <w:r>
        <w:rPr>
          <w:rFonts w:ascii="Times New Roman" w:hAnsi="Times New Roman" w:cs="Times New Roman"/>
          <w:sz w:val="24"/>
        </w:rPr>
        <w:t xml:space="preserve">‘The Adoration of Magi’, Bartolo di Fredi, c.1358-88. Image available at </w:t>
      </w:r>
      <w:r w:rsidRPr="00E94FED">
        <w:rPr>
          <w:rFonts w:ascii="Times New Roman" w:hAnsi="Times New Roman" w:cs="Times New Roman"/>
          <w:sz w:val="24"/>
          <w:szCs w:val="24"/>
        </w:rPr>
        <w:t xml:space="preserve">E. Krén and D. Marx, ‘The Adoration of Magi’, </w:t>
      </w:r>
      <w:r w:rsidRPr="00E94FED">
        <w:rPr>
          <w:rFonts w:ascii="Times New Roman" w:hAnsi="Times New Roman" w:cs="Times New Roman"/>
          <w:i/>
          <w:sz w:val="24"/>
          <w:szCs w:val="24"/>
        </w:rPr>
        <w:t xml:space="preserve">Web Gallery of Art </w:t>
      </w:r>
      <w:r w:rsidRPr="00E94FED">
        <w:rPr>
          <w:rFonts w:ascii="Times New Roman" w:hAnsi="Times New Roman" w:cs="Times New Roman"/>
          <w:sz w:val="24"/>
          <w:szCs w:val="24"/>
        </w:rPr>
        <w:t xml:space="preserve">(Budapest: Web Gallery of Art, 2017). Available at </w:t>
      </w:r>
      <w:hyperlink r:id="rId10" w:history="1">
        <w:r w:rsidRPr="00E94FED">
          <w:rPr>
            <w:rStyle w:val="Hyperlink"/>
            <w:rFonts w:ascii="Times New Roman" w:hAnsi="Times New Roman" w:cs="Times New Roman"/>
            <w:sz w:val="24"/>
            <w:szCs w:val="24"/>
          </w:rPr>
          <w:t>https://www.wga.hu/frames-e.html?/html/b/bartolo/index.html</w:t>
        </w:r>
      </w:hyperlink>
      <w:r w:rsidRPr="00E94FED">
        <w:rPr>
          <w:rFonts w:ascii="Times New Roman" w:hAnsi="Times New Roman" w:cs="Times New Roman"/>
          <w:sz w:val="24"/>
          <w:szCs w:val="24"/>
        </w:rPr>
        <w:t xml:space="preserve">  [accessed 14/12/2017].</w:t>
      </w:r>
    </w:p>
    <w:p w14:paraId="3005FEEE" w14:textId="77777777" w:rsidR="00412C54" w:rsidRDefault="003A1DDA" w:rsidP="00313E7A">
      <w:pPr>
        <w:rPr>
          <w:rFonts w:ascii="Times New Roman" w:hAnsi="Times New Roman" w:cs="Times New Roman"/>
          <w:sz w:val="24"/>
        </w:rPr>
      </w:pPr>
      <w:r w:rsidRPr="00E94FED">
        <w:rPr>
          <w:rFonts w:ascii="Times New Roman" w:hAnsi="Times New Roman" w:cs="Times New Roman"/>
          <w:noProof/>
          <w:sz w:val="24"/>
          <w:lang w:eastAsia="en-GB"/>
        </w:rPr>
        <w:drawing>
          <wp:inline distT="0" distB="0" distL="0" distR="0" wp14:anchorId="44EE36C9" wp14:editId="5CE245D9">
            <wp:extent cx="2326822" cy="2743200"/>
            <wp:effectExtent l="0" t="0" r="0" b="0"/>
            <wp:docPr id="2" name="Picture 2" descr="https://www.wga.hu/art/b/bartolo/adorati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wga.hu/art/b/bartolo/adorati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37503" cy="2755793"/>
                    </a:xfrm>
                    <a:prstGeom prst="rect">
                      <a:avLst/>
                    </a:prstGeom>
                    <a:noFill/>
                    <a:ln>
                      <a:noFill/>
                    </a:ln>
                  </pic:spPr>
                </pic:pic>
              </a:graphicData>
            </a:graphic>
          </wp:inline>
        </w:drawing>
      </w:r>
    </w:p>
    <w:p w14:paraId="784785F9" w14:textId="7111AD86" w:rsidR="003A1DDA" w:rsidRPr="00412C54" w:rsidRDefault="003A1DDA" w:rsidP="00313E7A">
      <w:pPr>
        <w:rPr>
          <w:rFonts w:ascii="Times New Roman" w:hAnsi="Times New Roman" w:cs="Times New Roman"/>
          <w:sz w:val="24"/>
        </w:rPr>
      </w:pPr>
      <w:r w:rsidRPr="00E94FED">
        <w:rPr>
          <w:rFonts w:ascii="Times New Roman" w:hAnsi="Times New Roman" w:cs="Times New Roman"/>
          <w:b/>
          <w:sz w:val="24"/>
          <w:u w:val="single"/>
        </w:rPr>
        <w:lastRenderedPageBreak/>
        <w:t xml:space="preserve">Bibliography </w:t>
      </w:r>
    </w:p>
    <w:p w14:paraId="4D829573" w14:textId="47F302CE" w:rsidR="00F2710D" w:rsidRPr="00E94FED" w:rsidRDefault="00F2710D" w:rsidP="00313E7A">
      <w:pPr>
        <w:rPr>
          <w:rFonts w:ascii="Times New Roman" w:hAnsi="Times New Roman" w:cs="Times New Roman"/>
          <w:b/>
          <w:sz w:val="24"/>
          <w:u w:val="single"/>
        </w:rPr>
      </w:pPr>
      <w:r w:rsidRPr="00E94FED">
        <w:rPr>
          <w:rFonts w:ascii="Times New Roman" w:hAnsi="Times New Roman" w:cs="Times New Roman"/>
          <w:sz w:val="24"/>
        </w:rPr>
        <w:t xml:space="preserve">Bean, J.M.W., ‘The Black Death: the crisis and its Social and Economic Consequences’, in </w:t>
      </w:r>
      <w:r w:rsidRPr="00E94FED">
        <w:rPr>
          <w:rFonts w:ascii="Times New Roman" w:hAnsi="Times New Roman" w:cs="Times New Roman"/>
          <w:i/>
          <w:sz w:val="24"/>
        </w:rPr>
        <w:t xml:space="preserve">The Black Death: the impact of the fourteenth century plague; papers of the Eleventh Annual Conference of the Center for Medieval and Early Renaissance Studies, </w:t>
      </w:r>
      <w:r w:rsidRPr="00E94FED">
        <w:rPr>
          <w:rFonts w:ascii="Times New Roman" w:hAnsi="Times New Roman" w:cs="Times New Roman"/>
          <w:sz w:val="24"/>
        </w:rPr>
        <w:t>Ed. D. Williman (New York: Center for Medieval and Renaissance Studies, 1982) pp.21-39.</w:t>
      </w:r>
    </w:p>
    <w:p w14:paraId="5ED43928" w14:textId="23B10AA1" w:rsidR="003A1DDA" w:rsidRPr="00E94FED" w:rsidRDefault="003A1DDA" w:rsidP="00313E7A">
      <w:pPr>
        <w:rPr>
          <w:rFonts w:ascii="Times New Roman" w:hAnsi="Times New Roman" w:cs="Times New Roman"/>
          <w:sz w:val="24"/>
        </w:rPr>
      </w:pPr>
      <w:r w:rsidRPr="00E94FED">
        <w:rPr>
          <w:rFonts w:ascii="Times New Roman" w:hAnsi="Times New Roman" w:cs="Times New Roman"/>
          <w:sz w:val="24"/>
        </w:rPr>
        <w:t xml:space="preserve">Blockmans, W. and P., Hoppenbrouwers, </w:t>
      </w:r>
      <w:r w:rsidRPr="00E94FED">
        <w:rPr>
          <w:rFonts w:ascii="Times New Roman" w:hAnsi="Times New Roman" w:cs="Times New Roman"/>
          <w:i/>
          <w:sz w:val="24"/>
        </w:rPr>
        <w:t xml:space="preserve">Introduction to Medieval Europe 300-1500 </w:t>
      </w:r>
      <w:r w:rsidRPr="00E94FED">
        <w:rPr>
          <w:rFonts w:ascii="Times New Roman" w:hAnsi="Times New Roman" w:cs="Times New Roman"/>
          <w:sz w:val="24"/>
        </w:rPr>
        <w:t>(London: Routledge, 2007).</w:t>
      </w:r>
    </w:p>
    <w:p w14:paraId="59F17E81" w14:textId="208F07A9" w:rsidR="0022325B" w:rsidRPr="00E94FED" w:rsidRDefault="0022325B" w:rsidP="00313E7A">
      <w:pPr>
        <w:rPr>
          <w:rFonts w:ascii="Times New Roman" w:hAnsi="Times New Roman" w:cs="Times New Roman"/>
          <w:sz w:val="24"/>
        </w:rPr>
      </w:pPr>
      <w:r w:rsidRPr="00E94FED">
        <w:rPr>
          <w:rFonts w:ascii="Times New Roman" w:hAnsi="Times New Roman" w:cs="Times New Roman"/>
          <w:sz w:val="24"/>
        </w:rPr>
        <w:t xml:space="preserve">Catholic Online, ‘Fourteen Holy Helpers’, </w:t>
      </w:r>
      <w:r w:rsidRPr="00E94FED">
        <w:rPr>
          <w:rFonts w:ascii="Times New Roman" w:hAnsi="Times New Roman" w:cs="Times New Roman"/>
          <w:i/>
          <w:sz w:val="24"/>
        </w:rPr>
        <w:t xml:space="preserve">Catholic Online </w:t>
      </w:r>
      <w:r w:rsidRPr="00E94FED">
        <w:rPr>
          <w:rFonts w:ascii="Times New Roman" w:hAnsi="Times New Roman" w:cs="Times New Roman"/>
          <w:sz w:val="24"/>
        </w:rPr>
        <w:t xml:space="preserve">(New Hampshire: Saint Benedict Center, 2017). Available at </w:t>
      </w:r>
      <w:hyperlink r:id="rId12" w:history="1">
        <w:r w:rsidRPr="00E94FED">
          <w:rPr>
            <w:rStyle w:val="Hyperlink"/>
            <w:rFonts w:ascii="Times New Roman" w:hAnsi="Times New Roman" w:cs="Times New Roman"/>
            <w:sz w:val="24"/>
          </w:rPr>
          <w:t>http://catholicism.org/the-fourteen-holy-helpers.html</w:t>
        </w:r>
      </w:hyperlink>
      <w:r w:rsidRPr="00E94FED">
        <w:rPr>
          <w:rStyle w:val="Hyperlink"/>
          <w:rFonts w:ascii="Times New Roman" w:hAnsi="Times New Roman" w:cs="Times New Roman"/>
          <w:sz w:val="24"/>
        </w:rPr>
        <w:t xml:space="preserve"> </w:t>
      </w:r>
      <w:r w:rsidRPr="00E94FED">
        <w:rPr>
          <w:rFonts w:ascii="Times New Roman" w:hAnsi="Times New Roman" w:cs="Times New Roman"/>
          <w:sz w:val="24"/>
        </w:rPr>
        <w:t>[accessed 14/12/2017].</w:t>
      </w:r>
    </w:p>
    <w:p w14:paraId="058AEA82" w14:textId="0CC41E7E" w:rsidR="00F2710D" w:rsidRPr="00E94FED" w:rsidRDefault="00F2710D" w:rsidP="00313E7A">
      <w:pPr>
        <w:rPr>
          <w:rFonts w:ascii="Times New Roman" w:hAnsi="Times New Roman" w:cs="Times New Roman"/>
          <w:sz w:val="24"/>
        </w:rPr>
      </w:pPr>
      <w:r w:rsidRPr="00E94FED">
        <w:rPr>
          <w:rFonts w:ascii="Times New Roman" w:hAnsi="Times New Roman" w:cs="Times New Roman"/>
          <w:sz w:val="24"/>
        </w:rPr>
        <w:t xml:space="preserve">Coulton, G.G., </w:t>
      </w:r>
      <w:r w:rsidRPr="00E94FED">
        <w:rPr>
          <w:rFonts w:ascii="Times New Roman" w:hAnsi="Times New Roman" w:cs="Times New Roman"/>
          <w:i/>
          <w:sz w:val="24"/>
        </w:rPr>
        <w:t xml:space="preserve">The Black Death </w:t>
      </w:r>
      <w:r w:rsidRPr="00E94FED">
        <w:rPr>
          <w:rFonts w:ascii="Times New Roman" w:hAnsi="Times New Roman" w:cs="Times New Roman"/>
          <w:sz w:val="24"/>
        </w:rPr>
        <w:t>(London: Ernest Benn Limited, 1929).</w:t>
      </w:r>
    </w:p>
    <w:p w14:paraId="35B54B52" w14:textId="24EF2E0A" w:rsidR="00DF0BFD" w:rsidRPr="00E94FED" w:rsidRDefault="00DF0BFD" w:rsidP="00313E7A">
      <w:pPr>
        <w:rPr>
          <w:rFonts w:ascii="Times New Roman" w:hAnsi="Times New Roman" w:cs="Times New Roman"/>
          <w:sz w:val="24"/>
        </w:rPr>
      </w:pPr>
      <w:r w:rsidRPr="00E94FED">
        <w:rPr>
          <w:rFonts w:ascii="Times New Roman" w:hAnsi="Times New Roman" w:cs="Times New Roman"/>
          <w:sz w:val="24"/>
        </w:rPr>
        <w:t xml:space="preserve">Dickson, G., ‘Encounters in Medieval Revivalism: Monks, Friars, and Popular Enthusiasts’, </w:t>
      </w:r>
      <w:r w:rsidRPr="00E94FED">
        <w:rPr>
          <w:rFonts w:ascii="Times New Roman" w:hAnsi="Times New Roman" w:cs="Times New Roman"/>
          <w:i/>
          <w:sz w:val="24"/>
        </w:rPr>
        <w:t xml:space="preserve">Church History, </w:t>
      </w:r>
      <w:r w:rsidRPr="00E94FED">
        <w:rPr>
          <w:rFonts w:ascii="Times New Roman" w:hAnsi="Times New Roman" w:cs="Times New Roman"/>
          <w:sz w:val="24"/>
        </w:rPr>
        <w:t>Vol. 68, No. 2 (June 1999) (Cambridge: Cambridge University Press, 1999 pp. 265-293</w:t>
      </w:r>
    </w:p>
    <w:p w14:paraId="2569BEC7" w14:textId="3A1A29E6" w:rsidR="001E0597" w:rsidRPr="00E94FED" w:rsidRDefault="001E0597" w:rsidP="00313E7A">
      <w:pPr>
        <w:rPr>
          <w:rFonts w:ascii="Times New Roman" w:hAnsi="Times New Roman" w:cs="Times New Roman"/>
          <w:sz w:val="24"/>
        </w:rPr>
      </w:pPr>
      <w:r w:rsidRPr="00E94FED">
        <w:rPr>
          <w:rFonts w:ascii="Times New Roman" w:hAnsi="Times New Roman" w:cs="Times New Roman"/>
          <w:sz w:val="24"/>
        </w:rPr>
        <w:t xml:space="preserve">Dothery, P., </w:t>
      </w:r>
      <w:r w:rsidRPr="00E94FED">
        <w:rPr>
          <w:rFonts w:ascii="Times New Roman" w:hAnsi="Times New Roman" w:cs="Times New Roman"/>
          <w:i/>
          <w:sz w:val="24"/>
        </w:rPr>
        <w:t xml:space="preserve">Isabella and the Strange Death of Edward II </w:t>
      </w:r>
      <w:r w:rsidRPr="00E94FED">
        <w:rPr>
          <w:rFonts w:ascii="Times New Roman" w:hAnsi="Times New Roman" w:cs="Times New Roman"/>
          <w:sz w:val="24"/>
        </w:rPr>
        <w:t>(London: Constable and Robinson Ltd, 2003).</w:t>
      </w:r>
    </w:p>
    <w:p w14:paraId="76310993" w14:textId="2C1C3A57" w:rsidR="009F1732" w:rsidRPr="00E94FED" w:rsidRDefault="009F1732" w:rsidP="00313E7A">
      <w:pPr>
        <w:rPr>
          <w:rFonts w:ascii="Times New Roman" w:hAnsi="Times New Roman" w:cs="Times New Roman"/>
          <w:sz w:val="24"/>
        </w:rPr>
      </w:pPr>
      <w:r w:rsidRPr="00E94FED">
        <w:rPr>
          <w:rFonts w:ascii="Times New Roman" w:hAnsi="Times New Roman" w:cs="Times New Roman"/>
          <w:sz w:val="24"/>
        </w:rPr>
        <w:t xml:space="preserve">Faulkner, N., ‘A Marxist History of the World part 33: The class struggle in medieval Europe’, </w:t>
      </w:r>
      <w:r w:rsidRPr="00E94FED">
        <w:rPr>
          <w:rFonts w:ascii="Times New Roman" w:hAnsi="Times New Roman" w:cs="Times New Roman"/>
          <w:i/>
          <w:sz w:val="24"/>
        </w:rPr>
        <w:t xml:space="preserve">Counterfire </w:t>
      </w:r>
      <w:r w:rsidRPr="00E94FED">
        <w:rPr>
          <w:rFonts w:ascii="Times New Roman" w:hAnsi="Times New Roman" w:cs="Times New Roman"/>
          <w:sz w:val="24"/>
        </w:rPr>
        <w:t xml:space="preserve">(United States: Counterfire, 2011). Available at </w:t>
      </w:r>
      <w:hyperlink r:id="rId13" w:history="1">
        <w:r w:rsidRPr="00E94FED">
          <w:rPr>
            <w:rStyle w:val="Hyperlink"/>
            <w:rFonts w:ascii="Times New Roman" w:hAnsi="Times New Roman" w:cs="Times New Roman"/>
            <w:sz w:val="24"/>
          </w:rPr>
          <w:t>http://www.counterfire.org/a-marxist-history-of-the-world/12086-a-marxist-history-of-the-world-part-33-the-class-struggle-in-medieval-europe</w:t>
        </w:r>
      </w:hyperlink>
      <w:r w:rsidRPr="00E94FED">
        <w:rPr>
          <w:rFonts w:ascii="Times New Roman" w:hAnsi="Times New Roman" w:cs="Times New Roman"/>
          <w:sz w:val="24"/>
        </w:rPr>
        <w:t xml:space="preserve"> [accessed 14/12/2017].</w:t>
      </w:r>
    </w:p>
    <w:p w14:paraId="05B8B3A0" w14:textId="0451519F" w:rsidR="001754A0" w:rsidRPr="00E94FED" w:rsidRDefault="001754A0" w:rsidP="00313E7A">
      <w:pPr>
        <w:rPr>
          <w:rFonts w:ascii="Times New Roman" w:hAnsi="Times New Roman" w:cs="Times New Roman"/>
          <w:sz w:val="28"/>
        </w:rPr>
      </w:pPr>
      <w:r w:rsidRPr="00E94FED">
        <w:rPr>
          <w:rFonts w:ascii="Times New Roman" w:hAnsi="Times New Roman" w:cs="Times New Roman"/>
          <w:sz w:val="24"/>
        </w:rPr>
        <w:t xml:space="preserve">Gotschall, B., ‘A Brief History of the “Danse Macabre”’, </w:t>
      </w:r>
      <w:r w:rsidRPr="00E94FED">
        <w:rPr>
          <w:rFonts w:ascii="Times New Roman" w:hAnsi="Times New Roman" w:cs="Times New Roman"/>
          <w:i/>
          <w:sz w:val="24"/>
        </w:rPr>
        <w:t xml:space="preserve">Atlas Obscura </w:t>
      </w:r>
      <w:r w:rsidRPr="00E94FED">
        <w:rPr>
          <w:rFonts w:ascii="Times New Roman" w:hAnsi="Times New Roman" w:cs="Times New Roman"/>
          <w:sz w:val="24"/>
        </w:rPr>
        <w:t xml:space="preserve">(New York: Atlas Obscura, 2017). Available at </w:t>
      </w:r>
      <w:hyperlink r:id="rId14" w:history="1">
        <w:r w:rsidRPr="00E94FED">
          <w:rPr>
            <w:rStyle w:val="Hyperlink"/>
            <w:rFonts w:ascii="Times New Roman" w:hAnsi="Times New Roman" w:cs="Times New Roman"/>
            <w:sz w:val="24"/>
          </w:rPr>
          <w:t>https://www.atlasobscura.com/articles/danse-macabre-david-pumpkins-art-history</w:t>
        </w:r>
      </w:hyperlink>
      <w:r w:rsidRPr="00E94FED">
        <w:rPr>
          <w:rFonts w:ascii="Times New Roman" w:hAnsi="Times New Roman" w:cs="Times New Roman"/>
          <w:sz w:val="24"/>
        </w:rPr>
        <w:t xml:space="preserve"> [accessed 14/12/2017].</w:t>
      </w:r>
    </w:p>
    <w:p w14:paraId="7E5647CF" w14:textId="78402F3C" w:rsidR="00DF0BFD" w:rsidRPr="00E94FED" w:rsidRDefault="00DF0BFD" w:rsidP="00313E7A">
      <w:pPr>
        <w:rPr>
          <w:rFonts w:ascii="Times New Roman" w:hAnsi="Times New Roman" w:cs="Times New Roman"/>
          <w:sz w:val="24"/>
        </w:rPr>
      </w:pPr>
      <w:r w:rsidRPr="00E94FED">
        <w:rPr>
          <w:rFonts w:ascii="Times New Roman" w:hAnsi="Times New Roman" w:cs="Times New Roman"/>
          <w:sz w:val="24"/>
        </w:rPr>
        <w:t xml:space="preserve">Gregg, P., </w:t>
      </w:r>
      <w:r w:rsidRPr="00E94FED">
        <w:rPr>
          <w:rFonts w:ascii="Times New Roman" w:hAnsi="Times New Roman" w:cs="Times New Roman"/>
          <w:i/>
          <w:sz w:val="24"/>
        </w:rPr>
        <w:t xml:space="preserve">Black Death to Industrial Revolution </w:t>
      </w:r>
      <w:r w:rsidRPr="00E94FED">
        <w:rPr>
          <w:rFonts w:ascii="Times New Roman" w:hAnsi="Times New Roman" w:cs="Times New Roman"/>
          <w:sz w:val="24"/>
        </w:rPr>
        <w:t>(London: Harrap, 1979).</w:t>
      </w:r>
    </w:p>
    <w:p w14:paraId="265481B3" w14:textId="1E51AF94" w:rsidR="00E94FED" w:rsidRPr="00E94FED" w:rsidRDefault="00E94FED" w:rsidP="00313E7A">
      <w:pPr>
        <w:rPr>
          <w:rFonts w:ascii="Times New Roman" w:hAnsi="Times New Roman" w:cs="Times New Roman"/>
          <w:sz w:val="24"/>
        </w:rPr>
      </w:pPr>
      <w:r w:rsidRPr="00E94FED">
        <w:rPr>
          <w:rFonts w:ascii="Times New Roman" w:hAnsi="Times New Roman" w:cs="Times New Roman"/>
          <w:sz w:val="24"/>
        </w:rPr>
        <w:t xml:space="preserve">Halsall, P., ‘ Jewish History Sourcebook: The Black Death and the Jews, 1348-1349 CE’, </w:t>
      </w:r>
      <w:r w:rsidRPr="00E94FED">
        <w:rPr>
          <w:rFonts w:ascii="Times New Roman" w:hAnsi="Times New Roman" w:cs="Times New Roman"/>
          <w:i/>
          <w:sz w:val="24"/>
        </w:rPr>
        <w:t xml:space="preserve">Fordham University </w:t>
      </w:r>
      <w:r w:rsidRPr="00E94FED">
        <w:rPr>
          <w:rFonts w:ascii="Times New Roman" w:hAnsi="Times New Roman" w:cs="Times New Roman"/>
          <w:sz w:val="24"/>
        </w:rPr>
        <w:t xml:space="preserve">(New York: Fordham University, 2017). Available at </w:t>
      </w:r>
      <w:hyperlink r:id="rId15" w:history="1">
        <w:r w:rsidRPr="00E94FED">
          <w:rPr>
            <w:rStyle w:val="Hyperlink"/>
            <w:rFonts w:ascii="Times New Roman" w:hAnsi="Times New Roman" w:cs="Times New Roman"/>
            <w:sz w:val="24"/>
          </w:rPr>
          <w:t>https://sourcebooks.fordham.edu/jewish/1348-jewsblackdeath.asp</w:t>
        </w:r>
      </w:hyperlink>
      <w:r w:rsidRPr="00E94FED">
        <w:rPr>
          <w:rFonts w:ascii="Times New Roman" w:hAnsi="Times New Roman" w:cs="Times New Roman"/>
          <w:sz w:val="24"/>
        </w:rPr>
        <w:t xml:space="preserve"> [accessed 14/12/2017].</w:t>
      </w:r>
    </w:p>
    <w:p w14:paraId="39BEE032" w14:textId="5AFC43C4" w:rsidR="00DF0BFD" w:rsidRPr="00E94FED" w:rsidRDefault="00DF0BFD" w:rsidP="00313E7A">
      <w:pPr>
        <w:rPr>
          <w:rFonts w:ascii="Times New Roman" w:hAnsi="Times New Roman" w:cs="Times New Roman"/>
          <w:sz w:val="24"/>
        </w:rPr>
      </w:pPr>
      <w:r w:rsidRPr="00E94FED">
        <w:rPr>
          <w:rFonts w:ascii="Times New Roman" w:hAnsi="Times New Roman" w:cs="Times New Roman"/>
          <w:sz w:val="24"/>
        </w:rPr>
        <w:t xml:space="preserve">Haven Putnam, B., </w:t>
      </w:r>
      <w:r w:rsidRPr="00E94FED">
        <w:rPr>
          <w:rFonts w:ascii="Times New Roman" w:hAnsi="Times New Roman" w:cs="Times New Roman"/>
          <w:i/>
          <w:sz w:val="24"/>
        </w:rPr>
        <w:t xml:space="preserve">The Enforcement of the Statutes of Labourers </w:t>
      </w:r>
      <w:r w:rsidRPr="00E94FED">
        <w:rPr>
          <w:rFonts w:ascii="Times New Roman" w:hAnsi="Times New Roman" w:cs="Times New Roman"/>
          <w:sz w:val="24"/>
        </w:rPr>
        <w:t>(New York: AMS Press, 1908)</w:t>
      </w:r>
    </w:p>
    <w:p w14:paraId="3C7FADB0" w14:textId="79773444" w:rsidR="001E0597" w:rsidRPr="00E94FED" w:rsidRDefault="001E0597" w:rsidP="00313E7A">
      <w:pPr>
        <w:rPr>
          <w:rFonts w:ascii="Times New Roman" w:hAnsi="Times New Roman" w:cs="Times New Roman"/>
          <w:sz w:val="24"/>
        </w:rPr>
      </w:pPr>
      <w:r w:rsidRPr="00E94FED">
        <w:rPr>
          <w:rFonts w:ascii="Times New Roman" w:hAnsi="Times New Roman" w:cs="Times New Roman"/>
          <w:sz w:val="24"/>
        </w:rPr>
        <w:lastRenderedPageBreak/>
        <w:t xml:space="preserve">Herlihy, D., </w:t>
      </w:r>
      <w:r w:rsidRPr="00E94FED">
        <w:rPr>
          <w:rFonts w:ascii="Times New Roman" w:hAnsi="Times New Roman" w:cs="Times New Roman"/>
          <w:i/>
          <w:sz w:val="24"/>
        </w:rPr>
        <w:t xml:space="preserve">The Black Death and the Transformation of the West </w:t>
      </w:r>
      <w:r w:rsidRPr="00E94FED">
        <w:rPr>
          <w:rFonts w:ascii="Times New Roman" w:hAnsi="Times New Roman" w:cs="Times New Roman"/>
          <w:sz w:val="24"/>
        </w:rPr>
        <w:t>(Harvard: the President and Fellows of Harvard College, 1997).</w:t>
      </w:r>
    </w:p>
    <w:p w14:paraId="7CE0590C" w14:textId="4F2C115C" w:rsidR="00E94FED" w:rsidRPr="00E94FED" w:rsidRDefault="00E94FED" w:rsidP="00313E7A">
      <w:pPr>
        <w:rPr>
          <w:rFonts w:ascii="Times New Roman" w:hAnsi="Times New Roman" w:cs="Times New Roman"/>
          <w:sz w:val="24"/>
        </w:rPr>
      </w:pPr>
      <w:r w:rsidRPr="00E94FED">
        <w:rPr>
          <w:rFonts w:ascii="Times New Roman" w:hAnsi="Times New Roman" w:cs="Times New Roman"/>
          <w:sz w:val="24"/>
        </w:rPr>
        <w:t xml:space="preserve">Howard, B., ‘Luther’s Jewish Problem’, </w:t>
      </w:r>
      <w:r w:rsidRPr="00E94FED">
        <w:rPr>
          <w:rFonts w:ascii="Times New Roman" w:hAnsi="Times New Roman" w:cs="Times New Roman"/>
          <w:i/>
          <w:sz w:val="24"/>
        </w:rPr>
        <w:t xml:space="preserve">The Gospel Coalition </w:t>
      </w:r>
      <w:r w:rsidRPr="00E94FED">
        <w:rPr>
          <w:rFonts w:ascii="Times New Roman" w:hAnsi="Times New Roman" w:cs="Times New Roman"/>
          <w:sz w:val="24"/>
        </w:rPr>
        <w:t xml:space="preserve">(United States: The Gospel Coalition, 2017). Available at </w:t>
      </w:r>
      <w:hyperlink r:id="rId16" w:history="1">
        <w:r w:rsidRPr="00E94FED">
          <w:rPr>
            <w:rStyle w:val="Hyperlink"/>
            <w:rFonts w:ascii="Times New Roman" w:hAnsi="Times New Roman" w:cs="Times New Roman"/>
            <w:sz w:val="24"/>
          </w:rPr>
          <w:t>https://www.thegospelcoalition.org/article/luthers-jewish-problem/</w:t>
        </w:r>
      </w:hyperlink>
      <w:r w:rsidRPr="00E94FED">
        <w:rPr>
          <w:rFonts w:ascii="Times New Roman" w:hAnsi="Times New Roman" w:cs="Times New Roman"/>
          <w:sz w:val="24"/>
        </w:rPr>
        <w:t xml:space="preserve"> [accessed 14/12/2017].</w:t>
      </w:r>
    </w:p>
    <w:p w14:paraId="3AE58070" w14:textId="64D3C95C" w:rsidR="00DF0BFD" w:rsidRDefault="00DF0BFD" w:rsidP="00313E7A">
      <w:pPr>
        <w:rPr>
          <w:rFonts w:ascii="Times New Roman" w:hAnsi="Times New Roman" w:cs="Times New Roman"/>
          <w:sz w:val="24"/>
        </w:rPr>
      </w:pPr>
      <w:r w:rsidRPr="00E94FED">
        <w:rPr>
          <w:rFonts w:ascii="Times New Roman" w:hAnsi="Times New Roman" w:cs="Times New Roman"/>
          <w:sz w:val="24"/>
        </w:rPr>
        <w:t xml:space="preserve">Johnson, B., ‘Wat Tyler and the Peasants Revolt’, </w:t>
      </w:r>
      <w:r w:rsidRPr="00E94FED">
        <w:rPr>
          <w:rFonts w:ascii="Times New Roman" w:hAnsi="Times New Roman" w:cs="Times New Roman"/>
          <w:i/>
          <w:sz w:val="24"/>
        </w:rPr>
        <w:t xml:space="preserve">Historic UK </w:t>
      </w:r>
      <w:r w:rsidRPr="00E94FED">
        <w:rPr>
          <w:rFonts w:ascii="Times New Roman" w:hAnsi="Times New Roman" w:cs="Times New Roman"/>
          <w:sz w:val="24"/>
        </w:rPr>
        <w:t xml:space="preserve">(Devon: Historic UK, 2017). Available at </w:t>
      </w:r>
      <w:hyperlink r:id="rId17" w:history="1">
        <w:r w:rsidRPr="00E94FED">
          <w:rPr>
            <w:rStyle w:val="Hyperlink"/>
            <w:rFonts w:ascii="Times New Roman" w:hAnsi="Times New Roman" w:cs="Times New Roman"/>
            <w:sz w:val="24"/>
          </w:rPr>
          <w:t>http://www.historic-uk.com/HistoryUK/HistoryofEngland/Wat-Tyler-the-Peasants-Revolt/</w:t>
        </w:r>
      </w:hyperlink>
      <w:r w:rsidRPr="00E94FED">
        <w:rPr>
          <w:rFonts w:ascii="Times New Roman" w:hAnsi="Times New Roman" w:cs="Times New Roman"/>
          <w:sz w:val="24"/>
        </w:rPr>
        <w:t xml:space="preserve"> [accessed 14/12/2017].</w:t>
      </w:r>
    </w:p>
    <w:p w14:paraId="25DD79C1" w14:textId="1817686A" w:rsidR="00E94FED" w:rsidRPr="00E94FED" w:rsidRDefault="00E94FED" w:rsidP="00313E7A">
      <w:pPr>
        <w:rPr>
          <w:rFonts w:ascii="Times New Roman" w:hAnsi="Times New Roman" w:cs="Times New Roman"/>
          <w:sz w:val="28"/>
        </w:rPr>
      </w:pPr>
      <w:r w:rsidRPr="00E94FED">
        <w:rPr>
          <w:rFonts w:ascii="Times New Roman" w:hAnsi="Times New Roman" w:cs="Times New Roman"/>
          <w:sz w:val="24"/>
        </w:rPr>
        <w:t xml:space="preserve">Krén E. and D. Marx, ‘The Adoration of Magi’, </w:t>
      </w:r>
      <w:r w:rsidRPr="00E94FED">
        <w:rPr>
          <w:rFonts w:ascii="Times New Roman" w:hAnsi="Times New Roman" w:cs="Times New Roman"/>
          <w:i/>
          <w:sz w:val="24"/>
        </w:rPr>
        <w:t xml:space="preserve">Web Gallery of Art </w:t>
      </w:r>
      <w:r w:rsidRPr="00E94FED">
        <w:rPr>
          <w:rFonts w:ascii="Times New Roman" w:hAnsi="Times New Roman" w:cs="Times New Roman"/>
          <w:sz w:val="24"/>
        </w:rPr>
        <w:t xml:space="preserve">(Budapest: Web Gallery of Art, 2017). Available at </w:t>
      </w:r>
      <w:hyperlink r:id="rId18" w:history="1">
        <w:r w:rsidRPr="00E94FED">
          <w:rPr>
            <w:rStyle w:val="Hyperlink"/>
            <w:rFonts w:ascii="Times New Roman" w:hAnsi="Times New Roman" w:cs="Times New Roman"/>
            <w:sz w:val="24"/>
          </w:rPr>
          <w:t>https://www.wga.hu/frames-e.html?/html/b/bartolo/index.html</w:t>
        </w:r>
      </w:hyperlink>
      <w:r w:rsidRPr="00E94FED">
        <w:rPr>
          <w:rFonts w:ascii="Times New Roman" w:hAnsi="Times New Roman" w:cs="Times New Roman"/>
          <w:sz w:val="24"/>
        </w:rPr>
        <w:t xml:space="preserve">  [accessed 14/12/2017].</w:t>
      </w:r>
    </w:p>
    <w:p w14:paraId="31D8D6EC" w14:textId="31346404" w:rsidR="009F1732" w:rsidRPr="00E94FED" w:rsidRDefault="009F1732" w:rsidP="00313E7A">
      <w:pPr>
        <w:rPr>
          <w:rFonts w:ascii="Times New Roman" w:hAnsi="Times New Roman" w:cs="Times New Roman"/>
          <w:sz w:val="24"/>
        </w:rPr>
      </w:pPr>
      <w:r w:rsidRPr="00E94FED">
        <w:rPr>
          <w:rFonts w:ascii="Times New Roman" w:hAnsi="Times New Roman" w:cs="Times New Roman"/>
          <w:sz w:val="24"/>
        </w:rPr>
        <w:t xml:space="preserve">Loschky, D., and B.D. Childs, ‘Early English Mortality’, </w:t>
      </w:r>
      <w:r w:rsidRPr="00E94FED">
        <w:rPr>
          <w:rFonts w:ascii="Times New Roman" w:hAnsi="Times New Roman" w:cs="Times New Roman"/>
          <w:i/>
          <w:sz w:val="24"/>
        </w:rPr>
        <w:t xml:space="preserve">The Journal of Interdisciplinary History, </w:t>
      </w:r>
      <w:r w:rsidRPr="00E94FED">
        <w:rPr>
          <w:rFonts w:ascii="Times New Roman" w:hAnsi="Times New Roman" w:cs="Times New Roman"/>
          <w:sz w:val="24"/>
        </w:rPr>
        <w:t>Vol. 24, No. 1 (Summer, 1993) (Massachusettes: The MIT Press, 1993) pp.85-97.</w:t>
      </w:r>
    </w:p>
    <w:p w14:paraId="1A390515" w14:textId="240FA707" w:rsidR="00FA270E" w:rsidRPr="00E94FED" w:rsidRDefault="00FA270E" w:rsidP="00313E7A">
      <w:pPr>
        <w:rPr>
          <w:rFonts w:ascii="Times New Roman" w:hAnsi="Times New Roman" w:cs="Times New Roman"/>
          <w:sz w:val="24"/>
        </w:rPr>
      </w:pPr>
      <w:r w:rsidRPr="00E94FED">
        <w:rPr>
          <w:rFonts w:ascii="Times New Roman" w:hAnsi="Times New Roman" w:cs="Times New Roman"/>
          <w:sz w:val="24"/>
        </w:rPr>
        <w:t xml:space="preserve">McClure, G.W., </w:t>
      </w:r>
      <w:r w:rsidRPr="00E94FED">
        <w:rPr>
          <w:rFonts w:ascii="Times New Roman" w:hAnsi="Times New Roman" w:cs="Times New Roman"/>
          <w:i/>
          <w:sz w:val="24"/>
        </w:rPr>
        <w:t xml:space="preserve">The Culture of Profession in Late Renaissance Italy </w:t>
      </w:r>
      <w:r w:rsidRPr="00E94FED">
        <w:rPr>
          <w:rFonts w:ascii="Times New Roman" w:hAnsi="Times New Roman" w:cs="Times New Roman"/>
          <w:sz w:val="24"/>
        </w:rPr>
        <w:t>(Toronto: University of Toronto Press, 2004).</w:t>
      </w:r>
    </w:p>
    <w:p w14:paraId="3DC42E99" w14:textId="2E19B00C" w:rsidR="001754A0" w:rsidRPr="00E94FED" w:rsidRDefault="001754A0" w:rsidP="00313E7A">
      <w:pPr>
        <w:rPr>
          <w:rFonts w:ascii="Times New Roman" w:hAnsi="Times New Roman" w:cs="Times New Roman"/>
          <w:sz w:val="24"/>
        </w:rPr>
      </w:pPr>
      <w:r w:rsidRPr="00E94FED">
        <w:rPr>
          <w:rFonts w:ascii="Times New Roman" w:hAnsi="Times New Roman" w:cs="Times New Roman"/>
          <w:sz w:val="24"/>
        </w:rPr>
        <w:t xml:space="preserve">McCouat, P., ‘Surviving the Black Death’, </w:t>
      </w:r>
      <w:r w:rsidRPr="00E94FED">
        <w:rPr>
          <w:rFonts w:ascii="Times New Roman" w:hAnsi="Times New Roman" w:cs="Times New Roman"/>
          <w:i/>
          <w:sz w:val="24"/>
        </w:rPr>
        <w:t xml:space="preserve">Journal of Art in Society </w:t>
      </w:r>
      <w:r w:rsidRPr="00E94FED">
        <w:rPr>
          <w:rFonts w:ascii="Times New Roman" w:hAnsi="Times New Roman" w:cs="Times New Roman"/>
          <w:sz w:val="24"/>
        </w:rPr>
        <w:t xml:space="preserve">(Sydney: Journal of Art in Society, 2012). Available at </w:t>
      </w:r>
      <w:hyperlink r:id="rId19" w:history="1">
        <w:r w:rsidRPr="00E94FED">
          <w:rPr>
            <w:rStyle w:val="Hyperlink"/>
            <w:rFonts w:ascii="Times New Roman" w:hAnsi="Times New Roman" w:cs="Times New Roman"/>
            <w:sz w:val="24"/>
          </w:rPr>
          <w:t>http://www.artinsociety.com/surviving-the-black-death.html</w:t>
        </w:r>
      </w:hyperlink>
      <w:r w:rsidRPr="00E94FED">
        <w:rPr>
          <w:rFonts w:ascii="Times New Roman" w:hAnsi="Times New Roman" w:cs="Times New Roman"/>
          <w:sz w:val="24"/>
        </w:rPr>
        <w:t xml:space="preserve"> [accessed 14/12/2017].</w:t>
      </w:r>
    </w:p>
    <w:p w14:paraId="5552117B" w14:textId="48758B1A" w:rsidR="001754A0" w:rsidRPr="00E94FED" w:rsidRDefault="001754A0" w:rsidP="00313E7A">
      <w:pPr>
        <w:rPr>
          <w:rFonts w:ascii="Times New Roman" w:hAnsi="Times New Roman" w:cs="Times New Roman"/>
          <w:sz w:val="24"/>
        </w:rPr>
      </w:pPr>
      <w:r w:rsidRPr="00E94FED">
        <w:rPr>
          <w:rFonts w:ascii="Times New Roman" w:hAnsi="Times New Roman" w:cs="Times New Roman"/>
          <w:sz w:val="24"/>
        </w:rPr>
        <w:t xml:space="preserve">Papal Encyclicals Online, ‘Third Lateran Council’, </w:t>
      </w:r>
      <w:r w:rsidRPr="00E94FED">
        <w:rPr>
          <w:rFonts w:ascii="Times New Roman" w:hAnsi="Times New Roman" w:cs="Times New Roman"/>
          <w:i/>
          <w:sz w:val="24"/>
        </w:rPr>
        <w:t>Papal Encyclicals Online</w:t>
      </w:r>
      <w:r w:rsidRPr="00E94FED">
        <w:rPr>
          <w:rFonts w:ascii="Times New Roman" w:hAnsi="Times New Roman" w:cs="Times New Roman"/>
          <w:sz w:val="24"/>
        </w:rPr>
        <w:t xml:space="preserve"> (Ohio: Papal Encyclicals Online, 2017). Available at </w:t>
      </w:r>
      <w:hyperlink r:id="rId20" w:history="1">
        <w:r w:rsidRPr="00E94FED">
          <w:rPr>
            <w:rStyle w:val="Hyperlink"/>
            <w:rFonts w:ascii="Times New Roman" w:hAnsi="Times New Roman" w:cs="Times New Roman"/>
            <w:sz w:val="24"/>
          </w:rPr>
          <w:t>http://www.papalencyclicals.net/councils/ecum11.htm</w:t>
        </w:r>
      </w:hyperlink>
      <w:r w:rsidRPr="00E94FED">
        <w:rPr>
          <w:rFonts w:ascii="Times New Roman" w:hAnsi="Times New Roman" w:cs="Times New Roman"/>
          <w:sz w:val="24"/>
        </w:rPr>
        <w:t xml:space="preserve"> [accessed 14/12/2017].</w:t>
      </w:r>
    </w:p>
    <w:p w14:paraId="733F946A" w14:textId="5244B15B" w:rsidR="001754A0" w:rsidRDefault="001754A0" w:rsidP="00313E7A">
      <w:pPr>
        <w:rPr>
          <w:rFonts w:ascii="Times New Roman" w:hAnsi="Times New Roman" w:cs="Times New Roman"/>
          <w:sz w:val="24"/>
        </w:rPr>
      </w:pPr>
      <w:r w:rsidRPr="00E94FED">
        <w:rPr>
          <w:rFonts w:ascii="Times New Roman" w:hAnsi="Times New Roman" w:cs="Times New Roman"/>
          <w:sz w:val="24"/>
        </w:rPr>
        <w:t xml:space="preserve">Pollefeys, P., ‘Lübeck: Dance of Death’, </w:t>
      </w:r>
      <w:r w:rsidRPr="00E94FED">
        <w:rPr>
          <w:rFonts w:ascii="Times New Roman" w:hAnsi="Times New Roman" w:cs="Times New Roman"/>
          <w:i/>
          <w:sz w:val="24"/>
        </w:rPr>
        <w:t xml:space="preserve">Danse Macabre </w:t>
      </w:r>
      <w:r w:rsidRPr="00E94FED">
        <w:rPr>
          <w:rFonts w:ascii="Times New Roman" w:hAnsi="Times New Roman" w:cs="Times New Roman"/>
          <w:sz w:val="24"/>
        </w:rPr>
        <w:t xml:space="preserve">(France: Patrick Pllefeys, 2017). Available at </w:t>
      </w:r>
      <w:hyperlink r:id="rId21" w:history="1">
        <w:r w:rsidRPr="00E94FED">
          <w:rPr>
            <w:rStyle w:val="Hyperlink"/>
            <w:rFonts w:ascii="Times New Roman" w:hAnsi="Times New Roman" w:cs="Times New Roman"/>
            <w:sz w:val="24"/>
          </w:rPr>
          <w:t>http://www.lamortdanslart.com/danse/Allemagne/Lubeck/dd_lubeck.htm</w:t>
        </w:r>
      </w:hyperlink>
      <w:r w:rsidRPr="00E94FED">
        <w:rPr>
          <w:rFonts w:ascii="Times New Roman" w:hAnsi="Times New Roman" w:cs="Times New Roman"/>
          <w:sz w:val="24"/>
        </w:rPr>
        <w:t xml:space="preserve"> [accessed 14/12/2017].</w:t>
      </w:r>
    </w:p>
    <w:p w14:paraId="0A47B5AB" w14:textId="7C112A06" w:rsidR="00E94FED" w:rsidRPr="00E94FED" w:rsidRDefault="00E94FED" w:rsidP="00313E7A">
      <w:pPr>
        <w:rPr>
          <w:rFonts w:ascii="Times New Roman" w:hAnsi="Times New Roman" w:cs="Times New Roman"/>
          <w:sz w:val="28"/>
        </w:rPr>
      </w:pPr>
      <w:r w:rsidRPr="00E94FED">
        <w:rPr>
          <w:rFonts w:ascii="Times New Roman" w:hAnsi="Times New Roman" w:cs="Times New Roman"/>
          <w:sz w:val="24"/>
        </w:rPr>
        <w:t>The Met Museum, ‘Madonna and Child’,</w:t>
      </w:r>
      <w:r w:rsidRPr="00E94FED">
        <w:rPr>
          <w:rFonts w:ascii="Times New Roman" w:hAnsi="Times New Roman" w:cs="Times New Roman"/>
          <w:i/>
          <w:sz w:val="24"/>
        </w:rPr>
        <w:t xml:space="preserve"> The Met Museum </w:t>
      </w:r>
      <w:r w:rsidRPr="00E94FED">
        <w:rPr>
          <w:rFonts w:ascii="Times New Roman" w:hAnsi="Times New Roman" w:cs="Times New Roman"/>
          <w:sz w:val="24"/>
        </w:rPr>
        <w:t xml:space="preserve">(New York: The Met Museum, 2017) Available at </w:t>
      </w:r>
      <w:hyperlink r:id="rId22" w:history="1">
        <w:r w:rsidRPr="00E94FED">
          <w:rPr>
            <w:rStyle w:val="Hyperlink"/>
            <w:rFonts w:ascii="Times New Roman" w:hAnsi="Times New Roman" w:cs="Times New Roman"/>
            <w:sz w:val="24"/>
          </w:rPr>
          <w:t>https://www.metmuseum.org/toah/works-of-art/2004.442/</w:t>
        </w:r>
      </w:hyperlink>
      <w:r w:rsidRPr="00E94FED">
        <w:rPr>
          <w:rFonts w:ascii="Times New Roman" w:hAnsi="Times New Roman" w:cs="Times New Roman"/>
          <w:sz w:val="24"/>
        </w:rPr>
        <w:t xml:space="preserve"> [accessed 14/12/2017].</w:t>
      </w:r>
    </w:p>
    <w:p w14:paraId="3E2E353D" w14:textId="1ED45C50" w:rsidR="001E0597" w:rsidRPr="00E94FED" w:rsidRDefault="001E0597" w:rsidP="00313E7A">
      <w:pPr>
        <w:rPr>
          <w:rFonts w:ascii="Times New Roman" w:hAnsi="Times New Roman" w:cs="Times New Roman"/>
          <w:sz w:val="24"/>
        </w:rPr>
      </w:pPr>
      <w:r w:rsidRPr="00E94FED">
        <w:rPr>
          <w:rFonts w:ascii="Times New Roman" w:hAnsi="Times New Roman" w:cs="Times New Roman"/>
          <w:sz w:val="24"/>
        </w:rPr>
        <w:t xml:space="preserve">Thomas, S., ‘Ars Moriendi- the Art of Dying’, </w:t>
      </w:r>
      <w:r w:rsidRPr="00E94FED">
        <w:rPr>
          <w:rFonts w:ascii="Times New Roman" w:hAnsi="Times New Roman" w:cs="Times New Roman"/>
          <w:i/>
          <w:sz w:val="24"/>
        </w:rPr>
        <w:t xml:space="preserve">Bodleian Library </w:t>
      </w:r>
      <w:r w:rsidRPr="00E94FED">
        <w:rPr>
          <w:rFonts w:ascii="Times New Roman" w:hAnsi="Times New Roman" w:cs="Times New Roman"/>
          <w:sz w:val="24"/>
        </w:rPr>
        <w:t xml:space="preserve">(Oxford, Bodleian Library, 2013). Available at </w:t>
      </w:r>
      <w:hyperlink r:id="rId23" w:history="1">
        <w:r w:rsidRPr="00E94FED">
          <w:rPr>
            <w:rStyle w:val="Hyperlink"/>
            <w:rFonts w:ascii="Times New Roman" w:hAnsi="Times New Roman" w:cs="Times New Roman"/>
            <w:sz w:val="24"/>
          </w:rPr>
          <w:t>http://bav.bodleian.ox.ac.uk/news/ars-moriendi-the-art-of-dying</w:t>
        </w:r>
      </w:hyperlink>
      <w:r w:rsidRPr="00E94FED">
        <w:rPr>
          <w:rFonts w:ascii="Times New Roman" w:hAnsi="Times New Roman" w:cs="Times New Roman"/>
          <w:sz w:val="24"/>
        </w:rPr>
        <w:t xml:space="preserve"> [accessed 14/12/2017].</w:t>
      </w:r>
    </w:p>
    <w:p w14:paraId="39DC472C" w14:textId="5A02F1DC" w:rsidR="00DF0BFD" w:rsidRPr="00E94FED" w:rsidRDefault="00DF0BFD" w:rsidP="00313E7A">
      <w:pPr>
        <w:rPr>
          <w:rFonts w:ascii="Times New Roman" w:hAnsi="Times New Roman" w:cs="Times New Roman"/>
          <w:sz w:val="24"/>
        </w:rPr>
      </w:pPr>
      <w:r w:rsidRPr="00E94FED">
        <w:rPr>
          <w:rFonts w:ascii="Times New Roman" w:hAnsi="Times New Roman" w:cs="Times New Roman"/>
          <w:sz w:val="24"/>
        </w:rPr>
        <w:lastRenderedPageBreak/>
        <w:t xml:space="preserve">White, M., ‘Humanity’s 100 deadliest achievements’, </w:t>
      </w:r>
      <w:r w:rsidRPr="00E94FED">
        <w:rPr>
          <w:rFonts w:ascii="Times New Roman" w:hAnsi="Times New Roman" w:cs="Times New Roman"/>
          <w:i/>
          <w:sz w:val="24"/>
        </w:rPr>
        <w:t xml:space="preserve">Atrocitology </w:t>
      </w:r>
      <w:r w:rsidRPr="00E94FED">
        <w:rPr>
          <w:rFonts w:ascii="Times New Roman" w:hAnsi="Times New Roman" w:cs="Times New Roman"/>
          <w:sz w:val="24"/>
        </w:rPr>
        <w:t xml:space="preserve">(New York: Matthew White, 2012). Available at </w:t>
      </w:r>
      <w:hyperlink r:id="rId24" w:history="1">
        <w:r w:rsidRPr="00E94FED">
          <w:rPr>
            <w:rStyle w:val="Hyperlink"/>
            <w:rFonts w:ascii="Times New Roman" w:hAnsi="Times New Roman" w:cs="Times New Roman"/>
            <w:sz w:val="24"/>
          </w:rPr>
          <w:t>http://www.bookofhorriblethings.com/ax02.html</w:t>
        </w:r>
      </w:hyperlink>
      <w:r w:rsidRPr="00E94FED">
        <w:rPr>
          <w:rFonts w:ascii="Times New Roman" w:hAnsi="Times New Roman" w:cs="Times New Roman"/>
          <w:sz w:val="24"/>
        </w:rPr>
        <w:t xml:space="preserve"> [accessed 14/12/2017]. </w:t>
      </w:r>
      <w:r w:rsidRPr="00E94FED">
        <w:rPr>
          <w:rFonts w:ascii="Times New Roman" w:hAnsi="Times New Roman" w:cs="Times New Roman"/>
          <w:i/>
          <w:sz w:val="24"/>
        </w:rPr>
        <w:t xml:space="preserve"> </w:t>
      </w:r>
    </w:p>
    <w:sectPr w:rsidR="00DF0BFD" w:rsidRPr="00E94F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F84804D" w14:textId="77777777" w:rsidR="00280600" w:rsidRDefault="00280600" w:rsidP="00800FE9">
      <w:pPr>
        <w:spacing w:after="0" w:line="240" w:lineRule="auto"/>
      </w:pPr>
      <w:r>
        <w:separator/>
      </w:r>
    </w:p>
  </w:endnote>
  <w:endnote w:type="continuationSeparator" w:id="0">
    <w:p w14:paraId="1E7CCB33" w14:textId="77777777" w:rsidR="00280600" w:rsidRDefault="00280600" w:rsidP="00800F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15B97B" w14:textId="77777777" w:rsidR="00280600" w:rsidRDefault="00280600" w:rsidP="00800FE9">
      <w:pPr>
        <w:spacing w:after="0" w:line="240" w:lineRule="auto"/>
      </w:pPr>
      <w:r>
        <w:separator/>
      </w:r>
    </w:p>
  </w:footnote>
  <w:footnote w:type="continuationSeparator" w:id="0">
    <w:p w14:paraId="43A557D1" w14:textId="77777777" w:rsidR="00280600" w:rsidRDefault="00280600" w:rsidP="00800FE9">
      <w:pPr>
        <w:spacing w:after="0" w:line="240" w:lineRule="auto"/>
      </w:pPr>
      <w:r>
        <w:continuationSeparator/>
      </w:r>
    </w:p>
  </w:footnote>
  <w:footnote w:id="1">
    <w:p w14:paraId="7C6FFF45" w14:textId="6AB6BC03"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W. Blockmans and P. Hoppenbrouwers, </w:t>
      </w:r>
      <w:r w:rsidRPr="00E94FED">
        <w:rPr>
          <w:rFonts w:ascii="Times New Roman" w:hAnsi="Times New Roman" w:cs="Times New Roman"/>
          <w:i/>
          <w:sz w:val="22"/>
          <w:szCs w:val="22"/>
        </w:rPr>
        <w:t xml:space="preserve">Introduction to Medieval Europe 300-1500 </w:t>
      </w:r>
      <w:r w:rsidRPr="00E94FED">
        <w:rPr>
          <w:rFonts w:ascii="Times New Roman" w:hAnsi="Times New Roman" w:cs="Times New Roman"/>
          <w:sz w:val="22"/>
          <w:szCs w:val="22"/>
        </w:rPr>
        <w:t>(London: Routledge, 2007)</w:t>
      </w:r>
      <w:r w:rsidRPr="00E94FED">
        <w:rPr>
          <w:rFonts w:ascii="Times New Roman" w:hAnsi="Times New Roman" w:cs="Times New Roman"/>
          <w:i/>
          <w:sz w:val="22"/>
          <w:szCs w:val="22"/>
        </w:rPr>
        <w:t xml:space="preserve"> </w:t>
      </w:r>
      <w:r w:rsidRPr="00E94FED">
        <w:rPr>
          <w:rFonts w:ascii="Times New Roman" w:hAnsi="Times New Roman" w:cs="Times New Roman"/>
          <w:sz w:val="22"/>
          <w:szCs w:val="22"/>
        </w:rPr>
        <w:t xml:space="preserve">p.274. </w:t>
      </w:r>
    </w:p>
  </w:footnote>
  <w:footnote w:id="2">
    <w:p w14:paraId="6FA0FDF0" w14:textId="1699D0D1"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Style w:val="FootnoteReference"/>
          <w:rFonts w:ascii="Times New Roman" w:hAnsi="Times New Roman" w:cs="Times New Roman"/>
          <w:sz w:val="22"/>
          <w:szCs w:val="22"/>
        </w:rPr>
        <w:t xml:space="preserve"> </w:t>
      </w:r>
      <w:r w:rsidRPr="00E94FED">
        <w:rPr>
          <w:rFonts w:ascii="Times New Roman" w:hAnsi="Times New Roman" w:cs="Times New Roman"/>
          <w:sz w:val="22"/>
          <w:szCs w:val="22"/>
        </w:rPr>
        <w:t xml:space="preserve">J.M.W. Bean, ‘The Black Death: the crisis and its Social and Economic Consequences’, in </w:t>
      </w:r>
      <w:r w:rsidRPr="00E94FED">
        <w:rPr>
          <w:rFonts w:ascii="Times New Roman" w:hAnsi="Times New Roman" w:cs="Times New Roman"/>
          <w:i/>
          <w:sz w:val="22"/>
          <w:szCs w:val="22"/>
        </w:rPr>
        <w:t xml:space="preserve">The Black Death: the impact of the fourteenth century plague; papers of the Eleventh Annual Conference of the Center for Medieval and Early Renaissance Studies, </w:t>
      </w:r>
      <w:r w:rsidRPr="00E94FED">
        <w:rPr>
          <w:rFonts w:ascii="Times New Roman" w:hAnsi="Times New Roman" w:cs="Times New Roman"/>
          <w:sz w:val="22"/>
          <w:szCs w:val="22"/>
        </w:rPr>
        <w:t xml:space="preserve">Ed. D. Williman (New York: Center for Medieval and Renaissance Studies, 1982) pp.21-39, p.24. </w:t>
      </w:r>
    </w:p>
  </w:footnote>
  <w:footnote w:id="3">
    <w:p w14:paraId="0E3AD468" w14:textId="50BF63FD"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w:t>
      </w:r>
      <w:r w:rsidRPr="00E94FED">
        <w:rPr>
          <w:rFonts w:ascii="Times New Roman" w:hAnsi="Times New Roman" w:cs="Times New Roman"/>
          <w:i/>
          <w:sz w:val="22"/>
          <w:szCs w:val="22"/>
        </w:rPr>
        <w:t>Ibid</w:t>
      </w:r>
      <w:r w:rsidRPr="00E94FED">
        <w:rPr>
          <w:rFonts w:ascii="Times New Roman" w:hAnsi="Times New Roman" w:cs="Times New Roman"/>
          <w:sz w:val="22"/>
          <w:szCs w:val="22"/>
        </w:rPr>
        <w:t xml:space="preserve">, p.24-26. </w:t>
      </w:r>
    </w:p>
  </w:footnote>
  <w:footnote w:id="4">
    <w:p w14:paraId="01F342C5" w14:textId="4FAFACDE"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Blockmans, </w:t>
      </w:r>
      <w:r w:rsidRPr="00E94FED">
        <w:rPr>
          <w:rFonts w:ascii="Times New Roman" w:hAnsi="Times New Roman" w:cs="Times New Roman"/>
          <w:i/>
          <w:sz w:val="22"/>
          <w:szCs w:val="22"/>
        </w:rPr>
        <w:t xml:space="preserve">Introduction to Medieval Europe 300-1500, </w:t>
      </w:r>
      <w:r w:rsidRPr="00E94FED">
        <w:rPr>
          <w:rFonts w:ascii="Times New Roman" w:hAnsi="Times New Roman" w:cs="Times New Roman"/>
          <w:sz w:val="22"/>
          <w:szCs w:val="22"/>
        </w:rPr>
        <w:t xml:space="preserve">p.275. </w:t>
      </w:r>
    </w:p>
  </w:footnote>
  <w:footnote w:id="5">
    <w:p w14:paraId="6C5540C0" w14:textId="53D0AEE7"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D. Herlihy, </w:t>
      </w:r>
      <w:r w:rsidRPr="00E94FED">
        <w:rPr>
          <w:rFonts w:ascii="Times New Roman" w:hAnsi="Times New Roman" w:cs="Times New Roman"/>
          <w:i/>
          <w:sz w:val="22"/>
          <w:szCs w:val="22"/>
        </w:rPr>
        <w:t xml:space="preserve">The Black Death and the Transformation of the West </w:t>
      </w:r>
      <w:r w:rsidRPr="00E94FED">
        <w:rPr>
          <w:rFonts w:ascii="Times New Roman" w:hAnsi="Times New Roman" w:cs="Times New Roman"/>
          <w:sz w:val="22"/>
          <w:szCs w:val="22"/>
        </w:rPr>
        <w:t>(Harvard: the President and Fellows of Harvard College, 1997) p.70.</w:t>
      </w:r>
    </w:p>
  </w:footnote>
  <w:footnote w:id="6">
    <w:p w14:paraId="1DA20702" w14:textId="72DAA6DB"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G.G. Coulton, </w:t>
      </w:r>
      <w:r w:rsidRPr="00E94FED">
        <w:rPr>
          <w:rFonts w:ascii="Times New Roman" w:hAnsi="Times New Roman" w:cs="Times New Roman"/>
          <w:i/>
          <w:sz w:val="22"/>
          <w:szCs w:val="22"/>
        </w:rPr>
        <w:t xml:space="preserve">The Black Death </w:t>
      </w:r>
      <w:r w:rsidRPr="00E94FED">
        <w:rPr>
          <w:rFonts w:ascii="Times New Roman" w:hAnsi="Times New Roman" w:cs="Times New Roman"/>
          <w:sz w:val="22"/>
          <w:szCs w:val="22"/>
        </w:rPr>
        <w:t xml:space="preserve">(London: Ernest Benn Limited, 1929) p.64. </w:t>
      </w:r>
    </w:p>
  </w:footnote>
  <w:footnote w:id="7">
    <w:p w14:paraId="72A27682" w14:textId="6FC52B4F"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Coulton, </w:t>
      </w:r>
      <w:r w:rsidRPr="00E94FED">
        <w:rPr>
          <w:rFonts w:ascii="Times New Roman" w:hAnsi="Times New Roman" w:cs="Times New Roman"/>
          <w:i/>
          <w:sz w:val="22"/>
          <w:szCs w:val="22"/>
        </w:rPr>
        <w:t>The Black Death,</w:t>
      </w:r>
      <w:r w:rsidRPr="00E94FED">
        <w:rPr>
          <w:rFonts w:ascii="Times New Roman" w:hAnsi="Times New Roman" w:cs="Times New Roman"/>
          <w:sz w:val="22"/>
          <w:szCs w:val="22"/>
        </w:rPr>
        <w:t xml:space="preserve"> p.35.</w:t>
      </w:r>
    </w:p>
  </w:footnote>
  <w:footnote w:id="8">
    <w:p w14:paraId="6BF38881" w14:textId="5AD099D8"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w:t>
      </w:r>
      <w:r w:rsidRPr="00E94FED">
        <w:rPr>
          <w:rFonts w:ascii="Times New Roman" w:hAnsi="Times New Roman" w:cs="Times New Roman"/>
          <w:i/>
          <w:sz w:val="22"/>
          <w:szCs w:val="22"/>
        </w:rPr>
        <w:t>Ibid</w:t>
      </w:r>
      <w:r w:rsidRPr="00E94FED">
        <w:rPr>
          <w:rFonts w:ascii="Times New Roman" w:hAnsi="Times New Roman" w:cs="Times New Roman"/>
          <w:sz w:val="22"/>
          <w:szCs w:val="22"/>
        </w:rPr>
        <w:t>.</w:t>
      </w:r>
    </w:p>
  </w:footnote>
  <w:footnote w:id="9">
    <w:p w14:paraId="78C8A037" w14:textId="67F80373"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w:t>
      </w:r>
      <w:r w:rsidRPr="00E94FED">
        <w:rPr>
          <w:rFonts w:ascii="Times New Roman" w:hAnsi="Times New Roman" w:cs="Times New Roman"/>
          <w:i/>
          <w:sz w:val="22"/>
          <w:szCs w:val="22"/>
        </w:rPr>
        <w:t xml:space="preserve">Ibid. </w:t>
      </w:r>
      <w:r w:rsidRPr="00E94FED">
        <w:rPr>
          <w:rFonts w:ascii="Times New Roman" w:hAnsi="Times New Roman" w:cs="Times New Roman"/>
          <w:sz w:val="22"/>
          <w:szCs w:val="22"/>
        </w:rPr>
        <w:t xml:space="preserve">p.30-31. </w:t>
      </w:r>
    </w:p>
  </w:footnote>
  <w:footnote w:id="10">
    <w:p w14:paraId="43B758CA" w14:textId="28456E3C"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S. Thomas, ‘Ars Moriendi- the Art of Dying’, </w:t>
      </w:r>
      <w:r w:rsidRPr="00E94FED">
        <w:rPr>
          <w:rFonts w:ascii="Times New Roman" w:hAnsi="Times New Roman" w:cs="Times New Roman"/>
          <w:i/>
          <w:sz w:val="22"/>
          <w:szCs w:val="22"/>
        </w:rPr>
        <w:t xml:space="preserve">Bodleian Library </w:t>
      </w:r>
      <w:r w:rsidRPr="00E94FED">
        <w:rPr>
          <w:rFonts w:ascii="Times New Roman" w:hAnsi="Times New Roman" w:cs="Times New Roman"/>
          <w:sz w:val="22"/>
          <w:szCs w:val="22"/>
        </w:rPr>
        <w:t xml:space="preserve">(Oxford, Bodleian Library, 2013). Available at </w:t>
      </w:r>
      <w:hyperlink r:id="rId1" w:history="1">
        <w:r w:rsidRPr="00E94FED">
          <w:rPr>
            <w:rStyle w:val="Hyperlink"/>
            <w:rFonts w:ascii="Times New Roman" w:hAnsi="Times New Roman" w:cs="Times New Roman"/>
            <w:sz w:val="22"/>
            <w:szCs w:val="22"/>
          </w:rPr>
          <w:t>http://bav.bodleian.ox.ac.uk/news/ars-moriendi-the-art-of-dying</w:t>
        </w:r>
      </w:hyperlink>
      <w:r w:rsidRPr="00E94FED">
        <w:rPr>
          <w:rFonts w:ascii="Times New Roman" w:hAnsi="Times New Roman" w:cs="Times New Roman"/>
          <w:sz w:val="22"/>
          <w:szCs w:val="22"/>
        </w:rPr>
        <w:t xml:space="preserve"> [accessed 14/12/2017]. </w:t>
      </w:r>
    </w:p>
  </w:footnote>
  <w:footnote w:id="11">
    <w:p w14:paraId="6BD60C21" w14:textId="042C8D2D"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w:t>
      </w:r>
      <w:r w:rsidRPr="00E94FED">
        <w:rPr>
          <w:rFonts w:ascii="Times New Roman" w:hAnsi="Times New Roman" w:cs="Times New Roman"/>
          <w:i/>
          <w:sz w:val="22"/>
          <w:szCs w:val="22"/>
        </w:rPr>
        <w:t>Ibid.</w:t>
      </w:r>
      <w:r w:rsidRPr="00E94FED">
        <w:rPr>
          <w:rFonts w:ascii="Times New Roman" w:hAnsi="Times New Roman" w:cs="Times New Roman"/>
          <w:sz w:val="22"/>
          <w:szCs w:val="22"/>
        </w:rPr>
        <w:t xml:space="preserve"> </w:t>
      </w:r>
    </w:p>
  </w:footnote>
  <w:footnote w:id="12">
    <w:p w14:paraId="0D9C4A86" w14:textId="3E897B99"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P. Dothery, </w:t>
      </w:r>
      <w:r w:rsidRPr="00E94FED">
        <w:rPr>
          <w:rFonts w:ascii="Times New Roman" w:hAnsi="Times New Roman" w:cs="Times New Roman"/>
          <w:i/>
          <w:sz w:val="22"/>
          <w:szCs w:val="22"/>
        </w:rPr>
        <w:t xml:space="preserve">Isabella and the Strange Death of Edward II </w:t>
      </w:r>
      <w:r w:rsidRPr="00E94FED">
        <w:rPr>
          <w:rFonts w:ascii="Times New Roman" w:hAnsi="Times New Roman" w:cs="Times New Roman"/>
          <w:sz w:val="22"/>
          <w:szCs w:val="22"/>
        </w:rPr>
        <w:t xml:space="preserve">(London: Constable and Robinson Ltd, 2003) p.2. </w:t>
      </w:r>
    </w:p>
  </w:footnote>
  <w:footnote w:id="13">
    <w:p w14:paraId="3FE3A5F6" w14:textId="264D4A5B"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Catholic Online, ‘Fourteen Holy Helpers’, </w:t>
      </w:r>
      <w:r w:rsidRPr="00E94FED">
        <w:rPr>
          <w:rFonts w:ascii="Times New Roman" w:hAnsi="Times New Roman" w:cs="Times New Roman"/>
          <w:i/>
          <w:sz w:val="22"/>
          <w:szCs w:val="22"/>
        </w:rPr>
        <w:t xml:space="preserve">Catholic Online </w:t>
      </w:r>
      <w:r w:rsidRPr="00E94FED">
        <w:rPr>
          <w:rFonts w:ascii="Times New Roman" w:hAnsi="Times New Roman" w:cs="Times New Roman"/>
          <w:sz w:val="22"/>
          <w:szCs w:val="22"/>
        </w:rPr>
        <w:t xml:space="preserve">(New Hampshire: Saint Benedict Center, 2017). Available at </w:t>
      </w:r>
      <w:hyperlink r:id="rId2" w:history="1">
        <w:r w:rsidRPr="00E94FED">
          <w:rPr>
            <w:rStyle w:val="Hyperlink"/>
            <w:rFonts w:ascii="Times New Roman" w:hAnsi="Times New Roman" w:cs="Times New Roman"/>
            <w:sz w:val="22"/>
            <w:szCs w:val="22"/>
          </w:rPr>
          <w:t>http://catholicism.org/the-fourteen-holy-helpers.html</w:t>
        </w:r>
      </w:hyperlink>
      <w:r w:rsidRPr="00E94FED">
        <w:rPr>
          <w:rStyle w:val="Hyperlink"/>
          <w:rFonts w:ascii="Times New Roman" w:hAnsi="Times New Roman" w:cs="Times New Roman"/>
          <w:sz w:val="22"/>
          <w:szCs w:val="22"/>
        </w:rPr>
        <w:t xml:space="preserve"> </w:t>
      </w:r>
      <w:r w:rsidRPr="00E94FED">
        <w:rPr>
          <w:rFonts w:ascii="Times New Roman" w:hAnsi="Times New Roman" w:cs="Times New Roman"/>
          <w:sz w:val="22"/>
          <w:szCs w:val="22"/>
        </w:rPr>
        <w:t>[accessed 14/12/2017].</w:t>
      </w:r>
    </w:p>
  </w:footnote>
  <w:footnote w:id="14">
    <w:p w14:paraId="1B629973" w14:textId="2AB115FA"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w:t>
      </w:r>
      <w:r w:rsidRPr="00E94FED">
        <w:rPr>
          <w:rFonts w:ascii="Times New Roman" w:hAnsi="Times New Roman" w:cs="Times New Roman"/>
          <w:i/>
          <w:sz w:val="22"/>
          <w:szCs w:val="22"/>
        </w:rPr>
        <w:t>Ibid.</w:t>
      </w:r>
      <w:r w:rsidRPr="00E94FED">
        <w:rPr>
          <w:rFonts w:ascii="Times New Roman" w:hAnsi="Times New Roman" w:cs="Times New Roman"/>
          <w:sz w:val="22"/>
          <w:szCs w:val="22"/>
        </w:rPr>
        <w:t xml:space="preserve"> </w:t>
      </w:r>
    </w:p>
  </w:footnote>
  <w:footnote w:id="15">
    <w:p w14:paraId="30A58467" w14:textId="5B1BF820"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w:t>
      </w:r>
      <w:r w:rsidRPr="00E94FED">
        <w:rPr>
          <w:rFonts w:ascii="Times New Roman" w:hAnsi="Times New Roman" w:cs="Times New Roman"/>
          <w:i/>
          <w:sz w:val="22"/>
          <w:szCs w:val="22"/>
        </w:rPr>
        <w:t xml:space="preserve">Ibid. </w:t>
      </w:r>
      <w:r w:rsidRPr="00E94FED">
        <w:rPr>
          <w:rFonts w:ascii="Times New Roman" w:hAnsi="Times New Roman" w:cs="Times New Roman"/>
          <w:sz w:val="22"/>
          <w:szCs w:val="22"/>
        </w:rPr>
        <w:t xml:space="preserve"> </w:t>
      </w:r>
    </w:p>
  </w:footnote>
  <w:footnote w:id="16">
    <w:p w14:paraId="51005ECB" w14:textId="226BC018"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M. White, ‘Humanity’s 100 deadliest achievements’, </w:t>
      </w:r>
      <w:r w:rsidRPr="00E94FED">
        <w:rPr>
          <w:rFonts w:ascii="Times New Roman" w:hAnsi="Times New Roman" w:cs="Times New Roman"/>
          <w:i/>
          <w:sz w:val="22"/>
          <w:szCs w:val="22"/>
        </w:rPr>
        <w:t xml:space="preserve">Atrocitology </w:t>
      </w:r>
      <w:r w:rsidRPr="00E94FED">
        <w:rPr>
          <w:rFonts w:ascii="Times New Roman" w:hAnsi="Times New Roman" w:cs="Times New Roman"/>
          <w:sz w:val="22"/>
          <w:szCs w:val="22"/>
        </w:rPr>
        <w:t xml:space="preserve">(New York: Matthew White, 2012). Available at </w:t>
      </w:r>
      <w:hyperlink r:id="rId3" w:history="1">
        <w:r w:rsidRPr="00E94FED">
          <w:rPr>
            <w:rStyle w:val="Hyperlink"/>
            <w:rFonts w:ascii="Times New Roman" w:hAnsi="Times New Roman" w:cs="Times New Roman"/>
            <w:sz w:val="22"/>
            <w:szCs w:val="22"/>
          </w:rPr>
          <w:t>http://www.bookofhorriblethings.com/ax02.html</w:t>
        </w:r>
      </w:hyperlink>
      <w:r w:rsidRPr="00E94FED">
        <w:rPr>
          <w:rFonts w:ascii="Times New Roman" w:hAnsi="Times New Roman" w:cs="Times New Roman"/>
          <w:sz w:val="22"/>
          <w:szCs w:val="22"/>
        </w:rPr>
        <w:t xml:space="preserve"> [accessed 14/12/2017]. </w:t>
      </w:r>
      <w:r w:rsidRPr="00E94FED">
        <w:rPr>
          <w:rFonts w:ascii="Times New Roman" w:hAnsi="Times New Roman" w:cs="Times New Roman"/>
          <w:i/>
          <w:sz w:val="22"/>
          <w:szCs w:val="22"/>
        </w:rPr>
        <w:t xml:space="preserve"> </w:t>
      </w:r>
    </w:p>
  </w:footnote>
  <w:footnote w:id="17">
    <w:p w14:paraId="58D54306" w14:textId="5440E148"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Catholic Online, ‘Fourteen Holy Helpers’, available at </w:t>
      </w:r>
      <w:hyperlink r:id="rId4" w:history="1">
        <w:r w:rsidRPr="00E94FED">
          <w:rPr>
            <w:rStyle w:val="Hyperlink"/>
            <w:rFonts w:ascii="Times New Roman" w:hAnsi="Times New Roman" w:cs="Times New Roman"/>
            <w:sz w:val="22"/>
            <w:szCs w:val="22"/>
          </w:rPr>
          <w:t>http://catholicism.org/the-fourteen-holy-helpers.html</w:t>
        </w:r>
      </w:hyperlink>
      <w:r w:rsidRPr="00E94FED">
        <w:rPr>
          <w:rStyle w:val="Hyperlink"/>
          <w:rFonts w:ascii="Times New Roman" w:hAnsi="Times New Roman" w:cs="Times New Roman"/>
          <w:sz w:val="22"/>
          <w:szCs w:val="22"/>
        </w:rPr>
        <w:t xml:space="preserve"> </w:t>
      </w:r>
      <w:r w:rsidRPr="00E94FED">
        <w:rPr>
          <w:rFonts w:ascii="Times New Roman" w:hAnsi="Times New Roman" w:cs="Times New Roman"/>
          <w:sz w:val="22"/>
          <w:szCs w:val="22"/>
        </w:rPr>
        <w:t>[accessed 14/12/2017].</w:t>
      </w:r>
    </w:p>
  </w:footnote>
  <w:footnote w:id="18">
    <w:p w14:paraId="087934B2" w14:textId="64AF9223"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G. Dickson, ‘Encounters in Medieval Revivalism: Monks, Friars, and Popular Enthusiasts’, </w:t>
      </w:r>
      <w:r w:rsidRPr="00E94FED">
        <w:rPr>
          <w:rFonts w:ascii="Times New Roman" w:hAnsi="Times New Roman" w:cs="Times New Roman"/>
          <w:i/>
          <w:sz w:val="22"/>
          <w:szCs w:val="22"/>
        </w:rPr>
        <w:t xml:space="preserve">Church History, </w:t>
      </w:r>
      <w:r w:rsidRPr="00E94FED">
        <w:rPr>
          <w:rFonts w:ascii="Times New Roman" w:hAnsi="Times New Roman" w:cs="Times New Roman"/>
          <w:sz w:val="22"/>
          <w:szCs w:val="22"/>
        </w:rPr>
        <w:t>Vol. 68, No. 2 (June 1999) (Cambridge: Cambridge University Press, 1999 pp. 265-293, p.274.</w:t>
      </w:r>
    </w:p>
  </w:footnote>
  <w:footnote w:id="19">
    <w:p w14:paraId="2CE73947" w14:textId="5CC3FFA8"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w:t>
      </w:r>
      <w:r w:rsidRPr="00E94FED">
        <w:rPr>
          <w:rFonts w:ascii="Times New Roman" w:hAnsi="Times New Roman" w:cs="Times New Roman"/>
          <w:i/>
          <w:sz w:val="22"/>
          <w:szCs w:val="22"/>
        </w:rPr>
        <w:t>Ibid.</w:t>
      </w:r>
    </w:p>
  </w:footnote>
  <w:footnote w:id="20">
    <w:p w14:paraId="3D8D1D81" w14:textId="2A289C90"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Blockmans, </w:t>
      </w:r>
      <w:r w:rsidRPr="00E94FED">
        <w:rPr>
          <w:rFonts w:ascii="Times New Roman" w:hAnsi="Times New Roman" w:cs="Times New Roman"/>
          <w:i/>
          <w:sz w:val="22"/>
          <w:szCs w:val="22"/>
        </w:rPr>
        <w:t xml:space="preserve">Introduction to Medieval Europe 300-1500, </w:t>
      </w:r>
      <w:r w:rsidRPr="00E94FED">
        <w:rPr>
          <w:rFonts w:ascii="Times New Roman" w:hAnsi="Times New Roman" w:cs="Times New Roman"/>
          <w:sz w:val="22"/>
          <w:szCs w:val="22"/>
        </w:rPr>
        <w:t xml:space="preserve">p.278. </w:t>
      </w:r>
    </w:p>
  </w:footnote>
  <w:footnote w:id="21">
    <w:p w14:paraId="69B1A6FE" w14:textId="4282D7EA"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P. Gregg, </w:t>
      </w:r>
      <w:r w:rsidRPr="00E94FED">
        <w:rPr>
          <w:rFonts w:ascii="Times New Roman" w:hAnsi="Times New Roman" w:cs="Times New Roman"/>
          <w:i/>
          <w:sz w:val="22"/>
          <w:szCs w:val="22"/>
        </w:rPr>
        <w:t xml:space="preserve">Black Death to Industrial Revolution </w:t>
      </w:r>
      <w:r w:rsidRPr="00E94FED">
        <w:rPr>
          <w:rFonts w:ascii="Times New Roman" w:hAnsi="Times New Roman" w:cs="Times New Roman"/>
          <w:sz w:val="22"/>
          <w:szCs w:val="22"/>
        </w:rPr>
        <w:t>(London: Harrap, 1979) p.10.</w:t>
      </w:r>
    </w:p>
  </w:footnote>
  <w:footnote w:id="22">
    <w:p w14:paraId="5F6042E7" w14:textId="273F8697"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w:t>
      </w:r>
      <w:r w:rsidRPr="00E94FED">
        <w:rPr>
          <w:rFonts w:ascii="Times New Roman" w:hAnsi="Times New Roman" w:cs="Times New Roman"/>
          <w:i/>
          <w:sz w:val="22"/>
          <w:szCs w:val="22"/>
        </w:rPr>
        <w:t>Ibid,</w:t>
      </w:r>
      <w:r w:rsidRPr="00E94FED">
        <w:rPr>
          <w:rFonts w:ascii="Times New Roman" w:hAnsi="Times New Roman" w:cs="Times New Roman"/>
          <w:sz w:val="22"/>
          <w:szCs w:val="22"/>
        </w:rPr>
        <w:t xml:space="preserve"> p.83. </w:t>
      </w:r>
    </w:p>
  </w:footnote>
  <w:footnote w:id="23">
    <w:p w14:paraId="0AF36F96" w14:textId="4E94A169"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B. Haven Putnam, </w:t>
      </w:r>
      <w:r w:rsidRPr="00E94FED">
        <w:rPr>
          <w:rFonts w:ascii="Times New Roman" w:hAnsi="Times New Roman" w:cs="Times New Roman"/>
          <w:i/>
          <w:sz w:val="22"/>
          <w:szCs w:val="22"/>
        </w:rPr>
        <w:t xml:space="preserve">The Enforcement of the Statutes of Labourers </w:t>
      </w:r>
      <w:r w:rsidRPr="00E94FED">
        <w:rPr>
          <w:rFonts w:ascii="Times New Roman" w:hAnsi="Times New Roman" w:cs="Times New Roman"/>
          <w:sz w:val="22"/>
          <w:szCs w:val="22"/>
        </w:rPr>
        <w:t xml:space="preserve">(New York: AMS Press, 1908) pp.3-4. </w:t>
      </w:r>
    </w:p>
  </w:footnote>
  <w:footnote w:id="24">
    <w:p w14:paraId="380C94E6" w14:textId="7BF16D2E"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Gregg, </w:t>
      </w:r>
      <w:r w:rsidRPr="00E94FED">
        <w:rPr>
          <w:rFonts w:ascii="Times New Roman" w:hAnsi="Times New Roman" w:cs="Times New Roman"/>
          <w:i/>
          <w:sz w:val="22"/>
          <w:szCs w:val="22"/>
        </w:rPr>
        <w:t>Black Death to Industrial Revolution,</w:t>
      </w:r>
      <w:r w:rsidRPr="00E94FED">
        <w:rPr>
          <w:rFonts w:ascii="Times New Roman" w:hAnsi="Times New Roman" w:cs="Times New Roman"/>
          <w:sz w:val="22"/>
          <w:szCs w:val="22"/>
        </w:rPr>
        <w:t xml:space="preserve"> p.83. </w:t>
      </w:r>
    </w:p>
  </w:footnote>
  <w:footnote w:id="25">
    <w:p w14:paraId="55B9195D" w14:textId="3027683F"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B. Johnson, ‘Wat Tyler and the Peasants Revolt’, </w:t>
      </w:r>
      <w:r w:rsidRPr="00E94FED">
        <w:rPr>
          <w:rFonts w:ascii="Times New Roman" w:hAnsi="Times New Roman" w:cs="Times New Roman"/>
          <w:i/>
          <w:sz w:val="22"/>
          <w:szCs w:val="22"/>
        </w:rPr>
        <w:t xml:space="preserve">Historic UK </w:t>
      </w:r>
      <w:r w:rsidRPr="00E94FED">
        <w:rPr>
          <w:rFonts w:ascii="Times New Roman" w:hAnsi="Times New Roman" w:cs="Times New Roman"/>
          <w:sz w:val="22"/>
          <w:szCs w:val="22"/>
        </w:rPr>
        <w:t xml:space="preserve">(Devon: Historic UK, 2017). Available at </w:t>
      </w:r>
      <w:hyperlink r:id="rId5" w:history="1">
        <w:r w:rsidRPr="00E94FED">
          <w:rPr>
            <w:rStyle w:val="Hyperlink"/>
            <w:rFonts w:ascii="Times New Roman" w:hAnsi="Times New Roman" w:cs="Times New Roman"/>
            <w:sz w:val="22"/>
            <w:szCs w:val="22"/>
          </w:rPr>
          <w:t>http://www.historic-uk.com/HistoryUK/HistoryofEngland/Wat-Tyler-the-Peasants-Revolt/</w:t>
        </w:r>
      </w:hyperlink>
      <w:r w:rsidRPr="00E94FED">
        <w:rPr>
          <w:rFonts w:ascii="Times New Roman" w:hAnsi="Times New Roman" w:cs="Times New Roman"/>
          <w:sz w:val="22"/>
          <w:szCs w:val="22"/>
        </w:rPr>
        <w:t xml:space="preserve"> [accessed 14/12/2017]. </w:t>
      </w:r>
    </w:p>
  </w:footnote>
  <w:footnote w:id="26">
    <w:p w14:paraId="390EEE82" w14:textId="2735564A"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Gregg, </w:t>
      </w:r>
      <w:r w:rsidRPr="00E94FED">
        <w:rPr>
          <w:rFonts w:ascii="Times New Roman" w:hAnsi="Times New Roman" w:cs="Times New Roman"/>
          <w:i/>
          <w:sz w:val="22"/>
          <w:szCs w:val="22"/>
        </w:rPr>
        <w:t>Black Death to Industrial Revolution,</w:t>
      </w:r>
      <w:r w:rsidRPr="00E94FED">
        <w:rPr>
          <w:rFonts w:ascii="Times New Roman" w:hAnsi="Times New Roman" w:cs="Times New Roman"/>
          <w:sz w:val="22"/>
          <w:szCs w:val="22"/>
        </w:rPr>
        <w:t xml:space="preserve"> p.82. </w:t>
      </w:r>
    </w:p>
  </w:footnote>
  <w:footnote w:id="27">
    <w:p w14:paraId="0CE0D662" w14:textId="15131E44" w:rsidR="001754A0" w:rsidRPr="00E94FED" w:rsidRDefault="001754A0" w:rsidP="00E01CDE">
      <w:pPr>
        <w:pStyle w:val="FootnoteText"/>
        <w:tabs>
          <w:tab w:val="left" w:pos="8210"/>
        </w:tabs>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Blockmans, </w:t>
      </w:r>
      <w:r w:rsidRPr="00E94FED">
        <w:rPr>
          <w:rFonts w:ascii="Times New Roman" w:hAnsi="Times New Roman" w:cs="Times New Roman"/>
          <w:i/>
          <w:sz w:val="22"/>
          <w:szCs w:val="22"/>
        </w:rPr>
        <w:t xml:space="preserve">Introduction to Medieval Europe 300-1500, </w:t>
      </w:r>
      <w:r w:rsidRPr="00E94FED">
        <w:rPr>
          <w:rFonts w:ascii="Times New Roman" w:hAnsi="Times New Roman" w:cs="Times New Roman"/>
          <w:sz w:val="22"/>
          <w:szCs w:val="22"/>
        </w:rPr>
        <w:t xml:space="preserve">p.278. </w:t>
      </w:r>
      <w:r w:rsidR="00E01CDE">
        <w:rPr>
          <w:rFonts w:ascii="Times New Roman" w:hAnsi="Times New Roman" w:cs="Times New Roman"/>
          <w:sz w:val="22"/>
          <w:szCs w:val="22"/>
        </w:rPr>
        <w:tab/>
      </w:r>
    </w:p>
  </w:footnote>
  <w:footnote w:id="28">
    <w:p w14:paraId="288D2952" w14:textId="5FEC8E5B"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Gregg, </w:t>
      </w:r>
      <w:r w:rsidRPr="00E94FED">
        <w:rPr>
          <w:rFonts w:ascii="Times New Roman" w:hAnsi="Times New Roman" w:cs="Times New Roman"/>
          <w:i/>
          <w:sz w:val="22"/>
          <w:szCs w:val="22"/>
        </w:rPr>
        <w:t>Black Death to Industrial Revolution,</w:t>
      </w:r>
      <w:r w:rsidRPr="00E94FED">
        <w:rPr>
          <w:rFonts w:ascii="Times New Roman" w:hAnsi="Times New Roman" w:cs="Times New Roman"/>
          <w:sz w:val="22"/>
          <w:szCs w:val="22"/>
        </w:rPr>
        <w:t xml:space="preserve"> p84. </w:t>
      </w:r>
    </w:p>
  </w:footnote>
  <w:footnote w:id="29">
    <w:p w14:paraId="4A76FFB6" w14:textId="5C57F026"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D. Loschky and B.D. Childs, ‘Early English Mortality’, </w:t>
      </w:r>
      <w:r w:rsidRPr="00E94FED">
        <w:rPr>
          <w:rFonts w:ascii="Times New Roman" w:hAnsi="Times New Roman" w:cs="Times New Roman"/>
          <w:i/>
          <w:sz w:val="22"/>
          <w:szCs w:val="22"/>
        </w:rPr>
        <w:t xml:space="preserve">The Journal of Interdisciplinary History, </w:t>
      </w:r>
      <w:r w:rsidRPr="00E94FED">
        <w:rPr>
          <w:rFonts w:ascii="Times New Roman" w:hAnsi="Times New Roman" w:cs="Times New Roman"/>
          <w:sz w:val="22"/>
          <w:szCs w:val="22"/>
        </w:rPr>
        <w:t>Vol. 24, No. 1 (Summer, 1993) (Massachusettes: The MIT Press, 1993) pp.85-97, p.94.</w:t>
      </w:r>
    </w:p>
  </w:footnote>
  <w:footnote w:id="30">
    <w:p w14:paraId="523CC98D" w14:textId="00F0ACA7"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N. Faulkner, ‘A Marxist History of the World part 33: The class struggle in medieval Europe’, </w:t>
      </w:r>
      <w:r w:rsidRPr="00E94FED">
        <w:rPr>
          <w:rFonts w:ascii="Times New Roman" w:hAnsi="Times New Roman" w:cs="Times New Roman"/>
          <w:i/>
          <w:sz w:val="22"/>
          <w:szCs w:val="22"/>
        </w:rPr>
        <w:t xml:space="preserve">Counterfire </w:t>
      </w:r>
      <w:r w:rsidRPr="00E94FED">
        <w:rPr>
          <w:rFonts w:ascii="Times New Roman" w:hAnsi="Times New Roman" w:cs="Times New Roman"/>
          <w:sz w:val="22"/>
          <w:szCs w:val="22"/>
        </w:rPr>
        <w:t xml:space="preserve">(United States: Counterfire, 2011). Available at </w:t>
      </w:r>
      <w:hyperlink r:id="rId6" w:history="1">
        <w:r w:rsidRPr="00E94FED">
          <w:rPr>
            <w:rStyle w:val="Hyperlink"/>
            <w:rFonts w:ascii="Times New Roman" w:hAnsi="Times New Roman" w:cs="Times New Roman"/>
            <w:sz w:val="22"/>
            <w:szCs w:val="22"/>
          </w:rPr>
          <w:t>http://www.counterfire.org/a-marxist-history-of-the-world/12086-a-marxist-history-of-the-world-part-33-the-class-struggle-in-medieval-europe</w:t>
        </w:r>
      </w:hyperlink>
      <w:r w:rsidRPr="00E94FED">
        <w:rPr>
          <w:rFonts w:ascii="Times New Roman" w:hAnsi="Times New Roman" w:cs="Times New Roman"/>
          <w:sz w:val="22"/>
          <w:szCs w:val="22"/>
        </w:rPr>
        <w:t xml:space="preserve"> [accessed 14/12/2017].</w:t>
      </w:r>
    </w:p>
  </w:footnote>
  <w:footnote w:id="31">
    <w:p w14:paraId="010CF74D" w14:textId="6ABAEF0A"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British History Online, ‘The woollen industry before 1500’, </w:t>
      </w:r>
      <w:r w:rsidRPr="00E94FED">
        <w:rPr>
          <w:rFonts w:ascii="Times New Roman" w:hAnsi="Times New Roman" w:cs="Times New Roman"/>
          <w:i/>
          <w:sz w:val="22"/>
          <w:szCs w:val="22"/>
        </w:rPr>
        <w:t xml:space="preserve">British History Online </w:t>
      </w:r>
      <w:r w:rsidRPr="00E94FED">
        <w:rPr>
          <w:rFonts w:ascii="Times New Roman" w:hAnsi="Times New Roman" w:cs="Times New Roman"/>
          <w:sz w:val="22"/>
          <w:szCs w:val="22"/>
        </w:rPr>
        <w:t xml:space="preserve">(London: British History Online, 1959). Available at </w:t>
      </w:r>
      <w:hyperlink r:id="rId7" w:history="1">
        <w:r w:rsidRPr="00E94FED">
          <w:rPr>
            <w:rStyle w:val="Hyperlink"/>
            <w:rFonts w:ascii="Times New Roman" w:hAnsi="Times New Roman" w:cs="Times New Roman"/>
            <w:sz w:val="22"/>
            <w:szCs w:val="22"/>
          </w:rPr>
          <w:t>http://www.british-history.ac.uk/vch/wilts/vol4/pp115-147</w:t>
        </w:r>
      </w:hyperlink>
      <w:r w:rsidRPr="00E94FED">
        <w:rPr>
          <w:rFonts w:ascii="Times New Roman" w:hAnsi="Times New Roman" w:cs="Times New Roman"/>
          <w:sz w:val="22"/>
          <w:szCs w:val="22"/>
        </w:rPr>
        <w:t xml:space="preserve"> [accessed 14/12/2017].</w:t>
      </w:r>
    </w:p>
  </w:footnote>
  <w:footnote w:id="32">
    <w:p w14:paraId="6977E69D" w14:textId="712DB755"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Coulton, </w:t>
      </w:r>
      <w:r w:rsidRPr="00E94FED">
        <w:rPr>
          <w:rFonts w:ascii="Times New Roman" w:hAnsi="Times New Roman" w:cs="Times New Roman"/>
          <w:i/>
          <w:sz w:val="22"/>
          <w:szCs w:val="22"/>
        </w:rPr>
        <w:t>The Black Death,</w:t>
      </w:r>
      <w:r w:rsidRPr="00E94FED">
        <w:rPr>
          <w:rFonts w:ascii="Times New Roman" w:hAnsi="Times New Roman" w:cs="Times New Roman"/>
          <w:sz w:val="22"/>
          <w:szCs w:val="22"/>
        </w:rPr>
        <w:t xml:space="preserve"> p.72. </w:t>
      </w:r>
    </w:p>
  </w:footnote>
  <w:footnote w:id="33">
    <w:p w14:paraId="37D7043B" w14:textId="65212E05" w:rsidR="001754A0" w:rsidRPr="00E94FED" w:rsidRDefault="001754A0" w:rsidP="001754A0">
      <w:pPr>
        <w:pStyle w:val="NoSpacing"/>
        <w:rPr>
          <w:rFonts w:ascii="Times New Roman" w:hAnsi="Times New Roman" w:cs="Times New Roman"/>
        </w:rPr>
      </w:pPr>
      <w:r w:rsidRPr="00E94FED">
        <w:rPr>
          <w:rStyle w:val="FootnoteReference"/>
          <w:rFonts w:ascii="Times New Roman" w:hAnsi="Times New Roman" w:cs="Times New Roman"/>
        </w:rPr>
        <w:footnoteRef/>
      </w:r>
      <w:r w:rsidRPr="00E94FED">
        <w:rPr>
          <w:rFonts w:ascii="Times New Roman" w:hAnsi="Times New Roman" w:cs="Times New Roman"/>
        </w:rPr>
        <w:t xml:space="preserve"> B., Gotschall, ‘A Brief History of the “Danse Macabre”’, </w:t>
      </w:r>
      <w:r w:rsidRPr="00E94FED">
        <w:rPr>
          <w:rFonts w:ascii="Times New Roman" w:hAnsi="Times New Roman" w:cs="Times New Roman"/>
          <w:i/>
        </w:rPr>
        <w:t xml:space="preserve">Atlas Obscura </w:t>
      </w:r>
      <w:r w:rsidRPr="00E94FED">
        <w:rPr>
          <w:rFonts w:ascii="Times New Roman" w:hAnsi="Times New Roman" w:cs="Times New Roman"/>
        </w:rPr>
        <w:t xml:space="preserve">(New York: Atlas Obscura, 2017). Available at </w:t>
      </w:r>
      <w:hyperlink r:id="rId8" w:history="1">
        <w:r w:rsidRPr="00E94FED">
          <w:rPr>
            <w:rStyle w:val="Hyperlink"/>
            <w:rFonts w:ascii="Times New Roman" w:hAnsi="Times New Roman" w:cs="Times New Roman"/>
          </w:rPr>
          <w:t>https://www.atlasobscura.com/articles/danse-macabre-david-pumpkins-art-history</w:t>
        </w:r>
      </w:hyperlink>
      <w:r w:rsidRPr="00E94FED">
        <w:rPr>
          <w:rFonts w:ascii="Times New Roman" w:hAnsi="Times New Roman" w:cs="Times New Roman"/>
        </w:rPr>
        <w:t xml:space="preserve"> [accessed 23/11/2017].</w:t>
      </w:r>
    </w:p>
  </w:footnote>
  <w:footnote w:id="34">
    <w:p w14:paraId="4ECA1FA7" w14:textId="1693A12A"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G.W. McClure, </w:t>
      </w:r>
      <w:r w:rsidRPr="00E94FED">
        <w:rPr>
          <w:rFonts w:ascii="Times New Roman" w:hAnsi="Times New Roman" w:cs="Times New Roman"/>
          <w:i/>
          <w:sz w:val="22"/>
          <w:szCs w:val="22"/>
        </w:rPr>
        <w:t xml:space="preserve">The Culture of Profession in Late Renaissance Italy </w:t>
      </w:r>
      <w:r w:rsidRPr="00E94FED">
        <w:rPr>
          <w:rFonts w:ascii="Times New Roman" w:hAnsi="Times New Roman" w:cs="Times New Roman"/>
          <w:sz w:val="22"/>
          <w:szCs w:val="22"/>
        </w:rPr>
        <w:t>(Toronto: University of Toronto Press, 2004)</w:t>
      </w:r>
      <w:r w:rsidRPr="00E94FED">
        <w:rPr>
          <w:rFonts w:ascii="Times New Roman" w:hAnsi="Times New Roman" w:cs="Times New Roman"/>
          <w:i/>
          <w:sz w:val="22"/>
          <w:szCs w:val="22"/>
        </w:rPr>
        <w:t xml:space="preserve"> </w:t>
      </w:r>
      <w:r w:rsidRPr="00E94FED">
        <w:rPr>
          <w:rFonts w:ascii="Times New Roman" w:hAnsi="Times New Roman" w:cs="Times New Roman"/>
          <w:sz w:val="22"/>
          <w:szCs w:val="22"/>
        </w:rPr>
        <w:t xml:space="preserve">p.179. </w:t>
      </w:r>
    </w:p>
  </w:footnote>
  <w:footnote w:id="35">
    <w:p w14:paraId="3B2D29CD" w14:textId="35A0C6FE" w:rsidR="001754A0" w:rsidRPr="00E94FED" w:rsidRDefault="001754A0" w:rsidP="001754A0">
      <w:pPr>
        <w:pStyle w:val="NoSpacing"/>
        <w:rPr>
          <w:rFonts w:ascii="Times New Roman" w:hAnsi="Times New Roman" w:cs="Times New Roman"/>
        </w:rPr>
      </w:pPr>
      <w:r w:rsidRPr="00E94FED">
        <w:rPr>
          <w:rStyle w:val="FootnoteReference"/>
          <w:rFonts w:ascii="Times New Roman" w:hAnsi="Times New Roman" w:cs="Times New Roman"/>
        </w:rPr>
        <w:footnoteRef/>
      </w:r>
      <w:r w:rsidRPr="00E94FED">
        <w:rPr>
          <w:rFonts w:ascii="Times New Roman" w:hAnsi="Times New Roman" w:cs="Times New Roman"/>
        </w:rPr>
        <w:t xml:space="preserve"> Gotschall, ‘A Brief History of the “Danse Macabre”. Available at </w:t>
      </w:r>
      <w:hyperlink r:id="rId9" w:history="1">
        <w:r w:rsidRPr="00E94FED">
          <w:rPr>
            <w:rStyle w:val="Hyperlink"/>
            <w:rFonts w:ascii="Times New Roman" w:hAnsi="Times New Roman" w:cs="Times New Roman"/>
          </w:rPr>
          <w:t>https://www.atlasobscura.com/articles/danse-macabre-david-pumpkins-art-history</w:t>
        </w:r>
      </w:hyperlink>
      <w:r w:rsidRPr="00E94FED">
        <w:rPr>
          <w:rFonts w:ascii="Times New Roman" w:hAnsi="Times New Roman" w:cs="Times New Roman"/>
        </w:rPr>
        <w:t xml:space="preserve"> [accessed 14/12/2017].</w:t>
      </w:r>
    </w:p>
  </w:footnote>
  <w:footnote w:id="36">
    <w:p w14:paraId="4EA97909" w14:textId="57A76B74"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P. Pollefeys, ‘Lübeck: Dance of Death’, </w:t>
      </w:r>
      <w:r w:rsidRPr="00E94FED">
        <w:rPr>
          <w:rFonts w:ascii="Times New Roman" w:hAnsi="Times New Roman" w:cs="Times New Roman"/>
          <w:i/>
          <w:sz w:val="22"/>
          <w:szCs w:val="22"/>
        </w:rPr>
        <w:t xml:space="preserve">Danse Macabre </w:t>
      </w:r>
      <w:r w:rsidRPr="00E94FED">
        <w:rPr>
          <w:rFonts w:ascii="Times New Roman" w:hAnsi="Times New Roman" w:cs="Times New Roman"/>
          <w:sz w:val="22"/>
          <w:szCs w:val="22"/>
        </w:rPr>
        <w:t xml:space="preserve">(France: Patrick Pllefeys, 2017). Available at </w:t>
      </w:r>
      <w:hyperlink r:id="rId10" w:history="1">
        <w:r w:rsidRPr="00E94FED">
          <w:rPr>
            <w:rStyle w:val="Hyperlink"/>
            <w:rFonts w:ascii="Times New Roman" w:hAnsi="Times New Roman" w:cs="Times New Roman"/>
            <w:sz w:val="22"/>
            <w:szCs w:val="22"/>
          </w:rPr>
          <w:t>http://www.lamortdanslart.com/danse/Allemagne/Lubeck/dd_lubeck.htm</w:t>
        </w:r>
      </w:hyperlink>
      <w:r w:rsidRPr="00E94FED">
        <w:rPr>
          <w:rFonts w:ascii="Times New Roman" w:hAnsi="Times New Roman" w:cs="Times New Roman"/>
          <w:sz w:val="22"/>
          <w:szCs w:val="22"/>
        </w:rPr>
        <w:t xml:space="preserve"> [accessed 14/12/2017].</w:t>
      </w:r>
    </w:p>
  </w:footnote>
  <w:footnote w:id="37">
    <w:p w14:paraId="569526C2" w14:textId="2A7B39C3"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P. McCouat, ‘Surviving the Black Death’, </w:t>
      </w:r>
      <w:r w:rsidRPr="00E94FED">
        <w:rPr>
          <w:rFonts w:ascii="Times New Roman" w:hAnsi="Times New Roman" w:cs="Times New Roman"/>
          <w:i/>
          <w:sz w:val="22"/>
          <w:szCs w:val="22"/>
        </w:rPr>
        <w:t xml:space="preserve">Journal of Art in Society </w:t>
      </w:r>
      <w:r w:rsidRPr="00E94FED">
        <w:rPr>
          <w:rFonts w:ascii="Times New Roman" w:hAnsi="Times New Roman" w:cs="Times New Roman"/>
          <w:sz w:val="22"/>
          <w:szCs w:val="22"/>
        </w:rPr>
        <w:t xml:space="preserve">(Sydney: Journal of Art in Society, 2012). Available at </w:t>
      </w:r>
      <w:hyperlink r:id="rId11" w:history="1">
        <w:r w:rsidRPr="00E94FED">
          <w:rPr>
            <w:rStyle w:val="Hyperlink"/>
            <w:rFonts w:ascii="Times New Roman" w:hAnsi="Times New Roman" w:cs="Times New Roman"/>
            <w:sz w:val="22"/>
            <w:szCs w:val="22"/>
          </w:rPr>
          <w:t>http://www.artinsociety.com/surviving-the-black-death.html</w:t>
        </w:r>
      </w:hyperlink>
      <w:r w:rsidRPr="00E94FED">
        <w:rPr>
          <w:rFonts w:ascii="Times New Roman" w:hAnsi="Times New Roman" w:cs="Times New Roman"/>
          <w:sz w:val="22"/>
          <w:szCs w:val="22"/>
        </w:rPr>
        <w:t xml:space="preserve"> [accessed 14/12/2017].</w:t>
      </w:r>
    </w:p>
  </w:footnote>
  <w:footnote w:id="38">
    <w:p w14:paraId="32FCCE2C" w14:textId="0C7B7C9F"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w:t>
      </w:r>
      <w:r w:rsidRPr="00E94FED">
        <w:rPr>
          <w:rFonts w:ascii="Times New Roman" w:hAnsi="Times New Roman" w:cs="Times New Roman"/>
          <w:i/>
          <w:sz w:val="22"/>
          <w:szCs w:val="22"/>
        </w:rPr>
        <w:t xml:space="preserve">Ibid. </w:t>
      </w:r>
      <w:r w:rsidRPr="00E94FED">
        <w:rPr>
          <w:rFonts w:ascii="Times New Roman" w:hAnsi="Times New Roman" w:cs="Times New Roman"/>
          <w:sz w:val="22"/>
          <w:szCs w:val="22"/>
        </w:rPr>
        <w:t xml:space="preserve"> </w:t>
      </w:r>
    </w:p>
  </w:footnote>
  <w:footnote w:id="39">
    <w:p w14:paraId="7E0DD511" w14:textId="1976BF8E"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The Met Museum, ‘Madonna and Child’,</w:t>
      </w:r>
      <w:r w:rsidRPr="00E94FED">
        <w:rPr>
          <w:rFonts w:ascii="Times New Roman" w:hAnsi="Times New Roman" w:cs="Times New Roman"/>
          <w:i/>
          <w:sz w:val="22"/>
          <w:szCs w:val="22"/>
        </w:rPr>
        <w:t xml:space="preserve"> The Met Museum </w:t>
      </w:r>
      <w:r w:rsidRPr="00E94FED">
        <w:rPr>
          <w:rFonts w:ascii="Times New Roman" w:hAnsi="Times New Roman" w:cs="Times New Roman"/>
          <w:sz w:val="22"/>
          <w:szCs w:val="22"/>
        </w:rPr>
        <w:t xml:space="preserve">(New York: The Met Museum, 2017) Available at </w:t>
      </w:r>
      <w:hyperlink r:id="rId12" w:history="1">
        <w:r w:rsidRPr="00E94FED">
          <w:rPr>
            <w:rStyle w:val="Hyperlink"/>
            <w:rFonts w:ascii="Times New Roman" w:hAnsi="Times New Roman" w:cs="Times New Roman"/>
            <w:sz w:val="22"/>
            <w:szCs w:val="22"/>
          </w:rPr>
          <w:t>https://www.metmuseum.org/toah/works-of-art/2004.442/</w:t>
        </w:r>
      </w:hyperlink>
      <w:r w:rsidRPr="00E94FED">
        <w:rPr>
          <w:rFonts w:ascii="Times New Roman" w:hAnsi="Times New Roman" w:cs="Times New Roman"/>
          <w:sz w:val="22"/>
          <w:szCs w:val="22"/>
        </w:rPr>
        <w:t xml:space="preserve"> [accessed 14/12/2017].</w:t>
      </w:r>
    </w:p>
  </w:footnote>
  <w:footnote w:id="40">
    <w:p w14:paraId="277E44D4" w14:textId="7687C586"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E. Krén and D. Marx, ‘The Adoration of Magi’, </w:t>
      </w:r>
      <w:r w:rsidRPr="00E94FED">
        <w:rPr>
          <w:rFonts w:ascii="Times New Roman" w:hAnsi="Times New Roman" w:cs="Times New Roman"/>
          <w:i/>
          <w:sz w:val="22"/>
          <w:szCs w:val="22"/>
        </w:rPr>
        <w:t xml:space="preserve">Web Gallery of Art </w:t>
      </w:r>
      <w:r w:rsidRPr="00E94FED">
        <w:rPr>
          <w:rFonts w:ascii="Times New Roman" w:hAnsi="Times New Roman" w:cs="Times New Roman"/>
          <w:sz w:val="22"/>
          <w:szCs w:val="22"/>
        </w:rPr>
        <w:t xml:space="preserve">(Budapest: Web Gallery of Art, 2017). Available at </w:t>
      </w:r>
      <w:hyperlink r:id="rId13" w:history="1">
        <w:r w:rsidRPr="00E94FED">
          <w:rPr>
            <w:rStyle w:val="Hyperlink"/>
            <w:rFonts w:ascii="Times New Roman" w:hAnsi="Times New Roman" w:cs="Times New Roman"/>
            <w:sz w:val="22"/>
            <w:szCs w:val="22"/>
          </w:rPr>
          <w:t>https://www.wga.hu/frames-e.html?/html/b/bartolo/index.html</w:t>
        </w:r>
      </w:hyperlink>
      <w:r w:rsidRPr="00E94FED">
        <w:rPr>
          <w:rFonts w:ascii="Times New Roman" w:hAnsi="Times New Roman" w:cs="Times New Roman"/>
          <w:sz w:val="22"/>
          <w:szCs w:val="22"/>
        </w:rPr>
        <w:t xml:space="preserve">  [accessed 14/12/2017].</w:t>
      </w:r>
    </w:p>
  </w:footnote>
  <w:footnote w:id="41">
    <w:p w14:paraId="0D6E2CEB" w14:textId="26EBC3D3"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McCouat, ‘Surviving the Black Death’, available at </w:t>
      </w:r>
      <w:hyperlink r:id="rId14" w:history="1">
        <w:r w:rsidRPr="00E94FED">
          <w:rPr>
            <w:rStyle w:val="Hyperlink"/>
            <w:rFonts w:ascii="Times New Roman" w:hAnsi="Times New Roman" w:cs="Times New Roman"/>
            <w:sz w:val="22"/>
            <w:szCs w:val="22"/>
          </w:rPr>
          <w:t>http://www.artinsociety.com/surviving-the-black-death.html</w:t>
        </w:r>
      </w:hyperlink>
      <w:r w:rsidRPr="00E94FED">
        <w:rPr>
          <w:rFonts w:ascii="Times New Roman" w:hAnsi="Times New Roman" w:cs="Times New Roman"/>
          <w:sz w:val="22"/>
          <w:szCs w:val="22"/>
        </w:rPr>
        <w:t xml:space="preserve"> [accessed 14/12/2017].</w:t>
      </w:r>
    </w:p>
  </w:footnote>
  <w:footnote w:id="42">
    <w:p w14:paraId="56BDF29C" w14:textId="57378D41"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Papal Encyclicals Online, ‘Third Lateran Council’, </w:t>
      </w:r>
      <w:r w:rsidRPr="00E94FED">
        <w:rPr>
          <w:rFonts w:ascii="Times New Roman" w:hAnsi="Times New Roman" w:cs="Times New Roman"/>
          <w:i/>
          <w:sz w:val="22"/>
          <w:szCs w:val="22"/>
        </w:rPr>
        <w:t>Papal Encyclicals Online</w:t>
      </w:r>
      <w:r w:rsidRPr="00E94FED">
        <w:rPr>
          <w:rFonts w:ascii="Times New Roman" w:hAnsi="Times New Roman" w:cs="Times New Roman"/>
          <w:sz w:val="22"/>
          <w:szCs w:val="22"/>
        </w:rPr>
        <w:t xml:space="preserve"> (Ohio: Papal Encyclicals Online, 2017). Available at </w:t>
      </w:r>
      <w:hyperlink r:id="rId15" w:history="1">
        <w:r w:rsidRPr="00E94FED">
          <w:rPr>
            <w:rStyle w:val="Hyperlink"/>
            <w:rFonts w:ascii="Times New Roman" w:hAnsi="Times New Roman" w:cs="Times New Roman"/>
            <w:sz w:val="22"/>
            <w:szCs w:val="22"/>
          </w:rPr>
          <w:t>http://www.papalencyclicals.net/councils/ecum11.htm</w:t>
        </w:r>
      </w:hyperlink>
      <w:r w:rsidRPr="00E94FED">
        <w:rPr>
          <w:rFonts w:ascii="Times New Roman" w:hAnsi="Times New Roman" w:cs="Times New Roman"/>
          <w:sz w:val="22"/>
          <w:szCs w:val="22"/>
        </w:rPr>
        <w:t xml:space="preserve"> [accessed 14/12/2017].</w:t>
      </w:r>
    </w:p>
  </w:footnote>
  <w:footnote w:id="43">
    <w:p w14:paraId="50113033" w14:textId="77777777"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Lower Jewish death rate </w:t>
      </w:r>
    </w:p>
  </w:footnote>
  <w:footnote w:id="44">
    <w:p w14:paraId="3E72F316" w14:textId="1DCFB36C"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Gregg, </w:t>
      </w:r>
      <w:r w:rsidRPr="00E94FED">
        <w:rPr>
          <w:rFonts w:ascii="Times New Roman" w:hAnsi="Times New Roman" w:cs="Times New Roman"/>
          <w:i/>
          <w:sz w:val="22"/>
          <w:szCs w:val="22"/>
        </w:rPr>
        <w:t>Black Death to Industrial Revolution,</w:t>
      </w:r>
      <w:r w:rsidRPr="00E94FED">
        <w:rPr>
          <w:rFonts w:ascii="Times New Roman" w:hAnsi="Times New Roman" w:cs="Times New Roman"/>
          <w:sz w:val="22"/>
          <w:szCs w:val="22"/>
        </w:rPr>
        <w:t xml:space="preserve"> p.3. </w:t>
      </w:r>
    </w:p>
  </w:footnote>
  <w:footnote w:id="45">
    <w:p w14:paraId="5AE475AC" w14:textId="0F3AF1B3"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P. Halsall, ‘ Jewish History Sourcebook: The Black Death and the Jews, 1348-1349 CE’, </w:t>
      </w:r>
      <w:r w:rsidRPr="00E94FED">
        <w:rPr>
          <w:rFonts w:ascii="Times New Roman" w:hAnsi="Times New Roman" w:cs="Times New Roman"/>
          <w:i/>
          <w:sz w:val="22"/>
          <w:szCs w:val="22"/>
        </w:rPr>
        <w:t xml:space="preserve">Fordham University </w:t>
      </w:r>
      <w:r w:rsidRPr="00E94FED">
        <w:rPr>
          <w:rFonts w:ascii="Times New Roman" w:hAnsi="Times New Roman" w:cs="Times New Roman"/>
          <w:sz w:val="22"/>
          <w:szCs w:val="22"/>
        </w:rPr>
        <w:t>(</w:t>
      </w:r>
      <w:r w:rsidR="00487300" w:rsidRPr="00E94FED">
        <w:rPr>
          <w:rFonts w:ascii="Times New Roman" w:hAnsi="Times New Roman" w:cs="Times New Roman"/>
          <w:sz w:val="22"/>
          <w:szCs w:val="22"/>
        </w:rPr>
        <w:t xml:space="preserve">New York: Fordham University, 2017). </w:t>
      </w:r>
      <w:r w:rsidRPr="00E94FED">
        <w:rPr>
          <w:rFonts w:ascii="Times New Roman" w:hAnsi="Times New Roman" w:cs="Times New Roman"/>
          <w:sz w:val="22"/>
          <w:szCs w:val="22"/>
        </w:rPr>
        <w:t xml:space="preserve">Available at </w:t>
      </w:r>
      <w:hyperlink r:id="rId16" w:history="1">
        <w:r w:rsidRPr="00E94FED">
          <w:rPr>
            <w:rStyle w:val="Hyperlink"/>
            <w:rFonts w:ascii="Times New Roman" w:hAnsi="Times New Roman" w:cs="Times New Roman"/>
            <w:sz w:val="22"/>
            <w:szCs w:val="22"/>
          </w:rPr>
          <w:t>https://sourcebooks.fordham.edu/jewish/1348-jewsblackdeath.asp</w:t>
        </w:r>
      </w:hyperlink>
      <w:r w:rsidRPr="00E94FED">
        <w:rPr>
          <w:rFonts w:ascii="Times New Roman" w:hAnsi="Times New Roman" w:cs="Times New Roman"/>
          <w:sz w:val="22"/>
          <w:szCs w:val="22"/>
        </w:rPr>
        <w:t xml:space="preserve"> [accessed 14/12/2017].</w:t>
      </w:r>
    </w:p>
  </w:footnote>
  <w:footnote w:id="46">
    <w:p w14:paraId="098329CB" w14:textId="11E5F7A9" w:rsidR="001754A0" w:rsidRPr="00E94FED" w:rsidRDefault="001754A0">
      <w:pPr>
        <w:pStyle w:val="FootnoteText"/>
        <w:rPr>
          <w:rFonts w:ascii="Times New Roman" w:hAnsi="Times New Roman" w:cs="Times New Roman"/>
          <w:i/>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w:t>
      </w:r>
      <w:r w:rsidR="00487300" w:rsidRPr="00E94FED">
        <w:rPr>
          <w:rFonts w:ascii="Times New Roman" w:hAnsi="Times New Roman" w:cs="Times New Roman"/>
          <w:i/>
          <w:sz w:val="22"/>
          <w:szCs w:val="22"/>
        </w:rPr>
        <w:t>Ibid.</w:t>
      </w:r>
    </w:p>
  </w:footnote>
  <w:footnote w:id="47">
    <w:p w14:paraId="07E71037" w14:textId="0817B432"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w:t>
      </w:r>
      <w:r w:rsidR="00487300" w:rsidRPr="00E94FED">
        <w:rPr>
          <w:rFonts w:ascii="Times New Roman" w:hAnsi="Times New Roman" w:cs="Times New Roman"/>
          <w:i/>
          <w:sz w:val="22"/>
          <w:szCs w:val="22"/>
        </w:rPr>
        <w:t xml:space="preserve">Ibid. </w:t>
      </w:r>
      <w:r w:rsidRPr="00E94FED">
        <w:rPr>
          <w:rFonts w:ascii="Times New Roman" w:hAnsi="Times New Roman" w:cs="Times New Roman"/>
          <w:sz w:val="22"/>
          <w:szCs w:val="22"/>
        </w:rPr>
        <w:t xml:space="preserve"> </w:t>
      </w:r>
    </w:p>
  </w:footnote>
  <w:footnote w:id="48">
    <w:p w14:paraId="4665BBB0" w14:textId="47FFD8D1"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w:t>
      </w:r>
      <w:r w:rsidR="00E94FED" w:rsidRPr="00E94FED">
        <w:rPr>
          <w:rFonts w:ascii="Times New Roman" w:hAnsi="Times New Roman" w:cs="Times New Roman"/>
          <w:sz w:val="22"/>
          <w:szCs w:val="22"/>
        </w:rPr>
        <w:t xml:space="preserve">B. Howard, ‘Luther’s Jewish Problem’, </w:t>
      </w:r>
      <w:r w:rsidR="00E94FED" w:rsidRPr="00E94FED">
        <w:rPr>
          <w:rFonts w:ascii="Times New Roman" w:hAnsi="Times New Roman" w:cs="Times New Roman"/>
          <w:i/>
          <w:sz w:val="22"/>
          <w:szCs w:val="22"/>
        </w:rPr>
        <w:t xml:space="preserve">The Gospel Coalition </w:t>
      </w:r>
      <w:r w:rsidR="00E94FED" w:rsidRPr="00E94FED">
        <w:rPr>
          <w:rFonts w:ascii="Times New Roman" w:hAnsi="Times New Roman" w:cs="Times New Roman"/>
          <w:sz w:val="22"/>
          <w:szCs w:val="22"/>
        </w:rPr>
        <w:t xml:space="preserve">(United States: The Gospel Coalition, 2017). </w:t>
      </w:r>
      <w:r w:rsidRPr="00E94FED">
        <w:rPr>
          <w:rFonts w:ascii="Times New Roman" w:hAnsi="Times New Roman" w:cs="Times New Roman"/>
          <w:sz w:val="22"/>
          <w:szCs w:val="22"/>
        </w:rPr>
        <w:t xml:space="preserve">Available at </w:t>
      </w:r>
      <w:hyperlink r:id="rId17" w:history="1">
        <w:r w:rsidR="00E94FED" w:rsidRPr="00E94FED">
          <w:rPr>
            <w:rStyle w:val="Hyperlink"/>
            <w:rFonts w:ascii="Times New Roman" w:hAnsi="Times New Roman" w:cs="Times New Roman"/>
            <w:sz w:val="22"/>
            <w:szCs w:val="22"/>
          </w:rPr>
          <w:t>https://www.thegospelcoalition.org/article/luthers-jewish-problem/</w:t>
        </w:r>
      </w:hyperlink>
      <w:r w:rsidRPr="00E94FED">
        <w:rPr>
          <w:rFonts w:ascii="Times New Roman" w:hAnsi="Times New Roman" w:cs="Times New Roman"/>
          <w:sz w:val="22"/>
          <w:szCs w:val="22"/>
        </w:rPr>
        <w:t xml:space="preserve"> [accessed 14/12/2017].</w:t>
      </w:r>
    </w:p>
  </w:footnote>
  <w:footnote w:id="49">
    <w:p w14:paraId="47DE2122" w14:textId="06B82724" w:rsidR="001754A0" w:rsidRPr="00E94FED" w:rsidRDefault="001754A0">
      <w:pPr>
        <w:pStyle w:val="FootnoteText"/>
        <w:rPr>
          <w:rFonts w:ascii="Times New Roman" w:hAnsi="Times New Roman" w:cs="Times New Roman"/>
          <w:sz w:val="22"/>
          <w:szCs w:val="22"/>
        </w:rPr>
      </w:pPr>
      <w:r w:rsidRPr="00E94FED">
        <w:rPr>
          <w:rStyle w:val="FootnoteReference"/>
          <w:rFonts w:ascii="Times New Roman" w:hAnsi="Times New Roman" w:cs="Times New Roman"/>
          <w:sz w:val="22"/>
          <w:szCs w:val="22"/>
        </w:rPr>
        <w:footnoteRef/>
      </w:r>
      <w:r w:rsidRPr="00E94FED">
        <w:rPr>
          <w:rFonts w:ascii="Times New Roman" w:hAnsi="Times New Roman" w:cs="Times New Roman"/>
          <w:sz w:val="22"/>
          <w:szCs w:val="22"/>
        </w:rPr>
        <w:t xml:space="preserve"> Coulton, </w:t>
      </w:r>
      <w:r w:rsidRPr="00E94FED">
        <w:rPr>
          <w:rFonts w:ascii="Times New Roman" w:hAnsi="Times New Roman" w:cs="Times New Roman"/>
          <w:i/>
          <w:sz w:val="22"/>
          <w:szCs w:val="22"/>
        </w:rPr>
        <w:t>The Black Death,</w:t>
      </w:r>
      <w:r w:rsidRPr="00E94FED">
        <w:rPr>
          <w:rFonts w:ascii="Times New Roman" w:hAnsi="Times New Roman" w:cs="Times New Roman"/>
          <w:sz w:val="22"/>
          <w:szCs w:val="22"/>
        </w:rPr>
        <w:t xml:space="preserve"> pp.70-71.</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85212F"/>
    <w:multiLevelType w:val="hybridMultilevel"/>
    <w:tmpl w:val="8C4810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9366B1"/>
    <w:multiLevelType w:val="hybridMultilevel"/>
    <w:tmpl w:val="A4F6E1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B07B4B"/>
    <w:multiLevelType w:val="hybridMultilevel"/>
    <w:tmpl w:val="7AAC8F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1936E0"/>
    <w:multiLevelType w:val="hybridMultilevel"/>
    <w:tmpl w:val="00C61E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523D31"/>
    <w:multiLevelType w:val="hybridMultilevel"/>
    <w:tmpl w:val="8850D8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C15BF1"/>
    <w:multiLevelType w:val="hybridMultilevel"/>
    <w:tmpl w:val="F56602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EB18C3"/>
    <w:multiLevelType w:val="hybridMultilevel"/>
    <w:tmpl w:val="2E6C61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4E5728"/>
    <w:multiLevelType w:val="hybridMultilevel"/>
    <w:tmpl w:val="D39812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4"/>
  </w:num>
  <w:num w:numId="4">
    <w:abstractNumId w:val="0"/>
  </w:num>
  <w:num w:numId="5">
    <w:abstractNumId w:val="7"/>
  </w:num>
  <w:num w:numId="6">
    <w:abstractNumId w:val="3"/>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7175"/>
    <w:rsid w:val="00006AAB"/>
    <w:rsid w:val="00024FB0"/>
    <w:rsid w:val="00074767"/>
    <w:rsid w:val="000D2C0B"/>
    <w:rsid w:val="000E6E13"/>
    <w:rsid w:val="00101AC5"/>
    <w:rsid w:val="001025C6"/>
    <w:rsid w:val="00122CE1"/>
    <w:rsid w:val="00122EC6"/>
    <w:rsid w:val="00155DAA"/>
    <w:rsid w:val="001754A0"/>
    <w:rsid w:val="001D3ED5"/>
    <w:rsid w:val="001E0597"/>
    <w:rsid w:val="0022325B"/>
    <w:rsid w:val="00276974"/>
    <w:rsid w:val="00280262"/>
    <w:rsid w:val="00280600"/>
    <w:rsid w:val="00313E7A"/>
    <w:rsid w:val="0033795A"/>
    <w:rsid w:val="003749B3"/>
    <w:rsid w:val="003A1DDA"/>
    <w:rsid w:val="003C735B"/>
    <w:rsid w:val="003F008E"/>
    <w:rsid w:val="003F70F3"/>
    <w:rsid w:val="00412C54"/>
    <w:rsid w:val="00440D19"/>
    <w:rsid w:val="00487300"/>
    <w:rsid w:val="00496412"/>
    <w:rsid w:val="004A4CBC"/>
    <w:rsid w:val="00505AAA"/>
    <w:rsid w:val="00527B4B"/>
    <w:rsid w:val="00541623"/>
    <w:rsid w:val="00563260"/>
    <w:rsid w:val="005A064D"/>
    <w:rsid w:val="005A7572"/>
    <w:rsid w:val="005B18B4"/>
    <w:rsid w:val="005C452A"/>
    <w:rsid w:val="005C66A0"/>
    <w:rsid w:val="005D20F6"/>
    <w:rsid w:val="005E640A"/>
    <w:rsid w:val="00614808"/>
    <w:rsid w:val="0062048C"/>
    <w:rsid w:val="00644D06"/>
    <w:rsid w:val="00662743"/>
    <w:rsid w:val="006C6AAA"/>
    <w:rsid w:val="006F1338"/>
    <w:rsid w:val="00700BF5"/>
    <w:rsid w:val="0076271A"/>
    <w:rsid w:val="007A3914"/>
    <w:rsid w:val="007B1CB2"/>
    <w:rsid w:val="007F4589"/>
    <w:rsid w:val="00800FE9"/>
    <w:rsid w:val="00807493"/>
    <w:rsid w:val="008546A6"/>
    <w:rsid w:val="00896896"/>
    <w:rsid w:val="008A696D"/>
    <w:rsid w:val="0094645D"/>
    <w:rsid w:val="009965C8"/>
    <w:rsid w:val="009F1732"/>
    <w:rsid w:val="00A10FAB"/>
    <w:rsid w:val="00A57175"/>
    <w:rsid w:val="00A81D9A"/>
    <w:rsid w:val="00A85508"/>
    <w:rsid w:val="00A97607"/>
    <w:rsid w:val="00AB3F7D"/>
    <w:rsid w:val="00AC7C25"/>
    <w:rsid w:val="00B23A37"/>
    <w:rsid w:val="00B27B21"/>
    <w:rsid w:val="00B37583"/>
    <w:rsid w:val="00B44CE2"/>
    <w:rsid w:val="00B52686"/>
    <w:rsid w:val="00B604B8"/>
    <w:rsid w:val="00B95EA4"/>
    <w:rsid w:val="00BE7370"/>
    <w:rsid w:val="00C607A6"/>
    <w:rsid w:val="00CA7C8F"/>
    <w:rsid w:val="00CF572F"/>
    <w:rsid w:val="00D46DE0"/>
    <w:rsid w:val="00DB63E0"/>
    <w:rsid w:val="00DB7546"/>
    <w:rsid w:val="00DD02E5"/>
    <w:rsid w:val="00DF0BFD"/>
    <w:rsid w:val="00DF1309"/>
    <w:rsid w:val="00E01CDE"/>
    <w:rsid w:val="00E03CD4"/>
    <w:rsid w:val="00E25AA5"/>
    <w:rsid w:val="00E37C0D"/>
    <w:rsid w:val="00E94FED"/>
    <w:rsid w:val="00EB5B78"/>
    <w:rsid w:val="00EB79FB"/>
    <w:rsid w:val="00ED383A"/>
    <w:rsid w:val="00F26D64"/>
    <w:rsid w:val="00F2710D"/>
    <w:rsid w:val="00F3159B"/>
    <w:rsid w:val="00F500EA"/>
    <w:rsid w:val="00F5795F"/>
    <w:rsid w:val="00FA270E"/>
    <w:rsid w:val="00FF2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FC8ACD"/>
  <w15:chartTrackingRefBased/>
  <w15:docId w15:val="{1257C052-A51F-4343-B2CC-F2155C386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omic Sans MS" w:eastAsiaTheme="minorHAnsi" w:hAnsi="Comic Sans MS"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2EC6"/>
    <w:pPr>
      <w:ind w:left="720"/>
      <w:contextualSpacing/>
    </w:pPr>
  </w:style>
  <w:style w:type="paragraph" w:styleId="FootnoteText">
    <w:name w:val="footnote text"/>
    <w:basedOn w:val="Normal"/>
    <w:link w:val="FootnoteTextChar"/>
    <w:uiPriority w:val="99"/>
    <w:semiHidden/>
    <w:unhideWhenUsed/>
    <w:rsid w:val="00800FE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00FE9"/>
    <w:rPr>
      <w:sz w:val="20"/>
      <w:szCs w:val="20"/>
    </w:rPr>
  </w:style>
  <w:style w:type="character" w:styleId="FootnoteReference">
    <w:name w:val="footnote reference"/>
    <w:basedOn w:val="DefaultParagraphFont"/>
    <w:uiPriority w:val="99"/>
    <w:semiHidden/>
    <w:unhideWhenUsed/>
    <w:rsid w:val="00800FE9"/>
    <w:rPr>
      <w:vertAlign w:val="superscript"/>
    </w:rPr>
  </w:style>
  <w:style w:type="character" w:styleId="Hyperlink">
    <w:name w:val="Hyperlink"/>
    <w:basedOn w:val="DefaultParagraphFont"/>
    <w:uiPriority w:val="99"/>
    <w:unhideWhenUsed/>
    <w:rsid w:val="00006AAB"/>
    <w:rPr>
      <w:color w:val="0563C1" w:themeColor="hyperlink"/>
      <w:u w:val="single"/>
    </w:rPr>
  </w:style>
  <w:style w:type="character" w:styleId="Emphasis">
    <w:name w:val="Emphasis"/>
    <w:basedOn w:val="DefaultParagraphFont"/>
    <w:uiPriority w:val="20"/>
    <w:qFormat/>
    <w:rsid w:val="00496412"/>
    <w:rPr>
      <w:i/>
      <w:iCs/>
    </w:rPr>
  </w:style>
  <w:style w:type="character" w:styleId="CommentReference">
    <w:name w:val="annotation reference"/>
    <w:basedOn w:val="DefaultParagraphFont"/>
    <w:uiPriority w:val="99"/>
    <w:semiHidden/>
    <w:unhideWhenUsed/>
    <w:rsid w:val="00DB7546"/>
    <w:rPr>
      <w:sz w:val="16"/>
      <w:szCs w:val="16"/>
    </w:rPr>
  </w:style>
  <w:style w:type="paragraph" w:styleId="CommentText">
    <w:name w:val="annotation text"/>
    <w:basedOn w:val="Normal"/>
    <w:link w:val="CommentTextChar"/>
    <w:uiPriority w:val="99"/>
    <w:semiHidden/>
    <w:unhideWhenUsed/>
    <w:rsid w:val="00DB7546"/>
    <w:pPr>
      <w:spacing w:line="240" w:lineRule="auto"/>
    </w:pPr>
    <w:rPr>
      <w:sz w:val="20"/>
      <w:szCs w:val="20"/>
    </w:rPr>
  </w:style>
  <w:style w:type="character" w:customStyle="1" w:styleId="CommentTextChar">
    <w:name w:val="Comment Text Char"/>
    <w:basedOn w:val="DefaultParagraphFont"/>
    <w:link w:val="CommentText"/>
    <w:uiPriority w:val="99"/>
    <w:semiHidden/>
    <w:rsid w:val="00DB7546"/>
    <w:rPr>
      <w:sz w:val="20"/>
      <w:szCs w:val="20"/>
    </w:rPr>
  </w:style>
  <w:style w:type="paragraph" w:styleId="CommentSubject">
    <w:name w:val="annotation subject"/>
    <w:basedOn w:val="CommentText"/>
    <w:next w:val="CommentText"/>
    <w:link w:val="CommentSubjectChar"/>
    <w:uiPriority w:val="99"/>
    <w:semiHidden/>
    <w:unhideWhenUsed/>
    <w:rsid w:val="00DB7546"/>
    <w:rPr>
      <w:b/>
      <w:bCs/>
    </w:rPr>
  </w:style>
  <w:style w:type="character" w:customStyle="1" w:styleId="CommentSubjectChar">
    <w:name w:val="Comment Subject Char"/>
    <w:basedOn w:val="CommentTextChar"/>
    <w:link w:val="CommentSubject"/>
    <w:uiPriority w:val="99"/>
    <w:semiHidden/>
    <w:rsid w:val="00DB7546"/>
    <w:rPr>
      <w:b/>
      <w:bCs/>
      <w:sz w:val="20"/>
      <w:szCs w:val="20"/>
    </w:rPr>
  </w:style>
  <w:style w:type="paragraph" w:styleId="BalloonText">
    <w:name w:val="Balloon Text"/>
    <w:basedOn w:val="Normal"/>
    <w:link w:val="BalloonTextChar"/>
    <w:uiPriority w:val="99"/>
    <w:semiHidden/>
    <w:unhideWhenUsed/>
    <w:rsid w:val="00DB75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7546"/>
    <w:rPr>
      <w:rFonts w:ascii="Segoe UI" w:hAnsi="Segoe UI" w:cs="Segoe UI"/>
      <w:sz w:val="18"/>
      <w:szCs w:val="18"/>
    </w:rPr>
  </w:style>
  <w:style w:type="character" w:styleId="FollowedHyperlink">
    <w:name w:val="FollowedHyperlink"/>
    <w:basedOn w:val="DefaultParagraphFont"/>
    <w:uiPriority w:val="99"/>
    <w:semiHidden/>
    <w:unhideWhenUsed/>
    <w:rsid w:val="00DF0BFD"/>
    <w:rPr>
      <w:color w:val="954F72" w:themeColor="followedHyperlink"/>
      <w:u w:val="single"/>
    </w:rPr>
  </w:style>
  <w:style w:type="paragraph" w:styleId="NoSpacing">
    <w:name w:val="No Spacing"/>
    <w:uiPriority w:val="1"/>
    <w:qFormat/>
    <w:rsid w:val="001754A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tmuseum.org/toah/works-of-art/2004.442/" TargetMode="External"/><Relationship Id="rId13" Type="http://schemas.openxmlformats.org/officeDocument/2006/relationships/hyperlink" Target="http://www.counterfire.org/a-marxist-history-of-the-world/12086-a-marxist-history-of-the-world-part-33-the-class-struggle-in-medieval-europe" TargetMode="External"/><Relationship Id="rId18" Type="http://schemas.openxmlformats.org/officeDocument/2006/relationships/hyperlink" Target="https://www.wga.hu/frames-e.html?/html/b/bartolo/index.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lamortdanslart.com/danse/Allemagne/Lubeck/dd_lubeck.htm" TargetMode="External"/><Relationship Id="rId7" Type="http://schemas.openxmlformats.org/officeDocument/2006/relationships/endnotes" Target="endnotes.xml"/><Relationship Id="rId12" Type="http://schemas.openxmlformats.org/officeDocument/2006/relationships/hyperlink" Target="http://catholicism.org/the-fourteen-holy-helpers.html" TargetMode="External"/><Relationship Id="rId17" Type="http://schemas.openxmlformats.org/officeDocument/2006/relationships/hyperlink" Target="http://www.historic-uk.com/HistoryUK/HistoryofEngland/Wat-Tyler-the-Peasants-Revolt/"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egospelcoalition.org/article/luthers-jewish-problem/" TargetMode="External"/><Relationship Id="rId20" Type="http://schemas.openxmlformats.org/officeDocument/2006/relationships/hyperlink" Target="http://www.papalencyclicals.net/councils/ecum11.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www.bookofhorriblethings.com/ax02.html" TargetMode="External"/><Relationship Id="rId5" Type="http://schemas.openxmlformats.org/officeDocument/2006/relationships/webSettings" Target="webSettings.xml"/><Relationship Id="rId15" Type="http://schemas.openxmlformats.org/officeDocument/2006/relationships/hyperlink" Target="https://sourcebooks.fordham.edu/jewish/1348-jewsblackdeath.asp" TargetMode="External"/><Relationship Id="rId23" Type="http://schemas.openxmlformats.org/officeDocument/2006/relationships/hyperlink" Target="http://bav.bodleian.ox.ac.uk/news/ars-moriendi-the-art-of-dying" TargetMode="External"/><Relationship Id="rId10" Type="http://schemas.openxmlformats.org/officeDocument/2006/relationships/hyperlink" Target="https://www.wga.hu/frames-e.html?/html/b/bartolo/index.html" TargetMode="External"/><Relationship Id="rId19" Type="http://schemas.openxmlformats.org/officeDocument/2006/relationships/hyperlink" Target="http://www.artinsociety.com/surviving-the-black-death.html"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atlasobscura.com/articles/danse-macabre-david-pumpkins-art-history" TargetMode="External"/><Relationship Id="rId22" Type="http://schemas.openxmlformats.org/officeDocument/2006/relationships/hyperlink" Target="https://www.metmuseum.org/toah/works-of-art/2004.442/"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atlasobscura.com/articles/danse-macabre-david-pumpkins-art-history" TargetMode="External"/><Relationship Id="rId13" Type="http://schemas.openxmlformats.org/officeDocument/2006/relationships/hyperlink" Target="https://www.wga.hu/frames-e.html?/html/b/bartolo/index.html" TargetMode="External"/><Relationship Id="rId3" Type="http://schemas.openxmlformats.org/officeDocument/2006/relationships/hyperlink" Target="http://www.bookofhorriblethings.com/ax02.html" TargetMode="External"/><Relationship Id="rId7" Type="http://schemas.openxmlformats.org/officeDocument/2006/relationships/hyperlink" Target="http://www.british-history.ac.uk/vch/wilts/vol4/pp115-147" TargetMode="External"/><Relationship Id="rId12" Type="http://schemas.openxmlformats.org/officeDocument/2006/relationships/hyperlink" Target="https://www.metmuseum.org/toah/works-of-art/2004.442/" TargetMode="External"/><Relationship Id="rId17" Type="http://schemas.openxmlformats.org/officeDocument/2006/relationships/hyperlink" Target="https://www.thegospelcoalition.org/article/luthers-jewish-problem/" TargetMode="External"/><Relationship Id="rId2" Type="http://schemas.openxmlformats.org/officeDocument/2006/relationships/hyperlink" Target="http://catholicism.org/the-fourteen-holy-helpers.html" TargetMode="External"/><Relationship Id="rId16" Type="http://schemas.openxmlformats.org/officeDocument/2006/relationships/hyperlink" Target="https://sourcebooks.fordham.edu/jewish/1348-jewsblackdeath.asp" TargetMode="External"/><Relationship Id="rId1" Type="http://schemas.openxmlformats.org/officeDocument/2006/relationships/hyperlink" Target="http://bav.bodleian.ox.ac.uk/news/ars-moriendi-the-art-of-dying" TargetMode="External"/><Relationship Id="rId6" Type="http://schemas.openxmlformats.org/officeDocument/2006/relationships/hyperlink" Target="http://www.counterfire.org/a-marxist-history-of-the-world/12086-a-marxist-history-of-the-world-part-33-the-class-struggle-in-medieval-europe" TargetMode="External"/><Relationship Id="rId11" Type="http://schemas.openxmlformats.org/officeDocument/2006/relationships/hyperlink" Target="http://www.artinsociety.com/surviving-the-black-death.html" TargetMode="External"/><Relationship Id="rId5" Type="http://schemas.openxmlformats.org/officeDocument/2006/relationships/hyperlink" Target="http://www.historic-uk.com/HistoryUK/HistoryofEngland/Wat-Tyler-the-Peasants-Revolt/" TargetMode="External"/><Relationship Id="rId15" Type="http://schemas.openxmlformats.org/officeDocument/2006/relationships/hyperlink" Target="http://www.papalencyclicals.net/councils/ecum11.htm" TargetMode="External"/><Relationship Id="rId10" Type="http://schemas.openxmlformats.org/officeDocument/2006/relationships/hyperlink" Target="http://www.lamortdanslart.com/danse/Allemagne/Lubeck/dd_lubeck.htm" TargetMode="External"/><Relationship Id="rId4" Type="http://schemas.openxmlformats.org/officeDocument/2006/relationships/hyperlink" Target="http://catholicism.org/the-fourteen-holy-helpers.html" TargetMode="External"/><Relationship Id="rId9" Type="http://schemas.openxmlformats.org/officeDocument/2006/relationships/hyperlink" Target="https://www.atlasobscura.com/articles/danse-macabre-david-pumpkins-art-history" TargetMode="External"/><Relationship Id="rId14" Type="http://schemas.openxmlformats.org/officeDocument/2006/relationships/hyperlink" Target="http://www.artinsociety.com/surviving-the-black-death.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63D67F-BAF0-4F97-824F-740D8AB2E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12</Pages>
  <Words>3518</Words>
  <Characters>20054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Dalby</dc:creator>
  <cp:keywords/>
  <dc:description/>
  <cp:lastModifiedBy>Charlotte Dalby</cp:lastModifiedBy>
  <cp:revision>7</cp:revision>
  <dcterms:created xsi:type="dcterms:W3CDTF">2017-12-20T16:56:00Z</dcterms:created>
  <dcterms:modified xsi:type="dcterms:W3CDTF">2017-12-20T17:10:00Z</dcterms:modified>
</cp:coreProperties>
</file>