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63590" w14:textId="14C96E90" w:rsidR="003912C3" w:rsidRPr="003912C3" w:rsidRDefault="003912C3" w:rsidP="003912C3">
      <w:pPr>
        <w:spacing w:line="240" w:lineRule="auto"/>
        <w:jc w:val="center"/>
        <w:rPr>
          <w:lang w:val="en-IN"/>
        </w:rPr>
      </w:pPr>
      <w:bookmarkStart w:id="0" w:name="_heading=h.40blrg4pj8e5" w:colFirst="0" w:colLast="0"/>
      <w:bookmarkEnd w:id="0"/>
      <w:r w:rsidRPr="003912C3">
        <w:rPr>
          <w:rFonts w:ascii="Arial" w:hAnsi="Arial" w:cs="Arial"/>
          <w:b/>
          <w:bCs/>
          <w:noProof/>
          <w:color w:val="000000"/>
          <w:sz w:val="32"/>
          <w:szCs w:val="32"/>
        </w:rPr>
        <w:drawing>
          <wp:inline distT="0" distB="0" distL="0" distR="0" wp14:anchorId="49821396" wp14:editId="2A0B7663">
            <wp:extent cx="3381375" cy="1352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20B1A783" w14:textId="25B16ED6" w:rsidR="003912C3" w:rsidRPr="003912C3" w:rsidRDefault="003912C3" w:rsidP="00F44BA8">
      <w:pPr>
        <w:spacing w:after="240" w:line="276" w:lineRule="auto"/>
        <w:jc w:val="left"/>
        <w:rPr>
          <w:lang w:val="en-IN"/>
        </w:rPr>
      </w:pPr>
      <w:r w:rsidRPr="003912C3">
        <w:rPr>
          <w:lang w:val="en-IN"/>
        </w:rPr>
        <w:br/>
      </w:r>
      <w:r w:rsidRPr="003912C3">
        <w:rPr>
          <w:lang w:val="en-IN"/>
        </w:rPr>
        <w:br/>
      </w:r>
    </w:p>
    <w:p w14:paraId="5A740A08" w14:textId="1CE1FBCC" w:rsidR="003912C3" w:rsidRPr="003912C3" w:rsidRDefault="003912C3" w:rsidP="00F44BA8">
      <w:pPr>
        <w:spacing w:line="276" w:lineRule="auto"/>
        <w:jc w:val="center"/>
        <w:rPr>
          <w:lang w:val="en-IN"/>
        </w:rPr>
      </w:pPr>
      <w:r w:rsidRPr="003912C3">
        <w:rPr>
          <w:rFonts w:ascii="Arial" w:hAnsi="Arial" w:cs="Arial"/>
          <w:b/>
          <w:bCs/>
          <w:color w:val="000000"/>
          <w:lang w:val="en-IN"/>
        </w:rPr>
        <w:t>Student Name:</w:t>
      </w:r>
      <w:r w:rsidR="007708D4">
        <w:rPr>
          <w:rFonts w:ascii="Arial" w:hAnsi="Arial" w:cs="Arial"/>
          <w:b/>
          <w:bCs/>
          <w:color w:val="000000"/>
          <w:lang w:val="en-IN"/>
        </w:rPr>
        <w:t xml:space="preserve"> Ravikumar </w:t>
      </w:r>
      <w:proofErr w:type="spellStart"/>
      <w:r w:rsidR="007708D4">
        <w:rPr>
          <w:rFonts w:ascii="Arial" w:hAnsi="Arial" w:cs="Arial"/>
          <w:b/>
          <w:bCs/>
          <w:color w:val="000000"/>
          <w:lang w:val="en-IN"/>
        </w:rPr>
        <w:t>mukeshbhai</w:t>
      </w:r>
      <w:proofErr w:type="spellEnd"/>
      <w:r w:rsidR="007708D4">
        <w:rPr>
          <w:rFonts w:ascii="Arial" w:hAnsi="Arial" w:cs="Arial"/>
          <w:b/>
          <w:bCs/>
          <w:color w:val="000000"/>
          <w:lang w:val="en-IN"/>
        </w:rPr>
        <w:t xml:space="preserve"> </w:t>
      </w:r>
      <w:proofErr w:type="spellStart"/>
      <w:r w:rsidR="007708D4">
        <w:rPr>
          <w:rFonts w:ascii="Arial" w:hAnsi="Arial" w:cs="Arial"/>
          <w:b/>
          <w:bCs/>
          <w:color w:val="000000"/>
          <w:lang w:val="en-IN"/>
        </w:rPr>
        <w:t>bhadiyadra</w:t>
      </w:r>
      <w:proofErr w:type="spellEnd"/>
    </w:p>
    <w:p w14:paraId="30B1ACA6" w14:textId="77777777" w:rsidR="003912C3" w:rsidRPr="003912C3" w:rsidRDefault="003912C3" w:rsidP="00F44BA8">
      <w:pPr>
        <w:spacing w:line="276" w:lineRule="auto"/>
        <w:jc w:val="left"/>
        <w:rPr>
          <w:lang w:val="en-IN"/>
        </w:rPr>
      </w:pPr>
    </w:p>
    <w:p w14:paraId="2B392AAE" w14:textId="763E3610" w:rsidR="003912C3" w:rsidRPr="003912C3" w:rsidRDefault="003912C3" w:rsidP="00F44BA8">
      <w:pPr>
        <w:spacing w:line="276" w:lineRule="auto"/>
        <w:jc w:val="center"/>
        <w:rPr>
          <w:lang w:val="en-IN"/>
        </w:rPr>
      </w:pPr>
      <w:r w:rsidRPr="003912C3">
        <w:rPr>
          <w:rFonts w:ascii="Arial" w:hAnsi="Arial" w:cs="Arial"/>
          <w:b/>
          <w:bCs/>
          <w:color w:val="000000"/>
          <w:lang w:val="en-IN"/>
        </w:rPr>
        <w:t>Student ID:</w:t>
      </w:r>
      <w:r w:rsidR="007708D4">
        <w:rPr>
          <w:rFonts w:ascii="Arial" w:hAnsi="Arial" w:cs="Arial"/>
          <w:b/>
          <w:bCs/>
          <w:color w:val="000000"/>
          <w:lang w:val="en-IN"/>
        </w:rPr>
        <w:t xml:space="preserve"> 2531864</w:t>
      </w:r>
    </w:p>
    <w:p w14:paraId="4B272EE6" w14:textId="77777777" w:rsidR="003912C3" w:rsidRPr="003912C3" w:rsidRDefault="003912C3" w:rsidP="00F44BA8">
      <w:pPr>
        <w:spacing w:after="240" w:line="276" w:lineRule="auto"/>
        <w:jc w:val="left"/>
        <w:rPr>
          <w:lang w:val="en-IN"/>
        </w:rPr>
      </w:pPr>
    </w:p>
    <w:p w14:paraId="393F17A7" w14:textId="7E8A9E03" w:rsidR="003912C3" w:rsidRPr="003912C3" w:rsidRDefault="003912C3" w:rsidP="00F44BA8">
      <w:pPr>
        <w:spacing w:line="276" w:lineRule="auto"/>
        <w:jc w:val="center"/>
        <w:rPr>
          <w:lang w:val="en-IN"/>
        </w:rPr>
      </w:pPr>
      <w:r w:rsidRPr="003912C3">
        <w:rPr>
          <w:rFonts w:ascii="Arial" w:hAnsi="Arial" w:cs="Arial"/>
          <w:b/>
          <w:bCs/>
          <w:color w:val="000000"/>
          <w:lang w:val="en-IN"/>
        </w:rPr>
        <w:t>Module Name: INTERNATIONAL BUSINESS CONCEPTS</w:t>
      </w:r>
    </w:p>
    <w:p w14:paraId="447B434D" w14:textId="77777777" w:rsidR="003912C3" w:rsidRPr="003912C3" w:rsidRDefault="003912C3" w:rsidP="00F44BA8">
      <w:pPr>
        <w:spacing w:line="276" w:lineRule="auto"/>
        <w:jc w:val="left"/>
        <w:rPr>
          <w:lang w:val="en-IN"/>
        </w:rPr>
      </w:pPr>
    </w:p>
    <w:p w14:paraId="47D1AE73" w14:textId="2DB83E6A" w:rsidR="003912C3" w:rsidRPr="003912C3" w:rsidRDefault="003912C3" w:rsidP="00F44BA8">
      <w:pPr>
        <w:spacing w:line="276" w:lineRule="auto"/>
        <w:jc w:val="center"/>
        <w:rPr>
          <w:lang w:val="en-IN"/>
        </w:rPr>
      </w:pPr>
      <w:r w:rsidRPr="003912C3">
        <w:rPr>
          <w:rFonts w:ascii="Arial" w:hAnsi="Arial" w:cs="Arial"/>
          <w:b/>
          <w:bCs/>
          <w:color w:val="000000"/>
          <w:lang w:val="en-IN"/>
        </w:rPr>
        <w:t>Module Code: LCMB7034</w:t>
      </w:r>
    </w:p>
    <w:p w14:paraId="521E4493" w14:textId="77777777" w:rsidR="003912C3" w:rsidRPr="003912C3" w:rsidRDefault="003912C3" w:rsidP="00F44BA8">
      <w:pPr>
        <w:spacing w:after="240" w:line="276" w:lineRule="auto"/>
        <w:jc w:val="left"/>
        <w:rPr>
          <w:lang w:val="en-IN"/>
        </w:rPr>
      </w:pPr>
      <w:r w:rsidRPr="003912C3">
        <w:rPr>
          <w:lang w:val="en-IN"/>
        </w:rPr>
        <w:br/>
      </w:r>
      <w:r w:rsidRPr="003912C3">
        <w:rPr>
          <w:lang w:val="en-IN"/>
        </w:rPr>
        <w:br/>
      </w:r>
    </w:p>
    <w:p w14:paraId="6E398A39" w14:textId="561CF805" w:rsidR="003912C3" w:rsidRPr="003912C3" w:rsidRDefault="003912C3" w:rsidP="00F44BA8">
      <w:pPr>
        <w:spacing w:line="276" w:lineRule="auto"/>
        <w:jc w:val="center"/>
        <w:rPr>
          <w:lang w:val="en-IN"/>
        </w:rPr>
      </w:pPr>
      <w:r w:rsidRPr="003912C3">
        <w:rPr>
          <w:rFonts w:ascii="Arial" w:hAnsi="Arial" w:cs="Arial"/>
          <w:b/>
          <w:bCs/>
          <w:color w:val="000000"/>
          <w:lang w:val="en-IN"/>
        </w:rPr>
        <w:t>Lecturer’s Name:</w:t>
      </w:r>
      <w:r>
        <w:rPr>
          <w:rFonts w:ascii="Arial" w:hAnsi="Arial" w:cs="Arial"/>
          <w:b/>
          <w:bCs/>
          <w:color w:val="000000"/>
          <w:lang w:val="en-IN"/>
        </w:rPr>
        <w:t xml:space="preserve"> </w:t>
      </w:r>
      <w:r w:rsidR="007708D4">
        <w:rPr>
          <w:rFonts w:ascii="Arial" w:hAnsi="Arial" w:cs="Arial"/>
          <w:color w:val="000000"/>
          <w:lang w:val="en-IN"/>
        </w:rPr>
        <w:t xml:space="preserve">Dr. </w:t>
      </w:r>
      <w:r w:rsidR="007708D4" w:rsidRPr="007708D4">
        <w:rPr>
          <w:rFonts w:ascii="Arial" w:hAnsi="Arial" w:cs="Arial"/>
          <w:color w:val="000000"/>
        </w:rPr>
        <w:t>Gladius Kulothungan</w:t>
      </w:r>
    </w:p>
    <w:p w14:paraId="3078B035" w14:textId="77777777" w:rsidR="003912C3" w:rsidRPr="003912C3" w:rsidRDefault="003912C3" w:rsidP="00F44BA8">
      <w:pPr>
        <w:spacing w:after="240" w:line="276" w:lineRule="auto"/>
        <w:jc w:val="left"/>
        <w:rPr>
          <w:lang w:val="en-IN"/>
        </w:rPr>
      </w:pPr>
      <w:r w:rsidRPr="003912C3">
        <w:rPr>
          <w:lang w:val="en-IN"/>
        </w:rPr>
        <w:br/>
      </w:r>
    </w:p>
    <w:p w14:paraId="0652BDA1" w14:textId="34F31D08" w:rsidR="003912C3" w:rsidRDefault="003912C3" w:rsidP="00F44BA8">
      <w:pPr>
        <w:spacing w:line="276" w:lineRule="auto"/>
        <w:jc w:val="center"/>
        <w:rPr>
          <w:rFonts w:ascii="Arial" w:hAnsi="Arial" w:cs="Arial"/>
          <w:b/>
          <w:bCs/>
          <w:color w:val="000000"/>
          <w:lang w:val="en-IN"/>
        </w:rPr>
      </w:pPr>
      <w:r w:rsidRPr="003912C3">
        <w:rPr>
          <w:rFonts w:ascii="Arial" w:hAnsi="Arial" w:cs="Arial"/>
          <w:b/>
          <w:bCs/>
          <w:color w:val="000000"/>
          <w:lang w:val="en-IN"/>
        </w:rPr>
        <w:t>REPORT</w:t>
      </w:r>
    </w:p>
    <w:p w14:paraId="6DAD87BB" w14:textId="77777777" w:rsidR="00F44BA8" w:rsidRPr="003912C3" w:rsidRDefault="00F44BA8" w:rsidP="00F44BA8">
      <w:pPr>
        <w:spacing w:line="276" w:lineRule="auto"/>
        <w:jc w:val="center"/>
        <w:rPr>
          <w:rFonts w:ascii="Arial" w:hAnsi="Arial" w:cs="Arial"/>
          <w:b/>
          <w:bCs/>
          <w:color w:val="000000"/>
          <w:lang w:val="en-IN"/>
        </w:rPr>
      </w:pPr>
    </w:p>
    <w:p w14:paraId="210CB2B4" w14:textId="4549A8BE" w:rsidR="003912C3" w:rsidRPr="003912C3" w:rsidRDefault="003912C3" w:rsidP="00F44BA8">
      <w:pPr>
        <w:spacing w:line="276" w:lineRule="auto"/>
        <w:jc w:val="center"/>
        <w:rPr>
          <w:lang w:val="en-IN"/>
        </w:rPr>
      </w:pPr>
      <w:r w:rsidRPr="003912C3">
        <w:rPr>
          <w:rFonts w:ascii="Arial" w:hAnsi="Arial" w:cs="Arial"/>
          <w:b/>
          <w:bCs/>
          <w:color w:val="000000"/>
          <w:lang w:val="en-IN"/>
        </w:rPr>
        <w:t>AN INTERNATIONAL MARKET ENTRY STRATEGY FOR RECKITT PLC: A CRITICAL EVALUATION OF EXPANSION INTO MONGOLIA</w:t>
      </w:r>
      <w:r>
        <w:rPr>
          <w:rFonts w:ascii="Arial" w:hAnsi="Arial" w:cs="Arial"/>
          <w:b/>
          <w:bCs/>
          <w:color w:val="000000"/>
          <w:lang w:val="en-IN"/>
        </w:rPr>
        <w:t xml:space="preserve"> </w:t>
      </w:r>
    </w:p>
    <w:p w14:paraId="4828F8F1" w14:textId="766A24C5" w:rsidR="00195659" w:rsidRPr="003912C3" w:rsidRDefault="003912C3" w:rsidP="00F44BA8">
      <w:pPr>
        <w:spacing w:after="240" w:line="276" w:lineRule="auto"/>
        <w:jc w:val="left"/>
        <w:rPr>
          <w:rFonts w:ascii="Arial" w:hAnsi="Arial" w:cs="Arial"/>
        </w:rPr>
      </w:pPr>
      <w:r w:rsidRPr="003912C3">
        <w:rPr>
          <w:lang w:val="en-IN"/>
        </w:rPr>
        <w:br/>
      </w:r>
    </w:p>
    <w:p w14:paraId="66E322B8" w14:textId="77777777" w:rsidR="00195659" w:rsidRPr="003912C3" w:rsidRDefault="00195659" w:rsidP="00F44BA8">
      <w:pPr>
        <w:spacing w:line="276" w:lineRule="auto"/>
        <w:jc w:val="center"/>
        <w:rPr>
          <w:rFonts w:ascii="Arial" w:hAnsi="Arial" w:cs="Arial"/>
        </w:rPr>
      </w:pPr>
    </w:p>
    <w:p w14:paraId="7E258C67" w14:textId="77777777" w:rsidR="00F44BA8" w:rsidRDefault="00F44BA8" w:rsidP="00F44BA8">
      <w:pPr>
        <w:spacing w:line="276" w:lineRule="auto"/>
        <w:jc w:val="center"/>
        <w:rPr>
          <w:rFonts w:ascii="Arial" w:hAnsi="Arial" w:cs="Arial"/>
          <w:b/>
          <w:bCs/>
        </w:rPr>
      </w:pPr>
    </w:p>
    <w:p w14:paraId="530B2E2E" w14:textId="18B54BB1" w:rsidR="00195659" w:rsidRPr="003912C3" w:rsidRDefault="00C01501" w:rsidP="00F44BA8">
      <w:pPr>
        <w:spacing w:line="276" w:lineRule="auto"/>
        <w:jc w:val="center"/>
        <w:rPr>
          <w:rFonts w:ascii="Arial" w:hAnsi="Arial" w:cs="Arial"/>
        </w:rPr>
      </w:pPr>
      <w:r w:rsidRPr="003912C3">
        <w:rPr>
          <w:rFonts w:ascii="Arial" w:hAnsi="Arial" w:cs="Arial"/>
          <w:b/>
          <w:bCs/>
        </w:rPr>
        <w:t xml:space="preserve">Word count: </w:t>
      </w:r>
      <w:r w:rsidR="008A6309" w:rsidRPr="003912C3">
        <w:rPr>
          <w:rFonts w:ascii="Arial" w:hAnsi="Arial" w:cs="Arial"/>
        </w:rPr>
        <w:t>5060</w:t>
      </w:r>
    </w:p>
    <w:p w14:paraId="6EF77CDD" w14:textId="77777777" w:rsidR="00195659" w:rsidRPr="004B54DF" w:rsidRDefault="00C01501" w:rsidP="00F44BA8">
      <w:pPr>
        <w:spacing w:line="276" w:lineRule="auto"/>
        <w:rPr>
          <w:rFonts w:ascii="Arial" w:hAnsi="Arial" w:cs="Arial"/>
        </w:rPr>
      </w:pPr>
      <w:bookmarkStart w:id="1" w:name="_heading=h.hblntzsmz0ou" w:colFirst="0" w:colLast="0"/>
      <w:bookmarkEnd w:id="1"/>
      <w:r w:rsidRPr="004B54DF">
        <w:rPr>
          <w:rFonts w:ascii="Arial" w:hAnsi="Arial" w:cs="Arial"/>
        </w:rPr>
        <w:br w:type="page"/>
      </w:r>
    </w:p>
    <w:p w14:paraId="277E288B" w14:textId="77777777" w:rsidR="00195659" w:rsidRPr="004B54DF" w:rsidRDefault="00C01501" w:rsidP="004B54DF">
      <w:pPr>
        <w:jc w:val="center"/>
        <w:rPr>
          <w:rFonts w:ascii="Arial" w:hAnsi="Arial" w:cs="Arial"/>
          <w:b/>
          <w:bCs/>
        </w:rPr>
      </w:pPr>
      <w:bookmarkStart w:id="2" w:name="_heading=h.jhp30mp59nkt" w:colFirst="0" w:colLast="0"/>
      <w:bookmarkEnd w:id="2"/>
      <w:r w:rsidRPr="004B54DF">
        <w:rPr>
          <w:rFonts w:ascii="Arial" w:hAnsi="Arial" w:cs="Arial"/>
          <w:b/>
          <w:bCs/>
        </w:rPr>
        <w:lastRenderedPageBreak/>
        <w:t>Abstract</w:t>
      </w:r>
    </w:p>
    <w:p w14:paraId="2DE61285" w14:textId="77777777" w:rsidR="00195659" w:rsidRPr="004B54DF" w:rsidRDefault="00195659" w:rsidP="004B54DF">
      <w:pPr>
        <w:jc w:val="center"/>
        <w:rPr>
          <w:rFonts w:ascii="Arial" w:hAnsi="Arial" w:cs="Arial"/>
          <w:b/>
          <w:bCs/>
        </w:rPr>
      </w:pPr>
      <w:bookmarkStart w:id="3" w:name="_heading=h.udyzpq4ag8qy" w:colFirst="0" w:colLast="0"/>
      <w:bookmarkEnd w:id="3"/>
    </w:p>
    <w:p w14:paraId="6E6150BB" w14:textId="77777777" w:rsidR="00195659" w:rsidRPr="004B54DF" w:rsidRDefault="00C01501" w:rsidP="004B54DF">
      <w:pPr>
        <w:rPr>
          <w:rFonts w:ascii="Arial" w:hAnsi="Arial" w:cs="Arial"/>
        </w:rPr>
      </w:pPr>
      <w:bookmarkStart w:id="4" w:name="_heading=h.foqejys35fab" w:colFirst="0" w:colLast="0"/>
      <w:bookmarkEnd w:id="4"/>
      <w:r w:rsidRPr="004B54DF">
        <w:rPr>
          <w:rFonts w:ascii="Arial" w:hAnsi="Arial" w:cs="Arial"/>
        </w:rPr>
        <w:t>The global market requires every business to focus on effective international marketing strategies so as to achieve market competition and successfully expand. This is, however, not a single task, and requires immense decision-making on when to enter, where to expand and making feasible investments. This report has focused on Reckitt Benckiser Group PLC, which is termed as the “</w:t>
      </w:r>
      <w:r w:rsidRPr="004B54DF">
        <w:rPr>
          <w:rFonts w:ascii="Arial" w:hAnsi="Arial" w:cs="Arial"/>
          <w:i/>
          <w:iCs/>
        </w:rPr>
        <w:t>world's best-loved and trusted Hygiene and Health brand</w:t>
      </w:r>
      <w:r w:rsidRPr="004B54DF">
        <w:rPr>
          <w:rFonts w:ascii="Arial" w:hAnsi="Arial" w:cs="Arial"/>
        </w:rPr>
        <w:t>”. The discussions involve analysis of the macro environment and market attractiveness of Mongolia. In this context, PESTLE and OLI (Eclectic Paradigm) analysis have given the emphasis, followed by deciding the most suitable entry mode strategy. As a means of strategic fit, the phased approach is found to be feasible by undergoing partnerships with existing local distributors.</w:t>
      </w:r>
    </w:p>
    <w:p w14:paraId="2662FCAA" w14:textId="77777777" w:rsidR="00195659" w:rsidRPr="004B54DF" w:rsidRDefault="00C01501" w:rsidP="004B54DF">
      <w:pPr>
        <w:rPr>
          <w:rFonts w:ascii="Arial" w:hAnsi="Arial" w:cs="Arial"/>
        </w:rPr>
      </w:pPr>
      <w:bookmarkStart w:id="5" w:name="_heading=h.dgwrepjjgqap" w:colFirst="0" w:colLast="0"/>
      <w:bookmarkEnd w:id="5"/>
      <w:r w:rsidRPr="004B54DF">
        <w:rPr>
          <w:rFonts w:ascii="Arial" w:hAnsi="Arial" w:cs="Arial"/>
        </w:rPr>
        <w:t>The second part of the report, which is the reflective section, has made me appreciate the evaluation of foreign market opportunities in a multinational organisation, both theoretically and substantiated with business evidence. Acquisition of skills gained through analysis of the globalized business environment has enhanced my readiness to make valuable contributions to MNCs where the context is challenging and competitive international business.</w:t>
      </w:r>
      <w:r w:rsidRPr="004B54DF">
        <w:rPr>
          <w:rFonts w:ascii="Arial" w:hAnsi="Arial" w:cs="Arial"/>
        </w:rPr>
        <w:br w:type="page"/>
      </w:r>
    </w:p>
    <w:p w14:paraId="3E83BA6F" w14:textId="79DF83F0" w:rsidR="00195659" w:rsidRPr="004B54DF" w:rsidRDefault="00C01501" w:rsidP="004B54DF">
      <w:pPr>
        <w:jc w:val="center"/>
        <w:rPr>
          <w:rFonts w:ascii="Arial" w:hAnsi="Arial" w:cs="Arial"/>
          <w:b/>
          <w:bCs/>
        </w:rPr>
      </w:pPr>
      <w:r w:rsidRPr="004B54DF">
        <w:rPr>
          <w:rFonts w:ascii="Arial" w:hAnsi="Arial" w:cs="Arial"/>
          <w:b/>
          <w:bCs/>
        </w:rPr>
        <w:lastRenderedPageBreak/>
        <w:t>Table of Contents</w:t>
      </w:r>
    </w:p>
    <w:p w14:paraId="0ED581CE" w14:textId="77777777" w:rsidR="008A6309" w:rsidRPr="004B54DF" w:rsidRDefault="008A6309" w:rsidP="004B54DF">
      <w:pPr>
        <w:jc w:val="center"/>
        <w:rPr>
          <w:rFonts w:ascii="Arial" w:hAnsi="Arial" w:cs="Arial"/>
          <w:b/>
          <w:bCs/>
          <w:color w:val="000000"/>
        </w:rPr>
      </w:pPr>
    </w:p>
    <w:sdt>
      <w:sdtPr>
        <w:rPr>
          <w:rFonts w:ascii="Arial" w:hAnsi="Arial" w:cs="Arial"/>
        </w:rPr>
        <w:id w:val="582806261"/>
        <w:docPartObj>
          <w:docPartGallery w:val="Table of Contents"/>
          <w:docPartUnique/>
        </w:docPartObj>
      </w:sdtPr>
      <w:sdtContent>
        <w:p w14:paraId="0012DD7D" w14:textId="6EA78724" w:rsidR="004B54DF" w:rsidRPr="004B54DF" w:rsidRDefault="00C01501" w:rsidP="004B54DF">
          <w:pPr>
            <w:pStyle w:val="TOC1"/>
            <w:tabs>
              <w:tab w:val="right" w:leader="dot" w:pos="9016"/>
            </w:tabs>
            <w:rPr>
              <w:rFonts w:ascii="Arial" w:eastAsiaTheme="minorEastAsia" w:hAnsi="Arial" w:cs="Arial"/>
              <w:noProof/>
              <w:sz w:val="22"/>
              <w:szCs w:val="22"/>
              <w:lang w:val="en-IN"/>
            </w:rPr>
          </w:pPr>
          <w:r w:rsidRPr="004B54DF">
            <w:rPr>
              <w:rFonts w:ascii="Arial" w:hAnsi="Arial" w:cs="Arial"/>
            </w:rPr>
            <w:fldChar w:fldCharType="begin"/>
          </w:r>
          <w:r w:rsidRPr="004B54DF">
            <w:rPr>
              <w:rFonts w:ascii="Arial" w:hAnsi="Arial" w:cs="Arial"/>
            </w:rPr>
            <w:instrText xml:space="preserve"> TOC \h \u \z \t "Heading 1,1,Heading 2,2,Heading 3,3,"</w:instrText>
          </w:r>
          <w:r w:rsidRPr="004B54DF">
            <w:rPr>
              <w:rFonts w:ascii="Arial" w:hAnsi="Arial" w:cs="Arial"/>
            </w:rPr>
            <w:fldChar w:fldCharType="separate"/>
          </w:r>
          <w:hyperlink w:anchor="_Toc236685575" w:history="1">
            <w:r w:rsidR="004B54DF" w:rsidRPr="004B54DF">
              <w:rPr>
                <w:rStyle w:val="Hyperlink"/>
                <w:rFonts w:ascii="Arial" w:hAnsi="Arial" w:cs="Arial"/>
                <w:noProof/>
              </w:rPr>
              <w:t>Section 1: International Market Entry Analysis</w:t>
            </w:r>
            <w:r w:rsidR="004B54DF" w:rsidRPr="004B54DF">
              <w:rPr>
                <w:rFonts w:ascii="Arial" w:hAnsi="Arial" w:cs="Arial"/>
                <w:noProof/>
                <w:webHidden/>
              </w:rPr>
              <w:tab/>
            </w:r>
            <w:r w:rsidR="004B54DF" w:rsidRPr="004B54DF">
              <w:rPr>
                <w:rFonts w:ascii="Arial" w:hAnsi="Arial" w:cs="Arial"/>
                <w:noProof/>
                <w:webHidden/>
              </w:rPr>
              <w:fldChar w:fldCharType="begin"/>
            </w:r>
            <w:r w:rsidR="004B54DF" w:rsidRPr="004B54DF">
              <w:rPr>
                <w:rFonts w:ascii="Arial" w:hAnsi="Arial" w:cs="Arial"/>
                <w:noProof/>
                <w:webHidden/>
              </w:rPr>
              <w:instrText xml:space="preserve"> PAGEREF _Toc236685575 \h </w:instrText>
            </w:r>
            <w:r w:rsidR="004B54DF" w:rsidRPr="004B54DF">
              <w:rPr>
                <w:rFonts w:ascii="Arial" w:hAnsi="Arial" w:cs="Arial"/>
                <w:noProof/>
                <w:webHidden/>
              </w:rPr>
            </w:r>
            <w:r w:rsidR="004B54DF" w:rsidRPr="004B54DF">
              <w:rPr>
                <w:rFonts w:ascii="Arial" w:hAnsi="Arial" w:cs="Arial"/>
                <w:noProof/>
                <w:webHidden/>
              </w:rPr>
              <w:fldChar w:fldCharType="separate"/>
            </w:r>
            <w:r w:rsidR="004B54DF" w:rsidRPr="004B54DF">
              <w:rPr>
                <w:rFonts w:ascii="Arial" w:hAnsi="Arial" w:cs="Arial"/>
                <w:noProof/>
                <w:webHidden/>
              </w:rPr>
              <w:t>4</w:t>
            </w:r>
            <w:r w:rsidR="004B54DF" w:rsidRPr="004B54DF">
              <w:rPr>
                <w:rFonts w:ascii="Arial" w:hAnsi="Arial" w:cs="Arial"/>
                <w:noProof/>
                <w:webHidden/>
              </w:rPr>
              <w:fldChar w:fldCharType="end"/>
            </w:r>
          </w:hyperlink>
        </w:p>
        <w:p w14:paraId="6EC7B6D6" w14:textId="7A093E51" w:rsidR="004B54DF" w:rsidRPr="004B54DF" w:rsidRDefault="004B54DF" w:rsidP="004B54DF">
          <w:pPr>
            <w:pStyle w:val="TOC2"/>
            <w:tabs>
              <w:tab w:val="right" w:leader="dot" w:pos="9016"/>
            </w:tabs>
            <w:rPr>
              <w:rFonts w:ascii="Arial" w:eastAsiaTheme="minorEastAsia" w:hAnsi="Arial" w:cs="Arial"/>
              <w:noProof/>
              <w:sz w:val="22"/>
              <w:szCs w:val="22"/>
              <w:lang w:val="en-IN"/>
            </w:rPr>
          </w:pPr>
          <w:hyperlink w:anchor="_Toc236685576" w:history="1">
            <w:r w:rsidRPr="004B54DF">
              <w:rPr>
                <w:rStyle w:val="Hyperlink"/>
                <w:rFonts w:ascii="Arial" w:hAnsi="Arial" w:cs="Arial"/>
                <w:noProof/>
              </w:rPr>
              <w:t>1. Organisational Classification and Global Strategy</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_Toc236685576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4</w:t>
            </w:r>
            <w:r w:rsidRPr="004B54DF">
              <w:rPr>
                <w:rFonts w:ascii="Arial" w:hAnsi="Arial" w:cs="Arial"/>
                <w:noProof/>
                <w:webHidden/>
              </w:rPr>
              <w:fldChar w:fldCharType="end"/>
            </w:r>
          </w:hyperlink>
        </w:p>
        <w:p w14:paraId="7EBE12F2" w14:textId="717359F2"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77" w:history="1">
            <w:r w:rsidRPr="004B54DF">
              <w:rPr>
                <w:rStyle w:val="Hyperlink"/>
                <w:rFonts w:ascii="Arial" w:hAnsi="Arial" w:cs="Arial"/>
                <w:noProof/>
              </w:rPr>
              <w:t>1.1 Introduction to Reckitt</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_Toc236685577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4</w:t>
            </w:r>
            <w:r w:rsidRPr="004B54DF">
              <w:rPr>
                <w:rFonts w:ascii="Arial" w:hAnsi="Arial" w:cs="Arial"/>
                <w:noProof/>
                <w:webHidden/>
              </w:rPr>
              <w:fldChar w:fldCharType="end"/>
            </w:r>
          </w:hyperlink>
        </w:p>
        <w:p w14:paraId="5CE9C86C" w14:textId="33ACCE8C"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78" w:history="1">
            <w:r w:rsidRPr="004B54DF">
              <w:rPr>
                <w:rStyle w:val="Hyperlink"/>
                <w:rFonts w:ascii="Arial" w:hAnsi="Arial" w:cs="Arial"/>
                <w:noProof/>
              </w:rPr>
              <w:t>1.2 Strategic Classification using Bartlett and Ghoshal Model</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_Toc236685578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4</w:t>
            </w:r>
            <w:r w:rsidRPr="004B54DF">
              <w:rPr>
                <w:rFonts w:ascii="Arial" w:hAnsi="Arial" w:cs="Arial"/>
                <w:noProof/>
                <w:webHidden/>
              </w:rPr>
              <w:fldChar w:fldCharType="end"/>
            </w:r>
          </w:hyperlink>
        </w:p>
        <w:p w14:paraId="0FBAB07A" w14:textId="5EC673F6"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79" w:history="1">
            <w:r w:rsidRPr="004B54DF">
              <w:rPr>
                <w:rStyle w:val="Hyperlink"/>
                <w:rFonts w:ascii="Arial" w:hAnsi="Arial" w:cs="Arial"/>
                <w:noProof/>
              </w:rPr>
              <w:t>1.3 Global Configuration and International Footprint</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_Toc236685579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5</w:t>
            </w:r>
            <w:r w:rsidRPr="004B54DF">
              <w:rPr>
                <w:rFonts w:ascii="Arial" w:hAnsi="Arial" w:cs="Arial"/>
                <w:noProof/>
                <w:webHidden/>
              </w:rPr>
              <w:fldChar w:fldCharType="end"/>
            </w:r>
          </w:hyperlink>
        </w:p>
        <w:p w14:paraId="0810F89D" w14:textId="0276C1B0" w:rsidR="004B54DF" w:rsidRPr="004B54DF" w:rsidRDefault="004B54DF" w:rsidP="004B54DF">
          <w:pPr>
            <w:pStyle w:val="TOC2"/>
            <w:tabs>
              <w:tab w:val="right" w:leader="dot" w:pos="9016"/>
            </w:tabs>
            <w:rPr>
              <w:rFonts w:ascii="Arial" w:eastAsiaTheme="minorEastAsia" w:hAnsi="Arial" w:cs="Arial"/>
              <w:noProof/>
              <w:sz w:val="22"/>
              <w:szCs w:val="22"/>
              <w:lang w:val="en-IN"/>
            </w:rPr>
          </w:pPr>
          <w:hyperlink w:anchor="_Toc236685580" w:history="1">
            <w:r w:rsidRPr="004B54DF">
              <w:rPr>
                <w:rStyle w:val="Hyperlink"/>
                <w:rFonts w:ascii="Arial" w:hAnsi="Arial" w:cs="Arial"/>
                <w:noProof/>
              </w:rPr>
              <w:t>2. Macro-Environmental Appraisal and Market Attractiveness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_Toc236685580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7</w:t>
            </w:r>
            <w:r w:rsidRPr="004B54DF">
              <w:rPr>
                <w:rFonts w:ascii="Arial" w:hAnsi="Arial" w:cs="Arial"/>
                <w:noProof/>
                <w:webHidden/>
              </w:rPr>
              <w:fldChar w:fldCharType="end"/>
            </w:r>
          </w:hyperlink>
        </w:p>
        <w:p w14:paraId="0E1E4CAB" w14:textId="4A334F88"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81" w:history="1">
            <w:r w:rsidRPr="004B54DF">
              <w:rPr>
                <w:rStyle w:val="Hyperlink"/>
                <w:rFonts w:ascii="Arial" w:hAnsi="Arial" w:cs="Arial"/>
                <w:noProof/>
              </w:rPr>
              <w:t>2.1 Introduction to Mongolia</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_Toc236685581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7</w:t>
            </w:r>
            <w:r w:rsidRPr="004B54DF">
              <w:rPr>
                <w:rFonts w:ascii="Arial" w:hAnsi="Arial" w:cs="Arial"/>
                <w:noProof/>
                <w:webHidden/>
              </w:rPr>
              <w:fldChar w:fldCharType="end"/>
            </w:r>
          </w:hyperlink>
        </w:p>
        <w:p w14:paraId="3B70075A" w14:textId="4B2A6F71"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82" w:history="1">
            <w:r w:rsidRPr="004B54DF">
              <w:rPr>
                <w:rStyle w:val="Hyperlink"/>
                <w:rFonts w:ascii="Arial" w:hAnsi="Arial" w:cs="Arial"/>
                <w:noProof/>
              </w:rPr>
              <w:t>2.2 PESTLE Analysis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_Toc236685582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8</w:t>
            </w:r>
            <w:r w:rsidRPr="004B54DF">
              <w:rPr>
                <w:rFonts w:ascii="Arial" w:hAnsi="Arial" w:cs="Arial"/>
                <w:noProof/>
                <w:webHidden/>
              </w:rPr>
              <w:fldChar w:fldCharType="end"/>
            </w:r>
          </w:hyperlink>
        </w:p>
        <w:p w14:paraId="53D6C942" w14:textId="39C3F13B"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83" w:history="1">
            <w:r w:rsidRPr="004B54DF">
              <w:rPr>
                <w:rStyle w:val="Hyperlink"/>
                <w:rFonts w:ascii="Arial" w:hAnsi="Arial" w:cs="Arial"/>
                <w:noProof/>
              </w:rPr>
              <w:t>2.3 OLI (Eclectic Paradigm) Analysis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_Toc236685583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10</w:t>
            </w:r>
            <w:r w:rsidRPr="004B54DF">
              <w:rPr>
                <w:rFonts w:ascii="Arial" w:hAnsi="Arial" w:cs="Arial"/>
                <w:noProof/>
                <w:webHidden/>
              </w:rPr>
              <w:fldChar w:fldCharType="end"/>
            </w:r>
          </w:hyperlink>
        </w:p>
        <w:p w14:paraId="71F3C057" w14:textId="57919630"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84" w:history="1">
            <w:r w:rsidRPr="004B54DF">
              <w:rPr>
                <w:rStyle w:val="Hyperlink"/>
                <w:rFonts w:ascii="Arial" w:hAnsi="Arial" w:cs="Arial"/>
                <w:noProof/>
              </w:rPr>
              <w:t>2.4 Overall Market Attractiveness Assessment</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_Toc236685584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13</w:t>
            </w:r>
            <w:r w:rsidRPr="004B54DF">
              <w:rPr>
                <w:rFonts w:ascii="Arial" w:hAnsi="Arial" w:cs="Arial"/>
                <w:noProof/>
                <w:webHidden/>
              </w:rPr>
              <w:fldChar w:fldCharType="end"/>
            </w:r>
          </w:hyperlink>
        </w:p>
        <w:p w14:paraId="2F26C1DE" w14:textId="4DC7853B" w:rsidR="004B54DF" w:rsidRPr="004B54DF" w:rsidRDefault="004B54DF" w:rsidP="004B54DF">
          <w:pPr>
            <w:pStyle w:val="TOC2"/>
            <w:tabs>
              <w:tab w:val="right" w:leader="dot" w:pos="9016"/>
            </w:tabs>
            <w:rPr>
              <w:rFonts w:ascii="Arial" w:eastAsiaTheme="minorEastAsia" w:hAnsi="Arial" w:cs="Arial"/>
              <w:noProof/>
              <w:sz w:val="22"/>
              <w:szCs w:val="22"/>
              <w:lang w:val="en-IN"/>
            </w:rPr>
          </w:pPr>
          <w:hyperlink w:anchor="_Toc236685585" w:history="1">
            <w:r w:rsidRPr="004B54DF">
              <w:rPr>
                <w:rStyle w:val="Hyperlink"/>
                <w:rFonts w:ascii="Arial" w:hAnsi="Arial" w:cs="Arial"/>
                <w:noProof/>
              </w:rPr>
              <w:t>3. Entry Mode Strategy and Strategic Synthesis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_Toc236685585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14</w:t>
            </w:r>
            <w:r w:rsidRPr="004B54DF">
              <w:rPr>
                <w:rFonts w:ascii="Arial" w:hAnsi="Arial" w:cs="Arial"/>
                <w:noProof/>
                <w:webHidden/>
              </w:rPr>
              <w:fldChar w:fldCharType="end"/>
            </w:r>
          </w:hyperlink>
        </w:p>
        <w:p w14:paraId="7CE829A7" w14:textId="3E177077"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86" w:history="1">
            <w:r w:rsidRPr="004B54DF">
              <w:rPr>
                <w:rStyle w:val="Hyperlink"/>
                <w:rFonts w:ascii="Arial" w:hAnsi="Arial" w:cs="Arial"/>
                <w:noProof/>
              </w:rPr>
              <w:t>3.1 Historical Pattern Recognition</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_Toc236685586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14</w:t>
            </w:r>
            <w:r w:rsidRPr="004B54DF">
              <w:rPr>
                <w:rFonts w:ascii="Arial" w:hAnsi="Arial" w:cs="Arial"/>
                <w:noProof/>
                <w:webHidden/>
              </w:rPr>
              <w:fldChar w:fldCharType="end"/>
            </w:r>
          </w:hyperlink>
        </w:p>
        <w:p w14:paraId="7192DADC" w14:textId="1D0519B3"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87" w:history="1">
            <w:r w:rsidRPr="004B54DF">
              <w:rPr>
                <w:rStyle w:val="Hyperlink"/>
                <w:rFonts w:ascii="Arial" w:hAnsi="Arial" w:cs="Arial"/>
                <w:noProof/>
              </w:rPr>
              <w:t>3.2 Strategic Fit and Entry Mode Justification</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_Toc236685587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15</w:t>
            </w:r>
            <w:r w:rsidRPr="004B54DF">
              <w:rPr>
                <w:rFonts w:ascii="Arial" w:hAnsi="Arial" w:cs="Arial"/>
                <w:noProof/>
                <w:webHidden/>
              </w:rPr>
              <w:fldChar w:fldCharType="end"/>
            </w:r>
          </w:hyperlink>
        </w:p>
        <w:p w14:paraId="29E3190B" w14:textId="5C3A2EBE"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88" w:history="1">
            <w:r w:rsidRPr="004B54DF">
              <w:rPr>
                <w:rStyle w:val="Hyperlink"/>
                <w:rFonts w:ascii="Arial" w:hAnsi="Arial" w:cs="Arial"/>
                <w:noProof/>
              </w:rPr>
              <w:t>3.3 Conclusion and Recommendations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_Toc236685588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17</w:t>
            </w:r>
            <w:r w:rsidRPr="004B54DF">
              <w:rPr>
                <w:rFonts w:ascii="Arial" w:hAnsi="Arial" w:cs="Arial"/>
                <w:noProof/>
                <w:webHidden/>
              </w:rPr>
              <w:fldChar w:fldCharType="end"/>
            </w:r>
          </w:hyperlink>
        </w:p>
        <w:p w14:paraId="08447CDD" w14:textId="2F5AA37C" w:rsidR="004B54DF" w:rsidRPr="004B54DF" w:rsidRDefault="004B54DF" w:rsidP="004B54DF">
          <w:pPr>
            <w:pStyle w:val="TOC1"/>
            <w:tabs>
              <w:tab w:val="right" w:leader="dot" w:pos="9016"/>
            </w:tabs>
            <w:rPr>
              <w:rFonts w:ascii="Arial" w:eastAsiaTheme="minorEastAsia" w:hAnsi="Arial" w:cs="Arial"/>
              <w:noProof/>
              <w:sz w:val="22"/>
              <w:szCs w:val="22"/>
              <w:lang w:val="en-IN"/>
            </w:rPr>
          </w:pPr>
          <w:hyperlink w:anchor="_Toc236685589" w:history="1">
            <w:r w:rsidRPr="004B54DF">
              <w:rPr>
                <w:rStyle w:val="Hyperlink"/>
                <w:rFonts w:ascii="Arial" w:hAnsi="Arial" w:cs="Arial"/>
                <w:noProof/>
              </w:rPr>
              <w:t>Section 2: Reflective Account</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_Toc236685589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18</w:t>
            </w:r>
            <w:r w:rsidRPr="004B54DF">
              <w:rPr>
                <w:rFonts w:ascii="Arial" w:hAnsi="Arial" w:cs="Arial"/>
                <w:noProof/>
                <w:webHidden/>
              </w:rPr>
              <w:fldChar w:fldCharType="end"/>
            </w:r>
          </w:hyperlink>
        </w:p>
        <w:p w14:paraId="4676D0CC" w14:textId="6E5EDCEE" w:rsidR="004B54DF" w:rsidRPr="004B54DF" w:rsidRDefault="004B54DF" w:rsidP="004B54DF">
          <w:pPr>
            <w:pStyle w:val="TOC2"/>
            <w:tabs>
              <w:tab w:val="right" w:leader="dot" w:pos="9016"/>
            </w:tabs>
            <w:rPr>
              <w:rFonts w:ascii="Arial" w:eastAsiaTheme="minorEastAsia" w:hAnsi="Arial" w:cs="Arial"/>
              <w:noProof/>
              <w:sz w:val="22"/>
              <w:szCs w:val="22"/>
              <w:lang w:val="en-IN"/>
            </w:rPr>
          </w:pPr>
          <w:hyperlink w:anchor="_Toc236685590" w:history="1">
            <w:r w:rsidRPr="004B54DF">
              <w:rPr>
                <w:rStyle w:val="Hyperlink"/>
                <w:rFonts w:ascii="Arial" w:hAnsi="Arial" w:cs="Arial"/>
                <w:noProof/>
              </w:rPr>
              <w:t>4. Reflective Report using Gibbs' Reflective Cycle</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_Toc236685590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18</w:t>
            </w:r>
            <w:r w:rsidRPr="004B54DF">
              <w:rPr>
                <w:rFonts w:ascii="Arial" w:hAnsi="Arial" w:cs="Arial"/>
                <w:noProof/>
                <w:webHidden/>
              </w:rPr>
              <w:fldChar w:fldCharType="end"/>
            </w:r>
          </w:hyperlink>
        </w:p>
        <w:p w14:paraId="573509E2" w14:textId="4C6B6C98"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91" w:history="1">
            <w:r w:rsidRPr="004B54DF">
              <w:rPr>
                <w:rStyle w:val="Hyperlink"/>
                <w:rFonts w:ascii="Arial" w:hAnsi="Arial" w:cs="Arial"/>
                <w:noProof/>
              </w:rPr>
              <w:t>4.1 Description</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_Toc236685591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18</w:t>
            </w:r>
            <w:r w:rsidRPr="004B54DF">
              <w:rPr>
                <w:rFonts w:ascii="Arial" w:hAnsi="Arial" w:cs="Arial"/>
                <w:noProof/>
                <w:webHidden/>
              </w:rPr>
              <w:fldChar w:fldCharType="end"/>
            </w:r>
          </w:hyperlink>
        </w:p>
        <w:p w14:paraId="28C912E5" w14:textId="1224F955"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92" w:history="1">
            <w:r w:rsidRPr="004B54DF">
              <w:rPr>
                <w:rStyle w:val="Hyperlink"/>
                <w:rFonts w:ascii="Arial" w:hAnsi="Arial" w:cs="Arial"/>
                <w:noProof/>
              </w:rPr>
              <w:t>4.2 Feelings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_Toc236685592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18</w:t>
            </w:r>
            <w:r w:rsidRPr="004B54DF">
              <w:rPr>
                <w:rFonts w:ascii="Arial" w:hAnsi="Arial" w:cs="Arial"/>
                <w:noProof/>
                <w:webHidden/>
              </w:rPr>
              <w:fldChar w:fldCharType="end"/>
            </w:r>
          </w:hyperlink>
        </w:p>
        <w:p w14:paraId="44E6B555" w14:textId="234AE5F2"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93" w:history="1">
            <w:r w:rsidRPr="004B54DF">
              <w:rPr>
                <w:rStyle w:val="Hyperlink"/>
                <w:rFonts w:ascii="Arial" w:hAnsi="Arial" w:cs="Arial"/>
                <w:noProof/>
              </w:rPr>
              <w:t>4.3 Evaluation</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_Toc236685593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18</w:t>
            </w:r>
            <w:r w:rsidRPr="004B54DF">
              <w:rPr>
                <w:rFonts w:ascii="Arial" w:hAnsi="Arial" w:cs="Arial"/>
                <w:noProof/>
                <w:webHidden/>
              </w:rPr>
              <w:fldChar w:fldCharType="end"/>
            </w:r>
          </w:hyperlink>
        </w:p>
        <w:p w14:paraId="61C7450F" w14:textId="5FCCBDE9"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94" w:history="1">
            <w:r w:rsidRPr="004B54DF">
              <w:rPr>
                <w:rStyle w:val="Hyperlink"/>
                <w:rFonts w:ascii="Arial" w:hAnsi="Arial" w:cs="Arial"/>
                <w:noProof/>
              </w:rPr>
              <w:t>4.4 Analysis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_Toc236685594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18</w:t>
            </w:r>
            <w:r w:rsidRPr="004B54DF">
              <w:rPr>
                <w:rFonts w:ascii="Arial" w:hAnsi="Arial" w:cs="Arial"/>
                <w:noProof/>
                <w:webHidden/>
              </w:rPr>
              <w:fldChar w:fldCharType="end"/>
            </w:r>
          </w:hyperlink>
        </w:p>
        <w:p w14:paraId="34B13FB8" w14:textId="04911493"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95" w:history="1">
            <w:r w:rsidRPr="004B54DF">
              <w:rPr>
                <w:rStyle w:val="Hyperlink"/>
                <w:rFonts w:ascii="Arial" w:hAnsi="Arial" w:cs="Arial"/>
                <w:noProof/>
              </w:rPr>
              <w:t>4.5 Conclusion</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_Toc236685595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20</w:t>
            </w:r>
            <w:r w:rsidRPr="004B54DF">
              <w:rPr>
                <w:rFonts w:ascii="Arial" w:hAnsi="Arial" w:cs="Arial"/>
                <w:noProof/>
                <w:webHidden/>
              </w:rPr>
              <w:fldChar w:fldCharType="end"/>
            </w:r>
          </w:hyperlink>
        </w:p>
        <w:p w14:paraId="0EE64592" w14:textId="4A39BF43" w:rsidR="004B54DF" w:rsidRPr="004B54DF" w:rsidRDefault="004B54DF" w:rsidP="004B54DF">
          <w:pPr>
            <w:pStyle w:val="TOC3"/>
            <w:tabs>
              <w:tab w:val="right" w:leader="dot" w:pos="9016"/>
            </w:tabs>
            <w:rPr>
              <w:rFonts w:ascii="Arial" w:eastAsiaTheme="minorEastAsia" w:hAnsi="Arial" w:cs="Arial"/>
              <w:noProof/>
              <w:sz w:val="22"/>
              <w:szCs w:val="22"/>
              <w:lang w:val="en-IN"/>
            </w:rPr>
          </w:pPr>
          <w:hyperlink w:anchor="_Toc236685596" w:history="1">
            <w:r w:rsidRPr="004B54DF">
              <w:rPr>
                <w:rStyle w:val="Hyperlink"/>
                <w:rFonts w:ascii="Arial" w:hAnsi="Arial" w:cs="Arial"/>
                <w:noProof/>
              </w:rPr>
              <w:t>4.6 Action Plan</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_Toc236685596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20</w:t>
            </w:r>
            <w:r w:rsidRPr="004B54DF">
              <w:rPr>
                <w:rFonts w:ascii="Arial" w:hAnsi="Arial" w:cs="Arial"/>
                <w:noProof/>
                <w:webHidden/>
              </w:rPr>
              <w:fldChar w:fldCharType="end"/>
            </w:r>
          </w:hyperlink>
        </w:p>
        <w:p w14:paraId="3307AFB5" w14:textId="3F4BFDF3" w:rsidR="004B54DF" w:rsidRDefault="004B54DF" w:rsidP="004B54DF">
          <w:pPr>
            <w:pStyle w:val="TOC1"/>
            <w:tabs>
              <w:tab w:val="right" w:leader="dot" w:pos="9016"/>
            </w:tabs>
            <w:rPr>
              <w:rFonts w:asciiTheme="minorHAnsi" w:eastAsiaTheme="minorEastAsia" w:hAnsiTheme="minorHAnsi" w:cstheme="minorBidi"/>
              <w:noProof/>
              <w:sz w:val="22"/>
              <w:szCs w:val="22"/>
              <w:lang w:val="en-IN"/>
            </w:rPr>
          </w:pPr>
          <w:hyperlink w:anchor="_Toc236685597" w:history="1">
            <w:r w:rsidRPr="004B54DF">
              <w:rPr>
                <w:rStyle w:val="Hyperlink"/>
                <w:rFonts w:ascii="Arial" w:hAnsi="Arial" w:cs="Arial"/>
                <w:noProof/>
              </w:rPr>
              <w:t>References</w:t>
            </w:r>
            <w:r w:rsidRPr="004B54DF">
              <w:rPr>
                <w:rFonts w:ascii="Arial" w:hAnsi="Arial" w:cs="Arial"/>
                <w:noProof/>
                <w:webHidden/>
              </w:rPr>
              <w:tab/>
            </w:r>
            <w:r w:rsidRPr="004B54DF">
              <w:rPr>
                <w:rFonts w:ascii="Arial" w:hAnsi="Arial" w:cs="Arial"/>
                <w:noProof/>
                <w:webHidden/>
              </w:rPr>
              <w:fldChar w:fldCharType="begin"/>
            </w:r>
            <w:r w:rsidRPr="004B54DF">
              <w:rPr>
                <w:rFonts w:ascii="Arial" w:hAnsi="Arial" w:cs="Arial"/>
                <w:noProof/>
                <w:webHidden/>
              </w:rPr>
              <w:instrText xml:space="preserve"> PAGEREF _Toc236685597 \h </w:instrText>
            </w:r>
            <w:r w:rsidRPr="004B54DF">
              <w:rPr>
                <w:rFonts w:ascii="Arial" w:hAnsi="Arial" w:cs="Arial"/>
                <w:noProof/>
                <w:webHidden/>
              </w:rPr>
            </w:r>
            <w:r w:rsidRPr="004B54DF">
              <w:rPr>
                <w:rFonts w:ascii="Arial" w:hAnsi="Arial" w:cs="Arial"/>
                <w:noProof/>
                <w:webHidden/>
              </w:rPr>
              <w:fldChar w:fldCharType="separate"/>
            </w:r>
            <w:r w:rsidRPr="004B54DF">
              <w:rPr>
                <w:rFonts w:ascii="Arial" w:hAnsi="Arial" w:cs="Arial"/>
                <w:noProof/>
                <w:webHidden/>
              </w:rPr>
              <w:t>22</w:t>
            </w:r>
            <w:r w:rsidRPr="004B54DF">
              <w:rPr>
                <w:rFonts w:ascii="Arial" w:hAnsi="Arial" w:cs="Arial"/>
                <w:noProof/>
                <w:webHidden/>
              </w:rPr>
              <w:fldChar w:fldCharType="end"/>
            </w:r>
          </w:hyperlink>
        </w:p>
        <w:p w14:paraId="63EAD496" w14:textId="48EC7909" w:rsidR="00195659" w:rsidRPr="004B54DF" w:rsidRDefault="00C01501" w:rsidP="004B54DF">
          <w:pPr>
            <w:rPr>
              <w:rFonts w:ascii="Arial" w:hAnsi="Arial" w:cs="Arial"/>
            </w:rPr>
          </w:pPr>
          <w:r w:rsidRPr="004B54DF">
            <w:rPr>
              <w:rFonts w:ascii="Arial" w:hAnsi="Arial" w:cs="Arial"/>
            </w:rPr>
            <w:fldChar w:fldCharType="end"/>
          </w:r>
        </w:p>
      </w:sdtContent>
    </w:sdt>
    <w:p w14:paraId="42EA64EB" w14:textId="77777777" w:rsidR="00195659" w:rsidRPr="004B54DF" w:rsidRDefault="00195659" w:rsidP="004B54DF">
      <w:pPr>
        <w:rPr>
          <w:rFonts w:ascii="Arial" w:hAnsi="Arial" w:cs="Arial"/>
          <w:b/>
          <w:bCs/>
          <w:color w:val="000000"/>
        </w:rPr>
      </w:pPr>
    </w:p>
    <w:p w14:paraId="352E70D3" w14:textId="77777777" w:rsidR="00195659" w:rsidRPr="004B54DF" w:rsidRDefault="00C01501" w:rsidP="004B54DF">
      <w:pPr>
        <w:rPr>
          <w:rFonts w:ascii="Arial" w:hAnsi="Arial" w:cs="Arial"/>
          <w:b/>
          <w:bCs/>
          <w:color w:val="000000"/>
        </w:rPr>
      </w:pPr>
      <w:r w:rsidRPr="004B54DF">
        <w:rPr>
          <w:rFonts w:ascii="Arial" w:hAnsi="Arial" w:cs="Arial"/>
        </w:rPr>
        <w:br w:type="page"/>
      </w:r>
    </w:p>
    <w:p w14:paraId="51AB263E" w14:textId="77777777" w:rsidR="00195659" w:rsidRPr="004B54DF" w:rsidRDefault="00C01501" w:rsidP="004B54DF">
      <w:pPr>
        <w:pStyle w:val="Heading1"/>
      </w:pPr>
      <w:bookmarkStart w:id="6" w:name="_Toc236685575"/>
      <w:r w:rsidRPr="004B54DF">
        <w:lastRenderedPageBreak/>
        <w:t>Section 1: International Market Entry Analysis</w:t>
      </w:r>
      <w:bookmarkEnd w:id="6"/>
    </w:p>
    <w:p w14:paraId="2DE6FF54" w14:textId="77777777" w:rsidR="00195659" w:rsidRPr="004B54DF" w:rsidRDefault="00C01501" w:rsidP="004B54DF">
      <w:pPr>
        <w:pStyle w:val="Heading2"/>
        <w:rPr>
          <w:rFonts w:ascii="Arial" w:hAnsi="Arial" w:cs="Arial"/>
        </w:rPr>
      </w:pPr>
      <w:bookmarkStart w:id="7" w:name="_Toc236685576"/>
      <w:r w:rsidRPr="004B54DF">
        <w:rPr>
          <w:rFonts w:ascii="Arial" w:hAnsi="Arial" w:cs="Arial"/>
        </w:rPr>
        <w:t>1. Organisational Classification and Global Strategy</w:t>
      </w:r>
      <w:bookmarkEnd w:id="7"/>
    </w:p>
    <w:p w14:paraId="11DDF516" w14:textId="77777777" w:rsidR="00195659" w:rsidRPr="004B54DF" w:rsidRDefault="00C01501" w:rsidP="004B54DF">
      <w:pPr>
        <w:pStyle w:val="Heading3"/>
        <w:rPr>
          <w:rFonts w:ascii="Arial" w:hAnsi="Arial" w:cs="Arial"/>
        </w:rPr>
      </w:pPr>
      <w:bookmarkStart w:id="8" w:name="_Toc236685577"/>
      <w:r w:rsidRPr="004B54DF">
        <w:rPr>
          <w:rFonts w:ascii="Arial" w:hAnsi="Arial" w:cs="Arial"/>
        </w:rPr>
        <w:t>1.1 Introduction to Reckitt</w:t>
      </w:r>
      <w:bookmarkEnd w:id="8"/>
    </w:p>
    <w:p w14:paraId="0B100FFB" w14:textId="77777777" w:rsidR="00195659" w:rsidRPr="004B54DF" w:rsidRDefault="00C01501" w:rsidP="004B54DF">
      <w:pPr>
        <w:rPr>
          <w:rFonts w:ascii="Arial" w:hAnsi="Arial" w:cs="Arial"/>
        </w:rPr>
      </w:pPr>
      <w:r w:rsidRPr="004B54DF">
        <w:rPr>
          <w:rFonts w:ascii="Arial" w:hAnsi="Arial" w:cs="Arial"/>
        </w:rPr>
        <w:t>International expansion is not only a strategic necessity for the survival of multinationals in sustainable growth and access to new consumer markets, but also a precondition for obtaining a competitive advantage. Market attractiveness is now assessed more at strategic capabilities of organisations, opportunities being capitalised in the host country, along with institutional, technological, and competitive environments. Market entry is dependent on the fit between organisation-level resources, international-level strategy, and market-level conditions to obtain best performance and value creation through the market entry. Reckitt Benckiser Group PLC is one of the top players in the global consumer health and hygiene industry, with global brands, innovative product development and world-class capabilities along its supply chain (Reckitt, 2026). Expansion in Mongolia is a chance for this firm to assess its strategic positioning and international competitiveness.</w:t>
      </w:r>
    </w:p>
    <w:p w14:paraId="0241D280" w14:textId="77777777" w:rsidR="00195659" w:rsidRPr="004B54DF" w:rsidRDefault="00C01501" w:rsidP="004B54DF">
      <w:pPr>
        <w:pStyle w:val="Heading3"/>
        <w:rPr>
          <w:rFonts w:ascii="Arial" w:hAnsi="Arial" w:cs="Arial"/>
        </w:rPr>
      </w:pPr>
      <w:bookmarkStart w:id="9" w:name="_Toc236685578"/>
      <w:r w:rsidRPr="004B54DF">
        <w:rPr>
          <w:rFonts w:ascii="Arial" w:hAnsi="Arial" w:cs="Arial"/>
        </w:rPr>
        <w:t>1.2 Strategic Classification using Bartlett and Ghoshal Model</w:t>
      </w:r>
      <w:bookmarkEnd w:id="9"/>
    </w:p>
    <w:p w14:paraId="32352276" w14:textId="2190241C" w:rsidR="00195659" w:rsidRPr="004B54DF" w:rsidRDefault="00C01501" w:rsidP="004B54DF">
      <w:pPr>
        <w:rPr>
          <w:rFonts w:ascii="Arial" w:hAnsi="Arial" w:cs="Arial"/>
        </w:rPr>
      </w:pPr>
      <w:r w:rsidRPr="004B54DF">
        <w:rPr>
          <w:rFonts w:ascii="Arial" w:hAnsi="Arial" w:cs="Arial"/>
        </w:rPr>
        <w:t xml:space="preserve">Bartlett and Ghoshal's international strategy framework </w:t>
      </w:r>
      <w:r w:rsidR="008A6309" w:rsidRPr="004B54DF">
        <w:rPr>
          <w:rFonts w:ascii="Arial" w:hAnsi="Arial" w:cs="Arial"/>
        </w:rPr>
        <w:t>offer</w:t>
      </w:r>
      <w:r w:rsidRPr="004B54DF">
        <w:rPr>
          <w:rFonts w:ascii="Arial" w:hAnsi="Arial" w:cs="Arial"/>
        </w:rPr>
        <w:t xml:space="preserve"> an all-encompassing strategy for considering how multinational corporations (MNCs) balance the global integration and the local responsiveness aspects (Bartlett and Ghoshal, 1989). This framework refers to four categories:</w:t>
      </w:r>
      <w:r w:rsidRPr="004B54DF">
        <w:rPr>
          <w:rFonts w:ascii="Arial" w:hAnsi="Arial" w:cs="Arial"/>
          <w:i/>
          <w:iCs/>
        </w:rPr>
        <w:t xml:space="preserve"> international, multidomestic, global and transnational strategies</w:t>
      </w:r>
      <w:r w:rsidRPr="004B54DF">
        <w:rPr>
          <w:rFonts w:ascii="Arial" w:hAnsi="Arial" w:cs="Arial"/>
        </w:rPr>
        <w:t xml:space="preserve">. Each of these are based on the firm's degree of product and business practice standardisation and its degree of adaptation to the local markets. </w:t>
      </w:r>
      <w:proofErr w:type="spellStart"/>
      <w:r w:rsidRPr="004B54DF">
        <w:rPr>
          <w:rFonts w:ascii="Arial" w:hAnsi="Arial" w:cs="Arial"/>
        </w:rPr>
        <w:t>Rajeshirke</w:t>
      </w:r>
      <w:proofErr w:type="spellEnd"/>
      <w:r w:rsidRPr="004B54DF">
        <w:rPr>
          <w:rFonts w:ascii="Arial" w:hAnsi="Arial" w:cs="Arial"/>
        </w:rPr>
        <w:t xml:space="preserve"> (2026) reiterated the fact that the choice of a suitable international strategy helps the firms to optimise the allocation of the various resources of the company, to improve its operational efficiency and to gain a better competitive position in the foreign markets. Reckitt shows features more in line with the transnational approach of maximising global efficiency and local responsiveness to the market. It understands regional consumer preferences and retains internationally recognised brands, centralised Research and Development (R&amp;D) activities and integrated manufacturing, which began with Europe in 1899 (Kapoor, 2025). It can obtain the benefit of economies of scale while maintaining high levels of customer satisfaction in various overseas markets because of strategic flexibility. </w:t>
      </w:r>
    </w:p>
    <w:p w14:paraId="3B77D7EB" w14:textId="77777777" w:rsidR="00195659" w:rsidRPr="004B54DF" w:rsidRDefault="00C01501" w:rsidP="004B54DF">
      <w:pPr>
        <w:rPr>
          <w:rFonts w:ascii="Arial" w:hAnsi="Arial" w:cs="Arial"/>
        </w:rPr>
      </w:pPr>
      <w:r w:rsidRPr="004B54DF">
        <w:rPr>
          <w:rFonts w:ascii="Arial" w:hAnsi="Arial" w:cs="Arial"/>
        </w:rPr>
        <w:t xml:space="preserve">The selection of international markets is data-driven, as MNCs can assess the consumer demand, institutional quality, intensity of competition, and operating risks </w:t>
      </w:r>
      <w:r w:rsidRPr="004B54DF">
        <w:rPr>
          <w:rFonts w:ascii="Arial" w:hAnsi="Arial" w:cs="Arial"/>
        </w:rPr>
        <w:lastRenderedPageBreak/>
        <w:t xml:space="preserve">they face before expansion. Ali (2025) explained how machine learning methods help to select the right market by incorporating various macroeconomic and industry parameters into models for decision-making. This analysis can help companies identify the countries they might wish to invest for long range growth while minimizing entry risks. More than that, MNCs are considered to be sustainability-oriented, which in turn is determined to affect their post-entry performance. During the international process, companies that have a strong market-oriented and brand capability are likely to perform better. Sustainable operations can lead to growing confidence, increase brand value, and enhance the organisation's competitive edge. The latter capacities become particularly relevant for consumer healthcare companies, where the quality, safety, and accountability of their business operations lie at the heart of their competitive advantage (Frimpong et al. 2025). Digital transformation has given additional power to the international competitiveness of organisations, helping them to extend their reach to customers beyond traditional channels of communication. As per Givan and </w:t>
      </w:r>
      <w:proofErr w:type="spellStart"/>
      <w:r w:rsidRPr="004B54DF">
        <w:rPr>
          <w:rFonts w:ascii="Arial" w:hAnsi="Arial" w:cs="Arial"/>
        </w:rPr>
        <w:t>Pancasilawan</w:t>
      </w:r>
      <w:proofErr w:type="spellEnd"/>
      <w:r w:rsidRPr="004B54DF">
        <w:rPr>
          <w:rFonts w:ascii="Arial" w:hAnsi="Arial" w:cs="Arial"/>
        </w:rPr>
        <w:t xml:space="preserve"> (2025), digital marketing, online platforms, and data-driven customer analytics can notably improve visibility for brands and boost penetration of the international market, especially in rapidly developing economies in the internet age.</w:t>
      </w:r>
    </w:p>
    <w:p w14:paraId="7FA3350C" w14:textId="77777777" w:rsidR="00195659" w:rsidRPr="004B54DF" w:rsidRDefault="00C01501" w:rsidP="004B54DF">
      <w:pPr>
        <w:pStyle w:val="Heading3"/>
        <w:rPr>
          <w:rFonts w:ascii="Arial" w:hAnsi="Arial" w:cs="Arial"/>
        </w:rPr>
      </w:pPr>
      <w:bookmarkStart w:id="10" w:name="_Toc236685579"/>
      <w:r w:rsidRPr="004B54DF">
        <w:rPr>
          <w:rFonts w:ascii="Arial" w:hAnsi="Arial" w:cs="Arial"/>
        </w:rPr>
        <w:t>1.3 Global Configuration and International Footprint</w:t>
      </w:r>
      <w:bookmarkEnd w:id="10"/>
    </w:p>
    <w:p w14:paraId="33371608" w14:textId="77777777" w:rsidR="00195659" w:rsidRPr="004B54DF" w:rsidRDefault="00C01501" w:rsidP="004B54DF">
      <w:pPr>
        <w:jc w:val="center"/>
        <w:rPr>
          <w:rFonts w:ascii="Arial" w:hAnsi="Arial" w:cs="Arial"/>
        </w:rPr>
      </w:pPr>
      <w:r w:rsidRPr="004B54DF">
        <w:rPr>
          <w:rFonts w:ascii="Arial" w:hAnsi="Arial" w:cs="Arial"/>
          <w:noProof/>
        </w:rPr>
        <w:drawing>
          <wp:inline distT="114300" distB="114300" distL="114300" distR="114300" wp14:anchorId="19D2FC37" wp14:editId="4E22894B">
            <wp:extent cx="5843588" cy="25717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843588" cy="2571750"/>
                    </a:xfrm>
                    <a:prstGeom prst="rect">
                      <a:avLst/>
                    </a:prstGeom>
                    <a:ln/>
                  </pic:spPr>
                </pic:pic>
              </a:graphicData>
            </a:graphic>
          </wp:inline>
        </w:drawing>
      </w:r>
    </w:p>
    <w:p w14:paraId="6354F05E" w14:textId="77777777" w:rsidR="00195659" w:rsidRPr="004B54DF" w:rsidRDefault="00C01501" w:rsidP="004B54DF">
      <w:pPr>
        <w:jc w:val="center"/>
        <w:rPr>
          <w:rFonts w:ascii="Arial" w:hAnsi="Arial" w:cs="Arial"/>
          <w:b/>
          <w:bCs/>
        </w:rPr>
      </w:pPr>
      <w:r w:rsidRPr="004B54DF">
        <w:rPr>
          <w:rFonts w:ascii="Arial" w:hAnsi="Arial" w:cs="Arial"/>
          <w:b/>
          <w:bCs/>
        </w:rPr>
        <w:t>Figure 1: Business conditions of Reckitt</w:t>
      </w:r>
    </w:p>
    <w:p w14:paraId="4C964095" w14:textId="77777777" w:rsidR="00195659" w:rsidRPr="004B54DF" w:rsidRDefault="00C01501" w:rsidP="004B54DF">
      <w:pPr>
        <w:jc w:val="center"/>
        <w:rPr>
          <w:rFonts w:ascii="Arial" w:hAnsi="Arial" w:cs="Arial"/>
        </w:rPr>
      </w:pPr>
      <w:r w:rsidRPr="004B54DF">
        <w:rPr>
          <w:rFonts w:ascii="Arial" w:hAnsi="Arial" w:cs="Arial"/>
        </w:rPr>
        <w:t>(Source: Reckitt, 2026)</w:t>
      </w:r>
    </w:p>
    <w:p w14:paraId="3B386653" w14:textId="77777777" w:rsidR="00195659" w:rsidRPr="004B54DF" w:rsidRDefault="00C01501" w:rsidP="004B54DF">
      <w:pPr>
        <w:rPr>
          <w:rFonts w:ascii="Arial" w:hAnsi="Arial" w:cs="Arial"/>
        </w:rPr>
      </w:pPr>
      <w:r w:rsidRPr="004B54DF">
        <w:rPr>
          <w:rFonts w:ascii="Arial" w:hAnsi="Arial" w:cs="Arial"/>
        </w:rPr>
        <w:t xml:space="preserve">Reckitt's global setup has a very integrated international business model. It comprises a central strategic decision-making system with a geographically distributed </w:t>
      </w:r>
      <w:r w:rsidRPr="004B54DF">
        <w:rPr>
          <w:rFonts w:ascii="Arial" w:hAnsi="Arial" w:cs="Arial"/>
        </w:rPr>
        <w:lastRenderedPageBreak/>
        <w:t xml:space="preserve">manufacturing/distribution and commercial system. It has internationally known brands in hygiene, health and nutrition categories in 80+ countries (Reckitt, 2026). This international approach helps it to efficiently utilise resources across different markets and countries, and take notice of regional market demands. Such an arrangement with partners worldwide increases the resilience of the supply chain, minimises operational risks, and fosters innovation. Multinationals are faced with the challenge of institutional fragmentation across international markets, where regulatory inconsistencies, political uncertainties and institutional quality differences are of importance for strategic decision-making. </w:t>
      </w:r>
      <w:proofErr w:type="spellStart"/>
      <w:r w:rsidRPr="004B54DF">
        <w:rPr>
          <w:rFonts w:ascii="Arial" w:hAnsi="Arial" w:cs="Arial"/>
        </w:rPr>
        <w:t>Rezniqi</w:t>
      </w:r>
      <w:proofErr w:type="spellEnd"/>
      <w:r w:rsidRPr="004B54DF">
        <w:rPr>
          <w:rFonts w:ascii="Arial" w:hAnsi="Arial" w:cs="Arial"/>
        </w:rPr>
        <w:t xml:space="preserve"> and During (2025) pointed out that in the context of institutional fragmentation, firms are likely to present with various flexible strategic responses, such as local partnerships, as well as adaptive market positioning and regulatory alignment, because flexibility is necessary to minimise uncertainty in going international.</w:t>
      </w:r>
    </w:p>
    <w:p w14:paraId="7DBA61F4" w14:textId="77777777" w:rsidR="00195659" w:rsidRPr="004B54DF" w:rsidRDefault="00C01501" w:rsidP="004B54DF">
      <w:pPr>
        <w:rPr>
          <w:rFonts w:ascii="Arial" w:hAnsi="Arial" w:cs="Arial"/>
        </w:rPr>
      </w:pPr>
      <w:r w:rsidRPr="004B54DF">
        <w:rPr>
          <w:rFonts w:ascii="Arial" w:hAnsi="Arial" w:cs="Arial"/>
        </w:rPr>
        <w:t>Geopolitical fragmentation, realignment of trade and regional economic blocs are now exerting a greater influence on the current international business landscape. In the new international context, MNCs need to reconfigure their geographical strategies, focusing on supply chain diversification and political risk management, to maintain global competitiveness (Cui et al., 2025). Magno (2025) showed that Business-to-Business Digital Platforms (B2BDPs) enhance export outcomes by decreasing market information asymmetries, transacting costs, and international business relationship dynamics. These make it possible for MNCs to penetrate new market segments with less investment and high flexibility of operations.</w:t>
      </w:r>
    </w:p>
    <w:p w14:paraId="724CCBBE" w14:textId="77777777" w:rsidR="00195659" w:rsidRPr="004B54DF" w:rsidRDefault="00C01501" w:rsidP="004B54DF">
      <w:pPr>
        <w:rPr>
          <w:rFonts w:ascii="Arial" w:hAnsi="Arial" w:cs="Arial"/>
        </w:rPr>
      </w:pPr>
      <w:r w:rsidRPr="004B54DF">
        <w:rPr>
          <w:rFonts w:ascii="Arial" w:hAnsi="Arial" w:cs="Arial"/>
        </w:rPr>
        <w:t xml:space="preserve">Organisations expanding internationally also have to deal with a growing number of ever more complex pieces of legislation in the fields of foreign investment, intellectual property rights, competition law, and consumer law. International trading laws have been an important strategic skill, citing the fact that conforming to international trading laws will enhance operational stability and safeguard long-term competitive advantage (Akinsola and John, 2025). Institutional support mechanisms in host economies support the effectiveness of global configuration. Government investment policies including foreign investment, infrastructure and facilitation of business create a positive impact on international market performance, and it removes institutional barriers, and increases sustainable business growth. Similarly, Sekyere and Jalali (2025) found that international market knowledge improves firms' strategic resources </w:t>
      </w:r>
      <w:r w:rsidRPr="004B54DF">
        <w:rPr>
          <w:rFonts w:ascii="Arial" w:hAnsi="Arial" w:cs="Arial"/>
        </w:rPr>
        <w:lastRenderedPageBreak/>
        <w:t>orchestration, market adaptation, and competitive performance in international expansion.</w:t>
      </w:r>
    </w:p>
    <w:p w14:paraId="07312CD7" w14:textId="77777777" w:rsidR="00195659" w:rsidRPr="004B54DF" w:rsidRDefault="00C01501" w:rsidP="004B54DF">
      <w:pPr>
        <w:pStyle w:val="Heading2"/>
        <w:rPr>
          <w:rFonts w:ascii="Arial" w:hAnsi="Arial" w:cs="Arial"/>
        </w:rPr>
      </w:pPr>
      <w:bookmarkStart w:id="11" w:name="_Toc236685580"/>
      <w:r w:rsidRPr="004B54DF">
        <w:rPr>
          <w:rFonts w:ascii="Arial" w:hAnsi="Arial" w:cs="Arial"/>
        </w:rPr>
        <w:t>2. Macro-Environmental Appraisal and Market Attractiveness</w:t>
      </w:r>
      <w:bookmarkEnd w:id="11"/>
    </w:p>
    <w:p w14:paraId="0491EE7B" w14:textId="77777777" w:rsidR="00195659" w:rsidRPr="004B54DF" w:rsidRDefault="00C01501" w:rsidP="004B54DF">
      <w:pPr>
        <w:pStyle w:val="Heading3"/>
        <w:rPr>
          <w:rFonts w:ascii="Arial" w:hAnsi="Arial" w:cs="Arial"/>
        </w:rPr>
      </w:pPr>
      <w:bookmarkStart w:id="12" w:name="_Toc236685581"/>
      <w:r w:rsidRPr="004B54DF">
        <w:rPr>
          <w:rFonts w:ascii="Arial" w:hAnsi="Arial" w:cs="Arial"/>
        </w:rPr>
        <w:t>2.1 Introduction to Mongolia</w:t>
      </w:r>
      <w:bookmarkEnd w:id="12"/>
    </w:p>
    <w:p w14:paraId="6D7684E6" w14:textId="77777777" w:rsidR="00195659" w:rsidRPr="004B54DF" w:rsidRDefault="00C01501" w:rsidP="004B54DF">
      <w:pPr>
        <w:jc w:val="center"/>
        <w:rPr>
          <w:rFonts w:ascii="Arial" w:hAnsi="Arial" w:cs="Arial"/>
        </w:rPr>
      </w:pPr>
      <w:r w:rsidRPr="004B54DF">
        <w:rPr>
          <w:rFonts w:ascii="Arial" w:hAnsi="Arial" w:cs="Arial"/>
          <w:noProof/>
        </w:rPr>
        <w:drawing>
          <wp:inline distT="0" distB="0" distL="0" distR="0" wp14:anchorId="1DF9EEBF" wp14:editId="1848C977">
            <wp:extent cx="5773575" cy="3524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73575" cy="3524250"/>
                    </a:xfrm>
                    <a:prstGeom prst="rect">
                      <a:avLst/>
                    </a:prstGeom>
                    <a:ln/>
                  </pic:spPr>
                </pic:pic>
              </a:graphicData>
            </a:graphic>
          </wp:inline>
        </w:drawing>
      </w:r>
    </w:p>
    <w:p w14:paraId="76D56FCD" w14:textId="77777777" w:rsidR="00195659" w:rsidRPr="004B54DF" w:rsidRDefault="00C01501" w:rsidP="004B54DF">
      <w:pPr>
        <w:jc w:val="center"/>
        <w:rPr>
          <w:rFonts w:ascii="Arial" w:hAnsi="Arial" w:cs="Arial"/>
          <w:b/>
          <w:bCs/>
        </w:rPr>
      </w:pPr>
      <w:r w:rsidRPr="004B54DF">
        <w:rPr>
          <w:rFonts w:ascii="Arial" w:hAnsi="Arial" w:cs="Arial"/>
          <w:b/>
          <w:bCs/>
        </w:rPr>
        <w:t>Figure 2: Annual Real GDP Growth Trend of Mongolia</w:t>
      </w:r>
    </w:p>
    <w:p w14:paraId="752EFC3D" w14:textId="77777777" w:rsidR="00195659" w:rsidRPr="004B54DF" w:rsidRDefault="00C01501" w:rsidP="004B54DF">
      <w:pPr>
        <w:jc w:val="center"/>
        <w:rPr>
          <w:rFonts w:ascii="Arial" w:hAnsi="Arial" w:cs="Arial"/>
        </w:rPr>
      </w:pPr>
      <w:r w:rsidRPr="004B54DF">
        <w:rPr>
          <w:rFonts w:ascii="Arial" w:hAnsi="Arial" w:cs="Arial"/>
        </w:rPr>
        <w:t>(Source: Statista, 2026)</w:t>
      </w:r>
    </w:p>
    <w:p w14:paraId="268F983D" w14:textId="77777777" w:rsidR="00195659" w:rsidRPr="004B54DF" w:rsidRDefault="00C01501" w:rsidP="004B54DF">
      <w:pPr>
        <w:rPr>
          <w:rFonts w:ascii="Arial" w:hAnsi="Arial" w:cs="Arial"/>
        </w:rPr>
      </w:pPr>
      <w:r w:rsidRPr="004B54DF">
        <w:rPr>
          <w:rFonts w:ascii="Arial" w:hAnsi="Arial" w:cs="Arial"/>
        </w:rPr>
        <w:t xml:space="preserve">Annual trend of the real GDP for Mongolia has shown economic contraction and expansion and forecasting future economic development till 2030 (Statista, 2026). This trend is indicative of the macro-economic adjustment, recovery from previous economic fluctuations and long-term growth potential in the country. Stable economic performance increases investor confidence, facilitates the expansion of the consumer market, and boosts the attractiveness of Mongolia as the place for sustainable foreign market access and long-term expansion of MNCs, such as Reckitt. Multinational consumer goods companies have seen the potential in Mongolia's growing domestic market, investment-friendly environment and entrepot position between China and Russia (Macrotrends, 2025). The continued process of diversifying the economy away from mining has led to the growth of retail, health, logistics and consumer goods sectors, which have provided good conditions for the growth of international business. The foreign investment perspective in Mongolia has been further improved by growing trends of urbanisation, improving purchasing power, developing organised retail </w:t>
      </w:r>
      <w:r w:rsidRPr="004B54DF">
        <w:rPr>
          <w:rFonts w:ascii="Arial" w:hAnsi="Arial" w:cs="Arial"/>
        </w:rPr>
        <w:lastRenderedPageBreak/>
        <w:t xml:space="preserve">networks, and promoting governmental measures. These all offer advantages for multinationals like Reckitt to gain a solid hold in the market with innovative healthcare and hygiene solutions. In 2025, the total amount of consumer spending amounted to nearly MNT 16.35 trillion, which showed strong household demand in an environment of global economic risks (TE, 2026). </w:t>
      </w:r>
    </w:p>
    <w:p w14:paraId="6DD01B2C" w14:textId="77777777" w:rsidR="00195659" w:rsidRPr="004B54DF" w:rsidRDefault="00C01501" w:rsidP="004B54DF">
      <w:pPr>
        <w:rPr>
          <w:rFonts w:ascii="Arial" w:hAnsi="Arial" w:cs="Arial"/>
        </w:rPr>
      </w:pPr>
      <w:r w:rsidRPr="004B54DF">
        <w:rPr>
          <w:rFonts w:ascii="Arial" w:hAnsi="Arial" w:cs="Arial"/>
        </w:rPr>
        <w:t>Rising domestic spending suggests growth in buying power and rising consumer confidence, which are drivers of demand for branded personal care and consumer healthcare products. Changes in consumer expenditure patterns further enhance the market potential in the country. The total amount spent by Chinese consumers has risen from around US$2.11 billion in 2024 to nearly US$2.71 billion in 2023, thereby showcasing a robust trend of growing consumer spending and driving demand for key consumer goods sectors (Macrotrends, 2025). A combination of these economic factors indicates that Mongolia provides favourable macroeconomic conditions to Reckitt's long-term international expansion strategy and a sustainable opportunity for future growth.</w:t>
      </w:r>
    </w:p>
    <w:p w14:paraId="63AF5DF8" w14:textId="77777777" w:rsidR="00195659" w:rsidRPr="004B54DF" w:rsidRDefault="00C01501" w:rsidP="004B54DF">
      <w:pPr>
        <w:pStyle w:val="Heading3"/>
        <w:rPr>
          <w:rFonts w:ascii="Arial" w:hAnsi="Arial" w:cs="Arial"/>
        </w:rPr>
      </w:pPr>
      <w:bookmarkStart w:id="13" w:name="_Toc236685582"/>
      <w:r w:rsidRPr="004B54DF">
        <w:rPr>
          <w:rFonts w:ascii="Arial" w:hAnsi="Arial" w:cs="Arial"/>
        </w:rPr>
        <w:t>2.2 PESTLE Analysis</w:t>
      </w:r>
      <w:bookmarkEnd w:id="13"/>
    </w:p>
    <w:tbl>
      <w:tblPr>
        <w:tblStyle w:val="a"/>
        <w:tblW w:w="969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755"/>
        <w:gridCol w:w="4215"/>
        <w:gridCol w:w="3720"/>
      </w:tblGrid>
      <w:tr w:rsidR="008A6309" w:rsidRPr="004B54DF" w14:paraId="63C4627F" w14:textId="77777777">
        <w:trPr>
          <w:trHeight w:val="770"/>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4DE04" w14:textId="77777777" w:rsidR="00195659" w:rsidRPr="004B54DF" w:rsidRDefault="00C01501" w:rsidP="004B54DF">
            <w:pPr>
              <w:jc w:val="center"/>
              <w:rPr>
                <w:rFonts w:ascii="Arial" w:hAnsi="Arial" w:cs="Arial"/>
              </w:rPr>
            </w:pPr>
            <w:r w:rsidRPr="004B54DF">
              <w:rPr>
                <w:rFonts w:ascii="Arial" w:hAnsi="Arial" w:cs="Arial"/>
                <w:b/>
                <w:bCs/>
              </w:rPr>
              <w:t>PESTLE Factor</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B62103" w14:textId="77777777" w:rsidR="00195659" w:rsidRPr="004B54DF" w:rsidRDefault="00C01501" w:rsidP="004B54DF">
            <w:pPr>
              <w:jc w:val="center"/>
              <w:rPr>
                <w:rFonts w:ascii="Arial" w:hAnsi="Arial" w:cs="Arial"/>
              </w:rPr>
            </w:pPr>
            <w:r w:rsidRPr="004B54DF">
              <w:rPr>
                <w:rFonts w:ascii="Arial" w:hAnsi="Arial" w:cs="Arial"/>
                <w:b/>
                <w:bCs/>
              </w:rPr>
              <w:t>Key Numerical Data</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D369A" w14:textId="77777777" w:rsidR="00195659" w:rsidRPr="004B54DF" w:rsidRDefault="00C01501" w:rsidP="004B54DF">
            <w:pPr>
              <w:jc w:val="center"/>
              <w:rPr>
                <w:rFonts w:ascii="Arial" w:hAnsi="Arial" w:cs="Arial"/>
              </w:rPr>
            </w:pPr>
            <w:r w:rsidRPr="004B54DF">
              <w:rPr>
                <w:rFonts w:ascii="Arial" w:hAnsi="Arial" w:cs="Arial"/>
                <w:b/>
                <w:bCs/>
              </w:rPr>
              <w:t>Implication for Reckitt</w:t>
            </w:r>
          </w:p>
        </w:tc>
      </w:tr>
      <w:tr w:rsidR="008A6309" w:rsidRPr="004B54DF" w14:paraId="1978CE4E" w14:textId="77777777">
        <w:trPr>
          <w:trHeight w:val="1595"/>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396F4" w14:textId="77777777" w:rsidR="00195659" w:rsidRPr="004B54DF" w:rsidRDefault="00C01501" w:rsidP="004B54DF">
            <w:pPr>
              <w:rPr>
                <w:rFonts w:ascii="Arial" w:hAnsi="Arial" w:cs="Arial"/>
              </w:rPr>
            </w:pPr>
            <w:r w:rsidRPr="004B54DF">
              <w:rPr>
                <w:rFonts w:ascii="Arial" w:hAnsi="Arial" w:cs="Arial"/>
                <w:b/>
                <w:bCs/>
              </w:rPr>
              <w:t>Political</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2C8F0" w14:textId="77777777" w:rsidR="00195659" w:rsidRPr="004B54DF" w:rsidRDefault="00C01501" w:rsidP="004B54DF">
            <w:pPr>
              <w:rPr>
                <w:rFonts w:ascii="Arial" w:hAnsi="Arial" w:cs="Arial"/>
              </w:rPr>
            </w:pPr>
            <w:r w:rsidRPr="004B54DF">
              <w:rPr>
                <w:rFonts w:ascii="Arial" w:hAnsi="Arial" w:cs="Arial"/>
              </w:rPr>
              <w:t>Stable democratic governance, government continues to promote foreign investment and trade liberalisation</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35ECD" w14:textId="77777777" w:rsidR="00195659" w:rsidRPr="004B54DF" w:rsidRDefault="00C01501" w:rsidP="004B54DF">
            <w:pPr>
              <w:rPr>
                <w:rFonts w:ascii="Arial" w:hAnsi="Arial" w:cs="Arial"/>
              </w:rPr>
            </w:pPr>
            <w:r w:rsidRPr="004B54DF">
              <w:rPr>
                <w:rFonts w:ascii="Arial" w:hAnsi="Arial" w:cs="Arial"/>
              </w:rPr>
              <w:t>Supportive regulatory environment for international FMCG companies entering the market</w:t>
            </w:r>
          </w:p>
        </w:tc>
      </w:tr>
      <w:tr w:rsidR="008A6309" w:rsidRPr="004B54DF" w14:paraId="346777CB" w14:textId="77777777">
        <w:trPr>
          <w:trHeight w:val="1325"/>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F50D0" w14:textId="77777777" w:rsidR="00195659" w:rsidRPr="004B54DF" w:rsidRDefault="00C01501" w:rsidP="004B54DF">
            <w:pPr>
              <w:rPr>
                <w:rFonts w:ascii="Arial" w:hAnsi="Arial" w:cs="Arial"/>
              </w:rPr>
            </w:pPr>
            <w:r w:rsidRPr="004B54DF">
              <w:rPr>
                <w:rFonts w:ascii="Arial" w:hAnsi="Arial" w:cs="Arial"/>
                <w:b/>
                <w:bCs/>
              </w:rPr>
              <w:t>Economic</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C2A87" w14:textId="77777777" w:rsidR="00195659" w:rsidRPr="004B54DF" w:rsidRDefault="00C01501" w:rsidP="004B54DF">
            <w:pPr>
              <w:rPr>
                <w:rFonts w:ascii="Arial" w:hAnsi="Arial" w:cs="Arial"/>
              </w:rPr>
            </w:pPr>
            <w:r w:rsidRPr="004B54DF">
              <w:rPr>
                <w:rFonts w:ascii="Arial" w:hAnsi="Arial" w:cs="Arial"/>
              </w:rPr>
              <w:t>GDP growth projected at 5.0% (2026) after 6.9% growth in 2025</w:t>
            </w:r>
          </w:p>
          <w:p w14:paraId="0E987DA0" w14:textId="77777777" w:rsidR="00195659" w:rsidRPr="004B54DF" w:rsidRDefault="00C01501" w:rsidP="004B54DF">
            <w:pPr>
              <w:rPr>
                <w:rFonts w:ascii="Arial" w:hAnsi="Arial" w:cs="Arial"/>
              </w:rPr>
            </w:pPr>
            <w:r w:rsidRPr="004B54DF">
              <w:rPr>
                <w:rFonts w:ascii="Arial" w:hAnsi="Arial" w:cs="Arial"/>
              </w:rPr>
              <w:t>Inflation averaged 8.6% in 2025 (Macrotrends, 2025)</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80AEA" w14:textId="77777777" w:rsidR="00195659" w:rsidRPr="004B54DF" w:rsidRDefault="00C01501" w:rsidP="004B54DF">
            <w:pPr>
              <w:rPr>
                <w:rFonts w:ascii="Arial" w:hAnsi="Arial" w:cs="Arial"/>
              </w:rPr>
            </w:pPr>
            <w:r w:rsidRPr="004B54DF">
              <w:rPr>
                <w:rFonts w:ascii="Arial" w:hAnsi="Arial" w:cs="Arial"/>
              </w:rPr>
              <w:t>Rising economic activity increases purchasing power despite inflationary pressures</w:t>
            </w:r>
          </w:p>
        </w:tc>
      </w:tr>
      <w:tr w:rsidR="008A6309" w:rsidRPr="004B54DF" w14:paraId="4A9F1167" w14:textId="77777777">
        <w:trPr>
          <w:trHeight w:val="1595"/>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B76D9" w14:textId="77777777" w:rsidR="00195659" w:rsidRPr="004B54DF" w:rsidRDefault="00C01501" w:rsidP="004B54DF">
            <w:pPr>
              <w:rPr>
                <w:rFonts w:ascii="Arial" w:hAnsi="Arial" w:cs="Arial"/>
              </w:rPr>
            </w:pPr>
            <w:r w:rsidRPr="004B54DF">
              <w:rPr>
                <w:rFonts w:ascii="Arial" w:hAnsi="Arial" w:cs="Arial"/>
                <w:b/>
                <w:bCs/>
              </w:rPr>
              <w:t>Social</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B1CFA" w14:textId="77777777" w:rsidR="00195659" w:rsidRPr="004B54DF" w:rsidRDefault="00C01501" w:rsidP="004B54DF">
            <w:pPr>
              <w:rPr>
                <w:rFonts w:ascii="Arial" w:hAnsi="Arial" w:cs="Arial"/>
              </w:rPr>
            </w:pPr>
            <w:r w:rsidRPr="004B54DF">
              <w:rPr>
                <w:rFonts w:ascii="Arial" w:hAnsi="Arial" w:cs="Arial"/>
              </w:rPr>
              <w:t>Consumer spending reached US$11.76 billion in 2024</w:t>
            </w:r>
          </w:p>
          <w:p w14:paraId="66537ADC" w14:textId="77777777" w:rsidR="00195659" w:rsidRPr="004B54DF" w:rsidRDefault="00C01501" w:rsidP="004B54DF">
            <w:pPr>
              <w:rPr>
                <w:rFonts w:ascii="Arial" w:hAnsi="Arial" w:cs="Arial"/>
              </w:rPr>
            </w:pPr>
            <w:r w:rsidRPr="004B54DF">
              <w:rPr>
                <w:rFonts w:ascii="Arial" w:hAnsi="Arial" w:cs="Arial"/>
              </w:rPr>
              <w:t>This increased by 29.98% from US$9.05 billion in 2023 (CMI, 2026)</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9D3FA3" w14:textId="77777777" w:rsidR="00195659" w:rsidRPr="004B54DF" w:rsidRDefault="00C01501" w:rsidP="004B54DF">
            <w:pPr>
              <w:rPr>
                <w:rFonts w:ascii="Arial" w:hAnsi="Arial" w:cs="Arial"/>
              </w:rPr>
            </w:pPr>
            <w:r w:rsidRPr="004B54DF">
              <w:rPr>
                <w:rFonts w:ascii="Arial" w:hAnsi="Arial" w:cs="Arial"/>
              </w:rPr>
              <w:t>Strong household consumption indicates growing demand for health, hygiene, and personal care products</w:t>
            </w:r>
          </w:p>
        </w:tc>
      </w:tr>
      <w:tr w:rsidR="008A6309" w:rsidRPr="004B54DF" w14:paraId="2A3C7DBB" w14:textId="77777777">
        <w:trPr>
          <w:trHeight w:val="1595"/>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6B774E" w14:textId="77777777" w:rsidR="00195659" w:rsidRPr="004B54DF" w:rsidRDefault="00C01501" w:rsidP="004B54DF">
            <w:pPr>
              <w:rPr>
                <w:rFonts w:ascii="Arial" w:hAnsi="Arial" w:cs="Arial"/>
              </w:rPr>
            </w:pPr>
            <w:r w:rsidRPr="004B54DF">
              <w:rPr>
                <w:rFonts w:ascii="Arial" w:hAnsi="Arial" w:cs="Arial"/>
                <w:b/>
                <w:bCs/>
              </w:rPr>
              <w:lastRenderedPageBreak/>
              <w:t>Technological</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CD1D6" w14:textId="77777777" w:rsidR="00195659" w:rsidRPr="004B54DF" w:rsidRDefault="00C01501" w:rsidP="004B54DF">
            <w:pPr>
              <w:rPr>
                <w:rFonts w:ascii="Arial" w:hAnsi="Arial" w:cs="Arial"/>
              </w:rPr>
            </w:pPr>
            <w:r w:rsidRPr="004B54DF">
              <w:rPr>
                <w:rFonts w:ascii="Arial" w:hAnsi="Arial" w:cs="Arial"/>
              </w:rPr>
              <w:t>Consumer product and retail market expected to expand during 2026–2033, supported by retail digitalisation and modern distribution channels (R&amp;M, 2026)</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AEB2A" w14:textId="77777777" w:rsidR="00195659" w:rsidRPr="004B54DF" w:rsidRDefault="00C01501" w:rsidP="004B54DF">
            <w:pPr>
              <w:rPr>
                <w:rFonts w:ascii="Arial" w:hAnsi="Arial" w:cs="Arial"/>
              </w:rPr>
            </w:pPr>
            <w:r w:rsidRPr="004B54DF">
              <w:rPr>
                <w:rFonts w:ascii="Arial" w:hAnsi="Arial" w:cs="Arial"/>
              </w:rPr>
              <w:t>Digital retail growth provides opportunities for Reckitt's omnichannel sales strategy</w:t>
            </w:r>
          </w:p>
        </w:tc>
      </w:tr>
      <w:tr w:rsidR="008A6309" w:rsidRPr="004B54DF" w14:paraId="291AB3BF" w14:textId="77777777">
        <w:trPr>
          <w:trHeight w:val="1865"/>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B02FBE" w14:textId="77777777" w:rsidR="00195659" w:rsidRPr="004B54DF" w:rsidRDefault="00C01501" w:rsidP="004B54DF">
            <w:pPr>
              <w:rPr>
                <w:rFonts w:ascii="Arial" w:hAnsi="Arial" w:cs="Arial"/>
              </w:rPr>
            </w:pPr>
            <w:r w:rsidRPr="004B54DF">
              <w:rPr>
                <w:rFonts w:ascii="Arial" w:hAnsi="Arial" w:cs="Arial"/>
                <w:b/>
                <w:bCs/>
              </w:rPr>
              <w:t>Legal</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490CD" w14:textId="77777777" w:rsidR="00195659" w:rsidRPr="004B54DF" w:rsidRDefault="00C01501" w:rsidP="004B54DF">
            <w:pPr>
              <w:rPr>
                <w:rFonts w:ascii="Arial" w:hAnsi="Arial" w:cs="Arial"/>
              </w:rPr>
            </w:pPr>
            <w:r w:rsidRPr="004B54DF">
              <w:rPr>
                <w:rFonts w:ascii="Arial" w:hAnsi="Arial" w:cs="Arial"/>
              </w:rPr>
              <w:t>Mongolia is still continuing to improve its foreign investment legislation and consumer protection measures for increased foreign business involvement (Statista, 2025; Statista, 2026)</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D3B6DA" w14:textId="77777777" w:rsidR="00195659" w:rsidRPr="004B54DF" w:rsidRDefault="00C01501" w:rsidP="004B54DF">
            <w:pPr>
              <w:rPr>
                <w:rFonts w:ascii="Arial" w:hAnsi="Arial" w:cs="Arial"/>
              </w:rPr>
            </w:pPr>
            <w:r w:rsidRPr="004B54DF">
              <w:rPr>
                <w:rFonts w:ascii="Arial" w:hAnsi="Arial" w:cs="Arial"/>
              </w:rPr>
              <w:t>Stronger legal regime to safeguard investments and brand protection</w:t>
            </w:r>
          </w:p>
        </w:tc>
      </w:tr>
      <w:tr w:rsidR="008A6309" w:rsidRPr="004B54DF" w14:paraId="26AB04A0" w14:textId="77777777">
        <w:trPr>
          <w:trHeight w:val="1865"/>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E651B" w14:textId="77777777" w:rsidR="00195659" w:rsidRPr="004B54DF" w:rsidRDefault="00C01501" w:rsidP="004B54DF">
            <w:pPr>
              <w:rPr>
                <w:rFonts w:ascii="Arial" w:hAnsi="Arial" w:cs="Arial"/>
              </w:rPr>
            </w:pPr>
            <w:r w:rsidRPr="004B54DF">
              <w:rPr>
                <w:rFonts w:ascii="Arial" w:hAnsi="Arial" w:cs="Arial"/>
                <w:b/>
                <w:bCs/>
              </w:rPr>
              <w:t>Environmental</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29718F" w14:textId="77777777" w:rsidR="00195659" w:rsidRPr="004B54DF" w:rsidRDefault="00C01501" w:rsidP="004B54DF">
            <w:pPr>
              <w:rPr>
                <w:rFonts w:ascii="Arial" w:hAnsi="Arial" w:cs="Arial"/>
              </w:rPr>
            </w:pPr>
            <w:r w:rsidRPr="004B54DF">
              <w:rPr>
                <w:rFonts w:ascii="Arial" w:hAnsi="Arial" w:cs="Arial"/>
              </w:rPr>
              <w:t>Consumer goods imports continue to rise, total imports recorded US$843 million in January 2026 (ISIM, 2026)</w:t>
            </w:r>
          </w:p>
          <w:p w14:paraId="1EF64FFF" w14:textId="77777777" w:rsidR="00195659" w:rsidRPr="004B54DF" w:rsidRDefault="00C01501" w:rsidP="004B54DF">
            <w:pPr>
              <w:rPr>
                <w:rFonts w:ascii="Arial" w:hAnsi="Arial" w:cs="Arial"/>
              </w:rPr>
            </w:pPr>
            <w:r w:rsidRPr="004B54DF">
              <w:rPr>
                <w:rFonts w:ascii="Arial" w:hAnsi="Arial" w:cs="Arial"/>
              </w:rPr>
              <w:t>This reflected increasing product demand and supply chain activity</w:t>
            </w:r>
          </w:p>
        </w:tc>
        <w:tc>
          <w:tcPr>
            <w:tcW w:w="3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67AED5" w14:textId="77777777" w:rsidR="00195659" w:rsidRPr="004B54DF" w:rsidRDefault="00C01501" w:rsidP="004B54DF">
            <w:pPr>
              <w:rPr>
                <w:rFonts w:ascii="Arial" w:hAnsi="Arial" w:cs="Arial"/>
              </w:rPr>
            </w:pPr>
            <w:r w:rsidRPr="004B54DF">
              <w:rPr>
                <w:rFonts w:ascii="Arial" w:hAnsi="Arial" w:cs="Arial"/>
              </w:rPr>
              <w:t>Growing imports create opportunities for Reckitt's hygiene and healthcare product portfolio while requiring sustainable logistics practices</w:t>
            </w:r>
          </w:p>
        </w:tc>
      </w:tr>
    </w:tbl>
    <w:p w14:paraId="09DD24D4" w14:textId="77777777" w:rsidR="00195659" w:rsidRPr="004B54DF" w:rsidRDefault="00C01501" w:rsidP="004B54DF">
      <w:pPr>
        <w:jc w:val="center"/>
        <w:rPr>
          <w:rFonts w:ascii="Arial" w:hAnsi="Arial" w:cs="Arial"/>
          <w:b/>
          <w:bCs/>
        </w:rPr>
      </w:pPr>
      <w:r w:rsidRPr="004B54DF">
        <w:rPr>
          <w:rFonts w:ascii="Arial" w:hAnsi="Arial" w:cs="Arial"/>
          <w:b/>
          <w:bCs/>
        </w:rPr>
        <w:t>Table 1: PESTLE Analysis of Mongolia for Reckitt plc Market Entry</w:t>
      </w:r>
    </w:p>
    <w:p w14:paraId="03DA7D0F" w14:textId="77777777" w:rsidR="00195659" w:rsidRPr="004B54DF" w:rsidRDefault="00C01501" w:rsidP="004B54DF">
      <w:pPr>
        <w:rPr>
          <w:rFonts w:ascii="Arial" w:hAnsi="Arial" w:cs="Arial"/>
        </w:rPr>
      </w:pPr>
      <w:r w:rsidRPr="004B54DF">
        <w:rPr>
          <w:rFonts w:ascii="Arial" w:hAnsi="Arial" w:cs="Arial"/>
        </w:rPr>
        <w:t>The PESTLE analysis reflects that the macro-environment of Mongolia, with conditions of political stability, economic development, increasing consumer demand and improving regulation, is favourable for Reckitt's market entry. These external factors altogether combine to make the country an appealing place for MNCs focused on health care and hygiene products. Decision-making is crucial when assessing foreign expansion, as the firm has to assess market opportunities against some uncertainties in the environment. Organisations which adopt flexible decision-making strategies can flexibly adapt to the changing environment of institutional and market structure, which can lead to achieving better long-term performance in the international arena (</w:t>
      </w:r>
      <w:proofErr w:type="spellStart"/>
      <w:r w:rsidRPr="004B54DF">
        <w:rPr>
          <w:rFonts w:ascii="Arial" w:hAnsi="Arial" w:cs="Arial"/>
        </w:rPr>
        <w:t>Boonchoo</w:t>
      </w:r>
      <w:proofErr w:type="spellEnd"/>
      <w:r w:rsidRPr="004B54DF">
        <w:rPr>
          <w:rFonts w:ascii="Arial" w:hAnsi="Arial" w:cs="Arial"/>
        </w:rPr>
        <w:t xml:space="preserve">, 2025). </w:t>
      </w:r>
    </w:p>
    <w:p w14:paraId="6FFC6A15" w14:textId="77777777" w:rsidR="00195659" w:rsidRPr="004B54DF" w:rsidRDefault="00C01501" w:rsidP="004B54DF">
      <w:pPr>
        <w:rPr>
          <w:rFonts w:ascii="Arial" w:hAnsi="Arial" w:cs="Arial"/>
        </w:rPr>
      </w:pPr>
      <w:r w:rsidRPr="004B54DF">
        <w:rPr>
          <w:rFonts w:ascii="Arial" w:hAnsi="Arial" w:cs="Arial"/>
        </w:rPr>
        <w:t xml:space="preserve">Mongolia's development of a relatively conducive business climate provides a conducive environment for Reckitt to take a step-wise and adaptive approach to market entry that will be able to manage risks associated with its operations and meet the emerging demand for its products. MNCs that work in the international market have started to value environmental sustainability more and more. Sustainable investment </w:t>
      </w:r>
      <w:r w:rsidRPr="004B54DF">
        <w:rPr>
          <w:rFonts w:ascii="Arial" w:hAnsi="Arial" w:cs="Arial"/>
        </w:rPr>
        <w:lastRenderedPageBreak/>
        <w:t>approaches, green financing mechanisms, and favourable fiscal conditions are gaining traction as key elements of market appeal and competitive long-term business strategies (</w:t>
      </w:r>
      <w:proofErr w:type="spellStart"/>
      <w:r w:rsidRPr="004B54DF">
        <w:rPr>
          <w:rFonts w:ascii="Arial" w:hAnsi="Arial" w:cs="Arial"/>
        </w:rPr>
        <w:t>Krasteva</w:t>
      </w:r>
      <w:proofErr w:type="spellEnd"/>
      <w:r w:rsidRPr="004B54DF">
        <w:rPr>
          <w:rFonts w:ascii="Arial" w:hAnsi="Arial" w:cs="Arial"/>
        </w:rPr>
        <w:t>-Hristova and Georgieva, 2026). Incorporating more environmentally responsible operations, sustainable packaging and resource-friendly supply chains would enhance the competitive position of Reckitt in Mongolia, whilst meeting the increasing consumer demands and regulatory focus on the environment. Overall, the PESTLE results show that it is its external environment that would provide Reckitt with a supportive context for sustainable long-term value creation through international expansion in the country.</w:t>
      </w:r>
    </w:p>
    <w:p w14:paraId="417EAC54" w14:textId="77777777" w:rsidR="00195659" w:rsidRPr="004B54DF" w:rsidRDefault="00C01501" w:rsidP="004B54DF">
      <w:pPr>
        <w:pStyle w:val="Heading3"/>
        <w:rPr>
          <w:rFonts w:ascii="Arial" w:hAnsi="Arial" w:cs="Arial"/>
        </w:rPr>
      </w:pPr>
      <w:bookmarkStart w:id="14" w:name="_Toc236685583"/>
      <w:r w:rsidRPr="004B54DF">
        <w:rPr>
          <w:rFonts w:ascii="Arial" w:hAnsi="Arial" w:cs="Arial"/>
        </w:rPr>
        <w:t>2.3 OLI (Eclectic Paradigm) Analysis</w:t>
      </w:r>
      <w:bookmarkEnd w:id="14"/>
    </w:p>
    <w:tbl>
      <w:tblPr>
        <w:tblStyle w:val="a0"/>
        <w:tblW w:w="972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55"/>
        <w:gridCol w:w="3780"/>
        <w:gridCol w:w="3885"/>
      </w:tblGrid>
      <w:tr w:rsidR="008A6309" w:rsidRPr="004B54DF" w14:paraId="7C60D102" w14:textId="77777777">
        <w:trPr>
          <w:trHeight w:val="770"/>
          <w:jc w:val="center"/>
        </w:trPr>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5E05E" w14:textId="77777777" w:rsidR="00195659" w:rsidRPr="004B54DF" w:rsidRDefault="00C01501" w:rsidP="004B54DF">
            <w:pPr>
              <w:jc w:val="center"/>
              <w:rPr>
                <w:rFonts w:ascii="Arial" w:hAnsi="Arial" w:cs="Arial"/>
                <w:b/>
                <w:bCs/>
              </w:rPr>
            </w:pPr>
            <w:r w:rsidRPr="004B54DF">
              <w:rPr>
                <w:rFonts w:ascii="Arial" w:hAnsi="Arial" w:cs="Arial"/>
                <w:b/>
                <w:bCs/>
              </w:rPr>
              <w:t>OLI Dimension</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D456B" w14:textId="77777777" w:rsidR="00195659" w:rsidRPr="004B54DF" w:rsidRDefault="00C01501" w:rsidP="004B54DF">
            <w:pPr>
              <w:jc w:val="center"/>
              <w:rPr>
                <w:rFonts w:ascii="Arial" w:hAnsi="Arial" w:cs="Arial"/>
                <w:b/>
                <w:bCs/>
              </w:rPr>
            </w:pPr>
            <w:r w:rsidRPr="004B54DF">
              <w:rPr>
                <w:rFonts w:ascii="Arial" w:hAnsi="Arial" w:cs="Arial"/>
                <w:b/>
                <w:bCs/>
              </w:rPr>
              <w:t>Key Numerical Data</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7D20D2" w14:textId="77777777" w:rsidR="00195659" w:rsidRPr="004B54DF" w:rsidRDefault="00C01501" w:rsidP="004B54DF">
            <w:pPr>
              <w:jc w:val="center"/>
              <w:rPr>
                <w:rFonts w:ascii="Arial" w:hAnsi="Arial" w:cs="Arial"/>
                <w:b/>
                <w:bCs/>
              </w:rPr>
            </w:pPr>
            <w:r w:rsidRPr="004B54DF">
              <w:rPr>
                <w:rFonts w:ascii="Arial" w:hAnsi="Arial" w:cs="Arial"/>
                <w:b/>
                <w:bCs/>
              </w:rPr>
              <w:t>Strategic Implication for Reckitt</w:t>
            </w:r>
          </w:p>
        </w:tc>
      </w:tr>
      <w:tr w:rsidR="008A6309" w:rsidRPr="004B54DF" w14:paraId="27D094BA" w14:textId="77777777">
        <w:trPr>
          <w:trHeight w:val="1865"/>
          <w:jc w:val="center"/>
        </w:trPr>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3F26D3" w14:textId="77777777" w:rsidR="00195659" w:rsidRPr="004B54DF" w:rsidRDefault="00C01501" w:rsidP="004B54DF">
            <w:pPr>
              <w:rPr>
                <w:rFonts w:ascii="Arial" w:hAnsi="Arial" w:cs="Arial"/>
                <w:b/>
                <w:bCs/>
              </w:rPr>
            </w:pPr>
            <w:r w:rsidRPr="004B54DF">
              <w:rPr>
                <w:rFonts w:ascii="Arial" w:hAnsi="Arial" w:cs="Arial"/>
                <w:b/>
                <w:bCs/>
              </w:rPr>
              <w:t>Ownership (O)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1321C" w14:textId="77777777" w:rsidR="00195659" w:rsidRPr="004B54DF" w:rsidRDefault="00C01501" w:rsidP="004B54DF">
            <w:pPr>
              <w:rPr>
                <w:rFonts w:ascii="Arial" w:hAnsi="Arial" w:cs="Arial"/>
              </w:rPr>
            </w:pPr>
            <w:r w:rsidRPr="004B54DF">
              <w:rPr>
                <w:rFonts w:ascii="Arial" w:hAnsi="Arial" w:cs="Arial"/>
              </w:rPr>
              <w:t>The Global consumer packaged goods (CPG) market was valued at US$2.48 trillion in 2025 (PMR, 2026)</w:t>
            </w:r>
          </w:p>
          <w:p w14:paraId="6CAC449F" w14:textId="77777777" w:rsidR="00195659" w:rsidRPr="004B54DF" w:rsidRDefault="00C01501" w:rsidP="004B54DF">
            <w:pPr>
              <w:rPr>
                <w:rFonts w:ascii="Arial" w:hAnsi="Arial" w:cs="Arial"/>
              </w:rPr>
            </w:pPr>
            <w:r w:rsidRPr="004B54DF">
              <w:rPr>
                <w:rFonts w:ascii="Arial" w:hAnsi="Arial" w:cs="Arial"/>
              </w:rPr>
              <w:t>It is projected to reach US$4.21 trillion by 2034</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D169B2" w14:textId="77777777" w:rsidR="00195659" w:rsidRPr="004B54DF" w:rsidRDefault="00C01501" w:rsidP="004B54DF">
            <w:pPr>
              <w:rPr>
                <w:rFonts w:ascii="Arial" w:hAnsi="Arial" w:cs="Arial"/>
              </w:rPr>
            </w:pPr>
            <w:r w:rsidRPr="004B54DF">
              <w:rPr>
                <w:rFonts w:ascii="Arial" w:hAnsi="Arial" w:cs="Arial"/>
              </w:rPr>
              <w:t>Reckitt's globally recognised brands, innovation capabilities, and strong intellectual property provide significant ownership advantages in an expanding CPG market.</w:t>
            </w:r>
          </w:p>
        </w:tc>
      </w:tr>
      <w:tr w:rsidR="008A6309" w:rsidRPr="004B54DF" w14:paraId="005179D8" w14:textId="77777777">
        <w:trPr>
          <w:trHeight w:val="1595"/>
          <w:jc w:val="center"/>
        </w:trPr>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E66CDB" w14:textId="77777777" w:rsidR="00195659" w:rsidRPr="004B54DF" w:rsidRDefault="00C01501" w:rsidP="004B54DF">
            <w:pPr>
              <w:rPr>
                <w:rFonts w:ascii="Arial" w:hAnsi="Arial" w:cs="Arial"/>
                <w:b/>
                <w:bCs/>
              </w:rPr>
            </w:pPr>
            <w:r w:rsidRPr="004B54DF">
              <w:rPr>
                <w:rFonts w:ascii="Arial" w:hAnsi="Arial" w:cs="Arial"/>
                <w:b/>
                <w:bCs/>
              </w:rPr>
              <w:t>Ownership (O)</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AB366" w14:textId="77777777" w:rsidR="00195659" w:rsidRPr="004B54DF" w:rsidRDefault="00C01501" w:rsidP="004B54DF">
            <w:pPr>
              <w:rPr>
                <w:rFonts w:ascii="Arial" w:hAnsi="Arial" w:cs="Arial"/>
              </w:rPr>
            </w:pPr>
            <w:r w:rsidRPr="004B54DF">
              <w:rPr>
                <w:rFonts w:ascii="Arial" w:hAnsi="Arial" w:cs="Arial"/>
              </w:rPr>
              <w:t>The global FMCG market reached to US$15.47 trillion in 2024 and forecast to reach US$24.76 trillion by 2032, growing at a 6.05% CAGR (IMR, 2025)</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11F7B" w14:textId="77777777" w:rsidR="00195659" w:rsidRPr="004B54DF" w:rsidRDefault="00C01501" w:rsidP="004B54DF">
            <w:pPr>
              <w:rPr>
                <w:rFonts w:ascii="Arial" w:hAnsi="Arial" w:cs="Arial"/>
              </w:rPr>
            </w:pPr>
            <w:r w:rsidRPr="004B54DF">
              <w:rPr>
                <w:rFonts w:ascii="Arial" w:hAnsi="Arial" w:cs="Arial"/>
              </w:rPr>
              <w:t>Reckitt can leverage its established product portfolio and global economies of scale to capture growth opportunities</w:t>
            </w:r>
          </w:p>
        </w:tc>
      </w:tr>
      <w:tr w:rsidR="008A6309" w:rsidRPr="004B54DF" w14:paraId="5BAB7D2E" w14:textId="77777777">
        <w:trPr>
          <w:trHeight w:val="2135"/>
          <w:jc w:val="center"/>
        </w:trPr>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C03DF" w14:textId="77777777" w:rsidR="00195659" w:rsidRPr="004B54DF" w:rsidRDefault="00C01501" w:rsidP="004B54DF">
            <w:pPr>
              <w:rPr>
                <w:rFonts w:ascii="Arial" w:hAnsi="Arial" w:cs="Arial"/>
                <w:b/>
                <w:bCs/>
              </w:rPr>
            </w:pPr>
            <w:r w:rsidRPr="004B54DF">
              <w:rPr>
                <w:rFonts w:ascii="Arial" w:hAnsi="Arial" w:cs="Arial"/>
                <w:b/>
                <w:bCs/>
              </w:rPr>
              <w:t>Location (L)</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D68E3" w14:textId="77777777" w:rsidR="00195659" w:rsidRPr="004B54DF" w:rsidRDefault="00C01501" w:rsidP="004B54DF">
            <w:pPr>
              <w:rPr>
                <w:rFonts w:ascii="Arial" w:hAnsi="Arial" w:cs="Arial"/>
              </w:rPr>
            </w:pPr>
            <w:r w:rsidRPr="004B54DF">
              <w:rPr>
                <w:rFonts w:ascii="Arial" w:hAnsi="Arial" w:cs="Arial"/>
              </w:rPr>
              <w:t>Mongolia imported approximately US$296.9 million worth of consumer goods from China in 2022, making China the country's largest supplier of consumer products (WBG, 2026)</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DC3C0" w14:textId="77777777" w:rsidR="00195659" w:rsidRPr="004B54DF" w:rsidRDefault="00C01501" w:rsidP="004B54DF">
            <w:pPr>
              <w:rPr>
                <w:rFonts w:ascii="Arial" w:hAnsi="Arial" w:cs="Arial"/>
              </w:rPr>
            </w:pPr>
            <w:r w:rsidRPr="004B54DF">
              <w:rPr>
                <w:rFonts w:ascii="Arial" w:hAnsi="Arial" w:cs="Arial"/>
              </w:rPr>
              <w:t>Mongolia's dependence on imported consumer goods creates favourable conditions for foreign FMCG firms with efficient regional supply chains</w:t>
            </w:r>
          </w:p>
        </w:tc>
      </w:tr>
      <w:tr w:rsidR="008A6309" w:rsidRPr="004B54DF" w14:paraId="01B0E973" w14:textId="77777777">
        <w:trPr>
          <w:trHeight w:val="1595"/>
          <w:jc w:val="center"/>
        </w:trPr>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E4525" w14:textId="77777777" w:rsidR="00195659" w:rsidRPr="004B54DF" w:rsidRDefault="00C01501" w:rsidP="004B54DF">
            <w:pPr>
              <w:rPr>
                <w:rFonts w:ascii="Arial" w:hAnsi="Arial" w:cs="Arial"/>
                <w:b/>
                <w:bCs/>
              </w:rPr>
            </w:pPr>
            <w:r w:rsidRPr="004B54DF">
              <w:rPr>
                <w:rFonts w:ascii="Arial" w:hAnsi="Arial" w:cs="Arial"/>
                <w:b/>
                <w:bCs/>
              </w:rPr>
              <w:lastRenderedPageBreak/>
              <w:t>Location (L)</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F8AD0" w14:textId="77777777" w:rsidR="00195659" w:rsidRPr="004B54DF" w:rsidRDefault="00C01501" w:rsidP="004B54DF">
            <w:pPr>
              <w:rPr>
                <w:rFonts w:ascii="Arial" w:hAnsi="Arial" w:cs="Arial"/>
              </w:rPr>
            </w:pPr>
            <w:r w:rsidRPr="004B54DF">
              <w:rPr>
                <w:rFonts w:ascii="Arial" w:hAnsi="Arial" w:cs="Arial"/>
              </w:rPr>
              <w:t>Consumer goods imports from Russia reached approximately US$58.3 million in 2022 (TE, 2026)</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D1665" w14:textId="77777777" w:rsidR="00195659" w:rsidRPr="004B54DF" w:rsidRDefault="00C01501" w:rsidP="004B54DF">
            <w:pPr>
              <w:rPr>
                <w:rFonts w:ascii="Arial" w:hAnsi="Arial" w:cs="Arial"/>
              </w:rPr>
            </w:pPr>
            <w:r w:rsidRPr="004B54DF">
              <w:rPr>
                <w:rFonts w:ascii="Arial" w:hAnsi="Arial" w:cs="Arial"/>
              </w:rPr>
              <w:t>Multiple import sources demonstrate an open trading environment and diversified procurement channels for international brands</w:t>
            </w:r>
          </w:p>
        </w:tc>
      </w:tr>
      <w:tr w:rsidR="008A6309" w:rsidRPr="004B54DF" w14:paraId="27D037E6" w14:textId="77777777">
        <w:trPr>
          <w:trHeight w:val="2135"/>
          <w:jc w:val="center"/>
        </w:trPr>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F8A290" w14:textId="77777777" w:rsidR="00195659" w:rsidRPr="004B54DF" w:rsidRDefault="00C01501" w:rsidP="004B54DF">
            <w:pPr>
              <w:rPr>
                <w:rFonts w:ascii="Arial" w:hAnsi="Arial" w:cs="Arial"/>
                <w:b/>
                <w:bCs/>
              </w:rPr>
            </w:pPr>
            <w:r w:rsidRPr="004B54DF">
              <w:rPr>
                <w:rFonts w:ascii="Arial" w:hAnsi="Arial" w:cs="Arial"/>
                <w:b/>
                <w:bCs/>
              </w:rPr>
              <w:t>Internalisation (I)</w:t>
            </w:r>
          </w:p>
        </w:tc>
        <w:tc>
          <w:tcPr>
            <w:tcW w:w="3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815A96" w14:textId="77777777" w:rsidR="00195659" w:rsidRPr="004B54DF" w:rsidRDefault="00C01501" w:rsidP="004B54DF">
            <w:pPr>
              <w:rPr>
                <w:rFonts w:ascii="Arial" w:hAnsi="Arial" w:cs="Arial"/>
              </w:rPr>
            </w:pPr>
            <w:r w:rsidRPr="004B54DF">
              <w:rPr>
                <w:rFonts w:ascii="Arial" w:hAnsi="Arial" w:cs="Arial"/>
              </w:rPr>
              <w:t>The global CPG industry is projected to generate an absolute revenue opportunity exceeding US$1.7 trillion between 2026 and 2034 (PMR, 2026)</w:t>
            </w:r>
          </w:p>
        </w:tc>
        <w:tc>
          <w:tcPr>
            <w:tcW w:w="3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D0908" w14:textId="77777777" w:rsidR="00195659" w:rsidRPr="004B54DF" w:rsidRDefault="00C01501" w:rsidP="004B54DF">
            <w:pPr>
              <w:rPr>
                <w:rFonts w:ascii="Arial" w:hAnsi="Arial" w:cs="Arial"/>
              </w:rPr>
            </w:pPr>
            <w:r w:rsidRPr="004B54DF">
              <w:rPr>
                <w:rFonts w:ascii="Arial" w:hAnsi="Arial" w:cs="Arial"/>
              </w:rPr>
              <w:t>Establishing direct operations or wholly controlled distribution would enable Reckitt to protect brand quality, optimise supply chains, and maximise long-term profitability</w:t>
            </w:r>
          </w:p>
        </w:tc>
      </w:tr>
    </w:tbl>
    <w:p w14:paraId="79FD2AAC" w14:textId="77777777" w:rsidR="00195659" w:rsidRPr="004B54DF" w:rsidRDefault="00C01501" w:rsidP="004B54DF">
      <w:pPr>
        <w:jc w:val="center"/>
        <w:rPr>
          <w:rFonts w:ascii="Arial" w:hAnsi="Arial" w:cs="Arial"/>
          <w:b/>
          <w:bCs/>
        </w:rPr>
      </w:pPr>
      <w:r w:rsidRPr="004B54DF">
        <w:rPr>
          <w:rFonts w:ascii="Arial" w:hAnsi="Arial" w:cs="Arial"/>
          <w:b/>
          <w:bCs/>
        </w:rPr>
        <w:t>Table 2: OLI (Eclectic Paradigm) Analysis for Reckitt plc's Entry into Mongolia</w:t>
      </w:r>
    </w:p>
    <w:p w14:paraId="005B0A90" w14:textId="77777777" w:rsidR="00195659" w:rsidRPr="004B54DF" w:rsidRDefault="00C01501" w:rsidP="004B54DF">
      <w:pPr>
        <w:rPr>
          <w:rFonts w:ascii="Arial" w:hAnsi="Arial" w:cs="Arial"/>
        </w:rPr>
      </w:pPr>
      <w:r w:rsidRPr="004B54DF">
        <w:rPr>
          <w:rFonts w:ascii="Arial" w:hAnsi="Arial" w:cs="Arial"/>
        </w:rPr>
        <w:t xml:space="preserve">The OLI (Eclectic Paradigm) analysis shows that Reckitt has firm ownership advantage as well as location and internalisation advantage that is conducive to the expansion in Mongolia. The company holds blue-chip brands, has innovation capability, a global supply chain, and operational expertise (Reckitt, 2025). These altogether give competitive cushioning and pave the way for sustaining marketers. The consumer market in Mongolia is also expanding, and there is an increasing demand for imports of consumer goods, which further enhances the location advantages for foreign FMCG companies. Kim et al. (2026) emphasized that various aspects of the product life cycle where regulatory changes took place, along with a stable product and good quality management system, were identified as key success factors. </w:t>
      </w:r>
    </w:p>
    <w:p w14:paraId="3FB0F660" w14:textId="77777777" w:rsidR="00195659" w:rsidRPr="004B54DF" w:rsidRDefault="00C01501" w:rsidP="004B54DF">
      <w:pPr>
        <w:rPr>
          <w:rFonts w:ascii="Arial" w:hAnsi="Arial" w:cs="Arial"/>
        </w:rPr>
      </w:pPr>
      <w:r w:rsidRPr="004B54DF">
        <w:rPr>
          <w:rFonts w:ascii="Arial" w:hAnsi="Arial" w:cs="Arial"/>
        </w:rPr>
        <w:t>Another component affects the confidence of the consumers, as a strict quality control and a compliance with law from Reckitt would make their short and long-term viability simpler. The most important late binding into the market competitiveness in new markets is the ability to market the products well. Salam et al. (2025) suggested that a competitive advantage in international markets involves a comprehensive marketing strategy, which involves customer engagement, market responsiveness, digital marketing, and brand positioning.</w:t>
      </w:r>
    </w:p>
    <w:p w14:paraId="02E8A655" w14:textId="77777777" w:rsidR="00195659" w:rsidRPr="004B54DF" w:rsidRDefault="00C01501" w:rsidP="004B54DF">
      <w:pPr>
        <w:rPr>
          <w:rFonts w:ascii="Arial" w:hAnsi="Arial" w:cs="Arial"/>
        </w:rPr>
      </w:pPr>
      <w:r w:rsidRPr="004B54DF">
        <w:rPr>
          <w:rFonts w:ascii="Arial" w:hAnsi="Arial" w:cs="Arial"/>
        </w:rPr>
        <w:t xml:space="preserve">Also, the OLI framework showed that there are internalisation benefits implying that Reckitt will be inclined to have more control over its operations than license them. Building a direct distribution network or a wholly owned subsidiary would give </w:t>
      </w:r>
      <w:r w:rsidRPr="004B54DF">
        <w:rPr>
          <w:rFonts w:ascii="Arial" w:hAnsi="Arial" w:cs="Arial"/>
        </w:rPr>
        <w:lastRenderedPageBreak/>
        <w:t>companies the means to protect their intellectual property, as well as ensure continuity and homogeneity, and conforming to company operational standards globally. It would also help to curb some risk related to fake products and quality differences for consumers to gain confidence on adulteration and ensure sustainable future growth. The CPG market is projected to reach a value of USD 4.21 trillion in 2034 from USD 2.48 trillion in 2025 (PMR, 2026). This, in turn, shows growth at a 16.1% CAGR in between 2025 and 2034. Mongolia also provides location virtues with Reckitt's ownership and internalisation skills. In 2022, China was a net supplier to the nation with exports worth about US$296.9million, meaning there was a significant dependence on imports of consumer products, which offers promising prospects for international FMCG trade. There is little disinclination of the consumers to overlook and buy foreign brands, which indicates that less safety is provided to most of the multinationals that are entering the market (WBG, 2026).</w:t>
      </w:r>
    </w:p>
    <w:p w14:paraId="3241CA7F" w14:textId="77777777" w:rsidR="00195659" w:rsidRPr="004B54DF" w:rsidRDefault="00C01501" w:rsidP="004B54DF">
      <w:pPr>
        <w:rPr>
          <w:rFonts w:ascii="Arial" w:hAnsi="Arial" w:cs="Arial"/>
        </w:rPr>
      </w:pPr>
      <w:r w:rsidRPr="004B54DF">
        <w:rPr>
          <w:rFonts w:ascii="Arial" w:hAnsi="Arial" w:cs="Arial"/>
        </w:rPr>
        <w:t xml:space="preserve">Mongolia is also gaining importance to foreign investors due to domestic products demand. Consumer spending value was calculated as the US$11.76 billion around 2024 which is showing the increasing purchasing power of the consumers, and that drive their demand for health care, hygiene and household products which are branded available in the market. Positive consumer spending growth prospects in response to rising cities population and development of improved infrastructures for retailers (Macrotrends, 2025). Furthermore, the market size of FMCG in the global region is expected to reach almost US$ 24.76 trillion by 2032 at 6.05% CAGR. The positive trend in the industry suggests that the demand for innovation and efficient supply chains will keep driving multinationals profits as the world continues to demand more. The large product portfolio enables Reckitt to take advantage of market opportunities (IMR, 2025). In addition, product quality and product regulation are important. Having well-designed quality assurance systems and regulatory adherence to local healthcare and consumer protection laws would improve consumer confidence and drive market sustainability. Kim et al. (2026) added that effective management of the product life cycle and consistency of product quality have been cited as key factors in the success of international businesses. Finally, Reckitt would need to follow some marketing tactics that would fit their local setting. Digital Marketing, consumer education campaigns and strategic partnerships would further support the brand's visibility, consumer engagement, and market penetration. Furthermore, customer-centric promotional tools alongside market trend changes will be a key factor for </w:t>
      </w:r>
      <w:r w:rsidRPr="004B54DF">
        <w:rPr>
          <w:rFonts w:ascii="Arial" w:hAnsi="Arial" w:cs="Arial"/>
        </w:rPr>
        <w:lastRenderedPageBreak/>
        <w:t>gaining comparative advantage and consistent growth in Afghanistan's relatively young consumer goods market (Salam et al., 2025).</w:t>
      </w:r>
    </w:p>
    <w:p w14:paraId="210225C9" w14:textId="77777777" w:rsidR="00195659" w:rsidRPr="004B54DF" w:rsidRDefault="00C01501" w:rsidP="004B54DF">
      <w:pPr>
        <w:pStyle w:val="Heading3"/>
        <w:rPr>
          <w:rFonts w:ascii="Arial" w:hAnsi="Arial" w:cs="Arial"/>
        </w:rPr>
      </w:pPr>
      <w:bookmarkStart w:id="15" w:name="_Toc236685584"/>
      <w:r w:rsidRPr="004B54DF">
        <w:rPr>
          <w:rFonts w:ascii="Arial" w:hAnsi="Arial" w:cs="Arial"/>
        </w:rPr>
        <w:t>2.4 Overall Market Attractiveness Assessment</w:t>
      </w:r>
      <w:bookmarkEnd w:id="15"/>
    </w:p>
    <w:p w14:paraId="6A704A9C" w14:textId="77777777" w:rsidR="00195659" w:rsidRPr="004B54DF" w:rsidRDefault="00C01501" w:rsidP="004B54DF">
      <w:pPr>
        <w:jc w:val="center"/>
        <w:rPr>
          <w:rFonts w:ascii="Arial" w:hAnsi="Arial" w:cs="Arial"/>
        </w:rPr>
      </w:pPr>
      <w:r w:rsidRPr="004B54DF">
        <w:rPr>
          <w:rFonts w:ascii="Arial" w:hAnsi="Arial" w:cs="Arial"/>
          <w:noProof/>
        </w:rPr>
        <w:drawing>
          <wp:inline distT="0" distB="0" distL="0" distR="0" wp14:anchorId="3B6596EC" wp14:editId="435BBA85">
            <wp:extent cx="5568788" cy="2955277"/>
            <wp:effectExtent l="9525" t="9525" r="9525" b="952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15660" b="12901"/>
                    <a:stretch>
                      <a:fillRect/>
                    </a:stretch>
                  </pic:blipFill>
                  <pic:spPr>
                    <a:xfrm>
                      <a:off x="0" y="0"/>
                      <a:ext cx="5568788" cy="2955277"/>
                    </a:xfrm>
                    <a:prstGeom prst="rect">
                      <a:avLst/>
                    </a:prstGeom>
                    <a:ln w="9525">
                      <a:solidFill>
                        <a:srgbClr val="000000"/>
                      </a:solidFill>
                      <a:prstDash val="solid"/>
                    </a:ln>
                  </pic:spPr>
                </pic:pic>
              </a:graphicData>
            </a:graphic>
          </wp:inline>
        </w:drawing>
      </w:r>
    </w:p>
    <w:p w14:paraId="70EB4485" w14:textId="77777777" w:rsidR="00195659" w:rsidRPr="004B54DF" w:rsidRDefault="00C01501" w:rsidP="004B54DF">
      <w:pPr>
        <w:jc w:val="center"/>
        <w:rPr>
          <w:rFonts w:ascii="Arial" w:hAnsi="Arial" w:cs="Arial"/>
          <w:b/>
          <w:bCs/>
        </w:rPr>
      </w:pPr>
      <w:r w:rsidRPr="004B54DF">
        <w:rPr>
          <w:rFonts w:ascii="Arial" w:hAnsi="Arial" w:cs="Arial"/>
          <w:b/>
          <w:bCs/>
        </w:rPr>
        <w:t>Figure 3: Average Inflation Rate in Mongolia</w:t>
      </w:r>
    </w:p>
    <w:p w14:paraId="0CB09A35" w14:textId="77777777" w:rsidR="00195659" w:rsidRPr="004B54DF" w:rsidRDefault="00C01501" w:rsidP="004B54DF">
      <w:pPr>
        <w:jc w:val="center"/>
        <w:rPr>
          <w:rFonts w:ascii="Arial" w:hAnsi="Arial" w:cs="Arial"/>
        </w:rPr>
      </w:pPr>
      <w:r w:rsidRPr="004B54DF">
        <w:rPr>
          <w:rFonts w:ascii="Arial" w:hAnsi="Arial" w:cs="Arial"/>
        </w:rPr>
        <w:t>(Source: Statista, 2025)</w:t>
      </w:r>
    </w:p>
    <w:p w14:paraId="6E188857" w14:textId="77777777" w:rsidR="00195659" w:rsidRPr="004B54DF" w:rsidRDefault="00C01501" w:rsidP="004B54DF">
      <w:pPr>
        <w:rPr>
          <w:rFonts w:ascii="Arial" w:hAnsi="Arial" w:cs="Arial"/>
        </w:rPr>
      </w:pPr>
      <w:r w:rsidRPr="004B54DF">
        <w:rPr>
          <w:rFonts w:ascii="Arial" w:hAnsi="Arial" w:cs="Arial"/>
        </w:rPr>
        <w:t xml:space="preserve">Average annual inflation rate in Mongolia (1991-2030), with years of especially high rates shortly after transition and years of significantly lower-level inflation in the later period with a moderate forecast (Statista, 2025). The behaviour shows increasing macroeconomic resilience, monetary stability and predictability of the business climate. This gives investors more satisfaction, less economic uncertainty, and makes Mongolia more attractive to firms, such as Reckitt that want to achieve longer term sustainable growth in their international markets. Overall, the assessment shows that Mongolia qualifies as an attractive destination for Reckitt's international expansion due to favourable economic conditions, growing consumer demand, a positive investment environment, economic advantage and strategic location. The country's booming retail industry, increased consumer demand for packaged, branded products in healthcare and hygiene and reliance on imports of consumer goods provide attractive medium to long-term prospects for any multinational FMCG. Additionally, enhancing infrastructure, digitalisation, and the government's promotion of foreign investments boost the competitiveness of the consumer market as an emerging market. Successful international expansion has been found to require an entrepreneur's capabilities, appropriate resource allocation, and the opportunity to choose a high-potential market </w:t>
      </w:r>
      <w:r w:rsidRPr="004B54DF">
        <w:rPr>
          <w:rFonts w:ascii="Arial" w:hAnsi="Arial" w:cs="Arial"/>
        </w:rPr>
        <w:lastRenderedPageBreak/>
        <w:t>that provides a sustainable competitive advantage (Lawal et al. 2025). These features are in close conjunction with the nature of the business environment in Mongolia and fit Reckitt's long-term investment strategy.</w:t>
      </w:r>
    </w:p>
    <w:p w14:paraId="3E336E70" w14:textId="77777777" w:rsidR="00195659" w:rsidRPr="004B54DF" w:rsidRDefault="00C01501" w:rsidP="004B54DF">
      <w:pPr>
        <w:rPr>
          <w:rFonts w:ascii="Arial" w:hAnsi="Arial" w:cs="Arial"/>
        </w:rPr>
      </w:pPr>
      <w:r w:rsidRPr="004B54DF">
        <w:rPr>
          <w:rFonts w:ascii="Arial" w:hAnsi="Arial" w:cs="Arial"/>
        </w:rPr>
        <w:t>Singh et al. (2025) noted that achieving successful market entry depends on the co-application of innovation, product differentiation, and customer-centric marketing approaches to speed up commercialisation in competitive international markets. Reckitt would benefit from its world-famous healthcare and hygiene brands, which would boost consumers' trust in the brand and aid in fast penetration into the market. Oliveira et al. (2025) highlighted that digital marketing technologies and personalised customer engagement are becoming increasingly important for improving brand visibility and strengthening customer relationships across international markets. Therefore, combining digital marketing offerings with the existing Reckitt distribution network would boost market reach and aid sustainable growth. In general, the overall attractiveness of the Mongolian market is high, which is conducive to Reckitt's international market entry and competitiveness to remain successful here.</w:t>
      </w:r>
    </w:p>
    <w:p w14:paraId="562089D7" w14:textId="77777777" w:rsidR="00195659" w:rsidRPr="004B54DF" w:rsidRDefault="00195659" w:rsidP="004B54DF">
      <w:pPr>
        <w:rPr>
          <w:rFonts w:ascii="Arial" w:hAnsi="Arial" w:cs="Arial"/>
        </w:rPr>
      </w:pPr>
    </w:p>
    <w:p w14:paraId="3954DE10" w14:textId="77777777" w:rsidR="00195659" w:rsidRPr="004B54DF" w:rsidRDefault="00C01501" w:rsidP="004B54DF">
      <w:pPr>
        <w:pStyle w:val="Heading2"/>
        <w:rPr>
          <w:rFonts w:ascii="Arial" w:hAnsi="Arial" w:cs="Arial"/>
        </w:rPr>
      </w:pPr>
      <w:bookmarkStart w:id="16" w:name="_Toc236685585"/>
      <w:r w:rsidRPr="004B54DF">
        <w:rPr>
          <w:rFonts w:ascii="Arial" w:hAnsi="Arial" w:cs="Arial"/>
        </w:rPr>
        <w:t>3. Entry Mode Strategy and Strategic Synthesis</w:t>
      </w:r>
      <w:bookmarkEnd w:id="16"/>
    </w:p>
    <w:p w14:paraId="07D7E74E" w14:textId="77777777" w:rsidR="00195659" w:rsidRPr="004B54DF" w:rsidRDefault="00C01501" w:rsidP="004B54DF">
      <w:pPr>
        <w:pStyle w:val="Heading3"/>
        <w:rPr>
          <w:rFonts w:ascii="Arial" w:hAnsi="Arial" w:cs="Arial"/>
        </w:rPr>
      </w:pPr>
      <w:bookmarkStart w:id="17" w:name="_Toc236685586"/>
      <w:r w:rsidRPr="004B54DF">
        <w:rPr>
          <w:rFonts w:ascii="Arial" w:hAnsi="Arial" w:cs="Arial"/>
        </w:rPr>
        <w:t>3.1 Historical Pattern Recognition</w:t>
      </w:r>
      <w:bookmarkEnd w:id="17"/>
    </w:p>
    <w:p w14:paraId="00D14680" w14:textId="77777777" w:rsidR="00195659" w:rsidRPr="004B54DF" w:rsidRDefault="00C01501" w:rsidP="004B54DF">
      <w:pPr>
        <w:rPr>
          <w:rFonts w:ascii="Arial" w:hAnsi="Arial" w:cs="Arial"/>
          <w:b/>
          <w:bCs/>
          <w:i/>
          <w:iCs/>
        </w:rPr>
      </w:pPr>
      <w:r w:rsidRPr="004B54DF">
        <w:rPr>
          <w:rFonts w:ascii="Arial" w:hAnsi="Arial" w:cs="Arial"/>
          <w:b/>
          <w:bCs/>
          <w:i/>
          <w:iCs/>
        </w:rPr>
        <w:t>Global Expansion through Acquisitions</w:t>
      </w:r>
    </w:p>
    <w:p w14:paraId="778A4196" w14:textId="77777777" w:rsidR="00195659" w:rsidRPr="004B54DF" w:rsidRDefault="00C01501" w:rsidP="004B54DF">
      <w:pPr>
        <w:rPr>
          <w:rFonts w:ascii="Arial" w:hAnsi="Arial" w:cs="Arial"/>
        </w:rPr>
      </w:pPr>
      <w:r w:rsidRPr="004B54DF">
        <w:rPr>
          <w:rFonts w:ascii="Arial" w:hAnsi="Arial" w:cs="Arial"/>
        </w:rPr>
        <w:t>In the past, Reckitt has always practised acquisitions as a preferred method of internationalisation to enhance its market position. Successful acquisitions have allowed it to acquire a number of known brands, customer bases, well established distribution networks and local industry expertise. This has mitigated risk of market entry and increased international market expansion rates. This growth has also positioned Reckitt in other verticals of healthcare, hygiene and nutrition product businesses and enhanced its competitive position in the international consumer goods business (Reckitt, 2026).</w:t>
      </w:r>
    </w:p>
    <w:p w14:paraId="0E031454" w14:textId="77777777" w:rsidR="00195659" w:rsidRPr="004B54DF" w:rsidRDefault="00C01501" w:rsidP="004B54DF">
      <w:pPr>
        <w:rPr>
          <w:rFonts w:ascii="Arial" w:hAnsi="Arial" w:cs="Arial"/>
          <w:b/>
          <w:bCs/>
          <w:i/>
          <w:iCs/>
        </w:rPr>
      </w:pPr>
      <w:r w:rsidRPr="004B54DF">
        <w:rPr>
          <w:rFonts w:ascii="Arial" w:hAnsi="Arial" w:cs="Arial"/>
          <w:b/>
          <w:bCs/>
          <w:i/>
          <w:iCs/>
        </w:rPr>
        <w:t>Strategic Flexibility</w:t>
      </w:r>
    </w:p>
    <w:p w14:paraId="272F8AB2" w14:textId="77777777" w:rsidR="00195659" w:rsidRPr="004B54DF" w:rsidRDefault="00C01501" w:rsidP="004B54DF">
      <w:pPr>
        <w:rPr>
          <w:rFonts w:ascii="Arial" w:hAnsi="Arial" w:cs="Arial"/>
        </w:rPr>
      </w:pPr>
      <w:r w:rsidRPr="004B54DF">
        <w:rPr>
          <w:rFonts w:ascii="Arial" w:hAnsi="Arial" w:cs="Arial"/>
        </w:rPr>
        <w:t>The organisation's international expansion is an example of the need to integrate standardisation with local market customisation. The organisation continually carries out global brands while adapting marketing approaches and product innovations as per the regional preferences. This ability will help the continuous innovations without compromising the operational efficiency. As per Reyes</w:t>
      </w:r>
      <w:r w:rsidRPr="004B54DF">
        <w:rPr>
          <w:rFonts w:ascii="Cambria Math" w:hAnsi="Cambria Math" w:cs="Cambria Math"/>
        </w:rPr>
        <w:t>‐</w:t>
      </w:r>
      <w:r w:rsidRPr="004B54DF">
        <w:rPr>
          <w:rFonts w:ascii="Arial" w:hAnsi="Arial" w:cs="Arial"/>
        </w:rPr>
        <w:t xml:space="preserve">Parga et al. (2025), organizations demonstrating such capability tend to perform more successfully after </w:t>
      </w:r>
      <w:r w:rsidRPr="004B54DF">
        <w:rPr>
          <w:rFonts w:ascii="Arial" w:hAnsi="Arial" w:cs="Arial"/>
        </w:rPr>
        <w:lastRenderedPageBreak/>
        <w:t>internationalisation as a result of their ability to combine exploration and exploitation strategies.</w:t>
      </w:r>
    </w:p>
    <w:p w14:paraId="65E8A0A2" w14:textId="77777777" w:rsidR="00195659" w:rsidRPr="004B54DF" w:rsidRDefault="00C01501" w:rsidP="004B54DF">
      <w:pPr>
        <w:rPr>
          <w:rFonts w:ascii="Arial" w:hAnsi="Arial" w:cs="Arial"/>
          <w:b/>
          <w:bCs/>
          <w:i/>
          <w:iCs/>
        </w:rPr>
      </w:pPr>
      <w:r w:rsidRPr="004B54DF">
        <w:rPr>
          <w:rFonts w:ascii="Arial" w:hAnsi="Arial" w:cs="Arial"/>
          <w:b/>
          <w:bCs/>
          <w:i/>
          <w:iCs/>
        </w:rPr>
        <w:t>Digital Transformation in International Expansion</w:t>
      </w:r>
    </w:p>
    <w:p w14:paraId="28675C1E" w14:textId="77777777" w:rsidR="00195659" w:rsidRPr="004B54DF" w:rsidRDefault="00C01501" w:rsidP="004B54DF">
      <w:pPr>
        <w:rPr>
          <w:rFonts w:ascii="Arial" w:hAnsi="Arial" w:cs="Arial"/>
        </w:rPr>
      </w:pPr>
      <w:r w:rsidRPr="004B54DF">
        <w:rPr>
          <w:rFonts w:ascii="Arial" w:hAnsi="Arial" w:cs="Arial"/>
        </w:rPr>
        <w:t xml:space="preserve">Reckitt's activities in other countries have made digital technologies to be important. AI, digital supply chain control and predictive analytics optimize stock management, customer demand forecasting and processes globally. These technologies improve strategic decision-making and minimize uncertainties in the process of international expansion, especially to emerging economies having dynamic consumer </w:t>
      </w:r>
      <w:proofErr w:type="spellStart"/>
      <w:r w:rsidRPr="004B54DF">
        <w:rPr>
          <w:rFonts w:ascii="Arial" w:hAnsi="Arial" w:cs="Arial"/>
        </w:rPr>
        <w:t>behavior</w:t>
      </w:r>
      <w:proofErr w:type="spellEnd"/>
      <w:r w:rsidRPr="004B54DF">
        <w:rPr>
          <w:rFonts w:ascii="Arial" w:hAnsi="Arial" w:cs="Arial"/>
        </w:rPr>
        <w:t xml:space="preserve"> (Abd Elghany, 2025).</w:t>
      </w:r>
    </w:p>
    <w:p w14:paraId="2045A8A4" w14:textId="77777777" w:rsidR="00195659" w:rsidRPr="004B54DF" w:rsidRDefault="00C01501" w:rsidP="004B54DF">
      <w:pPr>
        <w:rPr>
          <w:rFonts w:ascii="Arial" w:hAnsi="Arial" w:cs="Arial"/>
          <w:b/>
          <w:bCs/>
          <w:i/>
          <w:iCs/>
        </w:rPr>
      </w:pPr>
      <w:r w:rsidRPr="004B54DF">
        <w:rPr>
          <w:rFonts w:ascii="Arial" w:hAnsi="Arial" w:cs="Arial"/>
          <w:b/>
          <w:bCs/>
          <w:i/>
          <w:iCs/>
        </w:rPr>
        <w:t>Cross-border Digital Commerce</w:t>
      </w:r>
    </w:p>
    <w:p w14:paraId="2B6368D5" w14:textId="77777777" w:rsidR="00195659" w:rsidRPr="004B54DF" w:rsidRDefault="00C01501" w:rsidP="004B54DF">
      <w:pPr>
        <w:rPr>
          <w:rFonts w:ascii="Arial" w:hAnsi="Arial" w:cs="Arial"/>
        </w:rPr>
      </w:pPr>
      <w:r w:rsidRPr="004B54DF">
        <w:rPr>
          <w:rFonts w:ascii="Arial" w:hAnsi="Arial" w:cs="Arial"/>
        </w:rPr>
        <w:t>Cross-border e-commerce is being embraced by a growing number of MNCs, a shift in rendezvous method to international markets. Digital platforms enhance the ease with which the market operates, minimize information asymmetry, and allow organizations to build customer relationships prior to large-scale, tangible investments. Online retail channels allow Reckitt to sell health and hygiene products to Mongols, and slowly expand its sales channels into physical ones (Cui et al., 2025).</w:t>
      </w:r>
    </w:p>
    <w:p w14:paraId="1FB97146" w14:textId="77777777" w:rsidR="00195659" w:rsidRPr="004B54DF" w:rsidRDefault="00C01501" w:rsidP="004B54DF">
      <w:pPr>
        <w:rPr>
          <w:rFonts w:ascii="Arial" w:hAnsi="Arial" w:cs="Arial"/>
          <w:b/>
          <w:bCs/>
          <w:i/>
          <w:iCs/>
        </w:rPr>
      </w:pPr>
      <w:r w:rsidRPr="004B54DF">
        <w:rPr>
          <w:rFonts w:ascii="Arial" w:hAnsi="Arial" w:cs="Arial"/>
          <w:b/>
          <w:bCs/>
          <w:i/>
          <w:iCs/>
        </w:rPr>
        <w:t>Role of Strategic Networks</w:t>
      </w:r>
    </w:p>
    <w:p w14:paraId="283B3F42" w14:textId="77777777" w:rsidR="00195659" w:rsidRPr="004B54DF" w:rsidRDefault="00C01501" w:rsidP="004B54DF">
      <w:pPr>
        <w:rPr>
          <w:rFonts w:ascii="Arial" w:hAnsi="Arial" w:cs="Arial"/>
        </w:rPr>
      </w:pPr>
      <w:r w:rsidRPr="004B54DF">
        <w:rPr>
          <w:rFonts w:ascii="Arial" w:hAnsi="Arial" w:cs="Arial"/>
        </w:rPr>
        <w:t>Collaborative networks are important aspects of successful internationalisation, as are financial resources. In the context of partnerships with distributors, retailers, and logistics providers, knowledge sharing, innovation, and responsiveness to the market is provided. These strategic partnerships enhance market knowledge and minimize risks involved with entering foreign markets. Therefore, good business networks can be an important source of competitive advantage in international expansion (</w:t>
      </w:r>
      <w:proofErr w:type="spellStart"/>
      <w:r w:rsidRPr="004B54DF">
        <w:rPr>
          <w:rFonts w:ascii="Arial" w:hAnsi="Arial" w:cs="Arial"/>
        </w:rPr>
        <w:t>Sadraei</w:t>
      </w:r>
      <w:proofErr w:type="spellEnd"/>
      <w:r w:rsidRPr="004B54DF">
        <w:rPr>
          <w:rFonts w:ascii="Arial" w:hAnsi="Arial" w:cs="Arial"/>
        </w:rPr>
        <w:t>, 2025).</w:t>
      </w:r>
    </w:p>
    <w:p w14:paraId="03F67CA1" w14:textId="77777777" w:rsidR="00195659" w:rsidRPr="004B54DF" w:rsidRDefault="00C01501" w:rsidP="004B54DF">
      <w:pPr>
        <w:pStyle w:val="Heading3"/>
        <w:rPr>
          <w:rFonts w:ascii="Arial" w:hAnsi="Arial" w:cs="Arial"/>
        </w:rPr>
      </w:pPr>
      <w:bookmarkStart w:id="18" w:name="_Toc236685587"/>
      <w:r w:rsidRPr="004B54DF">
        <w:rPr>
          <w:rFonts w:ascii="Arial" w:hAnsi="Arial" w:cs="Arial"/>
        </w:rPr>
        <w:t>3.2 Strategic Fit and Entry Mode Justification</w:t>
      </w:r>
      <w:bookmarkEnd w:id="18"/>
    </w:p>
    <w:p w14:paraId="2217E210" w14:textId="77777777" w:rsidR="00195659" w:rsidRPr="004B54DF" w:rsidRDefault="00C01501" w:rsidP="004B54DF">
      <w:pPr>
        <w:rPr>
          <w:rFonts w:ascii="Arial" w:hAnsi="Arial" w:cs="Arial"/>
          <w:b/>
          <w:bCs/>
          <w:i/>
          <w:iCs/>
        </w:rPr>
      </w:pPr>
      <w:r w:rsidRPr="004B54DF">
        <w:rPr>
          <w:rFonts w:ascii="Arial" w:hAnsi="Arial" w:cs="Arial"/>
          <w:b/>
          <w:bCs/>
          <w:i/>
          <w:iCs/>
        </w:rPr>
        <w:t>Recommended Entry Mode</w:t>
      </w:r>
    </w:p>
    <w:p w14:paraId="094854C9" w14:textId="77777777" w:rsidR="00195659" w:rsidRPr="004B54DF" w:rsidRDefault="00C01501" w:rsidP="004B54DF">
      <w:pPr>
        <w:rPr>
          <w:rFonts w:ascii="Arial" w:hAnsi="Arial" w:cs="Arial"/>
        </w:rPr>
      </w:pPr>
      <w:r w:rsidRPr="004B54DF">
        <w:rPr>
          <w:rFonts w:ascii="Arial" w:hAnsi="Arial" w:cs="Arial"/>
        </w:rPr>
        <w:t>As obtained from results of the PESTLE and OLI analysis, it would seem that the best approach for Reckitt's market entry into Mongolia is a phased approach. It is essential for this firm to break into the Mongolian market by direct exporting with the help of strategic partners among the existing local distributors first. As per Adewale et al. (2023), the organisation can reduce the risk of their investment and establish a comprehensive picture of consumer demand, regulatory needs, and competition before the big funds.</w:t>
      </w:r>
    </w:p>
    <w:p w14:paraId="36E955BF" w14:textId="77777777" w:rsidR="00195659" w:rsidRPr="004B54DF" w:rsidRDefault="00C01501" w:rsidP="004B54DF">
      <w:pPr>
        <w:rPr>
          <w:rFonts w:ascii="Arial" w:hAnsi="Arial" w:cs="Arial"/>
          <w:b/>
          <w:bCs/>
          <w:i/>
          <w:iCs/>
        </w:rPr>
      </w:pPr>
      <w:r w:rsidRPr="004B54DF">
        <w:rPr>
          <w:rFonts w:ascii="Arial" w:hAnsi="Arial" w:cs="Arial"/>
          <w:b/>
          <w:bCs/>
          <w:i/>
          <w:iCs/>
        </w:rPr>
        <w:t>Exporting and Strategic Alliances</w:t>
      </w:r>
    </w:p>
    <w:p w14:paraId="308B591A" w14:textId="77777777" w:rsidR="00195659" w:rsidRPr="004B54DF" w:rsidRDefault="00C01501" w:rsidP="004B54DF">
      <w:pPr>
        <w:rPr>
          <w:rFonts w:ascii="Arial" w:hAnsi="Arial" w:cs="Arial"/>
        </w:rPr>
      </w:pPr>
      <w:r w:rsidRPr="004B54DF">
        <w:rPr>
          <w:rFonts w:ascii="Arial" w:hAnsi="Arial" w:cs="Arial"/>
        </w:rPr>
        <w:lastRenderedPageBreak/>
        <w:t>Through direct exporting, Reckitt can benefit from their existing global manufacturing plants, and produce international, recognised brands for delivery to Mongolia. Collaboration with local distributors, however, increases market penetration, as they have access to established retail networks and local knowledge. Digital innovation has also enhanced export performance by fostering better customer engagement and coordination of supply chains, making this approach very apt in the early growth stage (Said and Soi, 2025).</w:t>
      </w:r>
    </w:p>
    <w:p w14:paraId="6CE616AE" w14:textId="77777777" w:rsidR="00195659" w:rsidRPr="004B54DF" w:rsidRDefault="00C01501" w:rsidP="004B54DF">
      <w:pPr>
        <w:rPr>
          <w:rFonts w:ascii="Arial" w:hAnsi="Arial" w:cs="Arial"/>
          <w:b/>
          <w:bCs/>
          <w:i/>
          <w:iCs/>
        </w:rPr>
      </w:pPr>
      <w:r w:rsidRPr="004B54DF">
        <w:rPr>
          <w:rFonts w:ascii="Arial" w:hAnsi="Arial" w:cs="Arial"/>
          <w:b/>
          <w:bCs/>
          <w:i/>
          <w:iCs/>
        </w:rPr>
        <w:t>Digital Decision-Making</w:t>
      </w:r>
    </w:p>
    <w:p w14:paraId="5201020D" w14:textId="77777777" w:rsidR="00195659" w:rsidRPr="004B54DF" w:rsidRDefault="00C01501" w:rsidP="004B54DF">
      <w:pPr>
        <w:rPr>
          <w:rFonts w:ascii="Arial" w:hAnsi="Arial" w:cs="Arial"/>
        </w:rPr>
      </w:pPr>
      <w:r w:rsidRPr="004B54DF">
        <w:rPr>
          <w:rFonts w:ascii="Arial" w:hAnsi="Arial" w:cs="Arial"/>
        </w:rPr>
        <w:t>International market selection and strategic planning has become a vital part of AI application. MNCs can use data-driven analytical modelling in order to better assess economic conditions, consumer behaviour and competition than by traditional decision-making methods. They are capabilities for ongoing monitoring of the performance and for making strategic adjustments following market entry. Therefore, AI enhances the success of Reckitt's staged growth plan (Joshi, 2025).</w:t>
      </w:r>
    </w:p>
    <w:p w14:paraId="0BB89BD8" w14:textId="77777777" w:rsidR="00195659" w:rsidRPr="004B54DF" w:rsidRDefault="00C01501" w:rsidP="004B54DF">
      <w:pPr>
        <w:rPr>
          <w:rFonts w:ascii="Arial" w:hAnsi="Arial" w:cs="Arial"/>
          <w:b/>
          <w:bCs/>
          <w:i/>
          <w:iCs/>
        </w:rPr>
      </w:pPr>
      <w:r w:rsidRPr="004B54DF">
        <w:rPr>
          <w:rFonts w:ascii="Arial" w:hAnsi="Arial" w:cs="Arial"/>
          <w:b/>
          <w:bCs/>
          <w:i/>
          <w:iCs/>
        </w:rPr>
        <w:t>Digital Platform Integration</w:t>
      </w:r>
    </w:p>
    <w:p w14:paraId="443F6F42" w14:textId="77777777" w:rsidR="00195659" w:rsidRPr="004B54DF" w:rsidRDefault="00C01501" w:rsidP="004B54DF">
      <w:pPr>
        <w:rPr>
          <w:rFonts w:ascii="Arial" w:hAnsi="Arial" w:cs="Arial"/>
        </w:rPr>
      </w:pPr>
      <w:r w:rsidRPr="004B54DF">
        <w:rPr>
          <w:rFonts w:ascii="Arial" w:hAnsi="Arial" w:cs="Arial"/>
        </w:rPr>
        <w:t>Digital retail platforms further enhance the accessibility of the market and the engagement with the customer. Personalised digital experiences with algorithm-driven platforms are essential for increased product visibility, optimised customer recommendations and improved purchasing convenience. Such technological capabilities enable Reckitt to better hold its competitive position, and derive valuable market insights to propel future growth in business (Chen et al., 2026).</w:t>
      </w:r>
    </w:p>
    <w:p w14:paraId="509BFCE2" w14:textId="77777777" w:rsidR="00195659" w:rsidRPr="004B54DF" w:rsidRDefault="00C01501" w:rsidP="004B54DF">
      <w:pPr>
        <w:rPr>
          <w:rFonts w:ascii="Arial" w:hAnsi="Arial" w:cs="Arial"/>
          <w:b/>
          <w:bCs/>
          <w:i/>
          <w:iCs/>
        </w:rPr>
      </w:pPr>
      <w:r w:rsidRPr="004B54DF">
        <w:rPr>
          <w:rFonts w:ascii="Arial" w:hAnsi="Arial" w:cs="Arial"/>
          <w:b/>
          <w:bCs/>
          <w:i/>
          <w:iCs/>
        </w:rPr>
        <w:t>Long-term Strategic Development</w:t>
      </w:r>
    </w:p>
    <w:p w14:paraId="0B415600" w14:textId="77777777" w:rsidR="00195659" w:rsidRPr="004B54DF" w:rsidRDefault="00C01501" w:rsidP="004B54DF">
      <w:pPr>
        <w:rPr>
          <w:rFonts w:ascii="Arial" w:hAnsi="Arial" w:cs="Arial"/>
        </w:rPr>
      </w:pPr>
      <w:r w:rsidRPr="004B54DF">
        <w:rPr>
          <w:rFonts w:ascii="Arial" w:hAnsi="Arial" w:cs="Arial"/>
        </w:rPr>
        <w:t>Following the market need, it is essential for Reckitt to progressively build a 100% owned distribution subsidiary in Mongolia. This arrangement will allow more control over pricing, quality control, logistics and customer relationships and safeguards the company's IP rights and well-established brands. Santoso et al. (2025) added that digital business capabilities complement effective leadership, further enhancing the competitive sustainable international growth of the organisation in the long term.</w:t>
      </w:r>
    </w:p>
    <w:p w14:paraId="648D070E" w14:textId="77777777" w:rsidR="00195659" w:rsidRPr="004B54DF" w:rsidRDefault="00C01501" w:rsidP="004B54DF">
      <w:pPr>
        <w:rPr>
          <w:rFonts w:ascii="Arial" w:hAnsi="Arial" w:cs="Arial"/>
          <w:b/>
          <w:bCs/>
          <w:i/>
          <w:iCs/>
        </w:rPr>
      </w:pPr>
      <w:r w:rsidRPr="004B54DF">
        <w:rPr>
          <w:rFonts w:ascii="Arial" w:hAnsi="Arial" w:cs="Arial"/>
          <w:b/>
          <w:bCs/>
          <w:i/>
          <w:iCs/>
        </w:rPr>
        <w:t>Marketing Strategy</w:t>
      </w:r>
    </w:p>
    <w:p w14:paraId="115481C0" w14:textId="15AE2453" w:rsidR="00195659" w:rsidRPr="004B54DF" w:rsidRDefault="00C01501" w:rsidP="004B54DF">
      <w:pPr>
        <w:rPr>
          <w:rFonts w:ascii="Arial" w:hAnsi="Arial" w:cs="Arial"/>
        </w:rPr>
      </w:pPr>
      <w:r w:rsidRPr="004B54DF">
        <w:rPr>
          <w:rFonts w:ascii="Arial" w:hAnsi="Arial" w:cs="Arial"/>
        </w:rPr>
        <w:t xml:space="preserve">There are also important issues of brand positioning and product differentiation, which play a key role in achieving market success. Localised marketing campaigns and digital communication channels, healthcare awareness programs, and customer education initiatives need to be adopted by Reckitt. They build consumer trust and enhance brand visibility in Mongolia's growing consumer goods retail market. </w:t>
      </w:r>
      <w:r w:rsidR="008A6309" w:rsidRPr="004B54DF">
        <w:rPr>
          <w:rFonts w:ascii="Arial" w:hAnsi="Arial" w:cs="Arial"/>
        </w:rPr>
        <w:lastRenderedPageBreak/>
        <w:t>Therefore,</w:t>
      </w:r>
      <w:r w:rsidRPr="004B54DF">
        <w:rPr>
          <w:rFonts w:ascii="Arial" w:hAnsi="Arial" w:cs="Arial"/>
        </w:rPr>
        <w:t xml:space="preserve"> marketing innovation can be considered as an important source of sustainable competitive advantage (Nazara, 2025).</w:t>
      </w:r>
    </w:p>
    <w:p w14:paraId="7202582C" w14:textId="77777777" w:rsidR="00195659" w:rsidRPr="004B54DF" w:rsidRDefault="00C01501" w:rsidP="004B54DF">
      <w:pPr>
        <w:pStyle w:val="Heading3"/>
        <w:rPr>
          <w:rFonts w:ascii="Arial" w:hAnsi="Arial" w:cs="Arial"/>
        </w:rPr>
      </w:pPr>
      <w:bookmarkStart w:id="19" w:name="_Toc236685588"/>
      <w:r w:rsidRPr="004B54DF">
        <w:rPr>
          <w:rFonts w:ascii="Arial" w:hAnsi="Arial" w:cs="Arial"/>
        </w:rPr>
        <w:t>3.3 Conclusion and Recommendations</w:t>
      </w:r>
      <w:bookmarkEnd w:id="19"/>
    </w:p>
    <w:p w14:paraId="5EFD7D61" w14:textId="77777777" w:rsidR="00195659" w:rsidRPr="004B54DF" w:rsidRDefault="00C01501" w:rsidP="004B54DF">
      <w:pPr>
        <w:rPr>
          <w:rFonts w:ascii="Arial" w:hAnsi="Arial" w:cs="Arial"/>
          <w:b/>
          <w:bCs/>
          <w:i/>
          <w:iCs/>
        </w:rPr>
      </w:pPr>
      <w:r w:rsidRPr="004B54DF">
        <w:rPr>
          <w:rFonts w:ascii="Arial" w:hAnsi="Arial" w:cs="Arial"/>
          <w:b/>
          <w:bCs/>
          <w:i/>
          <w:iCs/>
        </w:rPr>
        <w:t>Conclusion</w:t>
      </w:r>
    </w:p>
    <w:p w14:paraId="3DBFD392" w14:textId="77777777" w:rsidR="00195659" w:rsidRPr="004B54DF" w:rsidRDefault="00C01501" w:rsidP="004B54DF">
      <w:pPr>
        <w:rPr>
          <w:rFonts w:ascii="Arial" w:hAnsi="Arial" w:cs="Arial"/>
        </w:rPr>
      </w:pPr>
      <w:r w:rsidRPr="004B54DF">
        <w:rPr>
          <w:rFonts w:ascii="Arial" w:hAnsi="Arial" w:cs="Arial"/>
        </w:rPr>
        <w:t>The analysis shows that Mongolia's consumer demand, investment policy and digital retail infrastructure have gotten more favourable for Reckitt's international expansion. The organisation has international competencies, global brands and advanced technological resources, which help to enter the market successfully. A two-stage enlargement plan that involves export, strategic partnerships and future direct investment is well suited for flexibility in operations, a moderate level of investment risk, and long-term profitability.</w:t>
      </w:r>
    </w:p>
    <w:p w14:paraId="03246002" w14:textId="77777777" w:rsidR="00195659" w:rsidRPr="004B54DF" w:rsidRDefault="00C01501" w:rsidP="004B54DF">
      <w:pPr>
        <w:rPr>
          <w:rFonts w:ascii="Arial" w:hAnsi="Arial" w:cs="Arial"/>
          <w:b/>
          <w:bCs/>
          <w:i/>
          <w:iCs/>
        </w:rPr>
      </w:pPr>
      <w:r w:rsidRPr="004B54DF">
        <w:rPr>
          <w:rFonts w:ascii="Arial" w:hAnsi="Arial" w:cs="Arial"/>
          <w:b/>
          <w:bCs/>
          <w:i/>
          <w:iCs/>
        </w:rPr>
        <w:t>Recommendations</w:t>
      </w:r>
    </w:p>
    <w:p w14:paraId="2583E9A5" w14:textId="77777777" w:rsidR="00195659" w:rsidRPr="004B54DF" w:rsidRDefault="00C01501" w:rsidP="004B54DF">
      <w:pPr>
        <w:rPr>
          <w:rFonts w:ascii="Arial" w:hAnsi="Arial" w:cs="Arial"/>
        </w:rPr>
      </w:pPr>
      <w:r w:rsidRPr="004B54DF">
        <w:rPr>
          <w:rFonts w:ascii="Arial" w:hAnsi="Arial" w:cs="Arial"/>
        </w:rPr>
        <w:t xml:space="preserve">Three following key recommendations are suggested. </w:t>
      </w:r>
    </w:p>
    <w:p w14:paraId="50A72C45" w14:textId="77777777" w:rsidR="00195659" w:rsidRPr="004B54DF" w:rsidRDefault="00C01501" w:rsidP="004B54DF">
      <w:pPr>
        <w:numPr>
          <w:ilvl w:val="0"/>
          <w:numId w:val="1"/>
        </w:numPr>
        <w:rPr>
          <w:rFonts w:ascii="Arial" w:hAnsi="Arial" w:cs="Arial"/>
        </w:rPr>
      </w:pPr>
      <w:r w:rsidRPr="004B54DF">
        <w:rPr>
          <w:rFonts w:ascii="Arial" w:hAnsi="Arial" w:cs="Arial"/>
        </w:rPr>
        <w:t xml:space="preserve">Reckitt should adopt a gradual market entry strategy by starting with a direct exporting model before setting up a sole trading distribution model. </w:t>
      </w:r>
    </w:p>
    <w:p w14:paraId="385A2EEE" w14:textId="77777777" w:rsidR="00195659" w:rsidRPr="004B54DF" w:rsidRDefault="00C01501" w:rsidP="004B54DF">
      <w:pPr>
        <w:numPr>
          <w:ilvl w:val="0"/>
          <w:numId w:val="1"/>
        </w:numPr>
        <w:rPr>
          <w:rFonts w:ascii="Arial" w:hAnsi="Arial" w:cs="Arial"/>
        </w:rPr>
      </w:pPr>
      <w:r w:rsidRPr="004B54DF">
        <w:rPr>
          <w:rFonts w:ascii="Arial" w:hAnsi="Arial" w:cs="Arial"/>
        </w:rPr>
        <w:t xml:space="preserve">As inspired by the ideas of Joshi (2025), it shall follow digital transformation through embedding Artificial Intelligence and digital retail platforms in its international activities. </w:t>
      </w:r>
    </w:p>
    <w:p w14:paraId="76C72E75" w14:textId="77777777" w:rsidR="00195659" w:rsidRPr="004B54DF" w:rsidRDefault="00C01501" w:rsidP="004B54DF">
      <w:pPr>
        <w:numPr>
          <w:ilvl w:val="0"/>
          <w:numId w:val="1"/>
        </w:numPr>
        <w:rPr>
          <w:rFonts w:ascii="Arial" w:hAnsi="Arial" w:cs="Arial"/>
        </w:rPr>
      </w:pPr>
      <w:r w:rsidRPr="004B54DF">
        <w:rPr>
          <w:rFonts w:ascii="Arial" w:hAnsi="Arial" w:cs="Arial"/>
        </w:rPr>
        <w:t>Lastly, it should build twin local relationships, and promote marketing-oriented marketing strategies to strengthen customer trust, regulation compliance and ensure long-term competitive advantage (Nazara, 2025).</w:t>
      </w:r>
    </w:p>
    <w:p w14:paraId="524E4214" w14:textId="77777777" w:rsidR="00195659" w:rsidRPr="004B54DF" w:rsidRDefault="00C01501" w:rsidP="004B54DF">
      <w:pPr>
        <w:pStyle w:val="Heading1"/>
      </w:pPr>
      <w:bookmarkStart w:id="20" w:name="_heading=h.62axipta34g" w:colFirst="0" w:colLast="0"/>
      <w:bookmarkEnd w:id="20"/>
      <w:r w:rsidRPr="004B54DF">
        <w:br w:type="page"/>
      </w:r>
    </w:p>
    <w:p w14:paraId="1F49D19C" w14:textId="77777777" w:rsidR="00195659" w:rsidRPr="004B54DF" w:rsidRDefault="00C01501" w:rsidP="004B54DF">
      <w:pPr>
        <w:pStyle w:val="Heading1"/>
      </w:pPr>
      <w:bookmarkStart w:id="21" w:name="_Toc236685589"/>
      <w:r w:rsidRPr="004B54DF">
        <w:lastRenderedPageBreak/>
        <w:t>Section 2: Reflective Account</w:t>
      </w:r>
      <w:bookmarkEnd w:id="21"/>
    </w:p>
    <w:p w14:paraId="6DFB0711" w14:textId="77777777" w:rsidR="00195659" w:rsidRPr="004B54DF" w:rsidRDefault="00C01501" w:rsidP="004B54DF">
      <w:pPr>
        <w:pStyle w:val="Heading2"/>
        <w:rPr>
          <w:rFonts w:ascii="Arial" w:hAnsi="Arial" w:cs="Arial"/>
        </w:rPr>
      </w:pPr>
      <w:bookmarkStart w:id="22" w:name="_Toc236685590"/>
      <w:r w:rsidRPr="004B54DF">
        <w:rPr>
          <w:rFonts w:ascii="Arial" w:hAnsi="Arial" w:cs="Arial"/>
        </w:rPr>
        <w:t>4. Reflective Report using Gibbs' Reflective Cycle</w:t>
      </w:r>
      <w:bookmarkEnd w:id="22"/>
    </w:p>
    <w:p w14:paraId="524AF642" w14:textId="77777777" w:rsidR="00195659" w:rsidRPr="004B54DF" w:rsidRDefault="00C01501" w:rsidP="004B54DF">
      <w:pPr>
        <w:pStyle w:val="Heading3"/>
        <w:rPr>
          <w:rFonts w:ascii="Arial" w:hAnsi="Arial" w:cs="Arial"/>
        </w:rPr>
      </w:pPr>
      <w:bookmarkStart w:id="23" w:name="_Toc236685591"/>
      <w:r w:rsidRPr="004B54DF">
        <w:rPr>
          <w:rFonts w:ascii="Arial" w:hAnsi="Arial" w:cs="Arial"/>
        </w:rPr>
        <w:t>4.1 Description</w:t>
      </w:r>
      <w:bookmarkEnd w:id="23"/>
    </w:p>
    <w:p w14:paraId="20D62F26" w14:textId="77777777" w:rsidR="00195659" w:rsidRPr="004B54DF" w:rsidRDefault="00C01501" w:rsidP="004B54DF">
      <w:pPr>
        <w:rPr>
          <w:rFonts w:ascii="Arial" w:hAnsi="Arial" w:cs="Arial"/>
        </w:rPr>
      </w:pPr>
      <w:r w:rsidRPr="004B54DF">
        <w:rPr>
          <w:rFonts w:ascii="Arial" w:hAnsi="Arial" w:cs="Arial"/>
        </w:rPr>
        <w:t xml:space="preserve">This assessment concerned Reckitt Plc's international market entry strategy and assessment of Mongolia as a market for expansion. The report involved the use of some international business frameworks, such as Bartlett and Ghoshal's model, PESTLE analysis, OLI (Eclectic Paradigm) and market entry strategies. Existing secondary data related to company reports, academic papers and international </w:t>
      </w:r>
      <w:proofErr w:type="gramStart"/>
      <w:r w:rsidRPr="004B54DF">
        <w:rPr>
          <w:rFonts w:ascii="Arial" w:hAnsi="Arial" w:cs="Arial"/>
        </w:rPr>
        <w:t>data-bases</w:t>
      </w:r>
      <w:proofErr w:type="gramEnd"/>
      <w:r w:rsidRPr="004B54DF">
        <w:rPr>
          <w:rFonts w:ascii="Arial" w:hAnsi="Arial" w:cs="Arial"/>
        </w:rPr>
        <w:t xml:space="preserve"> was analysed for formulating the </w:t>
      </w:r>
      <w:proofErr w:type="gramStart"/>
      <w:r w:rsidRPr="004B54DF">
        <w:rPr>
          <w:rFonts w:ascii="Arial" w:hAnsi="Arial" w:cs="Arial"/>
        </w:rPr>
        <w:t>evidence based</w:t>
      </w:r>
      <w:proofErr w:type="gramEnd"/>
      <w:r w:rsidRPr="004B54DF">
        <w:rPr>
          <w:rFonts w:ascii="Arial" w:hAnsi="Arial" w:cs="Arial"/>
        </w:rPr>
        <w:t xml:space="preserve"> recommendations. </w:t>
      </w:r>
    </w:p>
    <w:p w14:paraId="53DB913B" w14:textId="77777777" w:rsidR="00195659" w:rsidRPr="004B54DF" w:rsidRDefault="00C01501" w:rsidP="004B54DF">
      <w:pPr>
        <w:pStyle w:val="Heading3"/>
        <w:rPr>
          <w:rFonts w:ascii="Arial" w:hAnsi="Arial" w:cs="Arial"/>
        </w:rPr>
      </w:pPr>
      <w:bookmarkStart w:id="24" w:name="_Toc236685592"/>
      <w:r w:rsidRPr="004B54DF">
        <w:rPr>
          <w:rFonts w:ascii="Arial" w:hAnsi="Arial" w:cs="Arial"/>
        </w:rPr>
        <w:t>4.2 Feelings</w:t>
      </w:r>
      <w:bookmarkEnd w:id="24"/>
    </w:p>
    <w:p w14:paraId="295F68C4" w14:textId="77777777" w:rsidR="00195659" w:rsidRPr="004B54DF" w:rsidRDefault="00C01501" w:rsidP="004B54DF">
      <w:pPr>
        <w:rPr>
          <w:rFonts w:ascii="Arial" w:hAnsi="Arial" w:cs="Arial"/>
        </w:rPr>
      </w:pPr>
      <w:r w:rsidRPr="004B54DF">
        <w:rPr>
          <w:rFonts w:ascii="Arial" w:hAnsi="Arial" w:cs="Arial"/>
        </w:rPr>
        <w:t>At first, I did struggle with the assignment as it was really hard to combine a number of strategic frameworks into a single analysis. It was necessary to do a significant amount of research into the relationship between the organisational capability and external market conditions. As I delved deeper into existing research and real-time data available over the internet, I became more confident. I was duly impressed that one has to view the economic, the political, the technological, and the competitive aspects together rather than in isolation, if one is to be successful with an international expansion.</w:t>
      </w:r>
    </w:p>
    <w:p w14:paraId="4C42E2FF" w14:textId="77777777" w:rsidR="00195659" w:rsidRPr="004B54DF" w:rsidRDefault="00C01501" w:rsidP="004B54DF">
      <w:pPr>
        <w:pStyle w:val="Heading3"/>
        <w:rPr>
          <w:rFonts w:ascii="Arial" w:hAnsi="Arial" w:cs="Arial"/>
        </w:rPr>
      </w:pPr>
      <w:bookmarkStart w:id="25" w:name="_Toc236685593"/>
      <w:r w:rsidRPr="004B54DF">
        <w:rPr>
          <w:rFonts w:ascii="Arial" w:hAnsi="Arial" w:cs="Arial"/>
        </w:rPr>
        <w:t>4.3 Evaluation</w:t>
      </w:r>
      <w:bookmarkEnd w:id="25"/>
    </w:p>
    <w:p w14:paraId="3D0B2887" w14:textId="77777777" w:rsidR="00195659" w:rsidRPr="004B54DF" w:rsidRDefault="00C01501" w:rsidP="004B54DF">
      <w:pPr>
        <w:rPr>
          <w:rFonts w:ascii="Arial" w:hAnsi="Arial" w:cs="Arial"/>
          <w:b/>
          <w:bCs/>
          <w:i/>
          <w:iCs/>
        </w:rPr>
      </w:pPr>
      <w:r w:rsidRPr="004B54DF">
        <w:rPr>
          <w:rFonts w:ascii="Arial" w:hAnsi="Arial" w:cs="Arial"/>
          <w:b/>
          <w:bCs/>
          <w:i/>
          <w:iCs/>
        </w:rPr>
        <w:t>Positive Aspects</w:t>
      </w:r>
    </w:p>
    <w:p w14:paraId="701E9F5A" w14:textId="77777777" w:rsidR="00195659" w:rsidRPr="004B54DF" w:rsidRDefault="00C01501" w:rsidP="004B54DF">
      <w:pPr>
        <w:rPr>
          <w:rFonts w:ascii="Arial" w:hAnsi="Arial" w:cs="Arial"/>
        </w:rPr>
      </w:pPr>
      <w:r w:rsidRPr="004B54DF">
        <w:rPr>
          <w:rFonts w:ascii="Arial" w:hAnsi="Arial" w:cs="Arial"/>
        </w:rPr>
        <w:t>This assignment definitely helped me to apply the theories of international business to a real company with multiple locations. Till now, theoretical concepts were presented but concepts like the PESTLE and the OLI Paradigm to be in the market strategically were explained. In addition, I improved my analytical skills to examine true statistical data and apply quantitative evidence in planning recommendations.</w:t>
      </w:r>
    </w:p>
    <w:p w14:paraId="61D43781" w14:textId="77777777" w:rsidR="00195659" w:rsidRPr="004B54DF" w:rsidRDefault="00C01501" w:rsidP="004B54DF">
      <w:pPr>
        <w:rPr>
          <w:rFonts w:ascii="Arial" w:hAnsi="Arial" w:cs="Arial"/>
          <w:b/>
          <w:bCs/>
          <w:i/>
          <w:iCs/>
        </w:rPr>
      </w:pPr>
      <w:r w:rsidRPr="004B54DF">
        <w:rPr>
          <w:rFonts w:ascii="Arial" w:hAnsi="Arial" w:cs="Arial"/>
          <w:b/>
          <w:bCs/>
          <w:i/>
          <w:iCs/>
        </w:rPr>
        <w:t>Challenges</w:t>
      </w:r>
    </w:p>
    <w:p w14:paraId="25623ACA" w14:textId="77777777" w:rsidR="00195659" w:rsidRPr="004B54DF" w:rsidRDefault="00C01501" w:rsidP="004B54DF">
      <w:pPr>
        <w:rPr>
          <w:rFonts w:ascii="Arial" w:hAnsi="Arial" w:cs="Arial"/>
        </w:rPr>
      </w:pPr>
      <w:r w:rsidRPr="004B54DF">
        <w:rPr>
          <w:rFonts w:ascii="Arial" w:hAnsi="Arial" w:cs="Arial"/>
        </w:rPr>
        <w:t>The most challenging part of the project was picking the right market entry strategy and mode for Reckitt. With exportation versus strategic alliances and wholly owned subsidiaries, there was a need to weigh the advantages and disadvantages of each organisation's respective capability, investment risk, and strategic objective. One difficulty encountered was to keep the discussion at a critical level and not just a descriptive nature of past studies.</w:t>
      </w:r>
    </w:p>
    <w:p w14:paraId="44761294" w14:textId="77777777" w:rsidR="00195659" w:rsidRPr="004B54DF" w:rsidRDefault="00C01501" w:rsidP="004B54DF">
      <w:pPr>
        <w:pStyle w:val="Heading3"/>
        <w:rPr>
          <w:rFonts w:ascii="Arial" w:hAnsi="Arial" w:cs="Arial"/>
        </w:rPr>
      </w:pPr>
      <w:bookmarkStart w:id="26" w:name="_Toc236685594"/>
      <w:r w:rsidRPr="004B54DF">
        <w:rPr>
          <w:rFonts w:ascii="Arial" w:hAnsi="Arial" w:cs="Arial"/>
        </w:rPr>
        <w:t>4.4 Analysis</w:t>
      </w:r>
      <w:bookmarkEnd w:id="26"/>
    </w:p>
    <w:p w14:paraId="00B37E47" w14:textId="77777777" w:rsidR="00195659" w:rsidRPr="004B54DF" w:rsidRDefault="00C01501" w:rsidP="004B54DF">
      <w:pPr>
        <w:rPr>
          <w:rFonts w:ascii="Arial" w:hAnsi="Arial" w:cs="Arial"/>
          <w:b/>
          <w:bCs/>
          <w:i/>
          <w:iCs/>
        </w:rPr>
      </w:pPr>
      <w:r w:rsidRPr="004B54DF">
        <w:rPr>
          <w:rFonts w:ascii="Arial" w:hAnsi="Arial" w:cs="Arial"/>
          <w:b/>
          <w:bCs/>
          <w:i/>
          <w:iCs/>
        </w:rPr>
        <w:t>Strategic Decision-Making</w:t>
      </w:r>
    </w:p>
    <w:p w14:paraId="01001A5A" w14:textId="77777777" w:rsidR="00195659" w:rsidRPr="004B54DF" w:rsidRDefault="00C01501" w:rsidP="004B54DF">
      <w:pPr>
        <w:rPr>
          <w:rFonts w:ascii="Arial" w:hAnsi="Arial" w:cs="Arial"/>
        </w:rPr>
      </w:pPr>
      <w:r w:rsidRPr="004B54DF">
        <w:rPr>
          <w:rFonts w:ascii="Arial" w:hAnsi="Arial" w:cs="Arial"/>
        </w:rPr>
        <w:lastRenderedPageBreak/>
        <w:t>This translated into a great understanding for me that to be successful in the international market one must consider the external environment as well as organisational strengths. I didn't know that that would be the case before going on this report, I assumed it was just market size. An analysis of Reckitt's expansion strategy, however, revealed that a good way into the market involves a study of how stable the countries/situations are, its institutional quality, technological readiness, and the competitiveness of the market. Therefore, the key role in making strategic decisions is played by a thorough market analysis instead of using only attractiveness indicators of the market (Joshi, 2025).</w:t>
      </w:r>
    </w:p>
    <w:p w14:paraId="7BFF96C8" w14:textId="77777777" w:rsidR="00195659" w:rsidRPr="004B54DF" w:rsidRDefault="00C01501" w:rsidP="004B54DF">
      <w:pPr>
        <w:rPr>
          <w:rFonts w:ascii="Arial" w:hAnsi="Arial" w:cs="Arial"/>
          <w:b/>
          <w:bCs/>
          <w:i/>
          <w:iCs/>
        </w:rPr>
      </w:pPr>
      <w:r w:rsidRPr="004B54DF">
        <w:rPr>
          <w:rFonts w:ascii="Arial" w:hAnsi="Arial" w:cs="Arial"/>
          <w:b/>
          <w:bCs/>
          <w:i/>
          <w:iCs/>
        </w:rPr>
        <w:t>International Growth</w:t>
      </w:r>
    </w:p>
    <w:p w14:paraId="174862D1" w14:textId="77777777" w:rsidR="00195659" w:rsidRPr="004B54DF" w:rsidRDefault="00C01501" w:rsidP="004B54DF">
      <w:pPr>
        <w:rPr>
          <w:rFonts w:ascii="Arial" w:hAnsi="Arial" w:cs="Arial"/>
        </w:rPr>
      </w:pPr>
      <w:r w:rsidRPr="004B54DF">
        <w:rPr>
          <w:rFonts w:ascii="Arial" w:hAnsi="Arial" w:cs="Arial"/>
        </w:rPr>
        <w:t>The versatility and constant evolution of the organization is also key to guarantee sustainable international development, the report also showed. I found the Bartlett and Ghoshal paradigm useful to introduce me to the concept of how companies, in an international context, can be efficient in their operations, and be responsive to the local marketplace. I would expect that enterprises that can commit to changing their products, methods, and operations, to adjust to market conditions, are more likely to gain the long</w:t>
      </w:r>
      <w:r w:rsidRPr="004B54DF">
        <w:rPr>
          <w:rFonts w:ascii="Cambria Math" w:hAnsi="Cambria Math" w:cs="Cambria Math"/>
        </w:rPr>
        <w:t>‐</w:t>
      </w:r>
      <w:r w:rsidRPr="004B54DF">
        <w:rPr>
          <w:rFonts w:ascii="Arial" w:hAnsi="Arial" w:cs="Arial"/>
        </w:rPr>
        <w:t>term international competitiveness and sustainable growth (Reyes</w:t>
      </w:r>
      <w:r w:rsidRPr="004B54DF">
        <w:rPr>
          <w:rFonts w:ascii="Cambria Math" w:hAnsi="Cambria Math" w:cs="Cambria Math"/>
        </w:rPr>
        <w:t>‐</w:t>
      </w:r>
      <w:r w:rsidRPr="004B54DF">
        <w:rPr>
          <w:rFonts w:ascii="Arial" w:hAnsi="Arial" w:cs="Arial"/>
        </w:rPr>
        <w:t>Parga et al., 2025).</w:t>
      </w:r>
    </w:p>
    <w:p w14:paraId="4F03A34C" w14:textId="77777777" w:rsidR="00195659" w:rsidRPr="004B54DF" w:rsidRDefault="00C01501" w:rsidP="004B54DF">
      <w:pPr>
        <w:rPr>
          <w:rFonts w:ascii="Arial" w:hAnsi="Arial" w:cs="Arial"/>
          <w:b/>
          <w:bCs/>
          <w:i/>
          <w:iCs/>
        </w:rPr>
      </w:pPr>
      <w:r w:rsidRPr="004B54DF">
        <w:rPr>
          <w:rFonts w:ascii="Arial" w:hAnsi="Arial" w:cs="Arial"/>
          <w:b/>
          <w:bCs/>
          <w:i/>
          <w:iCs/>
        </w:rPr>
        <w:t>Digital Transformation and Cross-border Commerce</w:t>
      </w:r>
    </w:p>
    <w:p w14:paraId="599C7D5D" w14:textId="77777777" w:rsidR="00195659" w:rsidRPr="004B54DF" w:rsidRDefault="00C01501" w:rsidP="004B54DF">
      <w:pPr>
        <w:rPr>
          <w:rFonts w:ascii="Arial" w:hAnsi="Arial" w:cs="Arial"/>
        </w:rPr>
      </w:pPr>
      <w:r w:rsidRPr="004B54DF">
        <w:rPr>
          <w:rFonts w:ascii="Arial" w:hAnsi="Arial" w:cs="Arial"/>
        </w:rPr>
        <w:t>A key takeaway was the rising relevance of digital transformation for the international business market. Artificial Intelligence, Customer Analytics, and Digital Supply Chain Management are essential technologies for growing operations across borders, increasing efficiencies, improving customer insights and addressing challenges in global growth (Abd Elghany, 2025). However, cross border e-commerce marketplaces provide much lower entry barriers to market, benefitting both bigger customers and more efficient distribution of products. As inspired from the findings of Cui et al. (2025), I have come to realize that digital commerce is not merely another selling portal but also a strategic enabler to achieve sales targets.</w:t>
      </w:r>
    </w:p>
    <w:p w14:paraId="6382420F" w14:textId="77777777" w:rsidR="00195659" w:rsidRPr="004B54DF" w:rsidRDefault="00C01501" w:rsidP="004B54DF">
      <w:pPr>
        <w:rPr>
          <w:rFonts w:ascii="Arial" w:hAnsi="Arial" w:cs="Arial"/>
          <w:b/>
          <w:bCs/>
          <w:i/>
          <w:iCs/>
        </w:rPr>
      </w:pPr>
      <w:r w:rsidRPr="004B54DF">
        <w:rPr>
          <w:rFonts w:ascii="Arial" w:hAnsi="Arial" w:cs="Arial"/>
          <w:b/>
          <w:bCs/>
          <w:i/>
          <w:iCs/>
        </w:rPr>
        <w:t>Strategic Collaboration and Marketing</w:t>
      </w:r>
    </w:p>
    <w:p w14:paraId="172D1B29" w14:textId="77777777" w:rsidR="00195659" w:rsidRPr="004B54DF" w:rsidRDefault="00C01501" w:rsidP="004B54DF">
      <w:pPr>
        <w:rPr>
          <w:rFonts w:ascii="Arial" w:hAnsi="Arial" w:cs="Arial"/>
        </w:rPr>
      </w:pPr>
      <w:r w:rsidRPr="004B54DF">
        <w:rPr>
          <w:rFonts w:ascii="Arial" w:hAnsi="Arial" w:cs="Arial"/>
        </w:rPr>
        <w:t xml:space="preserve">This report has, therefore, highlighted the importance of collaboration and marketing innovation to successful expansion internationally. As stated by </w:t>
      </w:r>
      <w:proofErr w:type="spellStart"/>
      <w:r w:rsidRPr="004B54DF">
        <w:rPr>
          <w:rFonts w:ascii="Arial" w:hAnsi="Arial" w:cs="Arial"/>
        </w:rPr>
        <w:t>Sadraei</w:t>
      </w:r>
      <w:proofErr w:type="spellEnd"/>
      <w:r w:rsidRPr="004B54DF">
        <w:rPr>
          <w:rFonts w:ascii="Arial" w:hAnsi="Arial" w:cs="Arial"/>
        </w:rPr>
        <w:t xml:space="preserve"> (2025), local distributors and retailers accelerate market knowledge, reduce operational risk factors, and make foreign market penetration smoother. Furthermore, I understood that algorithmic, innovative and customer-centric marketing enhances a brand's reach and </w:t>
      </w:r>
      <w:r w:rsidRPr="004B54DF">
        <w:rPr>
          <w:rFonts w:ascii="Arial" w:hAnsi="Arial" w:cs="Arial"/>
        </w:rPr>
        <w:lastRenderedPageBreak/>
        <w:t>position on the international market (Chen et al., 2026). Differentiated marketing strategy also strengthens brand confidence and value, which is important for brands to be competitive in new foreign markets, especially for customer-focused strategies (Santoso et al., 2025; Nazara, 2025).</w:t>
      </w:r>
    </w:p>
    <w:p w14:paraId="3877A1FA" w14:textId="77777777" w:rsidR="00195659" w:rsidRPr="004B54DF" w:rsidRDefault="00C01501" w:rsidP="004B54DF">
      <w:pPr>
        <w:pStyle w:val="Heading3"/>
        <w:rPr>
          <w:rFonts w:ascii="Arial" w:hAnsi="Arial" w:cs="Arial"/>
        </w:rPr>
      </w:pPr>
      <w:bookmarkStart w:id="27" w:name="_Toc236685595"/>
      <w:r w:rsidRPr="004B54DF">
        <w:rPr>
          <w:rFonts w:ascii="Arial" w:hAnsi="Arial" w:cs="Arial"/>
        </w:rPr>
        <w:t>4.5 Conclusion</w:t>
      </w:r>
      <w:bookmarkEnd w:id="27"/>
    </w:p>
    <w:p w14:paraId="608DC27E" w14:textId="77777777" w:rsidR="00195659" w:rsidRPr="004B54DF" w:rsidRDefault="00C01501" w:rsidP="004B54DF">
      <w:pPr>
        <w:rPr>
          <w:rFonts w:ascii="Arial" w:hAnsi="Arial" w:cs="Arial"/>
        </w:rPr>
      </w:pPr>
      <w:r w:rsidRPr="004B54DF">
        <w:rPr>
          <w:rFonts w:ascii="Arial" w:hAnsi="Arial" w:cs="Arial"/>
        </w:rPr>
        <w:t>This assessment has helped me greatly to understand International Business strategy and all the complications involved in making decisions regarding overseas market entry. PESTLE and values obtained from the OLI (Eclectic Paradigm) framework proved to be useful in examining internal organisational strengths and external market conditions systematically. I see that entering and expanding into global markets is more than a strategy for business expansion, it involves an analysis of the economic, political, technological and competitive factors for market entry before implementation. I got more confident in my research, analytical and critical thinking skills as well while doing the assignment. The collection and analysis of credible quantitative data from company reports, international sources and research papers allowed for the recommendation to be based upon statistical evidence which enhanced my confidence. In addition, the theoretical part and having experience with the practical case of Reckitt altogether helped me to appreciate strategic alternatives rather than descriptive analysis. Overall, I gained helpful knowledge and understanding that I will be able to use in my further academic endeavours and my career as an international business manager.</w:t>
      </w:r>
    </w:p>
    <w:p w14:paraId="396B5156" w14:textId="77777777" w:rsidR="00195659" w:rsidRPr="004B54DF" w:rsidRDefault="00C01501" w:rsidP="004B54DF">
      <w:pPr>
        <w:pStyle w:val="Heading3"/>
        <w:rPr>
          <w:rFonts w:ascii="Arial" w:hAnsi="Arial" w:cs="Arial"/>
        </w:rPr>
      </w:pPr>
      <w:bookmarkStart w:id="28" w:name="_Toc236685596"/>
      <w:r w:rsidRPr="004B54DF">
        <w:rPr>
          <w:rFonts w:ascii="Arial" w:hAnsi="Arial" w:cs="Arial"/>
        </w:rPr>
        <w:t>4.6 Action Plan</w:t>
      </w:r>
      <w:bookmarkEnd w:id="28"/>
    </w:p>
    <w:p w14:paraId="651C29DB" w14:textId="201F023C" w:rsidR="00195659" w:rsidRPr="004B54DF" w:rsidRDefault="00C01501" w:rsidP="004B54DF">
      <w:pPr>
        <w:rPr>
          <w:rFonts w:ascii="Arial" w:hAnsi="Arial" w:cs="Arial"/>
        </w:rPr>
      </w:pPr>
      <w:r w:rsidRPr="004B54DF">
        <w:rPr>
          <w:rFonts w:ascii="Arial" w:hAnsi="Arial" w:cs="Arial"/>
        </w:rPr>
        <w:t xml:space="preserve">I have found a number of strengths and opportunities for my future growth in these areas through the reflective exercise. I am going to enhance my insight on international business strategy through the regular reading of academic research, multinational case studies, and emerging market trends. As per the views of Said and Soi (2025), on-going learning enhances one’s ability to analyse complex international business environments and make more strategic recommendations. Secondly, to build up my analytical skills by having greater skill in interpreting how financial statements should be read and how to interpret economic indicators and market intelligence. By building more competency in quantitative analysis, I will be able to make informed and data-driven strategic decisions for opportunities in countries abroad. Last but not least, I will further enhance my information on AI and international marketing, which are now a part of the core competences of organisations in global markets. Alongside, I will also </w:t>
      </w:r>
      <w:r w:rsidRPr="004B54DF">
        <w:rPr>
          <w:rFonts w:ascii="Arial" w:hAnsi="Arial" w:cs="Arial"/>
        </w:rPr>
        <w:lastRenderedPageBreak/>
        <w:t>look to deepen my knowledge of digital customer engagement, cross-border ecommerce and decision making powered by data</w:t>
      </w:r>
      <w:r w:rsidR="008A6309" w:rsidRPr="004B54DF">
        <w:rPr>
          <w:rFonts w:ascii="Arial" w:hAnsi="Arial" w:cs="Arial"/>
        </w:rPr>
        <w:t>,</w:t>
      </w:r>
      <w:r w:rsidRPr="004B54DF">
        <w:rPr>
          <w:rFonts w:ascii="Arial" w:hAnsi="Arial" w:cs="Arial"/>
        </w:rPr>
        <w:t xml:space="preserve"> which I will then be able to apply to future business projects using modern strategies. </w:t>
      </w:r>
    </w:p>
    <w:p w14:paraId="047E99B1" w14:textId="77777777" w:rsidR="00195659" w:rsidRPr="004B54DF" w:rsidRDefault="00C01501" w:rsidP="004B54DF">
      <w:pPr>
        <w:rPr>
          <w:rFonts w:ascii="Arial" w:hAnsi="Arial" w:cs="Arial"/>
          <w:color w:val="000000"/>
        </w:rPr>
      </w:pPr>
      <w:r w:rsidRPr="004B54DF">
        <w:rPr>
          <w:rFonts w:ascii="Arial" w:hAnsi="Arial" w:cs="Arial"/>
        </w:rPr>
        <w:br w:type="page"/>
      </w:r>
    </w:p>
    <w:p w14:paraId="07DADAB2" w14:textId="77777777" w:rsidR="00195659" w:rsidRPr="004B54DF" w:rsidRDefault="00C01501" w:rsidP="004B54DF">
      <w:pPr>
        <w:pStyle w:val="Heading1"/>
      </w:pPr>
      <w:bookmarkStart w:id="29" w:name="_Toc236685597"/>
      <w:r w:rsidRPr="004B54DF">
        <w:lastRenderedPageBreak/>
        <w:t>References</w:t>
      </w:r>
      <w:bookmarkEnd w:id="29"/>
    </w:p>
    <w:p w14:paraId="7F17B22B" w14:textId="77777777" w:rsidR="008A6309" w:rsidRPr="004B54DF" w:rsidRDefault="008A6309" w:rsidP="004B54DF">
      <w:pPr>
        <w:spacing w:after="240"/>
        <w:rPr>
          <w:rFonts w:ascii="Arial" w:hAnsi="Arial" w:cs="Arial"/>
        </w:rPr>
      </w:pPr>
      <w:r w:rsidRPr="004B54DF">
        <w:rPr>
          <w:rFonts w:ascii="Arial" w:hAnsi="Arial" w:cs="Arial"/>
        </w:rPr>
        <w:t>Abd Elghany, M. (2025). Advanced technologies and international business: a comprehensive review of digital transformation in global operations. </w:t>
      </w:r>
      <w:r w:rsidRPr="004B54DF">
        <w:rPr>
          <w:rFonts w:ascii="Arial" w:hAnsi="Arial" w:cs="Arial"/>
          <w:i/>
          <w:iCs/>
        </w:rPr>
        <w:t>Journal of Logistics, Informatics and Service Science</w:t>
      </w:r>
      <w:r w:rsidRPr="004B54DF">
        <w:rPr>
          <w:rFonts w:ascii="Arial" w:hAnsi="Arial" w:cs="Arial"/>
        </w:rPr>
        <w:t>, </w:t>
      </w:r>
      <w:r w:rsidRPr="004B54DF">
        <w:rPr>
          <w:rFonts w:ascii="Arial" w:hAnsi="Arial" w:cs="Arial"/>
          <w:i/>
          <w:iCs/>
        </w:rPr>
        <w:t>12</w:t>
      </w:r>
      <w:r w:rsidRPr="004B54DF">
        <w:rPr>
          <w:rFonts w:ascii="Arial" w:hAnsi="Arial" w:cs="Arial"/>
        </w:rPr>
        <w:t xml:space="preserve">(1), pp.231-262. </w:t>
      </w:r>
      <w:hyperlink r:id="rId12">
        <w:r w:rsidRPr="004B54DF">
          <w:rPr>
            <w:rFonts w:ascii="Arial" w:hAnsi="Arial" w:cs="Arial"/>
            <w:color w:val="0000FF"/>
            <w:u w:val="single"/>
          </w:rPr>
          <w:t>https://www.aasmr.org/liss/Vol.12/No.1/Vol.12.No.1.13.pdf</w:t>
        </w:r>
      </w:hyperlink>
    </w:p>
    <w:p w14:paraId="4B1B2111" w14:textId="77777777" w:rsidR="008A6309" w:rsidRPr="004B54DF" w:rsidRDefault="008A6309" w:rsidP="004B54DF">
      <w:pPr>
        <w:spacing w:after="240"/>
        <w:rPr>
          <w:rFonts w:ascii="Arial" w:hAnsi="Arial" w:cs="Arial"/>
        </w:rPr>
      </w:pPr>
      <w:r w:rsidRPr="004B54DF">
        <w:rPr>
          <w:rFonts w:ascii="Arial" w:hAnsi="Arial" w:cs="Arial"/>
          <w:color w:val="222222"/>
        </w:rPr>
        <w:t xml:space="preserve">Adewale, T.T., Olorunyomi, T.D. and </w:t>
      </w:r>
      <w:proofErr w:type="spellStart"/>
      <w:r w:rsidRPr="004B54DF">
        <w:rPr>
          <w:rFonts w:ascii="Arial" w:hAnsi="Arial" w:cs="Arial"/>
          <w:color w:val="222222"/>
        </w:rPr>
        <w:t>Odonkor</w:t>
      </w:r>
      <w:proofErr w:type="spellEnd"/>
      <w:r w:rsidRPr="004B54DF">
        <w:rPr>
          <w:rFonts w:ascii="Arial" w:hAnsi="Arial" w:cs="Arial"/>
          <w:color w:val="222222"/>
        </w:rPr>
        <w:t xml:space="preserve">, T.N., (2023). Big data-driven financial analysis: A new paradigm for strategic insights and decision-making. </w:t>
      </w:r>
      <w:r w:rsidRPr="004B54DF">
        <w:rPr>
          <w:rFonts w:ascii="Arial" w:hAnsi="Arial" w:cs="Arial"/>
          <w:i/>
          <w:iCs/>
          <w:color w:val="222222"/>
        </w:rPr>
        <w:t>Journal of Financial Innovation and Analytics</w:t>
      </w:r>
      <w:r w:rsidRPr="004B54DF">
        <w:rPr>
          <w:rFonts w:ascii="Arial" w:hAnsi="Arial" w:cs="Arial"/>
          <w:color w:val="222222"/>
        </w:rPr>
        <w:t xml:space="preserve">, </w:t>
      </w:r>
      <w:r w:rsidRPr="004B54DF">
        <w:rPr>
          <w:rFonts w:ascii="Arial" w:hAnsi="Arial" w:cs="Arial"/>
          <w:i/>
          <w:iCs/>
          <w:color w:val="222222"/>
        </w:rPr>
        <w:t>1</w:t>
      </w:r>
      <w:r w:rsidRPr="004B54DF">
        <w:rPr>
          <w:rFonts w:ascii="Arial" w:hAnsi="Arial" w:cs="Arial"/>
          <w:color w:val="222222"/>
        </w:rPr>
        <w:t>(1), pp.1-15.</w:t>
      </w:r>
      <w:r w:rsidRPr="004B54DF">
        <w:rPr>
          <w:rFonts w:ascii="Arial" w:hAnsi="Arial" w:cs="Arial"/>
        </w:rPr>
        <w:t xml:space="preserve"> </w:t>
      </w:r>
      <w:hyperlink r:id="rId13">
        <w:r w:rsidRPr="004B54DF">
          <w:rPr>
            <w:rFonts w:ascii="Arial" w:hAnsi="Arial" w:cs="Arial"/>
            <w:color w:val="1155CC"/>
            <w:u w:val="single"/>
          </w:rPr>
          <w:t>https://www.researchgate.net/profile/Titilope-Adewale-4/publication/387954497_Corresponding_author_Titilope_Tosin_Adewale_Big_data-driven_financial_analysis_A_new_paradigm_for_strategic_insights_and_decision-_making/links/67848cb13e33dd0be90170ab/Corresponding-author-Titilope-Tosin-Adewale-Big-data-driven-financial-analysis-A-new-paradigm-for-strategic-insights-and-decision-making.pdf</w:t>
        </w:r>
      </w:hyperlink>
      <w:r w:rsidRPr="004B54DF">
        <w:rPr>
          <w:rFonts w:ascii="Arial" w:hAnsi="Arial" w:cs="Arial"/>
        </w:rPr>
        <w:t xml:space="preserve"> </w:t>
      </w:r>
    </w:p>
    <w:p w14:paraId="6AD07658" w14:textId="77777777" w:rsidR="008A6309" w:rsidRPr="004B54DF" w:rsidRDefault="008A6309" w:rsidP="004B54DF">
      <w:pPr>
        <w:spacing w:after="240"/>
        <w:rPr>
          <w:rFonts w:ascii="Arial" w:hAnsi="Arial" w:cs="Arial"/>
        </w:rPr>
      </w:pPr>
      <w:r w:rsidRPr="004B54DF">
        <w:rPr>
          <w:rFonts w:ascii="Arial" w:hAnsi="Arial" w:cs="Arial"/>
        </w:rPr>
        <w:t>Akinsola, O.K. and John, B. (2025). </w:t>
      </w:r>
      <w:r w:rsidRPr="004B54DF">
        <w:rPr>
          <w:rFonts w:ascii="Arial" w:hAnsi="Arial" w:cs="Arial"/>
          <w:i/>
          <w:iCs/>
        </w:rPr>
        <w:t>The impact of international trade laws on corporate strategy: Navigating cross-border legal challenges for multinational corporations</w:t>
      </w:r>
      <w:r w:rsidRPr="004B54DF">
        <w:rPr>
          <w:rFonts w:ascii="Arial" w:hAnsi="Arial" w:cs="Arial"/>
        </w:rPr>
        <w:t xml:space="preserve"> [online] </w:t>
      </w:r>
      <w:hyperlink r:id="rId14">
        <w:r w:rsidRPr="004B54DF">
          <w:rPr>
            <w:rFonts w:ascii="Arial" w:hAnsi="Arial" w:cs="Arial"/>
            <w:color w:val="0000FF"/>
            <w:u w:val="single"/>
          </w:rPr>
          <w:t>https://www.researchgate.net/profile/Beauden-John/publication/388659851_The_Impact_of_International_Trade_Laws_on_Corporate_Strategy_Navigating_Cross-Border_Legal_Challenges_for_Multinational_Corporations/links/67a196e08311ce680c505c9d/The-Impact-of-International-Trade-Laws-on-Corporate-Strategy-Navigating-Cross-Border-Legal-Challenges-for-Multinational-Corporations.pdf</w:t>
        </w:r>
      </w:hyperlink>
    </w:p>
    <w:p w14:paraId="5A5900C2" w14:textId="77777777" w:rsidR="008A6309" w:rsidRPr="004B54DF" w:rsidRDefault="008A6309" w:rsidP="004B54DF">
      <w:pPr>
        <w:spacing w:after="240"/>
        <w:rPr>
          <w:rFonts w:ascii="Arial" w:hAnsi="Arial" w:cs="Arial"/>
        </w:rPr>
      </w:pPr>
      <w:r w:rsidRPr="004B54DF">
        <w:rPr>
          <w:rFonts w:ascii="Arial" w:hAnsi="Arial" w:cs="Arial"/>
        </w:rPr>
        <w:t xml:space="preserve">Ali, H. (2025). International Market Selection and Entry Strategies: Discovering the Potential of </w:t>
      </w:r>
      <w:proofErr w:type="gramStart"/>
      <w:r w:rsidRPr="004B54DF">
        <w:rPr>
          <w:rFonts w:ascii="Arial" w:hAnsi="Arial" w:cs="Arial"/>
        </w:rPr>
        <w:t>A</w:t>
      </w:r>
      <w:proofErr w:type="gramEnd"/>
      <w:r w:rsidRPr="004B54DF">
        <w:rPr>
          <w:rFonts w:ascii="Arial" w:hAnsi="Arial" w:cs="Arial"/>
        </w:rPr>
        <w:t xml:space="preserve"> Machine Learning Approach. </w:t>
      </w:r>
      <w:hyperlink r:id="rId15">
        <w:r w:rsidRPr="004B54DF">
          <w:rPr>
            <w:rFonts w:ascii="Arial" w:hAnsi="Arial" w:cs="Arial"/>
            <w:color w:val="0000FF"/>
            <w:u w:val="single"/>
          </w:rPr>
          <w:t>https://documentserver.uhasselt.be/bitstream/1942/47058/1/30571bc9-dd88-47d2-8346-013b33894956.pdf</w:t>
        </w:r>
      </w:hyperlink>
    </w:p>
    <w:p w14:paraId="237EF6CF" w14:textId="77777777" w:rsidR="008A6309" w:rsidRPr="004B54DF" w:rsidRDefault="008A6309" w:rsidP="004B54DF">
      <w:pPr>
        <w:spacing w:after="240"/>
        <w:rPr>
          <w:rFonts w:ascii="Arial" w:hAnsi="Arial" w:cs="Arial"/>
        </w:rPr>
      </w:pPr>
      <w:r w:rsidRPr="004B54DF">
        <w:rPr>
          <w:rFonts w:ascii="Arial" w:hAnsi="Arial" w:cs="Arial"/>
          <w:color w:val="222222"/>
        </w:rPr>
        <w:t xml:space="preserve">Bartlett, C.A. and Ghoshal, S., (1989). </w:t>
      </w:r>
      <w:r w:rsidRPr="004B54DF">
        <w:rPr>
          <w:rFonts w:ascii="Arial" w:hAnsi="Arial" w:cs="Arial"/>
          <w:color w:val="232323"/>
        </w:rPr>
        <w:t xml:space="preserve">Managing Across Borders: </w:t>
      </w:r>
      <w:r w:rsidRPr="004B54DF">
        <w:rPr>
          <w:rFonts w:ascii="Arial" w:hAnsi="Arial" w:cs="Arial"/>
          <w:color w:val="222222"/>
        </w:rPr>
        <w:t xml:space="preserve">The transnational solution. </w:t>
      </w:r>
      <w:r w:rsidRPr="004B54DF">
        <w:rPr>
          <w:rFonts w:ascii="Arial" w:hAnsi="Arial" w:cs="Arial"/>
          <w:i/>
          <w:iCs/>
          <w:color w:val="222222"/>
        </w:rPr>
        <w:t>Boston: Harvard Business School</w:t>
      </w:r>
      <w:r w:rsidRPr="004B54DF">
        <w:rPr>
          <w:rFonts w:ascii="Arial" w:hAnsi="Arial" w:cs="Arial"/>
          <w:color w:val="222222"/>
        </w:rPr>
        <w:t>.</w:t>
      </w:r>
      <w:r w:rsidRPr="004B54DF">
        <w:rPr>
          <w:rFonts w:ascii="Arial" w:hAnsi="Arial" w:cs="Arial"/>
        </w:rPr>
        <w:t xml:space="preserve"> </w:t>
      </w:r>
      <w:hyperlink r:id="rId16">
        <w:r w:rsidRPr="004B54DF">
          <w:rPr>
            <w:rFonts w:ascii="Arial" w:hAnsi="Arial" w:cs="Arial"/>
            <w:color w:val="1155CC"/>
            <w:u w:val="single"/>
          </w:rPr>
          <w:t>https://books.google.co.uk/books/about/Managing_Across_Borders.html?id=KYjHMVuNOAwC&amp;redir_esc=y</w:t>
        </w:r>
      </w:hyperlink>
      <w:r w:rsidRPr="004B54DF">
        <w:rPr>
          <w:rFonts w:ascii="Arial" w:hAnsi="Arial" w:cs="Arial"/>
        </w:rPr>
        <w:t xml:space="preserve"> </w:t>
      </w:r>
    </w:p>
    <w:p w14:paraId="58CF1EFE" w14:textId="77777777" w:rsidR="008A6309" w:rsidRPr="004B54DF" w:rsidRDefault="008A6309" w:rsidP="004B54DF">
      <w:pPr>
        <w:spacing w:after="240"/>
        <w:rPr>
          <w:rFonts w:ascii="Arial" w:hAnsi="Arial" w:cs="Arial"/>
        </w:rPr>
      </w:pPr>
      <w:proofErr w:type="spellStart"/>
      <w:r w:rsidRPr="004B54DF">
        <w:rPr>
          <w:rFonts w:ascii="Arial" w:hAnsi="Arial" w:cs="Arial"/>
        </w:rPr>
        <w:lastRenderedPageBreak/>
        <w:t>Boonchoo</w:t>
      </w:r>
      <w:proofErr w:type="spellEnd"/>
      <w:r w:rsidRPr="004B54DF">
        <w:rPr>
          <w:rFonts w:ascii="Arial" w:hAnsi="Arial" w:cs="Arial"/>
        </w:rPr>
        <w:t>, P. (2025). The impact of causation and effectuation decision-making logics on de-internationalization strategies of small-and medium-sized export firms. </w:t>
      </w:r>
      <w:r w:rsidRPr="004B54DF">
        <w:rPr>
          <w:rFonts w:ascii="Arial" w:hAnsi="Arial" w:cs="Arial"/>
          <w:i/>
          <w:iCs/>
        </w:rPr>
        <w:t>Journal of Innovation and Entrepreneurship</w:t>
      </w:r>
      <w:r w:rsidRPr="004B54DF">
        <w:rPr>
          <w:rFonts w:ascii="Arial" w:hAnsi="Arial" w:cs="Arial"/>
        </w:rPr>
        <w:t>, </w:t>
      </w:r>
      <w:r w:rsidRPr="004B54DF">
        <w:rPr>
          <w:rFonts w:ascii="Arial" w:hAnsi="Arial" w:cs="Arial"/>
          <w:i/>
          <w:iCs/>
        </w:rPr>
        <w:t>14</w:t>
      </w:r>
      <w:r w:rsidRPr="004B54DF">
        <w:rPr>
          <w:rFonts w:ascii="Arial" w:hAnsi="Arial" w:cs="Arial"/>
        </w:rPr>
        <w:t xml:space="preserve">(1), p.24. </w:t>
      </w:r>
      <w:hyperlink r:id="rId17">
        <w:r w:rsidRPr="004B54DF">
          <w:rPr>
            <w:rFonts w:ascii="Arial" w:hAnsi="Arial" w:cs="Arial"/>
            <w:color w:val="0000FF"/>
            <w:u w:val="single"/>
          </w:rPr>
          <w:t>https://link.springer.com/article/10.1186/s13731-025-00483-y</w:t>
        </w:r>
      </w:hyperlink>
    </w:p>
    <w:p w14:paraId="1CE4CE2B" w14:textId="77777777" w:rsidR="008A6309" w:rsidRPr="004B54DF" w:rsidRDefault="008A6309" w:rsidP="004B54DF">
      <w:pPr>
        <w:spacing w:after="240"/>
        <w:rPr>
          <w:rFonts w:ascii="Arial" w:hAnsi="Arial" w:cs="Arial"/>
        </w:rPr>
      </w:pPr>
      <w:r w:rsidRPr="004B54DF">
        <w:rPr>
          <w:rFonts w:ascii="Arial" w:hAnsi="Arial" w:cs="Arial"/>
        </w:rPr>
        <w:t>Cassia, F. and Magno, F. (2025). Leveraging cross-border e-commerce platforms for export strategies: a model for exporters in B2B markets. </w:t>
      </w:r>
      <w:r w:rsidRPr="004B54DF">
        <w:rPr>
          <w:rFonts w:ascii="Arial" w:hAnsi="Arial" w:cs="Arial"/>
          <w:i/>
          <w:iCs/>
        </w:rPr>
        <w:t>Review of International Business and Strategy</w:t>
      </w:r>
      <w:r w:rsidRPr="004B54DF">
        <w:rPr>
          <w:rFonts w:ascii="Arial" w:hAnsi="Arial" w:cs="Arial"/>
        </w:rPr>
        <w:t>, </w:t>
      </w:r>
      <w:r w:rsidRPr="004B54DF">
        <w:rPr>
          <w:rFonts w:ascii="Arial" w:hAnsi="Arial" w:cs="Arial"/>
          <w:i/>
          <w:iCs/>
        </w:rPr>
        <w:t>35</w:t>
      </w:r>
      <w:r w:rsidRPr="004B54DF">
        <w:rPr>
          <w:rFonts w:ascii="Arial" w:hAnsi="Arial" w:cs="Arial"/>
        </w:rPr>
        <w:t xml:space="preserve">(4), pp.527-550. </w:t>
      </w:r>
      <w:hyperlink r:id="rId18">
        <w:r w:rsidRPr="004B54DF">
          <w:rPr>
            <w:rFonts w:ascii="Arial" w:hAnsi="Arial" w:cs="Arial"/>
            <w:color w:val="0000FF"/>
            <w:u w:val="single"/>
          </w:rPr>
          <w:t>https://www.emerald.com/ribs/article/35/4/527/1255783</w:t>
        </w:r>
      </w:hyperlink>
    </w:p>
    <w:p w14:paraId="10C5FD93" w14:textId="77777777" w:rsidR="008A6309" w:rsidRPr="004B54DF" w:rsidRDefault="008A6309" w:rsidP="004B54DF">
      <w:pPr>
        <w:spacing w:after="240"/>
        <w:rPr>
          <w:rFonts w:ascii="Arial" w:hAnsi="Arial" w:cs="Arial"/>
        </w:rPr>
      </w:pPr>
      <w:r w:rsidRPr="004B54DF">
        <w:rPr>
          <w:rFonts w:ascii="Arial" w:hAnsi="Arial" w:cs="Arial"/>
        </w:rPr>
        <w:t>Chen, L., Zhou, Z. and Chan, L.T. (2026). Algorithm envelopment in platform markets. </w:t>
      </w:r>
      <w:r w:rsidRPr="004B54DF">
        <w:rPr>
          <w:rFonts w:ascii="Arial" w:hAnsi="Arial" w:cs="Arial"/>
          <w:i/>
          <w:iCs/>
        </w:rPr>
        <w:t>Academy of Management Review</w:t>
      </w:r>
      <w:r w:rsidRPr="004B54DF">
        <w:rPr>
          <w:rFonts w:ascii="Arial" w:hAnsi="Arial" w:cs="Arial"/>
        </w:rPr>
        <w:t>, </w:t>
      </w:r>
      <w:r w:rsidRPr="004B54DF">
        <w:rPr>
          <w:rFonts w:ascii="Arial" w:hAnsi="Arial" w:cs="Arial"/>
          <w:i/>
          <w:iCs/>
        </w:rPr>
        <w:t>51</w:t>
      </w:r>
      <w:r w:rsidRPr="004B54DF">
        <w:rPr>
          <w:rFonts w:ascii="Arial" w:hAnsi="Arial" w:cs="Arial"/>
        </w:rPr>
        <w:t xml:space="preserve">(1), pp.187-206. </w:t>
      </w:r>
      <w:hyperlink r:id="rId19">
        <w:r w:rsidRPr="004B54DF">
          <w:rPr>
            <w:rFonts w:ascii="Arial" w:hAnsi="Arial" w:cs="Arial"/>
            <w:color w:val="0000FF"/>
            <w:u w:val="single"/>
          </w:rPr>
          <w:t>https://journals.aom.org/doi/abs/10.5465/amr.2023.0156</w:t>
        </w:r>
      </w:hyperlink>
    </w:p>
    <w:p w14:paraId="169D9B7D" w14:textId="77777777" w:rsidR="008A6309" w:rsidRPr="004B54DF" w:rsidRDefault="008A6309" w:rsidP="004B54DF">
      <w:pPr>
        <w:spacing w:after="240"/>
        <w:rPr>
          <w:rFonts w:ascii="Arial" w:hAnsi="Arial" w:cs="Arial"/>
        </w:rPr>
      </w:pPr>
      <w:r w:rsidRPr="004B54DF">
        <w:rPr>
          <w:rFonts w:ascii="Arial" w:hAnsi="Arial" w:cs="Arial"/>
        </w:rPr>
        <w:t xml:space="preserve">CMI. (2026). </w:t>
      </w:r>
      <w:r w:rsidRPr="004B54DF">
        <w:rPr>
          <w:rFonts w:ascii="Arial" w:hAnsi="Arial" w:cs="Arial"/>
          <w:i/>
          <w:iCs/>
        </w:rPr>
        <w:t>CONSUMER PRODUCT AND RETAIL MARKET ANALYSIS &amp; FORECAST: 2026–2033.</w:t>
      </w:r>
      <w:r w:rsidRPr="004B54DF">
        <w:rPr>
          <w:rFonts w:ascii="Arial" w:hAnsi="Arial" w:cs="Arial"/>
        </w:rPr>
        <w:t xml:space="preserve"> Available at: </w:t>
      </w:r>
      <w:hyperlink r:id="rId20">
        <w:r w:rsidRPr="004B54DF">
          <w:rPr>
            <w:rFonts w:ascii="Arial" w:hAnsi="Arial" w:cs="Arial"/>
            <w:color w:val="0000FF"/>
            <w:u w:val="single"/>
          </w:rPr>
          <w:t>https://www.coherentmarketinsights.com/market-insight/consumer-product-and-retail-market-4759</w:t>
        </w:r>
      </w:hyperlink>
      <w:r w:rsidRPr="004B54DF">
        <w:rPr>
          <w:rFonts w:ascii="Arial" w:hAnsi="Arial" w:cs="Arial"/>
        </w:rPr>
        <w:t xml:space="preserve"> [Accessed: 18 July 2026]</w:t>
      </w:r>
    </w:p>
    <w:p w14:paraId="3762CEE5" w14:textId="77777777" w:rsidR="008A6309" w:rsidRPr="004B54DF" w:rsidRDefault="008A6309" w:rsidP="004B54DF">
      <w:pPr>
        <w:spacing w:after="240"/>
        <w:rPr>
          <w:rFonts w:ascii="Arial" w:hAnsi="Arial" w:cs="Arial"/>
        </w:rPr>
      </w:pPr>
      <w:r w:rsidRPr="004B54DF">
        <w:rPr>
          <w:rFonts w:ascii="Arial" w:hAnsi="Arial" w:cs="Arial"/>
        </w:rPr>
        <w:t>Cui, V., Tian, X. and Yu, R. (2025). Fragmentation in international business: A geographic-and-political perspective. </w:t>
      </w:r>
      <w:r w:rsidRPr="004B54DF">
        <w:rPr>
          <w:rFonts w:ascii="Arial" w:hAnsi="Arial" w:cs="Arial"/>
          <w:i/>
          <w:iCs/>
        </w:rPr>
        <w:t>International Business Review</w:t>
      </w:r>
      <w:r w:rsidRPr="004B54DF">
        <w:rPr>
          <w:rFonts w:ascii="Arial" w:hAnsi="Arial" w:cs="Arial"/>
        </w:rPr>
        <w:t>, </w:t>
      </w:r>
      <w:r w:rsidRPr="004B54DF">
        <w:rPr>
          <w:rFonts w:ascii="Arial" w:hAnsi="Arial" w:cs="Arial"/>
          <w:i/>
          <w:iCs/>
        </w:rPr>
        <w:t>34</w:t>
      </w:r>
      <w:r w:rsidRPr="004B54DF">
        <w:rPr>
          <w:rFonts w:ascii="Arial" w:hAnsi="Arial" w:cs="Arial"/>
        </w:rPr>
        <w:t xml:space="preserve">(4), p.102458. </w:t>
      </w:r>
      <w:hyperlink r:id="rId21">
        <w:r w:rsidRPr="004B54DF">
          <w:rPr>
            <w:rFonts w:ascii="Arial" w:hAnsi="Arial" w:cs="Arial"/>
            <w:color w:val="0000FF"/>
            <w:u w:val="single"/>
          </w:rPr>
          <w:t>https://www.sciencedirect.com/science/article/pii/S096959312500071X</w:t>
        </w:r>
      </w:hyperlink>
    </w:p>
    <w:p w14:paraId="64A801C7" w14:textId="77777777" w:rsidR="008A6309" w:rsidRPr="004B54DF" w:rsidRDefault="008A6309" w:rsidP="004B54DF">
      <w:pPr>
        <w:spacing w:after="240"/>
        <w:rPr>
          <w:rFonts w:ascii="Arial" w:hAnsi="Arial" w:cs="Arial"/>
        </w:rPr>
      </w:pPr>
      <w:r w:rsidRPr="004B54DF">
        <w:rPr>
          <w:rFonts w:ascii="Arial" w:hAnsi="Arial" w:cs="Arial"/>
        </w:rPr>
        <w:t>Cui, Y., Shi, Y., Gu, M. and Li, J. (2025). Exploring the knowledge mapping and research trends of cross-border e-commerce. </w:t>
      </w:r>
      <w:r w:rsidRPr="004B54DF">
        <w:rPr>
          <w:rFonts w:ascii="Arial" w:hAnsi="Arial" w:cs="Arial"/>
          <w:i/>
          <w:iCs/>
        </w:rPr>
        <w:t>South African Journal of Economic and Management Sciences</w:t>
      </w:r>
      <w:r w:rsidRPr="004B54DF">
        <w:rPr>
          <w:rFonts w:ascii="Arial" w:hAnsi="Arial" w:cs="Arial"/>
        </w:rPr>
        <w:t>, </w:t>
      </w:r>
      <w:r w:rsidRPr="004B54DF">
        <w:rPr>
          <w:rFonts w:ascii="Arial" w:hAnsi="Arial" w:cs="Arial"/>
          <w:i/>
          <w:iCs/>
        </w:rPr>
        <w:t>28</w:t>
      </w:r>
      <w:r w:rsidRPr="004B54DF">
        <w:rPr>
          <w:rFonts w:ascii="Arial" w:hAnsi="Arial" w:cs="Arial"/>
        </w:rPr>
        <w:t xml:space="preserve">(1), p.5909. </w:t>
      </w:r>
      <w:hyperlink r:id="rId22">
        <w:r w:rsidRPr="004B54DF">
          <w:rPr>
            <w:rFonts w:ascii="Arial" w:hAnsi="Arial" w:cs="Arial"/>
            <w:color w:val="0000FF"/>
            <w:u w:val="single"/>
          </w:rPr>
          <w:t>https://journals.co.za/doi/abs/10.4102/sajems.v28i1.5909</w:t>
        </w:r>
      </w:hyperlink>
    </w:p>
    <w:p w14:paraId="1C59204A" w14:textId="77777777" w:rsidR="008A6309" w:rsidRPr="004B54DF" w:rsidRDefault="008A6309" w:rsidP="004B54DF">
      <w:pPr>
        <w:spacing w:after="240"/>
        <w:rPr>
          <w:rFonts w:ascii="Arial" w:hAnsi="Arial" w:cs="Arial"/>
        </w:rPr>
      </w:pPr>
      <w:r w:rsidRPr="004B54DF">
        <w:rPr>
          <w:rFonts w:ascii="Arial" w:hAnsi="Arial" w:cs="Arial"/>
        </w:rPr>
        <w:t>Frimpong, K., Adomako, S., Nguyen, N.P. and AI</w:t>
      </w:r>
      <w:r w:rsidRPr="004B54DF">
        <w:rPr>
          <w:rFonts w:ascii="Cambria Math" w:hAnsi="Cambria Math" w:cs="Cambria Math"/>
        </w:rPr>
        <w:t>‐</w:t>
      </w:r>
      <w:proofErr w:type="spellStart"/>
      <w:r w:rsidRPr="004B54DF">
        <w:rPr>
          <w:rFonts w:ascii="Arial" w:hAnsi="Arial" w:cs="Arial"/>
        </w:rPr>
        <w:t>Shuridah</w:t>
      </w:r>
      <w:proofErr w:type="spellEnd"/>
      <w:r w:rsidRPr="004B54DF">
        <w:rPr>
          <w:rFonts w:ascii="Arial" w:hAnsi="Arial" w:cs="Arial"/>
        </w:rPr>
        <w:t>, O. (2025). Sustainability orientation and post</w:t>
      </w:r>
      <w:r w:rsidRPr="004B54DF">
        <w:rPr>
          <w:rFonts w:ascii="Cambria Math" w:hAnsi="Cambria Math" w:cs="Cambria Math"/>
        </w:rPr>
        <w:t>‐</w:t>
      </w:r>
      <w:r w:rsidRPr="004B54DF">
        <w:rPr>
          <w:rFonts w:ascii="Arial" w:hAnsi="Arial" w:cs="Arial"/>
        </w:rPr>
        <w:t>entry performance: The role of brand and market</w:t>
      </w:r>
      <w:r w:rsidRPr="004B54DF">
        <w:rPr>
          <w:rFonts w:ascii="Cambria Math" w:hAnsi="Cambria Math" w:cs="Cambria Math"/>
        </w:rPr>
        <w:t>‐</w:t>
      </w:r>
      <w:r w:rsidRPr="004B54DF">
        <w:rPr>
          <w:rFonts w:ascii="Arial" w:hAnsi="Arial" w:cs="Arial"/>
        </w:rPr>
        <w:t>oriented capabilities. </w:t>
      </w:r>
      <w:r w:rsidRPr="004B54DF">
        <w:rPr>
          <w:rFonts w:ascii="Arial" w:hAnsi="Arial" w:cs="Arial"/>
          <w:i/>
          <w:iCs/>
        </w:rPr>
        <w:t>Business Strategy and the Environment</w:t>
      </w:r>
      <w:r w:rsidRPr="004B54DF">
        <w:rPr>
          <w:rFonts w:ascii="Arial" w:hAnsi="Arial" w:cs="Arial"/>
        </w:rPr>
        <w:t>, </w:t>
      </w:r>
      <w:r w:rsidRPr="004B54DF">
        <w:rPr>
          <w:rFonts w:ascii="Arial" w:hAnsi="Arial" w:cs="Arial"/>
          <w:i/>
          <w:iCs/>
        </w:rPr>
        <w:t>34</w:t>
      </w:r>
      <w:r w:rsidRPr="004B54DF">
        <w:rPr>
          <w:rFonts w:ascii="Arial" w:hAnsi="Arial" w:cs="Arial"/>
        </w:rPr>
        <w:t xml:space="preserve">(1), pp.1189-1205. </w:t>
      </w:r>
      <w:hyperlink r:id="rId23">
        <w:r w:rsidRPr="004B54DF">
          <w:rPr>
            <w:rFonts w:ascii="Arial" w:hAnsi="Arial" w:cs="Arial"/>
            <w:color w:val="0000FF"/>
            <w:u w:val="single"/>
          </w:rPr>
          <w:t>https://onlinelibrary.wiley.com/doi/abs/10.1002/bse.4043</w:t>
        </w:r>
      </w:hyperlink>
    </w:p>
    <w:p w14:paraId="22386710" w14:textId="77777777" w:rsidR="008A6309" w:rsidRPr="004B54DF" w:rsidRDefault="008A6309" w:rsidP="004B54DF">
      <w:pPr>
        <w:spacing w:after="240"/>
        <w:rPr>
          <w:rFonts w:ascii="Arial" w:hAnsi="Arial" w:cs="Arial"/>
        </w:rPr>
      </w:pPr>
      <w:r w:rsidRPr="004B54DF">
        <w:rPr>
          <w:rFonts w:ascii="Arial" w:hAnsi="Arial" w:cs="Arial"/>
        </w:rPr>
        <w:t xml:space="preserve">Givan, B. and </w:t>
      </w:r>
      <w:proofErr w:type="spellStart"/>
      <w:r w:rsidRPr="004B54DF">
        <w:rPr>
          <w:rFonts w:ascii="Arial" w:hAnsi="Arial" w:cs="Arial"/>
        </w:rPr>
        <w:t>Pancasilawan</w:t>
      </w:r>
      <w:proofErr w:type="spellEnd"/>
      <w:r w:rsidRPr="004B54DF">
        <w:rPr>
          <w:rFonts w:ascii="Arial" w:hAnsi="Arial" w:cs="Arial"/>
        </w:rPr>
        <w:t>, B.H. (2025). From local to global: How digital marketing strategies propel small businesses into international markets. </w:t>
      </w:r>
      <w:r w:rsidRPr="004B54DF">
        <w:rPr>
          <w:rFonts w:ascii="Arial" w:hAnsi="Arial" w:cs="Arial"/>
          <w:i/>
          <w:iCs/>
        </w:rPr>
        <w:t xml:space="preserve">International Journal of </w:t>
      </w:r>
      <w:r w:rsidRPr="004B54DF">
        <w:rPr>
          <w:rFonts w:ascii="Arial" w:hAnsi="Arial" w:cs="Arial"/>
          <w:i/>
          <w:iCs/>
        </w:rPr>
        <w:lastRenderedPageBreak/>
        <w:t>Economics and Management Research</w:t>
      </w:r>
      <w:r w:rsidRPr="004B54DF">
        <w:rPr>
          <w:rFonts w:ascii="Arial" w:hAnsi="Arial" w:cs="Arial"/>
        </w:rPr>
        <w:t>, </w:t>
      </w:r>
      <w:r w:rsidRPr="004B54DF">
        <w:rPr>
          <w:rFonts w:ascii="Arial" w:hAnsi="Arial" w:cs="Arial"/>
          <w:i/>
          <w:iCs/>
        </w:rPr>
        <w:t>4</w:t>
      </w:r>
      <w:r w:rsidRPr="004B54DF">
        <w:rPr>
          <w:rFonts w:ascii="Arial" w:hAnsi="Arial" w:cs="Arial"/>
        </w:rPr>
        <w:t xml:space="preserve">(1), pp.741-749. </w:t>
      </w:r>
      <w:hyperlink r:id="rId24">
        <w:r w:rsidRPr="004B54DF">
          <w:rPr>
            <w:rFonts w:ascii="Arial" w:hAnsi="Arial" w:cs="Arial"/>
            <w:color w:val="0000FF"/>
            <w:u w:val="single"/>
          </w:rPr>
          <w:t>https://ijemr.asia/index.php/ijemr/article/view/490</w:t>
        </w:r>
      </w:hyperlink>
    </w:p>
    <w:p w14:paraId="68D6A2C8" w14:textId="77777777" w:rsidR="008A6309" w:rsidRPr="004B54DF" w:rsidRDefault="008A6309" w:rsidP="004B54DF">
      <w:pPr>
        <w:spacing w:after="240"/>
        <w:rPr>
          <w:rFonts w:ascii="Arial" w:hAnsi="Arial" w:cs="Arial"/>
        </w:rPr>
      </w:pPr>
      <w:r w:rsidRPr="004B54DF">
        <w:rPr>
          <w:rFonts w:ascii="Arial" w:hAnsi="Arial" w:cs="Arial"/>
        </w:rPr>
        <w:t xml:space="preserve">IMR. (2025). </w:t>
      </w:r>
      <w:r w:rsidRPr="004B54DF">
        <w:rPr>
          <w:rFonts w:ascii="Arial" w:hAnsi="Arial" w:cs="Arial"/>
          <w:i/>
          <w:iCs/>
        </w:rPr>
        <w:t xml:space="preserve">FMCG Market Size &amp; Outlook 2025-2032. </w:t>
      </w:r>
      <w:r w:rsidRPr="004B54DF">
        <w:rPr>
          <w:rFonts w:ascii="Arial" w:hAnsi="Arial" w:cs="Arial"/>
        </w:rPr>
        <w:t xml:space="preserve">Available at: </w:t>
      </w:r>
      <w:hyperlink r:id="rId25">
        <w:r w:rsidRPr="004B54DF">
          <w:rPr>
            <w:rFonts w:ascii="Arial" w:hAnsi="Arial" w:cs="Arial"/>
            <w:color w:val="0000FF"/>
            <w:u w:val="single"/>
          </w:rPr>
          <w:t>https://introspectivemarketresearch.com/reports/fmcg-market/</w:t>
        </w:r>
      </w:hyperlink>
      <w:r w:rsidRPr="004B54DF">
        <w:rPr>
          <w:rFonts w:ascii="Arial" w:hAnsi="Arial" w:cs="Arial"/>
        </w:rPr>
        <w:t xml:space="preserve"> [Accessed: 18 July 2026]</w:t>
      </w:r>
    </w:p>
    <w:p w14:paraId="0D2FC7EC" w14:textId="77777777" w:rsidR="008A6309" w:rsidRPr="004B54DF" w:rsidRDefault="008A6309" w:rsidP="004B54DF">
      <w:pPr>
        <w:spacing w:after="240"/>
        <w:rPr>
          <w:rFonts w:ascii="Arial" w:hAnsi="Arial" w:cs="Arial"/>
        </w:rPr>
      </w:pPr>
      <w:r w:rsidRPr="004B54DF">
        <w:rPr>
          <w:rFonts w:ascii="Arial" w:hAnsi="Arial" w:cs="Arial"/>
        </w:rPr>
        <w:t xml:space="preserve">ISIM. (2026). </w:t>
      </w:r>
      <w:r w:rsidRPr="004B54DF">
        <w:rPr>
          <w:rFonts w:ascii="Arial" w:hAnsi="Arial" w:cs="Arial"/>
          <w:i/>
          <w:iCs/>
        </w:rPr>
        <w:t xml:space="preserve">Mongolia Imports: Year to Date: Value: Consumer Goods. </w:t>
      </w:r>
      <w:r w:rsidRPr="004B54DF">
        <w:rPr>
          <w:rFonts w:ascii="Arial" w:hAnsi="Arial" w:cs="Arial"/>
        </w:rPr>
        <w:t xml:space="preserve">Available at: </w:t>
      </w:r>
      <w:hyperlink r:id="rId26">
        <w:r w:rsidRPr="004B54DF">
          <w:rPr>
            <w:rFonts w:ascii="Arial" w:hAnsi="Arial" w:cs="Arial"/>
            <w:color w:val="0000FF"/>
            <w:u w:val="single"/>
          </w:rPr>
          <w:t>https://www.ceicdata.com/en/mongolia/imports-by-selected-commodity-value/imports-ytd-value-consumer-goods</w:t>
        </w:r>
      </w:hyperlink>
      <w:r w:rsidRPr="004B54DF">
        <w:rPr>
          <w:rFonts w:ascii="Arial" w:hAnsi="Arial" w:cs="Arial"/>
        </w:rPr>
        <w:t xml:space="preserve"> [Accessed: 20 July 2026]</w:t>
      </w:r>
    </w:p>
    <w:p w14:paraId="7D156679" w14:textId="77777777" w:rsidR="008A6309" w:rsidRPr="004B54DF" w:rsidRDefault="008A6309" w:rsidP="004B54DF">
      <w:pPr>
        <w:spacing w:after="240"/>
        <w:rPr>
          <w:rFonts w:ascii="Arial" w:hAnsi="Arial" w:cs="Arial"/>
        </w:rPr>
      </w:pPr>
      <w:r w:rsidRPr="004B54DF">
        <w:rPr>
          <w:rFonts w:ascii="Arial" w:hAnsi="Arial" w:cs="Arial"/>
        </w:rPr>
        <w:t>Jalali, H.S. (2025). Reframing government support for SMEs’ performance in international market: the critical role of institutional context. </w:t>
      </w:r>
      <w:r w:rsidRPr="004B54DF">
        <w:rPr>
          <w:rFonts w:ascii="Arial" w:hAnsi="Arial" w:cs="Arial"/>
          <w:i/>
          <w:iCs/>
        </w:rPr>
        <w:t>Asia-Pacific Journal of Business Administration</w:t>
      </w:r>
      <w:r w:rsidRPr="004B54DF">
        <w:rPr>
          <w:rFonts w:ascii="Arial" w:hAnsi="Arial" w:cs="Arial"/>
        </w:rPr>
        <w:t>, </w:t>
      </w:r>
      <w:r w:rsidRPr="004B54DF">
        <w:rPr>
          <w:rFonts w:ascii="Arial" w:hAnsi="Arial" w:cs="Arial"/>
          <w:i/>
          <w:iCs/>
        </w:rPr>
        <w:t>17</w:t>
      </w:r>
      <w:r w:rsidRPr="004B54DF">
        <w:rPr>
          <w:rFonts w:ascii="Arial" w:hAnsi="Arial" w:cs="Arial"/>
        </w:rPr>
        <w:t xml:space="preserve">(5), pp.1294-1315. </w:t>
      </w:r>
      <w:hyperlink r:id="rId27">
        <w:r w:rsidRPr="004B54DF">
          <w:rPr>
            <w:rFonts w:ascii="Arial" w:hAnsi="Arial" w:cs="Arial"/>
            <w:color w:val="0000FF"/>
            <w:u w:val="single"/>
          </w:rPr>
          <w:t>https://www.emerald.com/apjba/article/17/5/1294/1248981</w:t>
        </w:r>
      </w:hyperlink>
    </w:p>
    <w:p w14:paraId="39092392" w14:textId="77777777" w:rsidR="008A6309" w:rsidRPr="004B54DF" w:rsidRDefault="008A6309" w:rsidP="004B54DF">
      <w:pPr>
        <w:spacing w:after="240"/>
        <w:rPr>
          <w:rFonts w:ascii="Arial" w:hAnsi="Arial" w:cs="Arial"/>
        </w:rPr>
      </w:pPr>
      <w:r w:rsidRPr="004B54DF">
        <w:rPr>
          <w:rFonts w:ascii="Arial" w:hAnsi="Arial" w:cs="Arial"/>
        </w:rPr>
        <w:t>Joshi, S. (2025). A Comprehensive Framework for US AI Export Leadership: Analysis, Implementation, and Strategic Recommendations. </w:t>
      </w:r>
      <w:r w:rsidRPr="004B54DF">
        <w:rPr>
          <w:rFonts w:ascii="Arial" w:hAnsi="Arial" w:cs="Arial"/>
          <w:i/>
          <w:iCs/>
        </w:rPr>
        <w:t>Implementation, and Strategic Recommendations</w:t>
      </w:r>
      <w:r w:rsidRPr="004B54DF">
        <w:rPr>
          <w:rFonts w:ascii="Arial" w:hAnsi="Arial" w:cs="Arial"/>
        </w:rPr>
        <w:t xml:space="preserve">. </w:t>
      </w:r>
      <w:hyperlink r:id="rId28">
        <w:r w:rsidRPr="004B54DF">
          <w:rPr>
            <w:rFonts w:ascii="Arial" w:hAnsi="Arial" w:cs="Arial"/>
            <w:color w:val="0000FF"/>
            <w:u w:val="single"/>
          </w:rPr>
          <w:t>https://papers.ssrn.com/sol3/papers.cfm?abstract_id=5865522</w:t>
        </w:r>
      </w:hyperlink>
    </w:p>
    <w:p w14:paraId="2EA67C5F" w14:textId="77777777" w:rsidR="008A6309" w:rsidRPr="004B54DF" w:rsidRDefault="008A6309" w:rsidP="004B54DF">
      <w:pPr>
        <w:rPr>
          <w:rFonts w:ascii="Arial" w:hAnsi="Arial" w:cs="Arial"/>
        </w:rPr>
      </w:pPr>
      <w:r w:rsidRPr="004B54DF">
        <w:rPr>
          <w:rFonts w:ascii="Arial" w:hAnsi="Arial" w:cs="Arial"/>
        </w:rPr>
        <w:t xml:space="preserve">Kapoor, N. (2025). </w:t>
      </w:r>
      <w:r w:rsidRPr="004B54DF">
        <w:rPr>
          <w:rFonts w:ascii="Arial" w:hAnsi="Arial" w:cs="Arial"/>
          <w:i/>
          <w:iCs/>
        </w:rPr>
        <w:t xml:space="preserve">Scaling fast, winning big – how Reckitt is gaining ground in Emerging Markets. </w:t>
      </w:r>
      <w:r w:rsidRPr="004B54DF">
        <w:rPr>
          <w:rFonts w:ascii="Arial" w:hAnsi="Arial" w:cs="Arial"/>
        </w:rPr>
        <w:t xml:space="preserve">Available at: </w:t>
      </w:r>
      <w:hyperlink r:id="rId29">
        <w:r w:rsidRPr="004B54DF">
          <w:rPr>
            <w:rFonts w:ascii="Arial" w:hAnsi="Arial" w:cs="Arial"/>
            <w:color w:val="1155CC"/>
            <w:u w:val="single"/>
          </w:rPr>
          <w:t>https://www.reckitt.com/news/scaling-fast-winning-big-how-reckitt-is-gaining-ground-in-emerging-markets/</w:t>
        </w:r>
      </w:hyperlink>
      <w:r w:rsidRPr="004B54DF">
        <w:rPr>
          <w:rFonts w:ascii="Arial" w:hAnsi="Arial" w:cs="Arial"/>
        </w:rPr>
        <w:t xml:space="preserve"> [Accessed: 28 July 2026]</w:t>
      </w:r>
    </w:p>
    <w:p w14:paraId="43FE044E" w14:textId="77777777" w:rsidR="008A6309" w:rsidRPr="004B54DF" w:rsidRDefault="008A6309" w:rsidP="004B54DF">
      <w:pPr>
        <w:spacing w:after="240"/>
        <w:rPr>
          <w:rFonts w:ascii="Arial" w:hAnsi="Arial" w:cs="Arial"/>
        </w:rPr>
      </w:pPr>
      <w:r w:rsidRPr="004B54DF">
        <w:rPr>
          <w:rFonts w:ascii="Arial" w:hAnsi="Arial" w:cs="Arial"/>
        </w:rPr>
        <w:t xml:space="preserve">Kim, H., Haque, M.A., Razzak, M.A., Jang, M.J., Song, S. and Ku, S. (2026). Probiotic development strategy </w:t>
      </w:r>
      <w:proofErr w:type="spellStart"/>
      <w:r w:rsidRPr="004B54DF">
        <w:rPr>
          <w:rFonts w:ascii="Arial" w:hAnsi="Arial" w:cs="Arial"/>
        </w:rPr>
        <w:t>centered</w:t>
      </w:r>
      <w:proofErr w:type="spellEnd"/>
      <w:r w:rsidRPr="004B54DF">
        <w:rPr>
          <w:rFonts w:ascii="Arial" w:hAnsi="Arial" w:cs="Arial"/>
        </w:rPr>
        <w:t xml:space="preserve"> on stability and regulatory considerations. </w:t>
      </w:r>
      <w:r w:rsidRPr="004B54DF">
        <w:rPr>
          <w:rFonts w:ascii="Arial" w:hAnsi="Arial" w:cs="Arial"/>
          <w:i/>
          <w:iCs/>
        </w:rPr>
        <w:t>Comprehensive Reviews in Food Science and Food Safety</w:t>
      </w:r>
      <w:r w:rsidRPr="004B54DF">
        <w:rPr>
          <w:rFonts w:ascii="Arial" w:hAnsi="Arial" w:cs="Arial"/>
        </w:rPr>
        <w:t>, </w:t>
      </w:r>
      <w:r w:rsidRPr="004B54DF">
        <w:rPr>
          <w:rFonts w:ascii="Arial" w:hAnsi="Arial" w:cs="Arial"/>
          <w:i/>
          <w:iCs/>
        </w:rPr>
        <w:t>25</w:t>
      </w:r>
      <w:r w:rsidRPr="004B54DF">
        <w:rPr>
          <w:rFonts w:ascii="Arial" w:hAnsi="Arial" w:cs="Arial"/>
        </w:rPr>
        <w:t xml:space="preserve">(1), p.e70320. </w:t>
      </w:r>
      <w:hyperlink r:id="rId30">
        <w:r w:rsidRPr="004B54DF">
          <w:rPr>
            <w:rFonts w:ascii="Arial" w:hAnsi="Arial" w:cs="Arial"/>
            <w:color w:val="0000FF"/>
            <w:u w:val="single"/>
          </w:rPr>
          <w:t>https://ift.onlinelibrary.wiley.com/doi/abs/10.1111/1541-4337.70320</w:t>
        </w:r>
      </w:hyperlink>
    </w:p>
    <w:p w14:paraId="02F7FC3B" w14:textId="77777777" w:rsidR="008A6309" w:rsidRPr="004B54DF" w:rsidRDefault="008A6309" w:rsidP="004B54DF">
      <w:pPr>
        <w:spacing w:after="240"/>
        <w:rPr>
          <w:rFonts w:ascii="Arial" w:hAnsi="Arial" w:cs="Arial"/>
        </w:rPr>
      </w:pPr>
      <w:r w:rsidRPr="004B54DF">
        <w:rPr>
          <w:rFonts w:ascii="Arial" w:hAnsi="Arial" w:cs="Arial"/>
        </w:rPr>
        <w:t xml:space="preserve">Krasteva-Hristova, R. and Georgieva, V. (2026). Green Bond Market Development and Fiscal Sustainability in the EU: Drivers of Market Entry and Depth. </w:t>
      </w:r>
      <w:hyperlink r:id="rId31">
        <w:r w:rsidRPr="004B54DF">
          <w:rPr>
            <w:rFonts w:ascii="Arial" w:hAnsi="Arial" w:cs="Arial"/>
            <w:color w:val="0000FF"/>
            <w:u w:val="single"/>
          </w:rPr>
          <w:t>https://www.preprints.org/manuscript/202606.1961</w:t>
        </w:r>
      </w:hyperlink>
    </w:p>
    <w:p w14:paraId="7E941961" w14:textId="77777777" w:rsidR="008A6309" w:rsidRPr="004B54DF" w:rsidRDefault="008A6309" w:rsidP="004B54DF">
      <w:pPr>
        <w:spacing w:after="240"/>
        <w:rPr>
          <w:rFonts w:ascii="Arial" w:hAnsi="Arial" w:cs="Arial"/>
        </w:rPr>
      </w:pPr>
      <w:r w:rsidRPr="004B54DF">
        <w:rPr>
          <w:rFonts w:ascii="Arial" w:hAnsi="Arial" w:cs="Arial"/>
        </w:rPr>
        <w:t xml:space="preserve">Lawal, C.I., </w:t>
      </w:r>
      <w:proofErr w:type="spellStart"/>
      <w:r w:rsidRPr="004B54DF">
        <w:rPr>
          <w:rFonts w:ascii="Arial" w:hAnsi="Arial" w:cs="Arial"/>
        </w:rPr>
        <w:t>Adanigbo</w:t>
      </w:r>
      <w:proofErr w:type="spellEnd"/>
      <w:r w:rsidRPr="004B54DF">
        <w:rPr>
          <w:rFonts w:ascii="Arial" w:hAnsi="Arial" w:cs="Arial"/>
        </w:rPr>
        <w:t xml:space="preserve">, O.S., Ezeh, F.S., Friday, S.C. and </w:t>
      </w:r>
      <w:proofErr w:type="spellStart"/>
      <w:r w:rsidRPr="004B54DF">
        <w:rPr>
          <w:rFonts w:ascii="Arial" w:hAnsi="Arial" w:cs="Arial"/>
        </w:rPr>
        <w:t>Ugbaja</w:t>
      </w:r>
      <w:proofErr w:type="spellEnd"/>
      <w:r w:rsidRPr="004B54DF">
        <w:rPr>
          <w:rFonts w:ascii="Arial" w:hAnsi="Arial" w:cs="Arial"/>
        </w:rPr>
        <w:t>, U.S. (2025). Advances in Business Entrepreneurship for Driving International Financial Technology Platform Expansion. </w:t>
      </w:r>
      <w:r w:rsidRPr="004B54DF">
        <w:rPr>
          <w:rFonts w:ascii="Arial" w:hAnsi="Arial" w:cs="Arial"/>
          <w:i/>
          <w:iCs/>
        </w:rPr>
        <w:t>Journal name missing</w:t>
      </w:r>
      <w:r w:rsidRPr="004B54DF">
        <w:rPr>
          <w:rFonts w:ascii="Arial" w:hAnsi="Arial" w:cs="Arial"/>
        </w:rPr>
        <w:t xml:space="preserve">. </w:t>
      </w:r>
      <w:hyperlink r:id="rId32">
        <w:r w:rsidRPr="004B54DF">
          <w:rPr>
            <w:rFonts w:ascii="Arial" w:hAnsi="Arial" w:cs="Arial"/>
            <w:color w:val="0000FF"/>
            <w:u w:val="single"/>
          </w:rPr>
          <w:t>https://www.researchgate.net/profile/Oluwasanmi-</w:t>
        </w:r>
        <w:r w:rsidRPr="004B54DF">
          <w:rPr>
            <w:rFonts w:ascii="Arial" w:hAnsi="Arial" w:cs="Arial"/>
            <w:color w:val="0000FF"/>
            <w:u w:val="single"/>
          </w:rPr>
          <w:lastRenderedPageBreak/>
          <w:t>Adanigbo/publication/391041994_Advances_in_Business_Entrepreneurship_for_Driving_International_Financial_Technology_Platform_Expansion/links/680c204a60241d51401b292e/Advances-in-Business-Entrepreneurship-for-Driving-International-Financial-Technology-Platform-Expansion.pdf</w:t>
        </w:r>
      </w:hyperlink>
    </w:p>
    <w:p w14:paraId="129E960E" w14:textId="77777777" w:rsidR="008A6309" w:rsidRPr="004B54DF" w:rsidRDefault="008A6309" w:rsidP="004B54DF">
      <w:pPr>
        <w:spacing w:after="240"/>
        <w:rPr>
          <w:rFonts w:ascii="Arial" w:hAnsi="Arial" w:cs="Arial"/>
        </w:rPr>
      </w:pPr>
      <w:r w:rsidRPr="004B54DF">
        <w:rPr>
          <w:rFonts w:ascii="Arial" w:hAnsi="Arial" w:cs="Arial"/>
        </w:rPr>
        <w:t xml:space="preserve">Macrotrends. (2025). </w:t>
      </w:r>
      <w:r w:rsidRPr="004B54DF">
        <w:rPr>
          <w:rFonts w:ascii="Arial" w:hAnsi="Arial" w:cs="Arial"/>
          <w:i/>
          <w:iCs/>
        </w:rPr>
        <w:t>Mongolia Consumer Spending (1981-2025).</w:t>
      </w:r>
      <w:r w:rsidRPr="004B54DF">
        <w:rPr>
          <w:rFonts w:ascii="Arial" w:hAnsi="Arial" w:cs="Arial"/>
        </w:rPr>
        <w:t xml:space="preserve"> Available at: </w:t>
      </w:r>
      <w:hyperlink r:id="rId33">
        <w:r w:rsidRPr="004B54DF">
          <w:rPr>
            <w:rFonts w:ascii="Arial" w:hAnsi="Arial" w:cs="Arial"/>
            <w:color w:val="0000FF"/>
            <w:u w:val="single"/>
          </w:rPr>
          <w:t>https://www.macrotrends.net/global-metrics/countries/mng/mongolia/consumer-spending</w:t>
        </w:r>
      </w:hyperlink>
      <w:r w:rsidRPr="004B54DF">
        <w:rPr>
          <w:rFonts w:ascii="Arial" w:hAnsi="Arial" w:cs="Arial"/>
        </w:rPr>
        <w:t xml:space="preserve"> [Accessed: 19 July 2026]</w:t>
      </w:r>
    </w:p>
    <w:p w14:paraId="68EF4C35" w14:textId="77777777" w:rsidR="008A6309" w:rsidRPr="004B54DF" w:rsidRDefault="008A6309" w:rsidP="004B54DF">
      <w:pPr>
        <w:spacing w:after="240"/>
        <w:rPr>
          <w:rFonts w:ascii="Arial" w:hAnsi="Arial" w:cs="Arial"/>
        </w:rPr>
      </w:pPr>
      <w:r w:rsidRPr="004B54DF">
        <w:rPr>
          <w:rFonts w:ascii="Arial" w:hAnsi="Arial" w:cs="Arial"/>
        </w:rPr>
        <w:t>Nazara, D.S. (2025). Marketing strategy innovation: Enhancing competitiveness and differentiation of local products in the global market. </w:t>
      </w:r>
      <w:proofErr w:type="spellStart"/>
      <w:r w:rsidRPr="004B54DF">
        <w:rPr>
          <w:rFonts w:ascii="Arial" w:hAnsi="Arial" w:cs="Arial"/>
          <w:i/>
          <w:iCs/>
        </w:rPr>
        <w:t>Oikonomia</w:t>
      </w:r>
      <w:proofErr w:type="spellEnd"/>
      <w:r w:rsidRPr="004B54DF">
        <w:rPr>
          <w:rFonts w:ascii="Arial" w:hAnsi="Arial" w:cs="Arial"/>
          <w:i/>
          <w:iCs/>
        </w:rPr>
        <w:t>: Journal of Management Economics and Accounting</w:t>
      </w:r>
      <w:r w:rsidRPr="004B54DF">
        <w:rPr>
          <w:rFonts w:ascii="Arial" w:hAnsi="Arial" w:cs="Arial"/>
        </w:rPr>
        <w:t>, </w:t>
      </w:r>
      <w:r w:rsidRPr="004B54DF">
        <w:rPr>
          <w:rFonts w:ascii="Arial" w:hAnsi="Arial" w:cs="Arial"/>
          <w:i/>
          <w:iCs/>
        </w:rPr>
        <w:t>2</w:t>
      </w:r>
      <w:r w:rsidRPr="004B54DF">
        <w:rPr>
          <w:rFonts w:ascii="Arial" w:hAnsi="Arial" w:cs="Arial"/>
        </w:rPr>
        <w:t xml:space="preserve">(3), pp.101-112. </w:t>
      </w:r>
      <w:hyperlink r:id="rId34">
        <w:r w:rsidRPr="004B54DF">
          <w:rPr>
            <w:rFonts w:ascii="Arial" w:hAnsi="Arial" w:cs="Arial"/>
            <w:color w:val="0000FF"/>
            <w:u w:val="single"/>
          </w:rPr>
          <w:t>https://jurnalhafasy.com/index.php/oikonomia/article/view/358</w:t>
        </w:r>
      </w:hyperlink>
    </w:p>
    <w:p w14:paraId="3F4B8524" w14:textId="77777777" w:rsidR="008A6309" w:rsidRPr="004B54DF" w:rsidRDefault="008A6309" w:rsidP="004B54DF">
      <w:pPr>
        <w:spacing w:after="240"/>
        <w:rPr>
          <w:rFonts w:ascii="Arial" w:hAnsi="Arial" w:cs="Arial"/>
        </w:rPr>
      </w:pPr>
      <w:r w:rsidRPr="004B54DF">
        <w:rPr>
          <w:rFonts w:ascii="Arial" w:hAnsi="Arial" w:cs="Arial"/>
        </w:rPr>
        <w:t xml:space="preserve">Oliveira, F.G.D., Belitski, M., </w:t>
      </w:r>
      <w:proofErr w:type="spellStart"/>
      <w:r w:rsidRPr="004B54DF">
        <w:rPr>
          <w:rFonts w:ascii="Arial" w:hAnsi="Arial" w:cs="Arial"/>
        </w:rPr>
        <w:t>Kakabadse</w:t>
      </w:r>
      <w:proofErr w:type="spellEnd"/>
      <w:r w:rsidRPr="004B54DF">
        <w:rPr>
          <w:rFonts w:ascii="Arial" w:hAnsi="Arial" w:cs="Arial"/>
        </w:rPr>
        <w:t>, N. and Theodorakopoulos, N. (2025). Unveiling the potential of digital human avatars in modern marketing strategies. </w:t>
      </w:r>
      <w:r w:rsidRPr="004B54DF">
        <w:rPr>
          <w:rFonts w:ascii="Arial" w:hAnsi="Arial" w:cs="Arial"/>
          <w:i/>
          <w:iCs/>
        </w:rPr>
        <w:t>International Marketing Review</w:t>
      </w:r>
      <w:r w:rsidRPr="004B54DF">
        <w:rPr>
          <w:rFonts w:ascii="Arial" w:hAnsi="Arial" w:cs="Arial"/>
        </w:rPr>
        <w:t>, </w:t>
      </w:r>
      <w:r w:rsidRPr="004B54DF">
        <w:rPr>
          <w:rFonts w:ascii="Arial" w:hAnsi="Arial" w:cs="Arial"/>
          <w:i/>
          <w:iCs/>
        </w:rPr>
        <w:t>42</w:t>
      </w:r>
      <w:r w:rsidRPr="004B54DF">
        <w:rPr>
          <w:rFonts w:ascii="Arial" w:hAnsi="Arial" w:cs="Arial"/>
        </w:rPr>
        <w:t xml:space="preserve">(4), pp.527-555. </w:t>
      </w:r>
      <w:hyperlink r:id="rId35">
        <w:r w:rsidRPr="004B54DF">
          <w:rPr>
            <w:rFonts w:ascii="Arial" w:hAnsi="Arial" w:cs="Arial"/>
            <w:color w:val="0000FF"/>
            <w:u w:val="single"/>
          </w:rPr>
          <w:t>https://www.emerald.com/imr/article-abstract/42/4/527/1251359</w:t>
        </w:r>
      </w:hyperlink>
    </w:p>
    <w:p w14:paraId="4F3F8188" w14:textId="77777777" w:rsidR="008A6309" w:rsidRPr="004B54DF" w:rsidRDefault="008A6309" w:rsidP="004B54DF">
      <w:pPr>
        <w:spacing w:after="240"/>
        <w:rPr>
          <w:rFonts w:ascii="Arial" w:hAnsi="Arial" w:cs="Arial"/>
        </w:rPr>
      </w:pPr>
      <w:r w:rsidRPr="004B54DF">
        <w:rPr>
          <w:rFonts w:ascii="Arial" w:hAnsi="Arial" w:cs="Arial"/>
        </w:rPr>
        <w:t xml:space="preserve">PMR. (2026). </w:t>
      </w:r>
      <w:r w:rsidRPr="004B54DF">
        <w:rPr>
          <w:rFonts w:ascii="Arial" w:hAnsi="Arial" w:cs="Arial"/>
          <w:i/>
          <w:iCs/>
        </w:rPr>
        <w:t xml:space="preserve">Consumer Packaged Goods Market Trends, Industry Report, 2026-2034. </w:t>
      </w:r>
      <w:r w:rsidRPr="004B54DF">
        <w:rPr>
          <w:rFonts w:ascii="Arial" w:hAnsi="Arial" w:cs="Arial"/>
        </w:rPr>
        <w:t xml:space="preserve">Available at: </w:t>
      </w:r>
      <w:hyperlink r:id="rId36">
        <w:r w:rsidRPr="004B54DF">
          <w:rPr>
            <w:rFonts w:ascii="Arial" w:hAnsi="Arial" w:cs="Arial"/>
            <w:color w:val="0000FF"/>
            <w:u w:val="single"/>
          </w:rPr>
          <w:t>https://www.polarismarketresearch.com/industry-analysis/consumer-packaged-goods-market</w:t>
        </w:r>
      </w:hyperlink>
      <w:r w:rsidRPr="004B54DF">
        <w:rPr>
          <w:rFonts w:ascii="Arial" w:hAnsi="Arial" w:cs="Arial"/>
        </w:rPr>
        <w:t xml:space="preserve"> [Accessed: 21 July 2026]</w:t>
      </w:r>
    </w:p>
    <w:p w14:paraId="525914DF" w14:textId="77777777" w:rsidR="008A6309" w:rsidRPr="004B54DF" w:rsidRDefault="008A6309" w:rsidP="004B54DF">
      <w:pPr>
        <w:spacing w:after="240"/>
        <w:rPr>
          <w:rFonts w:ascii="Arial" w:hAnsi="Arial" w:cs="Arial"/>
        </w:rPr>
      </w:pPr>
      <w:r w:rsidRPr="004B54DF">
        <w:rPr>
          <w:rFonts w:ascii="Arial" w:hAnsi="Arial" w:cs="Arial"/>
        </w:rPr>
        <w:t xml:space="preserve">R&amp;M. (2026). </w:t>
      </w:r>
      <w:r w:rsidRPr="004B54DF">
        <w:rPr>
          <w:rFonts w:ascii="Arial" w:hAnsi="Arial" w:cs="Arial"/>
          <w:i/>
          <w:iCs/>
        </w:rPr>
        <w:t xml:space="preserve">FMCG Market 2026-2030. </w:t>
      </w:r>
      <w:r w:rsidRPr="004B54DF">
        <w:rPr>
          <w:rFonts w:ascii="Arial" w:hAnsi="Arial" w:cs="Arial"/>
        </w:rPr>
        <w:t xml:space="preserve">Available at: </w:t>
      </w:r>
      <w:hyperlink r:id="rId37">
        <w:r w:rsidRPr="004B54DF">
          <w:rPr>
            <w:rFonts w:ascii="Arial" w:hAnsi="Arial" w:cs="Arial"/>
            <w:color w:val="0000FF"/>
            <w:u w:val="single"/>
          </w:rPr>
          <w:t>https://www.researchandmarkets.com/report/fast-moving-consumer-good?srsltid=AfmBOorxAXlTuj6VFu2Sd8WOLFwwstMJlwUpU6BNzktN83cqAAGjuau8</w:t>
        </w:r>
      </w:hyperlink>
      <w:r w:rsidRPr="004B54DF">
        <w:rPr>
          <w:rFonts w:ascii="Arial" w:hAnsi="Arial" w:cs="Arial"/>
        </w:rPr>
        <w:t xml:space="preserve"> [Accessed: 20 July 2026]</w:t>
      </w:r>
    </w:p>
    <w:p w14:paraId="3E82A061" w14:textId="77777777" w:rsidR="008A6309" w:rsidRPr="004B54DF" w:rsidRDefault="008A6309" w:rsidP="004B54DF">
      <w:pPr>
        <w:spacing w:after="240"/>
        <w:rPr>
          <w:rFonts w:ascii="Arial" w:hAnsi="Arial" w:cs="Arial"/>
        </w:rPr>
      </w:pPr>
      <w:proofErr w:type="spellStart"/>
      <w:r w:rsidRPr="004B54DF">
        <w:rPr>
          <w:rFonts w:ascii="Arial" w:hAnsi="Arial" w:cs="Arial"/>
        </w:rPr>
        <w:t>Rajeshirke</w:t>
      </w:r>
      <w:proofErr w:type="spellEnd"/>
      <w:r w:rsidRPr="004B54DF">
        <w:rPr>
          <w:rFonts w:ascii="Arial" w:hAnsi="Arial" w:cs="Arial"/>
        </w:rPr>
        <w:t>, M. (2026). Systematic Literature Review: Strategic Business Development and Market Entry Strategies in International Pharmaceutical Trade. </w:t>
      </w:r>
      <w:r w:rsidRPr="004B54DF">
        <w:rPr>
          <w:rFonts w:ascii="Arial" w:hAnsi="Arial" w:cs="Arial"/>
          <w:i/>
          <w:iCs/>
        </w:rPr>
        <w:t>World Research of Business Administration Journal</w:t>
      </w:r>
      <w:r w:rsidRPr="004B54DF">
        <w:rPr>
          <w:rFonts w:ascii="Arial" w:hAnsi="Arial" w:cs="Arial"/>
        </w:rPr>
        <w:t>, </w:t>
      </w:r>
      <w:r w:rsidRPr="004B54DF">
        <w:rPr>
          <w:rFonts w:ascii="Arial" w:hAnsi="Arial" w:cs="Arial"/>
          <w:i/>
          <w:iCs/>
        </w:rPr>
        <w:t>6</w:t>
      </w:r>
      <w:r w:rsidRPr="004B54DF">
        <w:rPr>
          <w:rFonts w:ascii="Arial" w:hAnsi="Arial" w:cs="Arial"/>
        </w:rPr>
        <w:t xml:space="preserve">(1). </w:t>
      </w:r>
      <w:hyperlink r:id="rId38">
        <w:r w:rsidRPr="004B54DF">
          <w:rPr>
            <w:rFonts w:ascii="Arial" w:hAnsi="Arial" w:cs="Arial"/>
            <w:color w:val="0000FF"/>
            <w:u w:val="single"/>
          </w:rPr>
          <w:t>https://journals.scipubhouse.com/WRBAJ/article/view/302</w:t>
        </w:r>
      </w:hyperlink>
    </w:p>
    <w:p w14:paraId="344F7C43" w14:textId="77777777" w:rsidR="008A6309" w:rsidRPr="004B54DF" w:rsidRDefault="008A6309" w:rsidP="004B54DF">
      <w:pPr>
        <w:spacing w:after="240"/>
        <w:rPr>
          <w:rFonts w:ascii="Arial" w:hAnsi="Arial" w:cs="Arial"/>
        </w:rPr>
      </w:pPr>
      <w:r w:rsidRPr="004B54DF">
        <w:rPr>
          <w:rFonts w:ascii="Arial" w:hAnsi="Arial" w:cs="Arial"/>
        </w:rPr>
        <w:t xml:space="preserve">Reckitt. (2026). </w:t>
      </w:r>
      <w:r w:rsidRPr="004B54DF">
        <w:rPr>
          <w:rFonts w:ascii="Arial" w:hAnsi="Arial" w:cs="Arial"/>
          <w:i/>
          <w:iCs/>
        </w:rPr>
        <w:t>About us.</w:t>
      </w:r>
      <w:r w:rsidRPr="004B54DF">
        <w:rPr>
          <w:rFonts w:ascii="Arial" w:hAnsi="Arial" w:cs="Arial"/>
        </w:rPr>
        <w:t xml:space="preserve"> Available at: </w:t>
      </w:r>
      <w:hyperlink r:id="rId39">
        <w:r w:rsidRPr="004B54DF">
          <w:rPr>
            <w:rFonts w:ascii="Arial" w:hAnsi="Arial" w:cs="Arial"/>
            <w:color w:val="0000FF"/>
            <w:u w:val="single"/>
          </w:rPr>
          <w:t>https://www.reckitt.com/our-company/</w:t>
        </w:r>
      </w:hyperlink>
      <w:r w:rsidRPr="004B54DF">
        <w:rPr>
          <w:rFonts w:ascii="Arial" w:hAnsi="Arial" w:cs="Arial"/>
        </w:rPr>
        <w:t xml:space="preserve"> [Accessed: 10 July 2026]</w:t>
      </w:r>
    </w:p>
    <w:p w14:paraId="685ED3B4" w14:textId="77777777" w:rsidR="008A6309" w:rsidRPr="004B54DF" w:rsidRDefault="008A6309" w:rsidP="004B54DF">
      <w:pPr>
        <w:spacing w:after="240"/>
        <w:rPr>
          <w:rFonts w:ascii="Arial" w:hAnsi="Arial" w:cs="Arial"/>
        </w:rPr>
      </w:pPr>
      <w:r w:rsidRPr="004B54DF">
        <w:rPr>
          <w:rFonts w:ascii="Arial" w:hAnsi="Arial" w:cs="Arial"/>
        </w:rPr>
        <w:lastRenderedPageBreak/>
        <w:t>Reyes</w:t>
      </w:r>
      <w:r w:rsidRPr="004B54DF">
        <w:rPr>
          <w:rFonts w:ascii="Cambria Math" w:hAnsi="Cambria Math" w:cs="Cambria Math"/>
        </w:rPr>
        <w:t>‐</w:t>
      </w:r>
      <w:r w:rsidRPr="004B54DF">
        <w:rPr>
          <w:rFonts w:ascii="Arial" w:hAnsi="Arial" w:cs="Arial"/>
        </w:rPr>
        <w:t xml:space="preserve">Parga, M., </w:t>
      </w:r>
      <w:proofErr w:type="spellStart"/>
      <w:r w:rsidRPr="004B54DF">
        <w:rPr>
          <w:rFonts w:ascii="Arial" w:hAnsi="Arial" w:cs="Arial"/>
        </w:rPr>
        <w:t>Rialp</w:t>
      </w:r>
      <w:proofErr w:type="spellEnd"/>
      <w:r w:rsidRPr="004B54DF">
        <w:rPr>
          <w:rFonts w:ascii="Cambria Math" w:hAnsi="Cambria Math" w:cs="Cambria Math"/>
        </w:rPr>
        <w:t>‐</w:t>
      </w:r>
      <w:r w:rsidRPr="004B54DF">
        <w:rPr>
          <w:rFonts w:ascii="Arial" w:hAnsi="Arial" w:cs="Arial"/>
        </w:rPr>
        <w:t>Criado, À. and Gutierrez</w:t>
      </w:r>
      <w:r w:rsidRPr="004B54DF">
        <w:rPr>
          <w:rFonts w:ascii="Cambria Math" w:hAnsi="Cambria Math" w:cs="Cambria Math"/>
        </w:rPr>
        <w:t>‐</w:t>
      </w:r>
      <w:r w:rsidRPr="004B54DF">
        <w:rPr>
          <w:rFonts w:ascii="Arial" w:hAnsi="Arial" w:cs="Arial"/>
        </w:rPr>
        <w:t>Rincon, V. (2025). Organizational Ambidexterity and Born Global Firms' Post</w:t>
      </w:r>
      <w:r w:rsidRPr="004B54DF">
        <w:rPr>
          <w:rFonts w:ascii="Cambria Math" w:hAnsi="Cambria Math" w:cs="Cambria Math"/>
        </w:rPr>
        <w:t>‐</w:t>
      </w:r>
      <w:r w:rsidRPr="004B54DF">
        <w:rPr>
          <w:rFonts w:ascii="Arial" w:hAnsi="Arial" w:cs="Arial"/>
        </w:rPr>
        <w:t>Internationalization Growth. A Multi</w:t>
      </w:r>
      <w:r w:rsidRPr="004B54DF">
        <w:rPr>
          <w:rFonts w:ascii="Cambria Math" w:hAnsi="Cambria Math" w:cs="Cambria Math"/>
        </w:rPr>
        <w:t>‐</w:t>
      </w:r>
      <w:r w:rsidRPr="004B54DF">
        <w:rPr>
          <w:rFonts w:ascii="Arial" w:hAnsi="Arial" w:cs="Arial"/>
        </w:rPr>
        <w:t xml:space="preserve">Case Study </w:t>
      </w:r>
      <w:proofErr w:type="gramStart"/>
      <w:r w:rsidRPr="004B54DF">
        <w:rPr>
          <w:rFonts w:ascii="Arial" w:hAnsi="Arial" w:cs="Arial"/>
        </w:rPr>
        <w:t>From</w:t>
      </w:r>
      <w:proofErr w:type="gramEnd"/>
      <w:r w:rsidRPr="004B54DF">
        <w:rPr>
          <w:rFonts w:ascii="Arial" w:hAnsi="Arial" w:cs="Arial"/>
        </w:rPr>
        <w:t xml:space="preserve"> the Agri</w:t>
      </w:r>
      <w:r w:rsidRPr="004B54DF">
        <w:rPr>
          <w:rFonts w:ascii="Cambria Math" w:hAnsi="Cambria Math" w:cs="Cambria Math"/>
        </w:rPr>
        <w:t>‐</w:t>
      </w:r>
      <w:r w:rsidRPr="004B54DF">
        <w:rPr>
          <w:rFonts w:ascii="Arial" w:hAnsi="Arial" w:cs="Arial"/>
        </w:rPr>
        <w:t>Food Sector. </w:t>
      </w:r>
      <w:r w:rsidRPr="004B54DF">
        <w:rPr>
          <w:rFonts w:ascii="Arial" w:hAnsi="Arial" w:cs="Arial"/>
          <w:i/>
          <w:iCs/>
        </w:rPr>
        <w:t>Strategic Change</w:t>
      </w:r>
      <w:r w:rsidRPr="004B54DF">
        <w:rPr>
          <w:rFonts w:ascii="Arial" w:hAnsi="Arial" w:cs="Arial"/>
        </w:rPr>
        <w:t xml:space="preserve">. </w:t>
      </w:r>
      <w:hyperlink r:id="rId40">
        <w:r w:rsidRPr="004B54DF">
          <w:rPr>
            <w:rFonts w:ascii="Arial" w:hAnsi="Arial" w:cs="Arial"/>
            <w:color w:val="0000FF"/>
            <w:u w:val="single"/>
          </w:rPr>
          <w:t>https://onlinelibrary.wiley.com/doi/abs/10.1002/jsc.2633</w:t>
        </w:r>
      </w:hyperlink>
    </w:p>
    <w:p w14:paraId="18EC9788" w14:textId="77777777" w:rsidR="008A6309" w:rsidRPr="004B54DF" w:rsidRDefault="008A6309" w:rsidP="004B54DF">
      <w:pPr>
        <w:spacing w:after="240"/>
        <w:rPr>
          <w:rFonts w:ascii="Arial" w:hAnsi="Arial" w:cs="Arial"/>
        </w:rPr>
      </w:pPr>
      <w:r w:rsidRPr="004B54DF">
        <w:rPr>
          <w:rFonts w:ascii="Arial" w:hAnsi="Arial" w:cs="Arial"/>
        </w:rPr>
        <w:t xml:space="preserve">Rezniqi, E. and During, M.S. (2025). Market Entry Under Institutional Fragmentation Strategic Responses from the Swedish Nicotine Pouch Industry. </w:t>
      </w:r>
      <w:hyperlink r:id="rId41">
        <w:r w:rsidRPr="004B54DF">
          <w:rPr>
            <w:rFonts w:ascii="Arial" w:hAnsi="Arial" w:cs="Arial"/>
            <w:color w:val="0000FF"/>
            <w:u w:val="single"/>
          </w:rPr>
          <w:t>https://gupea.ub.gu.se/items/17a36bf8-4390-40fc-8012-f1af61877304</w:t>
        </w:r>
      </w:hyperlink>
    </w:p>
    <w:p w14:paraId="477DE88A" w14:textId="77777777" w:rsidR="008A6309" w:rsidRPr="004B54DF" w:rsidRDefault="008A6309" w:rsidP="004B54DF">
      <w:pPr>
        <w:spacing w:after="240"/>
        <w:rPr>
          <w:rFonts w:ascii="Arial" w:hAnsi="Arial" w:cs="Arial"/>
        </w:rPr>
      </w:pPr>
      <w:r w:rsidRPr="004B54DF">
        <w:rPr>
          <w:rFonts w:ascii="Arial" w:hAnsi="Arial" w:cs="Arial"/>
        </w:rPr>
        <w:t>Sadraei, R. (2025). Role of networks in driving innovation and global growth: Enhancing women-led start-ups in the internationalisation arena. </w:t>
      </w:r>
      <w:r w:rsidRPr="004B54DF">
        <w:rPr>
          <w:rFonts w:ascii="Arial" w:hAnsi="Arial" w:cs="Arial"/>
          <w:i/>
          <w:iCs/>
        </w:rPr>
        <w:t>The International Journal of Entrepreneurship and Innovation</w:t>
      </w:r>
      <w:r w:rsidRPr="004B54DF">
        <w:rPr>
          <w:rFonts w:ascii="Arial" w:hAnsi="Arial" w:cs="Arial"/>
        </w:rPr>
        <w:t>, </w:t>
      </w:r>
      <w:r w:rsidRPr="004B54DF">
        <w:rPr>
          <w:rFonts w:ascii="Arial" w:hAnsi="Arial" w:cs="Arial"/>
          <w:i/>
          <w:iCs/>
        </w:rPr>
        <w:t>26</w:t>
      </w:r>
      <w:r w:rsidRPr="004B54DF">
        <w:rPr>
          <w:rFonts w:ascii="Arial" w:hAnsi="Arial" w:cs="Arial"/>
        </w:rPr>
        <w:t xml:space="preserve">(3), pp.239-250. </w:t>
      </w:r>
      <w:hyperlink r:id="rId42">
        <w:r w:rsidRPr="004B54DF">
          <w:rPr>
            <w:rFonts w:ascii="Arial" w:hAnsi="Arial" w:cs="Arial"/>
            <w:color w:val="0000FF"/>
            <w:u w:val="single"/>
          </w:rPr>
          <w:t>https://journals.sagepub.com/doi/abs/10.1177/14657503241294194</w:t>
        </w:r>
      </w:hyperlink>
    </w:p>
    <w:p w14:paraId="444ECF73" w14:textId="77777777" w:rsidR="008A6309" w:rsidRPr="004B54DF" w:rsidRDefault="008A6309" w:rsidP="004B54DF">
      <w:pPr>
        <w:spacing w:after="240"/>
        <w:rPr>
          <w:rFonts w:ascii="Arial" w:hAnsi="Arial" w:cs="Arial"/>
        </w:rPr>
      </w:pPr>
      <w:r w:rsidRPr="004B54DF">
        <w:rPr>
          <w:rFonts w:ascii="Arial" w:hAnsi="Arial" w:cs="Arial"/>
        </w:rPr>
        <w:t>Said, M.M. and Soi, A.B. (2025). Expanding SME product export market through digital innovation in Indonesia. In </w:t>
      </w:r>
      <w:r w:rsidRPr="004B54DF">
        <w:rPr>
          <w:rFonts w:ascii="Arial" w:hAnsi="Arial" w:cs="Arial"/>
          <w:i/>
          <w:iCs/>
        </w:rPr>
        <w:t>Dynamic strategies for entrepreneurial marketing</w:t>
      </w:r>
      <w:r w:rsidRPr="004B54DF">
        <w:rPr>
          <w:rFonts w:ascii="Arial" w:hAnsi="Arial" w:cs="Arial"/>
        </w:rPr>
        <w:t xml:space="preserve"> (pp. 253-270). IGI Global Scientific Publishing. </w:t>
      </w:r>
      <w:hyperlink r:id="rId43">
        <w:r w:rsidRPr="004B54DF">
          <w:rPr>
            <w:rFonts w:ascii="Arial" w:hAnsi="Arial" w:cs="Arial"/>
            <w:color w:val="0000FF"/>
            <w:u w:val="single"/>
          </w:rPr>
          <w:t>https://www.igi-global.com/chapter/expanding-sme-product-export-market-through-digital-innovation-in-indonesia/369973</w:t>
        </w:r>
      </w:hyperlink>
    </w:p>
    <w:p w14:paraId="1E793609" w14:textId="77777777" w:rsidR="008A6309" w:rsidRPr="004B54DF" w:rsidRDefault="008A6309" w:rsidP="004B54DF">
      <w:pPr>
        <w:spacing w:after="240"/>
        <w:rPr>
          <w:rFonts w:ascii="Arial" w:hAnsi="Arial" w:cs="Arial"/>
        </w:rPr>
      </w:pPr>
      <w:r w:rsidRPr="004B54DF">
        <w:rPr>
          <w:rFonts w:ascii="Arial" w:hAnsi="Arial" w:cs="Arial"/>
        </w:rPr>
        <w:t xml:space="preserve">Salam, K.N., Aslim, S., </w:t>
      </w:r>
      <w:proofErr w:type="spellStart"/>
      <w:r w:rsidRPr="004B54DF">
        <w:rPr>
          <w:rFonts w:ascii="Arial" w:hAnsi="Arial" w:cs="Arial"/>
        </w:rPr>
        <w:t>Palinggi</w:t>
      </w:r>
      <w:proofErr w:type="spellEnd"/>
      <w:r w:rsidRPr="004B54DF">
        <w:rPr>
          <w:rFonts w:ascii="Arial" w:hAnsi="Arial" w:cs="Arial"/>
        </w:rPr>
        <w:t xml:space="preserve">, P.P.H., Marsela, I. and </w:t>
      </w:r>
      <w:proofErr w:type="spellStart"/>
      <w:r w:rsidRPr="004B54DF">
        <w:rPr>
          <w:rFonts w:ascii="Arial" w:hAnsi="Arial" w:cs="Arial"/>
        </w:rPr>
        <w:t>Megawaty</w:t>
      </w:r>
      <w:proofErr w:type="spellEnd"/>
      <w:r w:rsidRPr="004B54DF">
        <w:rPr>
          <w:rFonts w:ascii="Arial" w:hAnsi="Arial" w:cs="Arial"/>
        </w:rPr>
        <w:t>, M. (2025). Analysis of Effective Marketing Strategies in Facing Tight Competition in the Marketplace Global. </w:t>
      </w:r>
      <w:proofErr w:type="spellStart"/>
      <w:r w:rsidRPr="004B54DF">
        <w:rPr>
          <w:rFonts w:ascii="Arial" w:hAnsi="Arial" w:cs="Arial"/>
          <w:i/>
          <w:iCs/>
        </w:rPr>
        <w:t>Paradoks</w:t>
      </w:r>
      <w:proofErr w:type="spellEnd"/>
      <w:r w:rsidRPr="004B54DF">
        <w:rPr>
          <w:rFonts w:ascii="Arial" w:hAnsi="Arial" w:cs="Arial"/>
          <w:i/>
          <w:iCs/>
        </w:rPr>
        <w:t xml:space="preserve">: </w:t>
      </w:r>
      <w:proofErr w:type="spellStart"/>
      <w:r w:rsidRPr="004B54DF">
        <w:rPr>
          <w:rFonts w:ascii="Arial" w:hAnsi="Arial" w:cs="Arial"/>
          <w:i/>
          <w:iCs/>
        </w:rPr>
        <w:t>Jurnal</w:t>
      </w:r>
      <w:proofErr w:type="spellEnd"/>
      <w:r w:rsidRPr="004B54DF">
        <w:rPr>
          <w:rFonts w:ascii="Arial" w:hAnsi="Arial" w:cs="Arial"/>
          <w:i/>
          <w:iCs/>
        </w:rPr>
        <w:t xml:space="preserve"> </w:t>
      </w:r>
      <w:proofErr w:type="spellStart"/>
      <w:r w:rsidRPr="004B54DF">
        <w:rPr>
          <w:rFonts w:ascii="Arial" w:hAnsi="Arial" w:cs="Arial"/>
          <w:i/>
          <w:iCs/>
        </w:rPr>
        <w:t>Ilmu</w:t>
      </w:r>
      <w:proofErr w:type="spellEnd"/>
      <w:r w:rsidRPr="004B54DF">
        <w:rPr>
          <w:rFonts w:ascii="Arial" w:hAnsi="Arial" w:cs="Arial"/>
          <w:i/>
          <w:iCs/>
        </w:rPr>
        <w:t xml:space="preserve"> Ekonomi</w:t>
      </w:r>
      <w:r w:rsidRPr="004B54DF">
        <w:rPr>
          <w:rFonts w:ascii="Arial" w:hAnsi="Arial" w:cs="Arial"/>
        </w:rPr>
        <w:t>, </w:t>
      </w:r>
      <w:r w:rsidRPr="004B54DF">
        <w:rPr>
          <w:rFonts w:ascii="Arial" w:hAnsi="Arial" w:cs="Arial"/>
          <w:i/>
          <w:iCs/>
        </w:rPr>
        <w:t>8</w:t>
      </w:r>
      <w:r w:rsidRPr="004B54DF">
        <w:rPr>
          <w:rFonts w:ascii="Arial" w:hAnsi="Arial" w:cs="Arial"/>
        </w:rPr>
        <w:t xml:space="preserve">(2), pp.525-539. </w:t>
      </w:r>
      <w:hyperlink r:id="rId44">
        <w:r w:rsidRPr="004B54DF">
          <w:rPr>
            <w:rFonts w:ascii="Arial" w:hAnsi="Arial" w:cs="Arial"/>
            <w:color w:val="0000FF"/>
            <w:u w:val="single"/>
          </w:rPr>
          <w:t>https://jurnal.feb-umi.id/index.php/PARADOKS/article/view/1154</w:t>
        </w:r>
      </w:hyperlink>
    </w:p>
    <w:p w14:paraId="2B1AC725" w14:textId="77777777" w:rsidR="008A6309" w:rsidRPr="004B54DF" w:rsidRDefault="008A6309" w:rsidP="004B54DF">
      <w:pPr>
        <w:spacing w:after="240"/>
        <w:rPr>
          <w:rFonts w:ascii="Arial" w:hAnsi="Arial" w:cs="Arial"/>
        </w:rPr>
      </w:pPr>
      <w:r w:rsidRPr="004B54DF">
        <w:rPr>
          <w:rFonts w:ascii="Arial" w:hAnsi="Arial" w:cs="Arial"/>
        </w:rPr>
        <w:t xml:space="preserve">Santoso, N.P.L., </w:t>
      </w:r>
      <w:proofErr w:type="spellStart"/>
      <w:r w:rsidRPr="004B54DF">
        <w:rPr>
          <w:rFonts w:ascii="Arial" w:hAnsi="Arial" w:cs="Arial"/>
        </w:rPr>
        <w:t>Nurmala</w:t>
      </w:r>
      <w:proofErr w:type="spellEnd"/>
      <w:r w:rsidRPr="004B54DF">
        <w:rPr>
          <w:rFonts w:ascii="Arial" w:hAnsi="Arial" w:cs="Arial"/>
        </w:rPr>
        <w:t xml:space="preserve">, R. and </w:t>
      </w:r>
      <w:proofErr w:type="spellStart"/>
      <w:r w:rsidRPr="004B54DF">
        <w:rPr>
          <w:rFonts w:ascii="Arial" w:hAnsi="Arial" w:cs="Arial"/>
        </w:rPr>
        <w:t>Rahardja</w:t>
      </w:r>
      <w:proofErr w:type="spellEnd"/>
      <w:r w:rsidRPr="004B54DF">
        <w:rPr>
          <w:rFonts w:ascii="Arial" w:hAnsi="Arial" w:cs="Arial"/>
        </w:rPr>
        <w:t>, U. (2025). Corporate leadership in the digital business era and its impact on economic development across global markets. </w:t>
      </w:r>
      <w:r w:rsidRPr="004B54DF">
        <w:rPr>
          <w:rFonts w:ascii="Arial" w:hAnsi="Arial" w:cs="Arial"/>
          <w:i/>
          <w:iCs/>
        </w:rPr>
        <w:t>IAIC Transactions on Sustainable Digital Innovation (ITSDI)</w:t>
      </w:r>
      <w:r w:rsidRPr="004B54DF">
        <w:rPr>
          <w:rFonts w:ascii="Arial" w:hAnsi="Arial" w:cs="Arial"/>
        </w:rPr>
        <w:t>, </w:t>
      </w:r>
      <w:r w:rsidRPr="004B54DF">
        <w:rPr>
          <w:rFonts w:ascii="Arial" w:hAnsi="Arial" w:cs="Arial"/>
          <w:i/>
          <w:iCs/>
        </w:rPr>
        <w:t>6</w:t>
      </w:r>
      <w:r w:rsidRPr="004B54DF">
        <w:rPr>
          <w:rFonts w:ascii="Arial" w:hAnsi="Arial" w:cs="Arial"/>
        </w:rPr>
        <w:t xml:space="preserve">(2), pp.188-195. </w:t>
      </w:r>
      <w:hyperlink r:id="rId45">
        <w:r w:rsidRPr="004B54DF">
          <w:rPr>
            <w:rFonts w:ascii="Arial" w:hAnsi="Arial" w:cs="Arial"/>
            <w:color w:val="0000FF"/>
            <w:u w:val="single"/>
          </w:rPr>
          <w:t>https://aptikom-journal.id/itsdi/article/view/697</w:t>
        </w:r>
      </w:hyperlink>
    </w:p>
    <w:p w14:paraId="3D56A20B" w14:textId="77777777" w:rsidR="008A6309" w:rsidRPr="004B54DF" w:rsidRDefault="008A6309" w:rsidP="004B54DF">
      <w:pPr>
        <w:spacing w:after="240"/>
        <w:rPr>
          <w:rFonts w:ascii="Arial" w:hAnsi="Arial" w:cs="Arial"/>
        </w:rPr>
      </w:pPr>
      <w:r w:rsidRPr="004B54DF">
        <w:rPr>
          <w:rFonts w:ascii="Arial" w:hAnsi="Arial" w:cs="Arial"/>
        </w:rPr>
        <w:t>Sekyere, K.N. and Jalali, H.S. (2025). Founder’s international market knowledge and SMEs resource orchestration ability: a moderated-mediated analysis. </w:t>
      </w:r>
      <w:r w:rsidRPr="004B54DF">
        <w:rPr>
          <w:rFonts w:ascii="Arial" w:hAnsi="Arial" w:cs="Arial"/>
          <w:i/>
          <w:iCs/>
        </w:rPr>
        <w:t>Competitiveness Review: An International Business Journal</w:t>
      </w:r>
      <w:r w:rsidRPr="004B54DF">
        <w:rPr>
          <w:rFonts w:ascii="Arial" w:hAnsi="Arial" w:cs="Arial"/>
        </w:rPr>
        <w:t>, </w:t>
      </w:r>
      <w:r w:rsidRPr="004B54DF">
        <w:rPr>
          <w:rFonts w:ascii="Arial" w:hAnsi="Arial" w:cs="Arial"/>
          <w:i/>
          <w:iCs/>
        </w:rPr>
        <w:t>35</w:t>
      </w:r>
      <w:r w:rsidRPr="004B54DF">
        <w:rPr>
          <w:rFonts w:ascii="Arial" w:hAnsi="Arial" w:cs="Arial"/>
        </w:rPr>
        <w:t xml:space="preserve">(5), pp.951-977. </w:t>
      </w:r>
      <w:hyperlink r:id="rId46">
        <w:r w:rsidRPr="004B54DF">
          <w:rPr>
            <w:rFonts w:ascii="Arial" w:hAnsi="Arial" w:cs="Arial"/>
            <w:color w:val="0000FF"/>
            <w:u w:val="single"/>
          </w:rPr>
          <w:t>https://www.emerald.com/cr/article/35/5/951/1249288</w:t>
        </w:r>
      </w:hyperlink>
    </w:p>
    <w:p w14:paraId="3F936466" w14:textId="77777777" w:rsidR="008A6309" w:rsidRPr="004B54DF" w:rsidRDefault="008A6309" w:rsidP="004B54DF">
      <w:pPr>
        <w:spacing w:after="240"/>
        <w:rPr>
          <w:rFonts w:ascii="Arial" w:hAnsi="Arial" w:cs="Arial"/>
        </w:rPr>
      </w:pPr>
      <w:r w:rsidRPr="004B54DF">
        <w:rPr>
          <w:rFonts w:ascii="Arial" w:hAnsi="Arial" w:cs="Arial"/>
        </w:rPr>
        <w:t xml:space="preserve">Singh, A., Ahmed, E., Rather, M.D., Sundararajan, A., Sharma, A., Choudhary, F.S., </w:t>
      </w:r>
      <w:proofErr w:type="spellStart"/>
      <w:r w:rsidRPr="004B54DF">
        <w:rPr>
          <w:rFonts w:ascii="Arial" w:hAnsi="Arial" w:cs="Arial"/>
        </w:rPr>
        <w:t>Sundramoorthy</w:t>
      </w:r>
      <w:proofErr w:type="spellEnd"/>
      <w:r w:rsidRPr="004B54DF">
        <w:rPr>
          <w:rFonts w:ascii="Arial" w:hAnsi="Arial" w:cs="Arial"/>
        </w:rPr>
        <w:t xml:space="preserve">, A.K., Dixit, S., </w:t>
      </w:r>
      <w:proofErr w:type="spellStart"/>
      <w:r w:rsidRPr="004B54DF">
        <w:rPr>
          <w:rFonts w:ascii="Arial" w:hAnsi="Arial" w:cs="Arial"/>
        </w:rPr>
        <w:t>Vatin</w:t>
      </w:r>
      <w:proofErr w:type="spellEnd"/>
      <w:r w:rsidRPr="004B54DF">
        <w:rPr>
          <w:rFonts w:ascii="Arial" w:hAnsi="Arial" w:cs="Arial"/>
        </w:rPr>
        <w:t xml:space="preserve">, N.I. and Arya, S. (2025). Marketing strategies in </w:t>
      </w:r>
      <w:r w:rsidRPr="004B54DF">
        <w:rPr>
          <w:rFonts w:ascii="Arial" w:hAnsi="Arial" w:cs="Arial"/>
        </w:rPr>
        <w:lastRenderedPageBreak/>
        <w:t>nanomaterials for sensor applications: Bridging lab to market. </w:t>
      </w:r>
      <w:r w:rsidRPr="004B54DF">
        <w:rPr>
          <w:rFonts w:ascii="Arial" w:hAnsi="Arial" w:cs="Arial"/>
          <w:i/>
          <w:iCs/>
        </w:rPr>
        <w:t>Global Challenges</w:t>
      </w:r>
      <w:r w:rsidRPr="004B54DF">
        <w:rPr>
          <w:rFonts w:ascii="Arial" w:hAnsi="Arial" w:cs="Arial"/>
        </w:rPr>
        <w:t>, </w:t>
      </w:r>
      <w:r w:rsidRPr="004B54DF">
        <w:rPr>
          <w:rFonts w:ascii="Arial" w:hAnsi="Arial" w:cs="Arial"/>
          <w:i/>
          <w:iCs/>
        </w:rPr>
        <w:t>9</w:t>
      </w:r>
      <w:r w:rsidRPr="004B54DF">
        <w:rPr>
          <w:rFonts w:ascii="Arial" w:hAnsi="Arial" w:cs="Arial"/>
        </w:rPr>
        <w:t xml:space="preserve">(5), p.2400294. </w:t>
      </w:r>
      <w:hyperlink r:id="rId47">
        <w:r w:rsidRPr="004B54DF">
          <w:rPr>
            <w:rFonts w:ascii="Arial" w:hAnsi="Arial" w:cs="Arial"/>
            <w:color w:val="0000FF"/>
            <w:u w:val="single"/>
          </w:rPr>
          <w:t>https://onlinelibrary.wiley.com/doi/abs/10.1002/gch2.202400294</w:t>
        </w:r>
      </w:hyperlink>
    </w:p>
    <w:p w14:paraId="147F862F" w14:textId="77777777" w:rsidR="008A6309" w:rsidRPr="004B54DF" w:rsidRDefault="008A6309" w:rsidP="004B54DF">
      <w:pPr>
        <w:spacing w:after="240"/>
        <w:rPr>
          <w:rFonts w:ascii="Arial" w:hAnsi="Arial" w:cs="Arial"/>
        </w:rPr>
      </w:pPr>
      <w:r w:rsidRPr="004B54DF">
        <w:rPr>
          <w:rFonts w:ascii="Arial" w:hAnsi="Arial" w:cs="Arial"/>
        </w:rPr>
        <w:t xml:space="preserve">Statista. (2025). </w:t>
      </w:r>
      <w:r w:rsidRPr="004B54DF">
        <w:rPr>
          <w:rFonts w:ascii="Arial" w:hAnsi="Arial" w:cs="Arial"/>
          <w:i/>
          <w:iCs/>
        </w:rPr>
        <w:t>Average inflation rate in Mongolia from 1991 to 2031.</w:t>
      </w:r>
      <w:r w:rsidRPr="004B54DF">
        <w:rPr>
          <w:rFonts w:ascii="Arial" w:hAnsi="Arial" w:cs="Arial"/>
        </w:rPr>
        <w:t xml:space="preserve"> Available at: </w:t>
      </w:r>
      <w:hyperlink r:id="rId48">
        <w:r w:rsidRPr="004B54DF">
          <w:rPr>
            <w:rFonts w:ascii="Arial" w:hAnsi="Arial" w:cs="Arial"/>
            <w:color w:val="0000FF"/>
            <w:u w:val="single"/>
          </w:rPr>
          <w:t>https://www.statista.com/statistics/727562/inflation-rate-in-mongolia/?srsltid=AfmBOopuQF_x-I_EjpwZs4ym6tXxpa-deYyW18cT9oQB7MMi4otRBKrp</w:t>
        </w:r>
      </w:hyperlink>
      <w:r w:rsidRPr="004B54DF">
        <w:rPr>
          <w:rFonts w:ascii="Arial" w:hAnsi="Arial" w:cs="Arial"/>
        </w:rPr>
        <w:t xml:space="preserve"> [Accessed: 20 July 2026]</w:t>
      </w:r>
    </w:p>
    <w:p w14:paraId="7B4B667A" w14:textId="77777777" w:rsidR="008A6309" w:rsidRPr="004B54DF" w:rsidRDefault="008A6309" w:rsidP="004B54DF">
      <w:pPr>
        <w:spacing w:after="240"/>
        <w:rPr>
          <w:rFonts w:ascii="Arial" w:hAnsi="Arial" w:cs="Arial"/>
        </w:rPr>
      </w:pPr>
      <w:r w:rsidRPr="004B54DF">
        <w:rPr>
          <w:rFonts w:ascii="Arial" w:hAnsi="Arial" w:cs="Arial"/>
        </w:rPr>
        <w:t xml:space="preserve">Statista. (2026). </w:t>
      </w:r>
      <w:r w:rsidRPr="004B54DF">
        <w:rPr>
          <w:rFonts w:ascii="Arial" w:hAnsi="Arial" w:cs="Arial"/>
          <w:i/>
          <w:iCs/>
        </w:rPr>
        <w:t>Growth of the real gross domestic product (GDP) in Mongolia from 1980 to 2031.</w:t>
      </w:r>
      <w:r w:rsidRPr="004B54DF">
        <w:rPr>
          <w:rFonts w:ascii="Arial" w:hAnsi="Arial" w:cs="Arial"/>
        </w:rPr>
        <w:t xml:space="preserve"> Available at: </w:t>
      </w:r>
      <w:hyperlink r:id="rId49">
        <w:r w:rsidRPr="004B54DF">
          <w:rPr>
            <w:rFonts w:ascii="Arial" w:hAnsi="Arial" w:cs="Arial"/>
            <w:color w:val="0000FF"/>
            <w:u w:val="single"/>
          </w:rPr>
          <w:t>https://www.statista.com/statistics/727556/gross-domestic-product-gdp-growth-rate-in-mongolia/?srsltid=AfmBOoq-CE1HpeJ2pdpsDVDHk2nZxavqeYEiQw05y0jc8ZP5TkzbKDvo</w:t>
        </w:r>
      </w:hyperlink>
      <w:r w:rsidRPr="004B54DF">
        <w:rPr>
          <w:rFonts w:ascii="Arial" w:hAnsi="Arial" w:cs="Arial"/>
        </w:rPr>
        <w:t xml:space="preserve"> [Accessed: 18 July 2026]</w:t>
      </w:r>
    </w:p>
    <w:p w14:paraId="16A7595F" w14:textId="77777777" w:rsidR="008A6309" w:rsidRPr="004B54DF" w:rsidRDefault="008A6309" w:rsidP="004B54DF">
      <w:pPr>
        <w:spacing w:after="240"/>
        <w:rPr>
          <w:rFonts w:ascii="Arial" w:hAnsi="Arial" w:cs="Arial"/>
        </w:rPr>
      </w:pPr>
      <w:r w:rsidRPr="004B54DF">
        <w:rPr>
          <w:rFonts w:ascii="Arial" w:hAnsi="Arial" w:cs="Arial"/>
        </w:rPr>
        <w:t xml:space="preserve">TE. (2026). </w:t>
      </w:r>
      <w:r w:rsidRPr="004B54DF">
        <w:rPr>
          <w:rFonts w:ascii="Arial" w:hAnsi="Arial" w:cs="Arial"/>
          <w:i/>
          <w:iCs/>
        </w:rPr>
        <w:t xml:space="preserve">Mongolia Consumer Spending. </w:t>
      </w:r>
      <w:r w:rsidRPr="004B54DF">
        <w:rPr>
          <w:rFonts w:ascii="Arial" w:hAnsi="Arial" w:cs="Arial"/>
        </w:rPr>
        <w:t xml:space="preserve">Available at: </w:t>
      </w:r>
      <w:hyperlink r:id="rId50">
        <w:r w:rsidRPr="004B54DF">
          <w:rPr>
            <w:rFonts w:ascii="Arial" w:hAnsi="Arial" w:cs="Arial"/>
            <w:color w:val="0000FF"/>
            <w:u w:val="single"/>
          </w:rPr>
          <w:t>https://tradingeconomics.com/mongolia/consumer-spending</w:t>
        </w:r>
      </w:hyperlink>
      <w:r w:rsidRPr="004B54DF">
        <w:rPr>
          <w:rFonts w:ascii="Arial" w:hAnsi="Arial" w:cs="Arial"/>
        </w:rPr>
        <w:t xml:space="preserve"> [Accessed: 19 July 2026]</w:t>
      </w:r>
    </w:p>
    <w:p w14:paraId="2D1C5F83" w14:textId="77777777" w:rsidR="008A6309" w:rsidRPr="004B54DF" w:rsidRDefault="008A6309" w:rsidP="004B54DF">
      <w:pPr>
        <w:spacing w:after="240"/>
        <w:rPr>
          <w:rFonts w:ascii="Arial" w:hAnsi="Arial" w:cs="Arial"/>
        </w:rPr>
      </w:pPr>
      <w:r w:rsidRPr="004B54DF">
        <w:rPr>
          <w:rFonts w:ascii="Arial" w:hAnsi="Arial" w:cs="Arial"/>
        </w:rPr>
        <w:t xml:space="preserve">WBG. (2026). </w:t>
      </w:r>
      <w:r w:rsidRPr="004B54DF">
        <w:rPr>
          <w:rFonts w:ascii="Arial" w:hAnsi="Arial" w:cs="Arial"/>
          <w:i/>
          <w:iCs/>
        </w:rPr>
        <w:t xml:space="preserve">Mongolia Consumer goods Imports by country in US$ Thousand 2022. </w:t>
      </w:r>
      <w:r w:rsidRPr="004B54DF">
        <w:rPr>
          <w:rFonts w:ascii="Arial" w:hAnsi="Arial" w:cs="Arial"/>
        </w:rPr>
        <w:t xml:space="preserve">Available at: </w:t>
      </w:r>
      <w:hyperlink r:id="rId51">
        <w:r w:rsidRPr="004B54DF">
          <w:rPr>
            <w:rFonts w:ascii="Arial" w:hAnsi="Arial" w:cs="Arial"/>
            <w:color w:val="0000FF"/>
            <w:u w:val="single"/>
          </w:rPr>
          <w:t>https://wits.worldbank.org/CountryProfile/en/Country/MNG/Year/2022/TradeFlow/Import/Partner/BY-COUNTRY/Product/UNCTAD-SoP3</w:t>
        </w:r>
      </w:hyperlink>
      <w:r w:rsidRPr="004B54DF">
        <w:rPr>
          <w:rFonts w:ascii="Arial" w:hAnsi="Arial" w:cs="Arial"/>
        </w:rPr>
        <w:t xml:space="preserve"> [Accessed: 22 July 2026]</w:t>
      </w:r>
    </w:p>
    <w:sectPr w:rsidR="008A6309" w:rsidRPr="004B54DF">
      <w:footerReference w:type="default" r:id="rId5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48885" w14:textId="77777777" w:rsidR="00DE657B" w:rsidRDefault="00DE657B">
      <w:pPr>
        <w:spacing w:line="240" w:lineRule="auto"/>
      </w:pPr>
      <w:r>
        <w:separator/>
      </w:r>
    </w:p>
  </w:endnote>
  <w:endnote w:type="continuationSeparator" w:id="0">
    <w:p w14:paraId="58B052F0" w14:textId="77777777" w:rsidR="00DE657B" w:rsidRDefault="00DE65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1" w:fontKey="{97A86584-17E4-497E-9D04-67E3251032C2}"/>
  </w:font>
  <w:font w:name="Cambria Math">
    <w:panose1 w:val="02040503050406030204"/>
    <w:charset w:val="00"/>
    <w:family w:val="roman"/>
    <w:pitch w:val="variable"/>
    <w:sig w:usb0="E00006FF" w:usb1="420024FF" w:usb2="02000000" w:usb3="00000000" w:csb0="0000019F" w:csb1="00000000"/>
    <w:embedRegular r:id="rId2" w:fontKey="{5B5629CC-797B-458E-930B-06EB916AA1FE}"/>
  </w:font>
  <w:font w:name="Calibri">
    <w:panose1 w:val="020F0502020204030204"/>
    <w:charset w:val="00"/>
    <w:family w:val="swiss"/>
    <w:pitch w:val="variable"/>
    <w:sig w:usb0="E4002EFF" w:usb1="C000247B" w:usb2="00000009" w:usb3="00000000" w:csb0="000001FF" w:csb1="00000000"/>
    <w:embedRegular r:id="rId3" w:fontKey="{39E1A972-0E33-4E93-8B30-F89E6EC179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A4697" w14:textId="77777777" w:rsidR="00195659" w:rsidRDefault="00C0150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A6309">
      <w:rPr>
        <w:noProof/>
        <w:color w:val="000000"/>
      </w:rPr>
      <w:t>1</w:t>
    </w:r>
    <w:r>
      <w:rPr>
        <w:color w:val="000000"/>
      </w:rPr>
      <w:fldChar w:fldCharType="end"/>
    </w:r>
  </w:p>
  <w:p w14:paraId="7BB2F9A0" w14:textId="77777777" w:rsidR="00195659" w:rsidRDefault="0019565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107F0" w14:textId="77777777" w:rsidR="00DE657B" w:rsidRDefault="00DE657B">
      <w:pPr>
        <w:spacing w:line="240" w:lineRule="auto"/>
      </w:pPr>
      <w:r>
        <w:separator/>
      </w:r>
    </w:p>
  </w:footnote>
  <w:footnote w:type="continuationSeparator" w:id="0">
    <w:p w14:paraId="458A8DC4" w14:textId="77777777" w:rsidR="00DE657B" w:rsidRDefault="00DE65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917DEF"/>
    <w:multiLevelType w:val="multilevel"/>
    <w:tmpl w:val="0CA2F8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03120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659"/>
    <w:rsid w:val="00195659"/>
    <w:rsid w:val="003912C3"/>
    <w:rsid w:val="004B54DF"/>
    <w:rsid w:val="005C3C82"/>
    <w:rsid w:val="00602252"/>
    <w:rsid w:val="007708D4"/>
    <w:rsid w:val="008A6309"/>
    <w:rsid w:val="00AA2389"/>
    <w:rsid w:val="00AF7465"/>
    <w:rsid w:val="00C01501"/>
    <w:rsid w:val="00DE657B"/>
    <w:rsid w:val="00F44BA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0790"/>
  <w15:docId w15:val="{49C84040-388E-40C6-9681-BCFC5F6C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B54DF"/>
    <w:pPr>
      <w:keepNext/>
      <w:keepLines/>
      <w:outlineLvl w:val="0"/>
    </w:pPr>
    <w:rPr>
      <w:rFonts w:ascii="Arial" w:hAnsi="Arial" w:cs="Arial"/>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8A6309"/>
    <w:pPr>
      <w:spacing w:after="100"/>
    </w:pPr>
  </w:style>
  <w:style w:type="paragraph" w:styleId="TOC2">
    <w:name w:val="toc 2"/>
    <w:basedOn w:val="Normal"/>
    <w:next w:val="Normal"/>
    <w:autoRedefine/>
    <w:uiPriority w:val="39"/>
    <w:unhideWhenUsed/>
    <w:rsid w:val="008A6309"/>
    <w:pPr>
      <w:spacing w:after="100"/>
      <w:ind w:left="240"/>
    </w:pPr>
  </w:style>
  <w:style w:type="paragraph" w:styleId="TOC3">
    <w:name w:val="toc 3"/>
    <w:basedOn w:val="Normal"/>
    <w:next w:val="Normal"/>
    <w:autoRedefine/>
    <w:uiPriority w:val="39"/>
    <w:unhideWhenUsed/>
    <w:rsid w:val="008A6309"/>
    <w:pPr>
      <w:spacing w:after="100"/>
      <w:ind w:left="480"/>
    </w:pPr>
  </w:style>
  <w:style w:type="character" w:styleId="Hyperlink">
    <w:name w:val="Hyperlink"/>
    <w:basedOn w:val="DefaultParagraphFont"/>
    <w:uiPriority w:val="99"/>
    <w:unhideWhenUsed/>
    <w:rsid w:val="008A6309"/>
    <w:rPr>
      <w:color w:val="0000FF" w:themeColor="hyperlink"/>
      <w:u w:val="single"/>
    </w:rPr>
  </w:style>
  <w:style w:type="paragraph" w:styleId="NormalWeb">
    <w:name w:val="Normal (Web)"/>
    <w:basedOn w:val="Normal"/>
    <w:uiPriority w:val="99"/>
    <w:semiHidden/>
    <w:unhideWhenUsed/>
    <w:rsid w:val="003912C3"/>
    <w:pPr>
      <w:spacing w:before="100" w:beforeAutospacing="1" w:after="100" w:afterAutospacing="1" w:line="240" w:lineRule="auto"/>
      <w:jc w:val="left"/>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099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Titilope-Adewale-4/publication/387954497_Corresponding_author_Titilope_Tosin_Adewale_Big_data-driven_financial_analysis_A_new_paradigm_for_strategic_insights_and_decision-_making/links/67848cb13e33dd0be90170ab/Corresponding-author-Titilope-Tosin-Adewale-Big-data-driven-financial-analysis-A-new-paradigm-for-strategic-insights-and-decision-making.pdf" TargetMode="External"/><Relationship Id="rId18" Type="http://schemas.openxmlformats.org/officeDocument/2006/relationships/hyperlink" Target="https://www.emerald.com/ribs/article/35/4/527/1255783" TargetMode="External"/><Relationship Id="rId26" Type="http://schemas.openxmlformats.org/officeDocument/2006/relationships/hyperlink" Target="https://www.ceicdata.com/en/mongolia/imports-by-selected-commodity-value/imports-ytd-value-consumer-goods" TargetMode="External"/><Relationship Id="rId39" Type="http://schemas.openxmlformats.org/officeDocument/2006/relationships/hyperlink" Target="https://www.reckitt.com/our-company/" TargetMode="External"/><Relationship Id="rId21" Type="http://schemas.openxmlformats.org/officeDocument/2006/relationships/hyperlink" Target="https://www.sciencedirect.com/science/article/pii/S096959312500071X" TargetMode="External"/><Relationship Id="rId34" Type="http://schemas.openxmlformats.org/officeDocument/2006/relationships/hyperlink" Target="https://jurnalhafasy.com/index.php/oikonomia/article/view/358" TargetMode="External"/><Relationship Id="rId42" Type="http://schemas.openxmlformats.org/officeDocument/2006/relationships/hyperlink" Target="https://journals.sagepub.com/doi/abs/10.1177/14657503241294194" TargetMode="External"/><Relationship Id="rId47" Type="http://schemas.openxmlformats.org/officeDocument/2006/relationships/hyperlink" Target="https://onlinelibrary.wiley.com/doi/abs/10.1002/gch2.202400294" TargetMode="External"/><Relationship Id="rId50" Type="http://schemas.openxmlformats.org/officeDocument/2006/relationships/hyperlink" Target="https://tradingeconomics.com/mongolia/consumer-spend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ooks.google.co.uk/books/about/Managing_Across_Borders.html?id=KYjHMVuNOAwC&amp;redir_esc=y" TargetMode="External"/><Relationship Id="rId29" Type="http://schemas.openxmlformats.org/officeDocument/2006/relationships/hyperlink" Target="https://www.reckitt.com/news/scaling-fast-winning-big-how-reckitt-is-gaining-ground-in-emerging-markets/" TargetMode="External"/><Relationship Id="rId11" Type="http://schemas.openxmlformats.org/officeDocument/2006/relationships/image" Target="media/image4.png"/><Relationship Id="rId24" Type="http://schemas.openxmlformats.org/officeDocument/2006/relationships/hyperlink" Target="https://ijemr.asia/index.php/ijemr/article/view/490" TargetMode="External"/><Relationship Id="rId32" Type="http://schemas.openxmlformats.org/officeDocument/2006/relationships/hyperlink" Target="https://www.researchgate.net/profile/Oluwasanmi-Adanigbo/publication/391041994_Advances_in_Business_Entrepreneurship_for_Driving_International_Financial_Technology_Platform_Expansion/links/680c204a60241d51401b292e/Advances-in-Business-Entrepreneurship-for-Driving-International-Financial-Technology-Platform-Expansion.pdf" TargetMode="External"/><Relationship Id="rId37" Type="http://schemas.openxmlformats.org/officeDocument/2006/relationships/hyperlink" Target="https://www.researchandmarkets.com/report/fast-moving-consumer-good?srsltid=AfmBOorxAXlTuj6VFu2Sd8WOLFwwstMJlwUpU6BNzktN83cqAAGjuau8" TargetMode="External"/><Relationship Id="rId40" Type="http://schemas.openxmlformats.org/officeDocument/2006/relationships/hyperlink" Target="https://onlinelibrary.wiley.com/doi/abs/10.1002/jsc.2633" TargetMode="External"/><Relationship Id="rId45" Type="http://schemas.openxmlformats.org/officeDocument/2006/relationships/hyperlink" Target="https://aptikom-journal.id/itsdi/article/view/697"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journals.aom.org/doi/abs/10.5465/amr.2023.0156" TargetMode="External"/><Relationship Id="rId31" Type="http://schemas.openxmlformats.org/officeDocument/2006/relationships/hyperlink" Target="https://www.preprints.org/manuscript/202606.1961" TargetMode="External"/><Relationship Id="rId44" Type="http://schemas.openxmlformats.org/officeDocument/2006/relationships/hyperlink" Target="https://jurnal.feb-umi.id/index.php/PARADOKS/article/view/1154"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Beauden-John/publication/388659851_The_Impact_of_International_Trade_Laws_on_Corporate_Strategy_Navigating_Cross-Border_Legal_Challenges_for_Multinational_Corporations/links/67a196e08311ce680c505c9d/The-Impact-of-International-Trade-Laws-on-Corporate-Strategy-Navigating-Cross-Border-Legal-Challenges-for-Multinational-Corporations.pdf" TargetMode="External"/><Relationship Id="rId22" Type="http://schemas.openxmlformats.org/officeDocument/2006/relationships/hyperlink" Target="https://journals.co.za/doi/abs/10.4102/sajems.v28i1.5909" TargetMode="External"/><Relationship Id="rId27" Type="http://schemas.openxmlformats.org/officeDocument/2006/relationships/hyperlink" Target="https://www.emerald.com/apjba/article/17/5/1294/1248981" TargetMode="External"/><Relationship Id="rId30" Type="http://schemas.openxmlformats.org/officeDocument/2006/relationships/hyperlink" Target="https://ift.onlinelibrary.wiley.com/doi/abs/10.1111/1541-4337.70320" TargetMode="External"/><Relationship Id="rId35" Type="http://schemas.openxmlformats.org/officeDocument/2006/relationships/hyperlink" Target="https://www.emerald.com/imr/article-abstract/42/4/527/1251359" TargetMode="External"/><Relationship Id="rId43" Type="http://schemas.openxmlformats.org/officeDocument/2006/relationships/hyperlink" Target="https://www.igi-global.com/chapter/expanding-sme-product-export-market-through-digital-innovation-in-indonesia/369973" TargetMode="External"/><Relationship Id="rId48" Type="http://schemas.openxmlformats.org/officeDocument/2006/relationships/hyperlink" Target="https://www.statista.com/statistics/727562/inflation-rate-in-mongolia/?srsltid=AfmBOopuQF_x-I_EjpwZs4ym6tXxpa-deYyW18cT9oQB7MMi4otRBKrp" TargetMode="External"/><Relationship Id="rId8" Type="http://schemas.openxmlformats.org/officeDocument/2006/relationships/image" Target="media/image1.png"/><Relationship Id="rId51" Type="http://schemas.openxmlformats.org/officeDocument/2006/relationships/hyperlink" Target="https://wits.worldbank.org/CountryProfile/en/Country/MNG/Year/2022/TradeFlow/Import/Partner/BY-COUNTRY/Product/UNCTAD-SoP3" TargetMode="External"/><Relationship Id="rId3" Type="http://schemas.openxmlformats.org/officeDocument/2006/relationships/styles" Target="styles.xml"/><Relationship Id="rId12" Type="http://schemas.openxmlformats.org/officeDocument/2006/relationships/hyperlink" Target="https://www.aasmr.org/liss/Vol.12/No.1/Vol.12.No.1.13.pdf" TargetMode="External"/><Relationship Id="rId17" Type="http://schemas.openxmlformats.org/officeDocument/2006/relationships/hyperlink" Target="https://link.springer.com/article/10.1186/s13731-025-00483-y" TargetMode="External"/><Relationship Id="rId25" Type="http://schemas.openxmlformats.org/officeDocument/2006/relationships/hyperlink" Target="https://introspectivemarketresearch.com/reports/fmcg-market/" TargetMode="External"/><Relationship Id="rId33" Type="http://schemas.openxmlformats.org/officeDocument/2006/relationships/hyperlink" Target="https://www.macrotrends.net/global-metrics/countries/mng/mongolia/consumer-spending" TargetMode="External"/><Relationship Id="rId38" Type="http://schemas.openxmlformats.org/officeDocument/2006/relationships/hyperlink" Target="https://journals.scipubhouse.com/WRBAJ/article/view/302" TargetMode="External"/><Relationship Id="rId46" Type="http://schemas.openxmlformats.org/officeDocument/2006/relationships/hyperlink" Target="https://www.emerald.com/cr/article/35/5/951/1249288" TargetMode="External"/><Relationship Id="rId20" Type="http://schemas.openxmlformats.org/officeDocument/2006/relationships/hyperlink" Target="https://www.coherentmarketinsights.com/market-insight/consumer-product-and-retail-market-4759" TargetMode="External"/><Relationship Id="rId41" Type="http://schemas.openxmlformats.org/officeDocument/2006/relationships/hyperlink" Target="https://gupea.ub.gu.se/items/17a36bf8-4390-40fc-8012-f1af6187730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cumentserver.uhasselt.be/bitstream/1942/47058/1/30571bc9-dd88-47d2-8346-013b33894956.pdf" TargetMode="External"/><Relationship Id="rId23" Type="http://schemas.openxmlformats.org/officeDocument/2006/relationships/hyperlink" Target="https://onlinelibrary.wiley.com/doi/abs/10.1002/bse.4043" TargetMode="External"/><Relationship Id="rId28" Type="http://schemas.openxmlformats.org/officeDocument/2006/relationships/hyperlink" Target="https://papers.ssrn.com/sol3/papers.cfm?abstract_id=5865522" TargetMode="External"/><Relationship Id="rId36" Type="http://schemas.openxmlformats.org/officeDocument/2006/relationships/hyperlink" Target="https://www.polarismarketresearch.com/industry-analysis/consumer-packaged-goods-market" TargetMode="External"/><Relationship Id="rId49" Type="http://schemas.openxmlformats.org/officeDocument/2006/relationships/hyperlink" Target="https://www.statista.com/statistics/727556/gross-domestic-product-gdp-growth-rate-in-mongolia/?srsltid=AfmBOoq-CE1HpeJ2pdpsDVDHk2nZxavqeYEiQw05y0jc8ZP5TkzbKDvo"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DwdfhmcLqQ9HPSHseIVe4as7+A==">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8381</Words>
  <Characters>47775</Characters>
  <Application>Microsoft Office Word</Application>
  <DocSecurity>0</DocSecurity>
  <Lines>398</Lines>
  <Paragraphs>112</Paragraphs>
  <ScaleCrop>false</ScaleCrop>
  <Company/>
  <LinksUpToDate>false</LinksUpToDate>
  <CharactersWithSpaces>56044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RAVIKUMAR MUKESHBHAI BHADIYADRA</dc:creator>
  <cp:lastModifiedBy>Ntombizodwa Ndlovu</cp:lastModifiedBy>
  <cp:revision>2</cp:revision>
  <dcterms:created xsi:type="dcterms:W3CDTF">2026-08-11T05:12:00Z</dcterms:created>
  <dcterms:modified xsi:type="dcterms:W3CDTF">2026-08-11T05:12:00Z</dcterms:modified>
</cp:coreProperties>
</file>