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F3A8E" w14:textId="1679412E" w:rsidR="006B336C" w:rsidRPr="00F2646C" w:rsidRDefault="00F2646C" w:rsidP="00F2646C">
      <w:pPr>
        <w:spacing w:line="360" w:lineRule="auto"/>
        <w:jc w:val="center"/>
        <w:rPr>
          <w:rFonts w:ascii="Times New Roman" w:hAnsi="Times New Roman" w:cs="Times New Roman"/>
          <w:sz w:val="36"/>
          <w:szCs w:val="36"/>
        </w:rPr>
      </w:pPr>
      <w:r w:rsidRPr="00F2646C">
        <w:rPr>
          <w:rFonts w:ascii="Times New Roman" w:hAnsi="Times New Roman" w:cs="Times New Roman"/>
          <w:sz w:val="36"/>
          <w:szCs w:val="36"/>
        </w:rPr>
        <w:t>International Financial Management</w:t>
      </w:r>
    </w:p>
    <w:p w14:paraId="425A0B0E" w14:textId="77777777" w:rsidR="00F2646C" w:rsidRPr="00F2646C" w:rsidRDefault="00F2646C" w:rsidP="00F2646C">
      <w:pPr>
        <w:spacing w:line="360" w:lineRule="auto"/>
        <w:jc w:val="center"/>
        <w:rPr>
          <w:rFonts w:ascii="Times New Roman" w:hAnsi="Times New Roman" w:cs="Times New Roman"/>
          <w:sz w:val="36"/>
          <w:szCs w:val="36"/>
        </w:rPr>
      </w:pPr>
    </w:p>
    <w:p w14:paraId="6F5902E5" w14:textId="77777777" w:rsidR="00F2646C" w:rsidRPr="00F2646C" w:rsidRDefault="00F2646C" w:rsidP="00F2646C">
      <w:pPr>
        <w:spacing w:line="360" w:lineRule="auto"/>
        <w:jc w:val="center"/>
        <w:rPr>
          <w:rFonts w:ascii="Times New Roman" w:hAnsi="Times New Roman" w:cs="Times New Roman"/>
          <w:sz w:val="36"/>
          <w:szCs w:val="36"/>
        </w:rPr>
      </w:pPr>
    </w:p>
    <w:p w14:paraId="567A7BEC" w14:textId="2B3FD435" w:rsidR="00F2646C" w:rsidRDefault="00F2646C" w:rsidP="00F2646C">
      <w:pPr>
        <w:spacing w:line="360" w:lineRule="auto"/>
        <w:jc w:val="center"/>
        <w:rPr>
          <w:rStyle w:val="Emphasis"/>
          <w:rFonts w:ascii="Times New Roman" w:hAnsi="Times New Roman" w:cs="Times New Roman"/>
          <w:color w:val="000000"/>
          <w:sz w:val="36"/>
          <w:szCs w:val="36"/>
        </w:rPr>
      </w:pPr>
      <w:r w:rsidRPr="00F2646C">
        <w:rPr>
          <w:rStyle w:val="Emphasis"/>
          <w:rFonts w:ascii="Times New Roman" w:hAnsi="Times New Roman" w:cs="Times New Roman"/>
          <w:color w:val="000000"/>
          <w:sz w:val="36"/>
          <w:szCs w:val="36"/>
        </w:rPr>
        <w:t>Component 1 – Written Report: International Financial Management</w:t>
      </w:r>
    </w:p>
    <w:p w14:paraId="65A59017" w14:textId="77777777" w:rsidR="00F2646C" w:rsidRDefault="00F2646C" w:rsidP="00F2646C">
      <w:pPr>
        <w:spacing w:line="360" w:lineRule="auto"/>
        <w:jc w:val="center"/>
        <w:rPr>
          <w:rStyle w:val="Emphasis"/>
          <w:rFonts w:ascii="Times New Roman" w:hAnsi="Times New Roman" w:cs="Times New Roman"/>
          <w:color w:val="000000"/>
          <w:sz w:val="36"/>
          <w:szCs w:val="36"/>
        </w:rPr>
      </w:pPr>
    </w:p>
    <w:p w14:paraId="5892996F" w14:textId="77777777" w:rsidR="00F2646C" w:rsidRDefault="00F2646C" w:rsidP="00F2646C">
      <w:pPr>
        <w:spacing w:line="360" w:lineRule="auto"/>
        <w:jc w:val="center"/>
        <w:rPr>
          <w:rStyle w:val="Emphasis"/>
          <w:rFonts w:ascii="Times New Roman" w:hAnsi="Times New Roman" w:cs="Times New Roman"/>
          <w:color w:val="000000"/>
          <w:sz w:val="36"/>
          <w:szCs w:val="36"/>
        </w:rPr>
      </w:pPr>
    </w:p>
    <w:p w14:paraId="44A1AE83" w14:textId="77777777" w:rsidR="00F2646C" w:rsidRDefault="00F2646C" w:rsidP="00F2646C">
      <w:pPr>
        <w:spacing w:line="360" w:lineRule="auto"/>
        <w:jc w:val="center"/>
        <w:rPr>
          <w:rStyle w:val="Emphasis"/>
          <w:rFonts w:ascii="Times New Roman" w:hAnsi="Times New Roman" w:cs="Times New Roman"/>
          <w:color w:val="000000"/>
          <w:sz w:val="36"/>
          <w:szCs w:val="36"/>
        </w:rPr>
      </w:pPr>
    </w:p>
    <w:p w14:paraId="5BCFCC68" w14:textId="77777777" w:rsidR="00F2646C" w:rsidRDefault="00F2646C" w:rsidP="00F2646C">
      <w:pPr>
        <w:spacing w:line="360" w:lineRule="auto"/>
        <w:jc w:val="center"/>
        <w:rPr>
          <w:rStyle w:val="Emphasis"/>
          <w:rFonts w:ascii="Times New Roman" w:hAnsi="Times New Roman" w:cs="Times New Roman"/>
          <w:color w:val="000000"/>
          <w:sz w:val="36"/>
          <w:szCs w:val="36"/>
        </w:rPr>
      </w:pPr>
    </w:p>
    <w:p w14:paraId="61B3190D" w14:textId="77777777" w:rsidR="00F2646C" w:rsidRDefault="00F2646C" w:rsidP="00F2646C">
      <w:pPr>
        <w:spacing w:line="360" w:lineRule="auto"/>
        <w:jc w:val="center"/>
        <w:rPr>
          <w:rStyle w:val="Emphasis"/>
          <w:rFonts w:ascii="Times New Roman" w:hAnsi="Times New Roman" w:cs="Times New Roman"/>
          <w:color w:val="000000"/>
          <w:sz w:val="36"/>
          <w:szCs w:val="36"/>
        </w:rPr>
      </w:pPr>
    </w:p>
    <w:p w14:paraId="3AF1BF8D" w14:textId="77777777" w:rsidR="00F2646C" w:rsidRDefault="00F2646C" w:rsidP="00F2646C">
      <w:pPr>
        <w:spacing w:line="360" w:lineRule="auto"/>
        <w:jc w:val="center"/>
        <w:rPr>
          <w:rStyle w:val="Emphasis"/>
          <w:rFonts w:ascii="Times New Roman" w:hAnsi="Times New Roman" w:cs="Times New Roman"/>
          <w:color w:val="000000"/>
          <w:sz w:val="36"/>
          <w:szCs w:val="36"/>
        </w:rPr>
      </w:pPr>
    </w:p>
    <w:p w14:paraId="41EBFAF9" w14:textId="77777777" w:rsidR="00F2646C" w:rsidRDefault="00F2646C" w:rsidP="00F2646C">
      <w:pPr>
        <w:spacing w:line="360" w:lineRule="auto"/>
        <w:jc w:val="center"/>
        <w:rPr>
          <w:rStyle w:val="Emphasis"/>
          <w:rFonts w:ascii="Times New Roman" w:hAnsi="Times New Roman" w:cs="Times New Roman"/>
          <w:color w:val="000000"/>
          <w:sz w:val="36"/>
          <w:szCs w:val="36"/>
        </w:rPr>
      </w:pPr>
    </w:p>
    <w:p w14:paraId="6B6A23AE" w14:textId="77777777" w:rsidR="00F2646C" w:rsidRDefault="00F2646C" w:rsidP="00F2646C">
      <w:pPr>
        <w:spacing w:line="360" w:lineRule="auto"/>
        <w:jc w:val="center"/>
        <w:rPr>
          <w:rStyle w:val="Emphasis"/>
          <w:rFonts w:ascii="Times New Roman" w:hAnsi="Times New Roman" w:cs="Times New Roman"/>
          <w:color w:val="000000"/>
          <w:sz w:val="36"/>
          <w:szCs w:val="36"/>
        </w:rPr>
      </w:pPr>
    </w:p>
    <w:p w14:paraId="11C9333A" w14:textId="352438B4" w:rsidR="00F2646C" w:rsidRDefault="00F2646C" w:rsidP="00F2646C">
      <w:pPr>
        <w:rPr>
          <w:rFonts w:ascii="Times New Roman" w:hAnsi="Times New Roman" w:cs="Times New Roman"/>
        </w:rPr>
      </w:pPr>
      <w:r>
        <w:rPr>
          <w:rFonts w:ascii="Times New Roman" w:hAnsi="Times New Roman" w:cs="Times New Roman"/>
        </w:rPr>
        <w:t>Student name:</w:t>
      </w:r>
    </w:p>
    <w:p w14:paraId="216D9F2F" w14:textId="77777777" w:rsidR="00F2646C" w:rsidRDefault="00F2646C" w:rsidP="00F2646C">
      <w:pPr>
        <w:rPr>
          <w:rFonts w:ascii="Times New Roman" w:hAnsi="Times New Roman" w:cs="Times New Roman"/>
        </w:rPr>
      </w:pPr>
    </w:p>
    <w:p w14:paraId="3146C9BF" w14:textId="67C2609E" w:rsidR="00F2646C" w:rsidRDefault="00F2646C" w:rsidP="00F2646C">
      <w:pPr>
        <w:rPr>
          <w:rFonts w:ascii="Times New Roman" w:hAnsi="Times New Roman" w:cs="Times New Roman"/>
        </w:rPr>
      </w:pPr>
      <w:r>
        <w:rPr>
          <w:rFonts w:ascii="Times New Roman" w:hAnsi="Times New Roman" w:cs="Times New Roman"/>
        </w:rPr>
        <w:t>Student number:</w:t>
      </w:r>
    </w:p>
    <w:p w14:paraId="7EAB40C1" w14:textId="77777777" w:rsidR="00F2646C" w:rsidRDefault="00F2646C" w:rsidP="00F2646C">
      <w:pPr>
        <w:rPr>
          <w:rFonts w:ascii="Times New Roman" w:hAnsi="Times New Roman" w:cs="Times New Roman"/>
        </w:rPr>
      </w:pPr>
    </w:p>
    <w:p w14:paraId="57109A27" w14:textId="77777777" w:rsidR="00F2646C" w:rsidRDefault="00F2646C" w:rsidP="00F2646C">
      <w:pPr>
        <w:rPr>
          <w:rFonts w:ascii="Times New Roman" w:hAnsi="Times New Roman" w:cs="Times New Roman"/>
        </w:rPr>
      </w:pPr>
    </w:p>
    <w:p w14:paraId="3B468F2A" w14:textId="77777777" w:rsidR="00F2646C" w:rsidRDefault="00F2646C" w:rsidP="00F2646C">
      <w:pPr>
        <w:rPr>
          <w:rFonts w:ascii="Times New Roman" w:hAnsi="Times New Roman" w:cs="Times New Roman"/>
        </w:rPr>
      </w:pPr>
    </w:p>
    <w:p w14:paraId="1D39D4B6" w14:textId="77777777" w:rsidR="00F2646C" w:rsidRDefault="00F2646C" w:rsidP="00F2646C">
      <w:pPr>
        <w:rPr>
          <w:rFonts w:ascii="Times New Roman" w:hAnsi="Times New Roman" w:cs="Times New Roman"/>
        </w:rPr>
      </w:pPr>
    </w:p>
    <w:p w14:paraId="397BCB85" w14:textId="77777777" w:rsidR="00F2646C" w:rsidRDefault="00F2646C" w:rsidP="00F2646C">
      <w:pPr>
        <w:rPr>
          <w:rFonts w:ascii="Times New Roman" w:hAnsi="Times New Roman" w:cs="Times New Roman"/>
        </w:rPr>
      </w:pPr>
    </w:p>
    <w:p w14:paraId="4C5022A6" w14:textId="77777777" w:rsidR="00F2646C" w:rsidRDefault="00F2646C" w:rsidP="00F2646C">
      <w:pPr>
        <w:rPr>
          <w:rFonts w:ascii="Times New Roman" w:hAnsi="Times New Roman" w:cs="Times New Roman"/>
        </w:rPr>
      </w:pPr>
    </w:p>
    <w:p w14:paraId="01FA918B" w14:textId="77777777" w:rsidR="00F2646C" w:rsidRDefault="00F2646C" w:rsidP="00F2646C">
      <w:pPr>
        <w:rPr>
          <w:rFonts w:ascii="Times New Roman" w:hAnsi="Times New Roman" w:cs="Times New Roman"/>
        </w:rPr>
      </w:pPr>
    </w:p>
    <w:p w14:paraId="2813BE93" w14:textId="77777777" w:rsidR="00F2646C" w:rsidRDefault="00F2646C" w:rsidP="00F2646C">
      <w:pPr>
        <w:rPr>
          <w:rFonts w:ascii="Times New Roman" w:hAnsi="Times New Roman" w:cs="Times New Roman"/>
        </w:rPr>
      </w:pPr>
    </w:p>
    <w:p w14:paraId="704CB276" w14:textId="77777777" w:rsidR="00F2646C" w:rsidRDefault="00F2646C" w:rsidP="00F2646C">
      <w:pPr>
        <w:rPr>
          <w:rFonts w:ascii="Times New Roman" w:hAnsi="Times New Roman" w:cs="Times New Roman"/>
        </w:rPr>
      </w:pPr>
    </w:p>
    <w:p w14:paraId="1A2BE7B5" w14:textId="77777777" w:rsidR="00F2646C" w:rsidRDefault="00F2646C" w:rsidP="00F2646C">
      <w:pPr>
        <w:rPr>
          <w:rFonts w:ascii="Times New Roman" w:hAnsi="Times New Roman" w:cs="Times New Roman"/>
        </w:rPr>
      </w:pPr>
    </w:p>
    <w:p w14:paraId="330D7626" w14:textId="77777777" w:rsidR="00F2646C" w:rsidRDefault="00F2646C" w:rsidP="00F2646C">
      <w:pPr>
        <w:rPr>
          <w:rFonts w:ascii="Times New Roman" w:hAnsi="Times New Roman" w:cs="Times New Roman"/>
        </w:rPr>
      </w:pPr>
    </w:p>
    <w:p w14:paraId="3CEC81E3" w14:textId="77777777" w:rsidR="00F2646C" w:rsidRDefault="00F2646C" w:rsidP="00F2646C">
      <w:pPr>
        <w:rPr>
          <w:rFonts w:ascii="Times New Roman" w:hAnsi="Times New Roman" w:cs="Times New Roman"/>
        </w:rPr>
      </w:pPr>
    </w:p>
    <w:p w14:paraId="1F85D692" w14:textId="77777777" w:rsidR="00F2646C" w:rsidRDefault="00F2646C" w:rsidP="00F2646C">
      <w:pPr>
        <w:rPr>
          <w:rFonts w:ascii="Times New Roman" w:hAnsi="Times New Roman" w:cs="Times New Roman"/>
        </w:rPr>
      </w:pPr>
    </w:p>
    <w:p w14:paraId="55395B67" w14:textId="77777777" w:rsidR="00F2646C" w:rsidRDefault="00F2646C" w:rsidP="00F2646C">
      <w:pPr>
        <w:rPr>
          <w:rFonts w:ascii="Times New Roman" w:hAnsi="Times New Roman" w:cs="Times New Roman"/>
        </w:rPr>
      </w:pPr>
    </w:p>
    <w:p w14:paraId="51C3471C" w14:textId="77777777" w:rsidR="00F2646C" w:rsidRDefault="00F2646C" w:rsidP="00F2646C">
      <w:pPr>
        <w:rPr>
          <w:rFonts w:ascii="Times New Roman" w:hAnsi="Times New Roman" w:cs="Times New Roman"/>
        </w:rPr>
      </w:pPr>
    </w:p>
    <w:p w14:paraId="4EA1E150" w14:textId="77777777" w:rsidR="00F2646C" w:rsidRDefault="00F2646C" w:rsidP="00F2646C">
      <w:pPr>
        <w:rPr>
          <w:rFonts w:ascii="Times New Roman" w:hAnsi="Times New Roman" w:cs="Times New Roman"/>
        </w:rPr>
      </w:pPr>
    </w:p>
    <w:p w14:paraId="43C8043A" w14:textId="77777777" w:rsidR="00F2646C" w:rsidRDefault="00F2646C" w:rsidP="00F2646C">
      <w:pPr>
        <w:rPr>
          <w:rFonts w:ascii="Times New Roman" w:hAnsi="Times New Roman" w:cs="Times New Roman"/>
        </w:rPr>
      </w:pPr>
    </w:p>
    <w:p w14:paraId="01F713E9" w14:textId="77777777" w:rsidR="00F2646C" w:rsidRDefault="00F2646C" w:rsidP="00F2646C">
      <w:pPr>
        <w:rPr>
          <w:rFonts w:ascii="Times New Roman" w:hAnsi="Times New Roman" w:cs="Times New Roman"/>
        </w:rPr>
      </w:pPr>
    </w:p>
    <w:p w14:paraId="2B8C6252" w14:textId="77777777" w:rsidR="00F2646C" w:rsidRDefault="00F2646C" w:rsidP="00F2646C">
      <w:pPr>
        <w:rPr>
          <w:rFonts w:ascii="Times New Roman" w:hAnsi="Times New Roman" w:cs="Times New Roman"/>
        </w:rPr>
      </w:pPr>
    </w:p>
    <w:p w14:paraId="1F317C03" w14:textId="77777777" w:rsidR="00F2646C" w:rsidRDefault="00F2646C" w:rsidP="00F2646C">
      <w:pPr>
        <w:rPr>
          <w:rFonts w:ascii="Times New Roman" w:hAnsi="Times New Roman" w:cs="Times New Roman"/>
        </w:rPr>
      </w:pPr>
    </w:p>
    <w:p w14:paraId="3B9CE92A" w14:textId="5044F8C2" w:rsidR="00F2646C" w:rsidRPr="002035D1" w:rsidRDefault="00F2646C" w:rsidP="008E065F">
      <w:pPr>
        <w:pStyle w:val="Heading1"/>
        <w:rPr>
          <w:rFonts w:eastAsia="Times New Roman"/>
          <w:lang w:eastAsia="en-GB"/>
        </w:rPr>
      </w:pPr>
      <w:bookmarkStart w:id="0" w:name="_Toc216115068"/>
      <w:r w:rsidRPr="002035D1">
        <w:rPr>
          <w:rFonts w:eastAsia="Times New Roman"/>
          <w:lang w:eastAsia="en-GB"/>
        </w:rPr>
        <w:t>EXECUTIVE SUMMARY</w:t>
      </w:r>
      <w:bookmarkEnd w:id="0"/>
      <w:r w:rsidRPr="002035D1">
        <w:rPr>
          <w:rFonts w:eastAsia="Times New Roman"/>
          <w:lang w:eastAsia="en-GB"/>
        </w:rPr>
        <w:t xml:space="preserve"> </w:t>
      </w:r>
    </w:p>
    <w:p w14:paraId="09A2160F" w14:textId="77777777" w:rsidR="002035D1" w:rsidRPr="002035D1" w:rsidRDefault="002035D1" w:rsidP="002035D1">
      <w:pPr>
        <w:spacing w:line="360" w:lineRule="auto"/>
        <w:jc w:val="both"/>
        <w:rPr>
          <w:rFonts w:ascii="Times New Roman" w:hAnsi="Times New Roman" w:cs="Times New Roman"/>
          <w:lang w:eastAsia="en-GB"/>
        </w:rPr>
      </w:pPr>
      <w:r w:rsidRPr="002035D1">
        <w:rPr>
          <w:rFonts w:ascii="Times New Roman" w:hAnsi="Times New Roman" w:cs="Times New Roman"/>
          <w:lang w:eastAsia="en-GB"/>
        </w:rPr>
        <w:t>The 2022 financial statements of E-energy Ltd reveal that the company is highly leveraged with total assets of 1,500 million pounds, total liabilities amounting to 1,255 million pounds and total equity amounting to 245 million pounds. Liquidity is sufficient, and there is not much room in the capital structure to absorb any additional risk. The proposed growth of non-current assets by £110 million brings the total assets to 1,610 million. The company will need to raise long-term liabilities by about 92 million to sustain the existing liabilities-equity ratio of 5.12, the rest of the difference will be financed by equity.</w:t>
      </w:r>
    </w:p>
    <w:p w14:paraId="2A34F293" w14:textId="77777777" w:rsidR="002035D1" w:rsidRPr="002035D1" w:rsidRDefault="002035D1" w:rsidP="002035D1">
      <w:pPr>
        <w:spacing w:line="360" w:lineRule="auto"/>
        <w:jc w:val="both"/>
        <w:rPr>
          <w:rFonts w:ascii="Times New Roman" w:hAnsi="Times New Roman" w:cs="Times New Roman"/>
          <w:lang w:eastAsia="en-GB"/>
        </w:rPr>
      </w:pPr>
      <w:r w:rsidRPr="002035D1">
        <w:rPr>
          <w:rFonts w:ascii="Times New Roman" w:hAnsi="Times New Roman" w:cs="Times New Roman"/>
          <w:lang w:eastAsia="en-GB"/>
        </w:rPr>
        <w:t>The suggested workforce reduction of 45 percent will not be advised. It contradicts the principles of UK Corporate Governance Code, undermines CSR performance and might negatively affect operational performance and IPO valuation. The company ought to keep its workforce instead and strive to achieve efficiency.</w:t>
      </w:r>
    </w:p>
    <w:p w14:paraId="3EAD1626" w14:textId="4C4AC2ED" w:rsidR="002035D1" w:rsidRPr="002035D1" w:rsidRDefault="002035D1" w:rsidP="002035D1">
      <w:pPr>
        <w:spacing w:line="360" w:lineRule="auto"/>
        <w:jc w:val="both"/>
        <w:rPr>
          <w:rFonts w:ascii="Times New Roman" w:hAnsi="Times New Roman" w:cs="Times New Roman"/>
          <w:lang w:eastAsia="en-GB"/>
        </w:rPr>
      </w:pPr>
      <w:r w:rsidRPr="002035D1">
        <w:rPr>
          <w:rFonts w:ascii="Times New Roman" w:hAnsi="Times New Roman" w:cs="Times New Roman"/>
          <w:lang w:eastAsia="en-GB"/>
        </w:rPr>
        <w:t xml:space="preserve">During the preparation of a successful IPO, E-energy Ltd </w:t>
      </w:r>
      <w:proofErr w:type="gramStart"/>
      <w:r w:rsidRPr="002035D1">
        <w:rPr>
          <w:rFonts w:ascii="Times New Roman" w:hAnsi="Times New Roman" w:cs="Times New Roman"/>
          <w:lang w:eastAsia="en-GB"/>
        </w:rPr>
        <w:t>has to</w:t>
      </w:r>
      <w:proofErr w:type="gramEnd"/>
      <w:r w:rsidRPr="002035D1">
        <w:rPr>
          <w:rFonts w:ascii="Times New Roman" w:hAnsi="Times New Roman" w:cs="Times New Roman"/>
          <w:lang w:eastAsia="en-GB"/>
        </w:rPr>
        <w:t xml:space="preserve"> enhance governance systems such as independent board committees, and remuneration policy whereby, director compensation is based on long-term performance and open reporting.</w:t>
      </w:r>
    </w:p>
    <w:p w14:paraId="14ADFF01" w14:textId="77777777" w:rsidR="009E7E4E" w:rsidRDefault="009E7E4E" w:rsidP="009E7E4E">
      <w:pPr>
        <w:spacing w:before="100" w:beforeAutospacing="1" w:after="100" w:afterAutospacing="1"/>
        <w:outlineLvl w:val="1"/>
        <w:rPr>
          <w:rFonts w:ascii="Times New Roman" w:eastAsia="Times New Roman" w:hAnsi="Times New Roman" w:cs="Times New Roman"/>
          <w:color w:val="000000"/>
          <w:kern w:val="0"/>
          <w:lang w:eastAsia="en-GB"/>
          <w14:ligatures w14:val="none"/>
        </w:rPr>
      </w:pPr>
    </w:p>
    <w:p w14:paraId="32DC2819" w14:textId="77777777" w:rsidR="008E065F" w:rsidRDefault="008E065F" w:rsidP="009E7E4E">
      <w:pPr>
        <w:spacing w:before="100" w:beforeAutospacing="1" w:after="100" w:afterAutospacing="1"/>
        <w:outlineLvl w:val="1"/>
        <w:rPr>
          <w:rFonts w:ascii="Times New Roman" w:eastAsia="Times New Roman" w:hAnsi="Times New Roman" w:cs="Times New Roman"/>
          <w:color w:val="000000"/>
          <w:kern w:val="0"/>
          <w:lang w:eastAsia="en-GB"/>
          <w14:ligatures w14:val="none"/>
        </w:rPr>
      </w:pPr>
    </w:p>
    <w:p w14:paraId="348FED69" w14:textId="77777777" w:rsidR="008E065F" w:rsidRDefault="008E065F" w:rsidP="009E7E4E">
      <w:pPr>
        <w:spacing w:before="100" w:beforeAutospacing="1" w:after="100" w:afterAutospacing="1"/>
        <w:outlineLvl w:val="1"/>
        <w:rPr>
          <w:rFonts w:ascii="Times New Roman" w:eastAsia="Times New Roman" w:hAnsi="Times New Roman" w:cs="Times New Roman"/>
          <w:color w:val="000000"/>
          <w:kern w:val="0"/>
          <w:lang w:eastAsia="en-GB"/>
          <w14:ligatures w14:val="none"/>
        </w:rPr>
      </w:pPr>
    </w:p>
    <w:p w14:paraId="0C28912C" w14:textId="77777777" w:rsidR="008E065F" w:rsidRDefault="008E065F" w:rsidP="009E7E4E">
      <w:pPr>
        <w:spacing w:before="100" w:beforeAutospacing="1" w:after="100" w:afterAutospacing="1"/>
        <w:outlineLvl w:val="1"/>
        <w:rPr>
          <w:rFonts w:ascii="Times New Roman" w:eastAsia="Times New Roman" w:hAnsi="Times New Roman" w:cs="Times New Roman"/>
          <w:color w:val="000000"/>
          <w:kern w:val="0"/>
          <w:lang w:eastAsia="en-GB"/>
          <w14:ligatures w14:val="none"/>
        </w:rPr>
      </w:pPr>
    </w:p>
    <w:p w14:paraId="7BC21D31" w14:textId="77777777" w:rsidR="008E065F" w:rsidRDefault="008E065F" w:rsidP="009E7E4E">
      <w:pPr>
        <w:spacing w:before="100" w:beforeAutospacing="1" w:after="100" w:afterAutospacing="1"/>
        <w:outlineLvl w:val="1"/>
        <w:rPr>
          <w:rFonts w:ascii="Times New Roman" w:eastAsia="Times New Roman" w:hAnsi="Times New Roman" w:cs="Times New Roman"/>
          <w:color w:val="000000"/>
          <w:kern w:val="0"/>
          <w:lang w:eastAsia="en-GB"/>
          <w14:ligatures w14:val="none"/>
        </w:rPr>
      </w:pPr>
    </w:p>
    <w:p w14:paraId="137DFEAF" w14:textId="77777777" w:rsidR="008E065F" w:rsidRDefault="008E065F" w:rsidP="009E7E4E">
      <w:pPr>
        <w:spacing w:before="100" w:beforeAutospacing="1" w:after="100" w:afterAutospacing="1"/>
        <w:outlineLvl w:val="1"/>
        <w:rPr>
          <w:rFonts w:ascii="Times New Roman" w:eastAsia="Times New Roman" w:hAnsi="Times New Roman" w:cs="Times New Roman"/>
          <w:color w:val="000000"/>
          <w:kern w:val="0"/>
          <w:lang w:eastAsia="en-GB"/>
          <w14:ligatures w14:val="none"/>
        </w:rPr>
      </w:pPr>
    </w:p>
    <w:p w14:paraId="1482A382" w14:textId="77777777" w:rsidR="008E065F" w:rsidRDefault="008E065F" w:rsidP="009E7E4E">
      <w:pPr>
        <w:spacing w:before="100" w:beforeAutospacing="1" w:after="100" w:afterAutospacing="1"/>
        <w:outlineLvl w:val="1"/>
        <w:rPr>
          <w:rFonts w:ascii="Times New Roman" w:eastAsia="Times New Roman" w:hAnsi="Times New Roman" w:cs="Times New Roman"/>
          <w:color w:val="000000"/>
          <w:kern w:val="0"/>
          <w:lang w:eastAsia="en-GB"/>
          <w14:ligatures w14:val="none"/>
        </w:rPr>
      </w:pPr>
    </w:p>
    <w:p w14:paraId="69167F38" w14:textId="77777777" w:rsidR="008E065F" w:rsidRDefault="008E065F" w:rsidP="009E7E4E">
      <w:pPr>
        <w:spacing w:before="100" w:beforeAutospacing="1" w:after="100" w:afterAutospacing="1"/>
        <w:outlineLvl w:val="1"/>
        <w:rPr>
          <w:rFonts w:ascii="Times New Roman" w:eastAsia="Times New Roman" w:hAnsi="Times New Roman" w:cs="Times New Roman"/>
          <w:color w:val="000000"/>
          <w:kern w:val="0"/>
          <w:lang w:eastAsia="en-GB"/>
          <w14:ligatures w14:val="none"/>
        </w:rPr>
      </w:pPr>
    </w:p>
    <w:p w14:paraId="7E5F9533" w14:textId="77777777" w:rsidR="008E065F" w:rsidRDefault="008E065F" w:rsidP="009E7E4E">
      <w:pPr>
        <w:spacing w:before="100" w:beforeAutospacing="1" w:after="100" w:afterAutospacing="1"/>
        <w:outlineLvl w:val="1"/>
        <w:rPr>
          <w:rFonts w:ascii="Times New Roman" w:eastAsia="Times New Roman" w:hAnsi="Times New Roman" w:cs="Times New Roman"/>
          <w:color w:val="000000"/>
          <w:kern w:val="0"/>
          <w:lang w:eastAsia="en-GB"/>
          <w14:ligatures w14:val="none"/>
        </w:rPr>
      </w:pPr>
    </w:p>
    <w:p w14:paraId="775DE50E" w14:textId="77777777" w:rsidR="008E065F" w:rsidRDefault="008E065F" w:rsidP="009E7E4E">
      <w:pPr>
        <w:spacing w:before="100" w:beforeAutospacing="1" w:after="100" w:afterAutospacing="1"/>
        <w:outlineLvl w:val="1"/>
        <w:rPr>
          <w:rFonts w:ascii="Times New Roman" w:eastAsia="Times New Roman" w:hAnsi="Times New Roman" w:cs="Times New Roman"/>
          <w:color w:val="000000"/>
          <w:kern w:val="0"/>
          <w:lang w:eastAsia="en-GB"/>
          <w14:ligatures w14:val="none"/>
        </w:rPr>
      </w:pPr>
    </w:p>
    <w:p w14:paraId="14025FF9" w14:textId="77777777" w:rsidR="008E065F" w:rsidRPr="00F2646C" w:rsidRDefault="008E065F" w:rsidP="009E7E4E">
      <w:pPr>
        <w:spacing w:before="100" w:beforeAutospacing="1" w:after="100" w:afterAutospacing="1"/>
        <w:outlineLvl w:val="1"/>
        <w:rPr>
          <w:rFonts w:ascii="Times New Roman" w:eastAsia="Times New Roman" w:hAnsi="Times New Roman" w:cs="Times New Roman"/>
          <w:color w:val="000000"/>
          <w:kern w:val="0"/>
          <w:lang w:eastAsia="en-GB"/>
          <w14:ligatures w14:val="none"/>
        </w:rPr>
      </w:pPr>
    </w:p>
    <w:sdt>
      <w:sdtPr>
        <w:id w:val="1505622656"/>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3F56EF42" w14:textId="1F4B7547" w:rsidR="008E065F" w:rsidRDefault="008E065F">
          <w:pPr>
            <w:pStyle w:val="TOCHeading"/>
          </w:pPr>
          <w:r>
            <w:t>Table of Contents</w:t>
          </w:r>
        </w:p>
        <w:p w14:paraId="14F85902" w14:textId="192DA0A2" w:rsidR="008E065F" w:rsidRDefault="008E065F">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6115068" w:history="1">
            <w:r w:rsidRPr="00DD4F14">
              <w:rPr>
                <w:rStyle w:val="Hyperlink"/>
                <w:rFonts w:eastAsia="Times New Roman"/>
                <w:noProof/>
                <w:lang w:eastAsia="en-GB"/>
              </w:rPr>
              <w:t>EXECUTIVE SUMMARY</w:t>
            </w:r>
            <w:r>
              <w:rPr>
                <w:noProof/>
                <w:webHidden/>
              </w:rPr>
              <w:tab/>
            </w:r>
            <w:r>
              <w:rPr>
                <w:noProof/>
                <w:webHidden/>
              </w:rPr>
              <w:fldChar w:fldCharType="begin"/>
            </w:r>
            <w:r>
              <w:rPr>
                <w:noProof/>
                <w:webHidden/>
              </w:rPr>
              <w:instrText xml:space="preserve"> PAGEREF _Toc216115068 \h </w:instrText>
            </w:r>
            <w:r>
              <w:rPr>
                <w:noProof/>
                <w:webHidden/>
              </w:rPr>
            </w:r>
            <w:r>
              <w:rPr>
                <w:noProof/>
                <w:webHidden/>
              </w:rPr>
              <w:fldChar w:fldCharType="separate"/>
            </w:r>
            <w:r>
              <w:rPr>
                <w:noProof/>
                <w:webHidden/>
              </w:rPr>
              <w:t>2</w:t>
            </w:r>
            <w:r>
              <w:rPr>
                <w:noProof/>
                <w:webHidden/>
              </w:rPr>
              <w:fldChar w:fldCharType="end"/>
            </w:r>
          </w:hyperlink>
        </w:p>
        <w:p w14:paraId="167B6B16" w14:textId="4918345E" w:rsidR="008E065F" w:rsidRDefault="008E065F">
          <w:pPr>
            <w:pStyle w:val="TOC1"/>
            <w:tabs>
              <w:tab w:val="right" w:leader="dot" w:pos="9016"/>
            </w:tabs>
            <w:rPr>
              <w:rFonts w:eastAsiaTheme="minorEastAsia"/>
              <w:b w:val="0"/>
              <w:bCs w:val="0"/>
              <w:i w:val="0"/>
              <w:iCs w:val="0"/>
              <w:noProof/>
              <w:lang w:eastAsia="en-GB"/>
            </w:rPr>
          </w:pPr>
          <w:hyperlink w:anchor="_Toc216115069" w:history="1">
            <w:r w:rsidRPr="00DD4F14">
              <w:rPr>
                <w:rStyle w:val="Hyperlink"/>
                <w:rFonts w:eastAsia="Times New Roman"/>
                <w:noProof/>
                <w:lang w:eastAsia="en-GB"/>
              </w:rPr>
              <w:t>1. INTRODUCTION</w:t>
            </w:r>
            <w:r>
              <w:rPr>
                <w:noProof/>
                <w:webHidden/>
              </w:rPr>
              <w:tab/>
            </w:r>
            <w:r>
              <w:rPr>
                <w:noProof/>
                <w:webHidden/>
              </w:rPr>
              <w:fldChar w:fldCharType="begin"/>
            </w:r>
            <w:r>
              <w:rPr>
                <w:noProof/>
                <w:webHidden/>
              </w:rPr>
              <w:instrText xml:space="preserve"> PAGEREF _Toc216115069 \h </w:instrText>
            </w:r>
            <w:r>
              <w:rPr>
                <w:noProof/>
                <w:webHidden/>
              </w:rPr>
            </w:r>
            <w:r>
              <w:rPr>
                <w:noProof/>
                <w:webHidden/>
              </w:rPr>
              <w:fldChar w:fldCharType="separate"/>
            </w:r>
            <w:r>
              <w:rPr>
                <w:noProof/>
                <w:webHidden/>
              </w:rPr>
              <w:t>4</w:t>
            </w:r>
            <w:r>
              <w:rPr>
                <w:noProof/>
                <w:webHidden/>
              </w:rPr>
              <w:fldChar w:fldCharType="end"/>
            </w:r>
          </w:hyperlink>
        </w:p>
        <w:p w14:paraId="17C7D7CD" w14:textId="02BD785F" w:rsidR="008E065F" w:rsidRDefault="008E065F">
          <w:pPr>
            <w:pStyle w:val="TOC1"/>
            <w:tabs>
              <w:tab w:val="right" w:leader="dot" w:pos="9016"/>
            </w:tabs>
            <w:rPr>
              <w:rFonts w:eastAsiaTheme="minorEastAsia"/>
              <w:b w:val="0"/>
              <w:bCs w:val="0"/>
              <w:i w:val="0"/>
              <w:iCs w:val="0"/>
              <w:noProof/>
              <w:lang w:eastAsia="en-GB"/>
            </w:rPr>
          </w:pPr>
          <w:hyperlink w:anchor="_Toc216115070" w:history="1">
            <w:r w:rsidRPr="00DD4F14">
              <w:rPr>
                <w:rStyle w:val="Hyperlink"/>
                <w:rFonts w:eastAsia="Times New Roman"/>
                <w:noProof/>
                <w:lang w:eastAsia="en-GB"/>
              </w:rPr>
              <w:t>2. DISCUSSION OF FINDINGS</w:t>
            </w:r>
            <w:r>
              <w:rPr>
                <w:noProof/>
                <w:webHidden/>
              </w:rPr>
              <w:tab/>
            </w:r>
            <w:r>
              <w:rPr>
                <w:noProof/>
                <w:webHidden/>
              </w:rPr>
              <w:fldChar w:fldCharType="begin"/>
            </w:r>
            <w:r>
              <w:rPr>
                <w:noProof/>
                <w:webHidden/>
              </w:rPr>
              <w:instrText xml:space="preserve"> PAGEREF _Toc216115070 \h </w:instrText>
            </w:r>
            <w:r>
              <w:rPr>
                <w:noProof/>
                <w:webHidden/>
              </w:rPr>
            </w:r>
            <w:r>
              <w:rPr>
                <w:noProof/>
                <w:webHidden/>
              </w:rPr>
              <w:fldChar w:fldCharType="separate"/>
            </w:r>
            <w:r>
              <w:rPr>
                <w:noProof/>
                <w:webHidden/>
              </w:rPr>
              <w:t>4</w:t>
            </w:r>
            <w:r>
              <w:rPr>
                <w:noProof/>
                <w:webHidden/>
              </w:rPr>
              <w:fldChar w:fldCharType="end"/>
            </w:r>
          </w:hyperlink>
        </w:p>
        <w:p w14:paraId="68AE9EC6" w14:textId="00F3C791" w:rsidR="008E065F" w:rsidRDefault="008E065F">
          <w:pPr>
            <w:pStyle w:val="TOC2"/>
            <w:tabs>
              <w:tab w:val="right" w:leader="dot" w:pos="9016"/>
            </w:tabs>
            <w:rPr>
              <w:rFonts w:eastAsiaTheme="minorEastAsia"/>
              <w:b w:val="0"/>
              <w:bCs w:val="0"/>
              <w:noProof/>
              <w:sz w:val="24"/>
              <w:szCs w:val="24"/>
              <w:lang w:eastAsia="en-GB"/>
            </w:rPr>
          </w:pPr>
          <w:hyperlink w:anchor="_Toc216115071" w:history="1">
            <w:r w:rsidRPr="00DD4F14">
              <w:rPr>
                <w:rStyle w:val="Hyperlink"/>
                <w:rFonts w:eastAsia="Times New Roman"/>
                <w:noProof/>
                <w:lang w:eastAsia="en-GB"/>
              </w:rPr>
              <w:t>2A. Financial Position and Equity Valuation</w:t>
            </w:r>
            <w:r>
              <w:rPr>
                <w:noProof/>
                <w:webHidden/>
              </w:rPr>
              <w:tab/>
            </w:r>
            <w:r>
              <w:rPr>
                <w:noProof/>
                <w:webHidden/>
              </w:rPr>
              <w:fldChar w:fldCharType="begin"/>
            </w:r>
            <w:r>
              <w:rPr>
                <w:noProof/>
                <w:webHidden/>
              </w:rPr>
              <w:instrText xml:space="preserve"> PAGEREF _Toc216115071 \h </w:instrText>
            </w:r>
            <w:r>
              <w:rPr>
                <w:noProof/>
                <w:webHidden/>
              </w:rPr>
            </w:r>
            <w:r>
              <w:rPr>
                <w:noProof/>
                <w:webHidden/>
              </w:rPr>
              <w:fldChar w:fldCharType="separate"/>
            </w:r>
            <w:r>
              <w:rPr>
                <w:noProof/>
                <w:webHidden/>
              </w:rPr>
              <w:t>4</w:t>
            </w:r>
            <w:r>
              <w:rPr>
                <w:noProof/>
                <w:webHidden/>
              </w:rPr>
              <w:fldChar w:fldCharType="end"/>
            </w:r>
          </w:hyperlink>
        </w:p>
        <w:p w14:paraId="0E0E00D4" w14:textId="451E2022" w:rsidR="008E065F" w:rsidRDefault="008E065F">
          <w:pPr>
            <w:pStyle w:val="TOC2"/>
            <w:tabs>
              <w:tab w:val="right" w:leader="dot" w:pos="9016"/>
            </w:tabs>
            <w:rPr>
              <w:rFonts w:eastAsiaTheme="minorEastAsia"/>
              <w:b w:val="0"/>
              <w:bCs w:val="0"/>
              <w:noProof/>
              <w:sz w:val="24"/>
              <w:szCs w:val="24"/>
              <w:lang w:eastAsia="en-GB"/>
            </w:rPr>
          </w:pPr>
          <w:hyperlink w:anchor="_Toc216115072" w:history="1">
            <w:r w:rsidRPr="00DD4F14">
              <w:rPr>
                <w:rStyle w:val="Hyperlink"/>
                <w:rFonts w:eastAsia="Times New Roman"/>
                <w:noProof/>
                <w:lang w:eastAsia="en-GB"/>
              </w:rPr>
              <w:t>2B. Ratio Impact of Increasing Non-Current Assets and Required Increase in Long-Term Liabilities</w:t>
            </w:r>
            <w:r>
              <w:rPr>
                <w:noProof/>
                <w:webHidden/>
              </w:rPr>
              <w:tab/>
            </w:r>
            <w:r>
              <w:rPr>
                <w:noProof/>
                <w:webHidden/>
              </w:rPr>
              <w:fldChar w:fldCharType="begin"/>
            </w:r>
            <w:r>
              <w:rPr>
                <w:noProof/>
                <w:webHidden/>
              </w:rPr>
              <w:instrText xml:space="preserve"> PAGEREF _Toc216115072 \h </w:instrText>
            </w:r>
            <w:r>
              <w:rPr>
                <w:noProof/>
                <w:webHidden/>
              </w:rPr>
            </w:r>
            <w:r>
              <w:rPr>
                <w:noProof/>
                <w:webHidden/>
              </w:rPr>
              <w:fldChar w:fldCharType="separate"/>
            </w:r>
            <w:r>
              <w:rPr>
                <w:noProof/>
                <w:webHidden/>
              </w:rPr>
              <w:t>5</w:t>
            </w:r>
            <w:r>
              <w:rPr>
                <w:noProof/>
                <w:webHidden/>
              </w:rPr>
              <w:fldChar w:fldCharType="end"/>
            </w:r>
          </w:hyperlink>
        </w:p>
        <w:p w14:paraId="4A4271E6" w14:textId="7EE16B84" w:rsidR="008E065F" w:rsidRDefault="008E065F">
          <w:pPr>
            <w:pStyle w:val="TOC2"/>
            <w:tabs>
              <w:tab w:val="right" w:leader="dot" w:pos="9016"/>
            </w:tabs>
            <w:rPr>
              <w:rFonts w:eastAsiaTheme="minorEastAsia"/>
              <w:b w:val="0"/>
              <w:bCs w:val="0"/>
              <w:noProof/>
              <w:sz w:val="24"/>
              <w:szCs w:val="24"/>
              <w:lang w:eastAsia="en-GB"/>
            </w:rPr>
          </w:pPr>
          <w:hyperlink w:anchor="_Toc216115073" w:history="1">
            <w:r w:rsidRPr="00DD4F14">
              <w:rPr>
                <w:rStyle w:val="Hyperlink"/>
                <w:rFonts w:eastAsia="Times New Roman"/>
                <w:noProof/>
                <w:lang w:eastAsia="en-GB"/>
              </w:rPr>
              <w:t>2C. Critical Argument Against 45% Workforce Reduction</w:t>
            </w:r>
            <w:r>
              <w:rPr>
                <w:noProof/>
                <w:webHidden/>
              </w:rPr>
              <w:tab/>
            </w:r>
            <w:r>
              <w:rPr>
                <w:noProof/>
                <w:webHidden/>
              </w:rPr>
              <w:fldChar w:fldCharType="begin"/>
            </w:r>
            <w:r>
              <w:rPr>
                <w:noProof/>
                <w:webHidden/>
              </w:rPr>
              <w:instrText xml:space="preserve"> PAGEREF _Toc216115073 \h </w:instrText>
            </w:r>
            <w:r>
              <w:rPr>
                <w:noProof/>
                <w:webHidden/>
              </w:rPr>
            </w:r>
            <w:r>
              <w:rPr>
                <w:noProof/>
                <w:webHidden/>
              </w:rPr>
              <w:fldChar w:fldCharType="separate"/>
            </w:r>
            <w:r>
              <w:rPr>
                <w:noProof/>
                <w:webHidden/>
              </w:rPr>
              <w:t>6</w:t>
            </w:r>
            <w:r>
              <w:rPr>
                <w:noProof/>
                <w:webHidden/>
              </w:rPr>
              <w:fldChar w:fldCharType="end"/>
            </w:r>
          </w:hyperlink>
        </w:p>
        <w:p w14:paraId="721856D3" w14:textId="3487B131" w:rsidR="008E065F" w:rsidRDefault="008E065F">
          <w:pPr>
            <w:pStyle w:val="TOC2"/>
            <w:tabs>
              <w:tab w:val="right" w:leader="dot" w:pos="9016"/>
            </w:tabs>
            <w:rPr>
              <w:rFonts w:eastAsiaTheme="minorEastAsia"/>
              <w:b w:val="0"/>
              <w:bCs w:val="0"/>
              <w:noProof/>
              <w:sz w:val="24"/>
              <w:szCs w:val="24"/>
              <w:lang w:eastAsia="en-GB"/>
            </w:rPr>
          </w:pPr>
          <w:hyperlink w:anchor="_Toc216115074" w:history="1">
            <w:r w:rsidRPr="00DD4F14">
              <w:rPr>
                <w:rStyle w:val="Hyperlink"/>
                <w:rFonts w:eastAsia="Times New Roman"/>
                <w:noProof/>
                <w:lang w:eastAsia="en-GB"/>
              </w:rPr>
              <w:t>2D. Director Remuneration After IPO and Governance Structures</w:t>
            </w:r>
            <w:r>
              <w:rPr>
                <w:noProof/>
                <w:webHidden/>
              </w:rPr>
              <w:tab/>
            </w:r>
            <w:r>
              <w:rPr>
                <w:noProof/>
                <w:webHidden/>
              </w:rPr>
              <w:fldChar w:fldCharType="begin"/>
            </w:r>
            <w:r>
              <w:rPr>
                <w:noProof/>
                <w:webHidden/>
              </w:rPr>
              <w:instrText xml:space="preserve"> PAGEREF _Toc216115074 \h </w:instrText>
            </w:r>
            <w:r>
              <w:rPr>
                <w:noProof/>
                <w:webHidden/>
              </w:rPr>
            </w:r>
            <w:r>
              <w:rPr>
                <w:noProof/>
                <w:webHidden/>
              </w:rPr>
              <w:fldChar w:fldCharType="separate"/>
            </w:r>
            <w:r>
              <w:rPr>
                <w:noProof/>
                <w:webHidden/>
              </w:rPr>
              <w:t>7</w:t>
            </w:r>
            <w:r>
              <w:rPr>
                <w:noProof/>
                <w:webHidden/>
              </w:rPr>
              <w:fldChar w:fldCharType="end"/>
            </w:r>
          </w:hyperlink>
        </w:p>
        <w:p w14:paraId="2AC7C76D" w14:textId="6AC49916" w:rsidR="008E065F" w:rsidRDefault="008E065F">
          <w:pPr>
            <w:pStyle w:val="TOC1"/>
            <w:tabs>
              <w:tab w:val="right" w:leader="dot" w:pos="9016"/>
            </w:tabs>
            <w:rPr>
              <w:rFonts w:eastAsiaTheme="minorEastAsia"/>
              <w:b w:val="0"/>
              <w:bCs w:val="0"/>
              <w:i w:val="0"/>
              <w:iCs w:val="0"/>
              <w:noProof/>
              <w:lang w:eastAsia="en-GB"/>
            </w:rPr>
          </w:pPr>
          <w:hyperlink w:anchor="_Toc216115075" w:history="1">
            <w:r w:rsidRPr="00DD4F14">
              <w:rPr>
                <w:rStyle w:val="Hyperlink"/>
                <w:rFonts w:eastAsia="Times New Roman"/>
                <w:noProof/>
                <w:lang w:eastAsia="en-GB"/>
              </w:rPr>
              <w:t>3. CONCLUSION</w:t>
            </w:r>
            <w:r>
              <w:rPr>
                <w:noProof/>
                <w:webHidden/>
              </w:rPr>
              <w:tab/>
            </w:r>
            <w:r>
              <w:rPr>
                <w:noProof/>
                <w:webHidden/>
              </w:rPr>
              <w:fldChar w:fldCharType="begin"/>
            </w:r>
            <w:r>
              <w:rPr>
                <w:noProof/>
                <w:webHidden/>
              </w:rPr>
              <w:instrText xml:space="preserve"> PAGEREF _Toc216115075 \h </w:instrText>
            </w:r>
            <w:r>
              <w:rPr>
                <w:noProof/>
                <w:webHidden/>
              </w:rPr>
            </w:r>
            <w:r>
              <w:rPr>
                <w:noProof/>
                <w:webHidden/>
              </w:rPr>
              <w:fldChar w:fldCharType="separate"/>
            </w:r>
            <w:r>
              <w:rPr>
                <w:noProof/>
                <w:webHidden/>
              </w:rPr>
              <w:t>8</w:t>
            </w:r>
            <w:r>
              <w:rPr>
                <w:noProof/>
                <w:webHidden/>
              </w:rPr>
              <w:fldChar w:fldCharType="end"/>
            </w:r>
          </w:hyperlink>
        </w:p>
        <w:p w14:paraId="4D3A744B" w14:textId="789F4F1B" w:rsidR="008E065F" w:rsidRDefault="008E065F">
          <w:pPr>
            <w:pStyle w:val="TOC1"/>
            <w:tabs>
              <w:tab w:val="right" w:leader="dot" w:pos="9016"/>
            </w:tabs>
            <w:rPr>
              <w:rFonts w:eastAsiaTheme="minorEastAsia"/>
              <w:b w:val="0"/>
              <w:bCs w:val="0"/>
              <w:i w:val="0"/>
              <w:iCs w:val="0"/>
              <w:noProof/>
              <w:lang w:eastAsia="en-GB"/>
            </w:rPr>
          </w:pPr>
          <w:hyperlink w:anchor="_Toc216115076" w:history="1">
            <w:r w:rsidRPr="00DD4F14">
              <w:rPr>
                <w:rStyle w:val="Hyperlink"/>
                <w:rFonts w:eastAsia="Times New Roman"/>
                <w:noProof/>
                <w:lang w:eastAsia="en-GB"/>
              </w:rPr>
              <w:t>4. RECOMMENDATIONS</w:t>
            </w:r>
            <w:r>
              <w:rPr>
                <w:noProof/>
                <w:webHidden/>
              </w:rPr>
              <w:tab/>
            </w:r>
            <w:r>
              <w:rPr>
                <w:noProof/>
                <w:webHidden/>
              </w:rPr>
              <w:fldChar w:fldCharType="begin"/>
            </w:r>
            <w:r>
              <w:rPr>
                <w:noProof/>
                <w:webHidden/>
              </w:rPr>
              <w:instrText xml:space="preserve"> PAGEREF _Toc216115076 \h </w:instrText>
            </w:r>
            <w:r>
              <w:rPr>
                <w:noProof/>
                <w:webHidden/>
              </w:rPr>
            </w:r>
            <w:r>
              <w:rPr>
                <w:noProof/>
                <w:webHidden/>
              </w:rPr>
              <w:fldChar w:fldCharType="separate"/>
            </w:r>
            <w:r>
              <w:rPr>
                <w:noProof/>
                <w:webHidden/>
              </w:rPr>
              <w:t>8</w:t>
            </w:r>
            <w:r>
              <w:rPr>
                <w:noProof/>
                <w:webHidden/>
              </w:rPr>
              <w:fldChar w:fldCharType="end"/>
            </w:r>
          </w:hyperlink>
        </w:p>
        <w:p w14:paraId="568C36F7" w14:textId="384CABD8" w:rsidR="008E065F" w:rsidRDefault="008E065F">
          <w:pPr>
            <w:pStyle w:val="TOC1"/>
            <w:tabs>
              <w:tab w:val="right" w:leader="dot" w:pos="9016"/>
            </w:tabs>
            <w:rPr>
              <w:rFonts w:eastAsiaTheme="minorEastAsia"/>
              <w:b w:val="0"/>
              <w:bCs w:val="0"/>
              <w:i w:val="0"/>
              <w:iCs w:val="0"/>
              <w:noProof/>
              <w:lang w:eastAsia="en-GB"/>
            </w:rPr>
          </w:pPr>
          <w:hyperlink w:anchor="_Toc216115077" w:history="1">
            <w:r w:rsidRPr="00DD4F14">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_Toc216115077 \h </w:instrText>
            </w:r>
            <w:r>
              <w:rPr>
                <w:noProof/>
                <w:webHidden/>
              </w:rPr>
            </w:r>
            <w:r>
              <w:rPr>
                <w:noProof/>
                <w:webHidden/>
              </w:rPr>
              <w:fldChar w:fldCharType="separate"/>
            </w:r>
            <w:r>
              <w:rPr>
                <w:noProof/>
                <w:webHidden/>
              </w:rPr>
              <w:t>8</w:t>
            </w:r>
            <w:r>
              <w:rPr>
                <w:noProof/>
                <w:webHidden/>
              </w:rPr>
              <w:fldChar w:fldCharType="end"/>
            </w:r>
          </w:hyperlink>
        </w:p>
        <w:p w14:paraId="05259A69" w14:textId="5C2573C7" w:rsidR="008E065F" w:rsidRDefault="008E065F">
          <w:r>
            <w:rPr>
              <w:b/>
              <w:bCs/>
              <w:noProof/>
            </w:rPr>
            <w:fldChar w:fldCharType="end"/>
          </w:r>
        </w:p>
      </w:sdtContent>
    </w:sdt>
    <w:p w14:paraId="0DA9BB6A" w14:textId="2674C93B" w:rsidR="00F2646C" w:rsidRDefault="00F2646C" w:rsidP="00F2646C">
      <w:pPr>
        <w:rPr>
          <w:rFonts w:ascii="Times New Roman" w:eastAsia="Times New Roman" w:hAnsi="Times New Roman" w:cs="Times New Roman"/>
          <w:kern w:val="0"/>
          <w:lang w:eastAsia="en-GB"/>
          <w14:ligatures w14:val="none"/>
        </w:rPr>
      </w:pPr>
    </w:p>
    <w:p w14:paraId="176D1CE8" w14:textId="77777777" w:rsidR="008E065F" w:rsidRDefault="008E065F" w:rsidP="00F2646C">
      <w:pPr>
        <w:rPr>
          <w:rFonts w:ascii="Times New Roman" w:eastAsia="Times New Roman" w:hAnsi="Times New Roman" w:cs="Times New Roman"/>
          <w:kern w:val="0"/>
          <w:lang w:eastAsia="en-GB"/>
          <w14:ligatures w14:val="none"/>
        </w:rPr>
      </w:pPr>
    </w:p>
    <w:p w14:paraId="60827774" w14:textId="77777777" w:rsidR="008E065F" w:rsidRDefault="008E065F" w:rsidP="00F2646C">
      <w:pPr>
        <w:rPr>
          <w:rFonts w:ascii="Times New Roman" w:eastAsia="Times New Roman" w:hAnsi="Times New Roman" w:cs="Times New Roman"/>
          <w:kern w:val="0"/>
          <w:lang w:eastAsia="en-GB"/>
          <w14:ligatures w14:val="none"/>
        </w:rPr>
      </w:pPr>
    </w:p>
    <w:p w14:paraId="2822412D" w14:textId="77777777" w:rsidR="008E065F" w:rsidRDefault="008E065F" w:rsidP="00F2646C">
      <w:pPr>
        <w:rPr>
          <w:rFonts w:ascii="Times New Roman" w:eastAsia="Times New Roman" w:hAnsi="Times New Roman" w:cs="Times New Roman"/>
          <w:kern w:val="0"/>
          <w:lang w:eastAsia="en-GB"/>
          <w14:ligatures w14:val="none"/>
        </w:rPr>
      </w:pPr>
    </w:p>
    <w:p w14:paraId="2D2EE9C2" w14:textId="77777777" w:rsidR="008E065F" w:rsidRDefault="008E065F" w:rsidP="00F2646C">
      <w:pPr>
        <w:rPr>
          <w:rFonts w:ascii="Times New Roman" w:eastAsia="Times New Roman" w:hAnsi="Times New Roman" w:cs="Times New Roman"/>
          <w:kern w:val="0"/>
          <w:lang w:eastAsia="en-GB"/>
          <w14:ligatures w14:val="none"/>
        </w:rPr>
      </w:pPr>
    </w:p>
    <w:p w14:paraId="0DF05DBF" w14:textId="77777777" w:rsidR="008E065F" w:rsidRDefault="008E065F" w:rsidP="00F2646C">
      <w:pPr>
        <w:rPr>
          <w:rFonts w:ascii="Times New Roman" w:eastAsia="Times New Roman" w:hAnsi="Times New Roman" w:cs="Times New Roman"/>
          <w:kern w:val="0"/>
          <w:lang w:eastAsia="en-GB"/>
          <w14:ligatures w14:val="none"/>
        </w:rPr>
      </w:pPr>
    </w:p>
    <w:p w14:paraId="082EB050" w14:textId="77777777" w:rsidR="008E065F" w:rsidRDefault="008E065F" w:rsidP="00F2646C">
      <w:pPr>
        <w:rPr>
          <w:rFonts w:ascii="Times New Roman" w:eastAsia="Times New Roman" w:hAnsi="Times New Roman" w:cs="Times New Roman"/>
          <w:kern w:val="0"/>
          <w:lang w:eastAsia="en-GB"/>
          <w14:ligatures w14:val="none"/>
        </w:rPr>
      </w:pPr>
    </w:p>
    <w:p w14:paraId="0374971E" w14:textId="77777777" w:rsidR="008E065F" w:rsidRDefault="008E065F" w:rsidP="00F2646C">
      <w:pPr>
        <w:rPr>
          <w:rFonts w:ascii="Times New Roman" w:eastAsia="Times New Roman" w:hAnsi="Times New Roman" w:cs="Times New Roman"/>
          <w:kern w:val="0"/>
          <w:lang w:eastAsia="en-GB"/>
          <w14:ligatures w14:val="none"/>
        </w:rPr>
      </w:pPr>
    </w:p>
    <w:p w14:paraId="336ED805" w14:textId="77777777" w:rsidR="008E065F" w:rsidRDefault="008E065F" w:rsidP="00F2646C">
      <w:pPr>
        <w:rPr>
          <w:rFonts w:ascii="Times New Roman" w:eastAsia="Times New Roman" w:hAnsi="Times New Roman" w:cs="Times New Roman"/>
          <w:kern w:val="0"/>
          <w:lang w:eastAsia="en-GB"/>
          <w14:ligatures w14:val="none"/>
        </w:rPr>
      </w:pPr>
    </w:p>
    <w:p w14:paraId="0401CB04" w14:textId="77777777" w:rsidR="008E065F" w:rsidRDefault="008E065F" w:rsidP="00F2646C">
      <w:pPr>
        <w:rPr>
          <w:rFonts w:ascii="Times New Roman" w:eastAsia="Times New Roman" w:hAnsi="Times New Roman" w:cs="Times New Roman"/>
          <w:kern w:val="0"/>
          <w:lang w:eastAsia="en-GB"/>
          <w14:ligatures w14:val="none"/>
        </w:rPr>
      </w:pPr>
    </w:p>
    <w:p w14:paraId="74164FF0" w14:textId="77777777" w:rsidR="008E065F" w:rsidRDefault="008E065F" w:rsidP="00F2646C">
      <w:pPr>
        <w:rPr>
          <w:rFonts w:ascii="Times New Roman" w:eastAsia="Times New Roman" w:hAnsi="Times New Roman" w:cs="Times New Roman"/>
          <w:kern w:val="0"/>
          <w:lang w:eastAsia="en-GB"/>
          <w14:ligatures w14:val="none"/>
        </w:rPr>
      </w:pPr>
    </w:p>
    <w:p w14:paraId="56923E90" w14:textId="77777777" w:rsidR="008E065F" w:rsidRDefault="008E065F" w:rsidP="00F2646C">
      <w:pPr>
        <w:rPr>
          <w:rFonts w:ascii="Times New Roman" w:eastAsia="Times New Roman" w:hAnsi="Times New Roman" w:cs="Times New Roman"/>
          <w:kern w:val="0"/>
          <w:lang w:eastAsia="en-GB"/>
          <w14:ligatures w14:val="none"/>
        </w:rPr>
      </w:pPr>
    </w:p>
    <w:p w14:paraId="6084859C" w14:textId="77777777" w:rsidR="008E065F" w:rsidRDefault="008E065F" w:rsidP="00F2646C">
      <w:pPr>
        <w:rPr>
          <w:rFonts w:ascii="Times New Roman" w:eastAsia="Times New Roman" w:hAnsi="Times New Roman" w:cs="Times New Roman"/>
          <w:kern w:val="0"/>
          <w:lang w:eastAsia="en-GB"/>
          <w14:ligatures w14:val="none"/>
        </w:rPr>
      </w:pPr>
    </w:p>
    <w:p w14:paraId="6D7B40C8" w14:textId="77777777" w:rsidR="008E065F" w:rsidRDefault="008E065F" w:rsidP="00F2646C">
      <w:pPr>
        <w:rPr>
          <w:rFonts w:ascii="Times New Roman" w:eastAsia="Times New Roman" w:hAnsi="Times New Roman" w:cs="Times New Roman"/>
          <w:kern w:val="0"/>
          <w:lang w:eastAsia="en-GB"/>
          <w14:ligatures w14:val="none"/>
        </w:rPr>
      </w:pPr>
    </w:p>
    <w:p w14:paraId="5806C568" w14:textId="77777777" w:rsidR="008E065F" w:rsidRDefault="008E065F" w:rsidP="00F2646C">
      <w:pPr>
        <w:rPr>
          <w:rFonts w:ascii="Times New Roman" w:eastAsia="Times New Roman" w:hAnsi="Times New Roman" w:cs="Times New Roman"/>
          <w:kern w:val="0"/>
          <w:lang w:eastAsia="en-GB"/>
          <w14:ligatures w14:val="none"/>
        </w:rPr>
      </w:pPr>
    </w:p>
    <w:p w14:paraId="379FF839" w14:textId="77777777" w:rsidR="008E065F" w:rsidRDefault="008E065F" w:rsidP="00F2646C">
      <w:pPr>
        <w:rPr>
          <w:rFonts w:ascii="Times New Roman" w:eastAsia="Times New Roman" w:hAnsi="Times New Roman" w:cs="Times New Roman"/>
          <w:kern w:val="0"/>
          <w:lang w:eastAsia="en-GB"/>
          <w14:ligatures w14:val="none"/>
        </w:rPr>
      </w:pPr>
    </w:p>
    <w:p w14:paraId="227AC53A" w14:textId="77777777" w:rsidR="008E065F" w:rsidRDefault="008E065F" w:rsidP="00F2646C">
      <w:pPr>
        <w:rPr>
          <w:rFonts w:ascii="Times New Roman" w:eastAsia="Times New Roman" w:hAnsi="Times New Roman" w:cs="Times New Roman"/>
          <w:kern w:val="0"/>
          <w:lang w:eastAsia="en-GB"/>
          <w14:ligatures w14:val="none"/>
        </w:rPr>
      </w:pPr>
    </w:p>
    <w:p w14:paraId="1C88D492" w14:textId="77777777" w:rsidR="008E065F" w:rsidRDefault="008E065F" w:rsidP="00F2646C">
      <w:pPr>
        <w:rPr>
          <w:rFonts w:ascii="Times New Roman" w:eastAsia="Times New Roman" w:hAnsi="Times New Roman" w:cs="Times New Roman"/>
          <w:kern w:val="0"/>
          <w:lang w:eastAsia="en-GB"/>
          <w14:ligatures w14:val="none"/>
        </w:rPr>
      </w:pPr>
    </w:p>
    <w:p w14:paraId="37EC534B" w14:textId="77777777" w:rsidR="008E065F" w:rsidRDefault="008E065F" w:rsidP="00F2646C">
      <w:pPr>
        <w:rPr>
          <w:rFonts w:ascii="Times New Roman" w:eastAsia="Times New Roman" w:hAnsi="Times New Roman" w:cs="Times New Roman"/>
          <w:kern w:val="0"/>
          <w:lang w:eastAsia="en-GB"/>
          <w14:ligatures w14:val="none"/>
        </w:rPr>
      </w:pPr>
    </w:p>
    <w:p w14:paraId="22DCA83A" w14:textId="77777777" w:rsidR="008E065F" w:rsidRDefault="008E065F" w:rsidP="00F2646C">
      <w:pPr>
        <w:rPr>
          <w:rFonts w:ascii="Times New Roman" w:eastAsia="Times New Roman" w:hAnsi="Times New Roman" w:cs="Times New Roman"/>
          <w:kern w:val="0"/>
          <w:lang w:eastAsia="en-GB"/>
          <w14:ligatures w14:val="none"/>
        </w:rPr>
      </w:pPr>
    </w:p>
    <w:p w14:paraId="4298B196" w14:textId="77777777" w:rsidR="008E065F" w:rsidRDefault="008E065F" w:rsidP="00F2646C">
      <w:pPr>
        <w:rPr>
          <w:rFonts w:ascii="Times New Roman" w:eastAsia="Times New Roman" w:hAnsi="Times New Roman" w:cs="Times New Roman"/>
          <w:kern w:val="0"/>
          <w:lang w:eastAsia="en-GB"/>
          <w14:ligatures w14:val="none"/>
        </w:rPr>
      </w:pPr>
    </w:p>
    <w:p w14:paraId="54FCE46D" w14:textId="77777777" w:rsidR="008E065F" w:rsidRDefault="008E065F" w:rsidP="00F2646C">
      <w:pPr>
        <w:rPr>
          <w:rFonts w:ascii="Times New Roman" w:eastAsia="Times New Roman" w:hAnsi="Times New Roman" w:cs="Times New Roman"/>
          <w:kern w:val="0"/>
          <w:lang w:eastAsia="en-GB"/>
          <w14:ligatures w14:val="none"/>
        </w:rPr>
      </w:pPr>
    </w:p>
    <w:p w14:paraId="5AFB134F" w14:textId="77777777" w:rsidR="008E065F" w:rsidRDefault="008E065F" w:rsidP="00F2646C">
      <w:pPr>
        <w:rPr>
          <w:rFonts w:ascii="Times New Roman" w:eastAsia="Times New Roman" w:hAnsi="Times New Roman" w:cs="Times New Roman"/>
          <w:kern w:val="0"/>
          <w:lang w:eastAsia="en-GB"/>
          <w14:ligatures w14:val="none"/>
        </w:rPr>
      </w:pPr>
    </w:p>
    <w:p w14:paraId="41D3BBC1" w14:textId="77777777" w:rsidR="008E065F" w:rsidRDefault="008E065F" w:rsidP="00F2646C">
      <w:pPr>
        <w:rPr>
          <w:rFonts w:ascii="Times New Roman" w:eastAsia="Times New Roman" w:hAnsi="Times New Roman" w:cs="Times New Roman"/>
          <w:kern w:val="0"/>
          <w:lang w:eastAsia="en-GB"/>
          <w14:ligatures w14:val="none"/>
        </w:rPr>
      </w:pPr>
    </w:p>
    <w:p w14:paraId="17C9DF22" w14:textId="77777777" w:rsidR="008E065F" w:rsidRDefault="008E065F" w:rsidP="00F2646C">
      <w:pPr>
        <w:rPr>
          <w:rFonts w:ascii="Times New Roman" w:eastAsia="Times New Roman" w:hAnsi="Times New Roman" w:cs="Times New Roman"/>
          <w:kern w:val="0"/>
          <w:lang w:eastAsia="en-GB"/>
          <w14:ligatures w14:val="none"/>
        </w:rPr>
      </w:pPr>
    </w:p>
    <w:p w14:paraId="284AD67C" w14:textId="77777777" w:rsidR="008E065F" w:rsidRDefault="008E065F" w:rsidP="00F2646C">
      <w:pPr>
        <w:rPr>
          <w:rFonts w:ascii="Times New Roman" w:eastAsia="Times New Roman" w:hAnsi="Times New Roman" w:cs="Times New Roman"/>
          <w:kern w:val="0"/>
          <w:lang w:eastAsia="en-GB"/>
          <w14:ligatures w14:val="none"/>
        </w:rPr>
      </w:pPr>
    </w:p>
    <w:p w14:paraId="4BB9EDE5" w14:textId="77777777" w:rsidR="008E065F" w:rsidRPr="00F2646C" w:rsidRDefault="008E065F" w:rsidP="00F2646C">
      <w:pPr>
        <w:rPr>
          <w:rFonts w:ascii="Times New Roman" w:eastAsia="Times New Roman" w:hAnsi="Times New Roman" w:cs="Times New Roman"/>
          <w:kern w:val="0"/>
          <w:lang w:eastAsia="en-GB"/>
          <w14:ligatures w14:val="none"/>
        </w:rPr>
      </w:pPr>
    </w:p>
    <w:p w14:paraId="4BA3A846" w14:textId="478F0BF9" w:rsidR="00F2646C" w:rsidRPr="009E7E4E" w:rsidRDefault="00F2646C" w:rsidP="008E065F">
      <w:pPr>
        <w:pStyle w:val="Heading1"/>
        <w:rPr>
          <w:rFonts w:eastAsia="Times New Roman"/>
          <w:lang w:eastAsia="en-GB"/>
        </w:rPr>
      </w:pPr>
      <w:bookmarkStart w:id="1" w:name="_Toc216115069"/>
      <w:r w:rsidRPr="009E7E4E">
        <w:rPr>
          <w:rFonts w:eastAsia="Times New Roman"/>
          <w:lang w:eastAsia="en-GB"/>
        </w:rPr>
        <w:lastRenderedPageBreak/>
        <w:t>1. INTRODUCTION</w:t>
      </w:r>
      <w:bookmarkEnd w:id="1"/>
      <w:r w:rsidRPr="009E7E4E">
        <w:rPr>
          <w:rFonts w:eastAsia="Times New Roman"/>
          <w:lang w:eastAsia="en-GB"/>
        </w:rPr>
        <w:t xml:space="preserve"> </w:t>
      </w:r>
    </w:p>
    <w:p w14:paraId="2B8C5131" w14:textId="77777777" w:rsidR="00100766"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E-energy Ltd is a privately owned oil company that is planning to make major organisational and financial shifts. Its 2022 financial extracts reveal that it has the total assets of £1,500 million and the total liabilities of 1,255 million, leaving the position of equity quite small in relation to a company as large as it is. Meanwhile, the Board will raise non-current assets by £110m and is looking into a public issue in the form of an IPO. Such choices have an impact on the capital structure of the company and cast their doubts upon governance expectations in the UK listing regulations (FRC, 2018).</w:t>
      </w:r>
    </w:p>
    <w:p w14:paraId="607B609E" w14:textId="1B135B04" w:rsidR="00F2646C"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This report has four aims. First, it determines the value of the current equity of the company. Second, it evaluates the impact of the planned change in the non-current assets on leverage and the long-term liabilities that will be needed to sustain the current ratios, the relationship between capital structure and financing strategy (Frank and Shen, 2019). Third, it is a critique of the suggestion to reduce workforce by 45 percent basing on the principles of corporate social responsibility and expectations of the stakeholders. Lastly, it evaluates the post-IPO remuneration of directors, based on agency theory, and UK governance principles to demonstrate the impact of compensation on the behaviour of managers and the creation of long-term value (Hill et al., 2020).</w:t>
      </w:r>
    </w:p>
    <w:p w14:paraId="4F0ED901" w14:textId="2A10AF2C" w:rsidR="00F2646C" w:rsidRPr="009E7E4E" w:rsidRDefault="00F2646C" w:rsidP="008E065F">
      <w:pPr>
        <w:pStyle w:val="Heading1"/>
        <w:rPr>
          <w:rFonts w:eastAsia="Times New Roman"/>
          <w:lang w:eastAsia="en-GB"/>
        </w:rPr>
      </w:pPr>
      <w:bookmarkStart w:id="2" w:name="_Toc216115070"/>
      <w:r w:rsidRPr="009E7E4E">
        <w:rPr>
          <w:rFonts w:eastAsia="Times New Roman"/>
          <w:lang w:eastAsia="en-GB"/>
        </w:rPr>
        <w:t>2. DISCUSSION OF FINDINGS</w:t>
      </w:r>
      <w:bookmarkEnd w:id="2"/>
      <w:r w:rsidRPr="009E7E4E">
        <w:rPr>
          <w:rFonts w:eastAsia="Times New Roman"/>
          <w:lang w:eastAsia="en-GB"/>
        </w:rPr>
        <w:t xml:space="preserve"> </w:t>
      </w:r>
    </w:p>
    <w:p w14:paraId="3B19B482" w14:textId="7A8C0664" w:rsidR="00100766" w:rsidRPr="009E7E4E" w:rsidRDefault="00100766" w:rsidP="008E065F">
      <w:pPr>
        <w:pStyle w:val="Heading2"/>
        <w:rPr>
          <w:rFonts w:eastAsia="Times New Roman"/>
          <w:lang w:eastAsia="en-GB"/>
        </w:rPr>
      </w:pPr>
      <w:bookmarkStart w:id="3" w:name="_Toc216115071"/>
      <w:r w:rsidRPr="009E7E4E">
        <w:rPr>
          <w:rFonts w:eastAsia="Times New Roman"/>
          <w:lang w:eastAsia="en-GB"/>
        </w:rPr>
        <w:t xml:space="preserve">2A. Financial Position </w:t>
      </w:r>
      <w:r w:rsidRPr="009E7E4E">
        <w:rPr>
          <w:rFonts w:eastAsia="Times New Roman"/>
          <w:lang w:eastAsia="en-GB"/>
        </w:rPr>
        <w:t>and</w:t>
      </w:r>
      <w:r w:rsidRPr="009E7E4E">
        <w:rPr>
          <w:rFonts w:eastAsia="Times New Roman"/>
          <w:lang w:eastAsia="en-GB"/>
        </w:rPr>
        <w:t xml:space="preserve"> Equity Valuation</w:t>
      </w:r>
      <w:bookmarkEnd w:id="3"/>
      <w:r w:rsidRPr="009E7E4E">
        <w:rPr>
          <w:rFonts w:eastAsia="Times New Roman"/>
          <w:lang w:eastAsia="en-GB"/>
        </w:rPr>
        <w:t xml:space="preserve"> </w:t>
      </w:r>
    </w:p>
    <w:p w14:paraId="490C6E1E" w14:textId="77777777" w:rsidR="00100766"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 xml:space="preserve">The equity of a company is the amount that remains of the property of the company after subtracting the liability and indicates the ownership of owners in the business (Brealey et al., 2020). According to the 2022 financial extracts, E-energy Ltd has recorded total assets of 1500M and total liabilities of 1255M, with the value of equity being 245M. This gives a point of departure of comprehending solvency and </w:t>
      </w:r>
      <w:proofErr w:type="spellStart"/>
      <w:r w:rsidRPr="009E7E4E">
        <w:rPr>
          <w:rFonts w:ascii="Times New Roman" w:hAnsi="Times New Roman" w:cs="Times New Roman"/>
          <w:lang w:eastAsia="en-GB"/>
        </w:rPr>
        <w:t>gearing.</w:t>
      </w:r>
    </w:p>
    <w:p w14:paraId="6DACE7CC" w14:textId="4EBD239F" w:rsidR="00100766" w:rsidRPr="008E065F" w:rsidRDefault="00100766" w:rsidP="009E7E4E">
      <w:pPr>
        <w:spacing w:line="360" w:lineRule="auto"/>
        <w:jc w:val="both"/>
        <w:rPr>
          <w:rFonts w:ascii="Times New Roman" w:hAnsi="Times New Roman" w:cs="Times New Roman"/>
          <w:b/>
          <w:bCs/>
          <w:lang w:eastAsia="en-GB"/>
        </w:rPr>
      </w:pPr>
      <w:r w:rsidRPr="008E065F">
        <w:rPr>
          <w:rFonts w:ascii="Times New Roman" w:hAnsi="Times New Roman" w:cs="Times New Roman"/>
          <w:b/>
          <w:bCs/>
          <w:lang w:eastAsia="en-GB"/>
        </w:rPr>
        <w:t>Simplifie</w:t>
      </w:r>
      <w:proofErr w:type="spellEnd"/>
      <w:r w:rsidRPr="008E065F">
        <w:rPr>
          <w:rFonts w:ascii="Times New Roman" w:hAnsi="Times New Roman" w:cs="Times New Roman"/>
          <w:b/>
          <w:bCs/>
          <w:lang w:eastAsia="en-GB"/>
        </w:rPr>
        <w:t>d Statement of Financial Position (Extract)</w:t>
      </w:r>
    </w:p>
    <w:tbl>
      <w:tblPr>
        <w:tblStyle w:val="TableGrid"/>
        <w:tblW w:w="0" w:type="auto"/>
        <w:tblLook w:val="04A0" w:firstRow="1" w:lastRow="0" w:firstColumn="1" w:lastColumn="0" w:noHBand="0" w:noVBand="1"/>
      </w:tblPr>
      <w:tblGrid>
        <w:gridCol w:w="1739"/>
        <w:gridCol w:w="756"/>
      </w:tblGrid>
      <w:tr w:rsidR="00100766" w:rsidRPr="009E7E4E" w14:paraId="47C9D2AC" w14:textId="77777777" w:rsidTr="00100766">
        <w:tc>
          <w:tcPr>
            <w:tcW w:w="0" w:type="auto"/>
            <w:hideMark/>
          </w:tcPr>
          <w:p w14:paraId="1D4565F0" w14:textId="77777777" w:rsidR="00100766"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 million</w:t>
            </w:r>
          </w:p>
        </w:tc>
        <w:tc>
          <w:tcPr>
            <w:tcW w:w="0" w:type="auto"/>
            <w:hideMark/>
          </w:tcPr>
          <w:p w14:paraId="0A64602A" w14:textId="77777777" w:rsidR="00100766"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2022</w:t>
            </w:r>
          </w:p>
        </w:tc>
      </w:tr>
      <w:tr w:rsidR="00100766" w:rsidRPr="009E7E4E" w14:paraId="451704A0" w14:textId="77777777" w:rsidTr="00100766">
        <w:tc>
          <w:tcPr>
            <w:tcW w:w="0" w:type="auto"/>
            <w:hideMark/>
          </w:tcPr>
          <w:p w14:paraId="24A3D8CB" w14:textId="77777777" w:rsidR="00100766"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Total Assets</w:t>
            </w:r>
          </w:p>
        </w:tc>
        <w:tc>
          <w:tcPr>
            <w:tcW w:w="0" w:type="auto"/>
            <w:hideMark/>
          </w:tcPr>
          <w:p w14:paraId="3CC0A216" w14:textId="77777777" w:rsidR="00100766"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1,500</w:t>
            </w:r>
          </w:p>
        </w:tc>
      </w:tr>
      <w:tr w:rsidR="00100766" w:rsidRPr="009E7E4E" w14:paraId="5321AFBD" w14:textId="77777777" w:rsidTr="00100766">
        <w:tc>
          <w:tcPr>
            <w:tcW w:w="0" w:type="auto"/>
            <w:hideMark/>
          </w:tcPr>
          <w:p w14:paraId="1F1957C7" w14:textId="77777777" w:rsidR="00100766"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Total Liabilities</w:t>
            </w:r>
          </w:p>
        </w:tc>
        <w:tc>
          <w:tcPr>
            <w:tcW w:w="0" w:type="auto"/>
            <w:hideMark/>
          </w:tcPr>
          <w:p w14:paraId="2A49251E" w14:textId="77777777" w:rsidR="00100766"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1,255</w:t>
            </w:r>
          </w:p>
        </w:tc>
      </w:tr>
      <w:tr w:rsidR="00100766" w:rsidRPr="009E7E4E" w14:paraId="05C81DEF" w14:textId="77777777" w:rsidTr="00100766">
        <w:tc>
          <w:tcPr>
            <w:tcW w:w="0" w:type="auto"/>
            <w:hideMark/>
          </w:tcPr>
          <w:p w14:paraId="4E5FB635" w14:textId="77777777" w:rsidR="00100766"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Equity</w:t>
            </w:r>
          </w:p>
        </w:tc>
        <w:tc>
          <w:tcPr>
            <w:tcW w:w="0" w:type="auto"/>
            <w:hideMark/>
          </w:tcPr>
          <w:p w14:paraId="48DDF335" w14:textId="77777777" w:rsidR="00100766"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245</w:t>
            </w:r>
          </w:p>
        </w:tc>
      </w:tr>
    </w:tbl>
    <w:p w14:paraId="4002DF58" w14:textId="77777777" w:rsidR="00100766"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 xml:space="preserve">The working capital is also used to show how financially healthy a company is at the short-term. The current ratio stands at 1.82:1, which is considered a comfortable current ratio to meet </w:t>
      </w:r>
      <w:r w:rsidRPr="009E7E4E">
        <w:rPr>
          <w:rFonts w:ascii="Times New Roman" w:hAnsi="Times New Roman" w:cs="Times New Roman"/>
          <w:lang w:eastAsia="en-GB"/>
        </w:rPr>
        <w:lastRenderedPageBreak/>
        <w:t>the minimum of short-term obligations because current assets are 620 million and the current liabilities are 340 million (</w:t>
      </w:r>
      <w:proofErr w:type="spellStart"/>
      <w:r w:rsidRPr="009E7E4E">
        <w:rPr>
          <w:rFonts w:ascii="Times New Roman" w:hAnsi="Times New Roman" w:cs="Times New Roman"/>
          <w:lang w:eastAsia="en-GB"/>
        </w:rPr>
        <w:t>Atrill</w:t>
      </w:r>
      <w:proofErr w:type="spellEnd"/>
      <w:r w:rsidRPr="009E7E4E">
        <w:rPr>
          <w:rFonts w:ascii="Times New Roman" w:hAnsi="Times New Roman" w:cs="Times New Roman"/>
          <w:lang w:eastAsia="en-GB"/>
        </w:rPr>
        <w:t xml:space="preserve"> &amp; McLaney, 2020). This implies that there was enough liquidity prior to any restructuring.</w:t>
      </w:r>
    </w:p>
    <w:p w14:paraId="1CA3D472" w14:textId="6A50FCE5" w:rsidR="00100766" w:rsidRPr="008E065F" w:rsidRDefault="00100766" w:rsidP="009E7E4E">
      <w:pPr>
        <w:spacing w:line="360" w:lineRule="auto"/>
        <w:jc w:val="both"/>
        <w:rPr>
          <w:rFonts w:ascii="Times New Roman" w:hAnsi="Times New Roman" w:cs="Times New Roman"/>
          <w:b/>
          <w:bCs/>
          <w:lang w:eastAsia="en-GB"/>
        </w:rPr>
      </w:pPr>
      <w:r w:rsidRPr="008E065F">
        <w:rPr>
          <w:rFonts w:ascii="Times New Roman" w:hAnsi="Times New Roman" w:cs="Times New Roman"/>
          <w:b/>
          <w:bCs/>
          <w:lang w:eastAsia="en-GB"/>
        </w:rPr>
        <w:t>Working Capital Snapshot</w:t>
      </w:r>
    </w:p>
    <w:tbl>
      <w:tblPr>
        <w:tblStyle w:val="TableGrid"/>
        <w:tblW w:w="0" w:type="auto"/>
        <w:tblLook w:val="04A0" w:firstRow="1" w:lastRow="0" w:firstColumn="1" w:lastColumn="0" w:noHBand="0" w:noVBand="1"/>
      </w:tblPr>
      <w:tblGrid>
        <w:gridCol w:w="1983"/>
        <w:gridCol w:w="696"/>
      </w:tblGrid>
      <w:tr w:rsidR="00100766" w:rsidRPr="009E7E4E" w14:paraId="384BA071" w14:textId="77777777" w:rsidTr="00100766">
        <w:tc>
          <w:tcPr>
            <w:tcW w:w="0" w:type="auto"/>
            <w:hideMark/>
          </w:tcPr>
          <w:p w14:paraId="5419D61B" w14:textId="77777777" w:rsidR="00100766"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 million</w:t>
            </w:r>
          </w:p>
        </w:tc>
        <w:tc>
          <w:tcPr>
            <w:tcW w:w="0" w:type="auto"/>
            <w:hideMark/>
          </w:tcPr>
          <w:p w14:paraId="7E37A897" w14:textId="77777777" w:rsidR="00100766"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2022</w:t>
            </w:r>
          </w:p>
        </w:tc>
      </w:tr>
      <w:tr w:rsidR="00100766" w:rsidRPr="009E7E4E" w14:paraId="1BD03994" w14:textId="77777777" w:rsidTr="00100766">
        <w:tc>
          <w:tcPr>
            <w:tcW w:w="0" w:type="auto"/>
            <w:hideMark/>
          </w:tcPr>
          <w:p w14:paraId="4856E4FE" w14:textId="77777777" w:rsidR="00100766"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Current Assets</w:t>
            </w:r>
          </w:p>
        </w:tc>
        <w:tc>
          <w:tcPr>
            <w:tcW w:w="0" w:type="auto"/>
            <w:hideMark/>
          </w:tcPr>
          <w:p w14:paraId="489BCB3A" w14:textId="77777777" w:rsidR="00100766"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620</w:t>
            </w:r>
          </w:p>
        </w:tc>
      </w:tr>
      <w:tr w:rsidR="00100766" w:rsidRPr="009E7E4E" w14:paraId="230B68F3" w14:textId="77777777" w:rsidTr="00100766">
        <w:tc>
          <w:tcPr>
            <w:tcW w:w="0" w:type="auto"/>
            <w:hideMark/>
          </w:tcPr>
          <w:p w14:paraId="1E3D9D83" w14:textId="77777777" w:rsidR="00100766"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Current Liabilities</w:t>
            </w:r>
          </w:p>
        </w:tc>
        <w:tc>
          <w:tcPr>
            <w:tcW w:w="0" w:type="auto"/>
            <w:hideMark/>
          </w:tcPr>
          <w:p w14:paraId="3CD06DA7" w14:textId="77777777" w:rsidR="00100766"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340</w:t>
            </w:r>
          </w:p>
        </w:tc>
      </w:tr>
      <w:tr w:rsidR="00100766" w:rsidRPr="009E7E4E" w14:paraId="6198EE53" w14:textId="77777777" w:rsidTr="00100766">
        <w:tc>
          <w:tcPr>
            <w:tcW w:w="0" w:type="auto"/>
            <w:hideMark/>
          </w:tcPr>
          <w:p w14:paraId="07C5FE7C" w14:textId="77777777" w:rsidR="00100766"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Current Ratio</w:t>
            </w:r>
          </w:p>
        </w:tc>
        <w:tc>
          <w:tcPr>
            <w:tcW w:w="0" w:type="auto"/>
            <w:hideMark/>
          </w:tcPr>
          <w:p w14:paraId="51C0841B" w14:textId="77777777" w:rsidR="00100766"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1.82</w:t>
            </w:r>
          </w:p>
        </w:tc>
      </w:tr>
    </w:tbl>
    <w:p w14:paraId="20E03A36" w14:textId="77777777" w:rsidR="00100766"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Nevertheless, the equities are relatively low when compared to the total assets hence a leveraged structure. Such a gearing position leaves the firm at increased financial risk particularly during a growth preparation or IPO preparation. The capital structure theory emphasizes the fact that companies need to balance the cost benefits of a debt with the increasing risk of experiencing financial distress as leverage rises (Frank &amp; Shen, 2019). In the case of E-energy Ltd, the ratio of equity to liabilities of 245 million to 1,255 million is an indication of low shock-absorbing capacity. Although the company is not at the time under the risk of instability, the situation of its solvency implies that any significant growth in its assets or liabilities should be approached with caution to prevent the decline in its gearing ratio and investor trust.</w:t>
      </w:r>
    </w:p>
    <w:p w14:paraId="16DEF477" w14:textId="47CDD4FD" w:rsidR="00100766" w:rsidRPr="009E7E4E" w:rsidRDefault="00100766" w:rsidP="008E065F">
      <w:pPr>
        <w:pStyle w:val="Heading2"/>
        <w:rPr>
          <w:rFonts w:eastAsia="Times New Roman"/>
          <w:lang w:eastAsia="en-GB"/>
        </w:rPr>
      </w:pPr>
      <w:bookmarkStart w:id="4" w:name="_Toc216115072"/>
      <w:r w:rsidRPr="009E7E4E">
        <w:rPr>
          <w:rFonts w:eastAsia="Times New Roman"/>
          <w:lang w:eastAsia="en-GB"/>
        </w:rPr>
        <w:t xml:space="preserve">2B. Ratio Impact of Increasing Non-Current Assets </w:t>
      </w:r>
      <w:r w:rsidRPr="009E7E4E">
        <w:rPr>
          <w:rFonts w:eastAsia="Times New Roman"/>
          <w:lang w:eastAsia="en-GB"/>
        </w:rPr>
        <w:t>and</w:t>
      </w:r>
      <w:r w:rsidRPr="009E7E4E">
        <w:rPr>
          <w:rFonts w:eastAsia="Times New Roman"/>
          <w:lang w:eastAsia="en-GB"/>
        </w:rPr>
        <w:t xml:space="preserve"> Required Increase in Long-Term Liabilities</w:t>
      </w:r>
      <w:bookmarkEnd w:id="4"/>
      <w:r w:rsidRPr="009E7E4E">
        <w:rPr>
          <w:rFonts w:eastAsia="Times New Roman"/>
          <w:lang w:eastAsia="en-GB"/>
        </w:rPr>
        <w:t xml:space="preserve"> </w:t>
      </w:r>
    </w:p>
    <w:p w14:paraId="02553208" w14:textId="77777777" w:rsidR="00100766"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E-energy Ltd currently operates with a high liabilities-to-equity ratio. Using the 2022 figures, total liabilities of £1,255 million and equity of £245 million produce a leverage ratio of:</w:t>
      </w:r>
    </w:p>
    <w:p w14:paraId="196D043F" w14:textId="7EA9F69F" w:rsidR="00100766" w:rsidRPr="008E065F" w:rsidRDefault="00100766" w:rsidP="008E065F">
      <w:pPr>
        <w:spacing w:line="360" w:lineRule="auto"/>
        <w:jc w:val="center"/>
        <w:rPr>
          <w:rFonts w:ascii="Times New Roman" w:hAnsi="Times New Roman" w:cs="Times New Roman"/>
          <w:b/>
          <w:bCs/>
          <w:lang w:eastAsia="en-GB"/>
        </w:rPr>
      </w:pPr>
      <w:r w:rsidRPr="008E065F">
        <w:rPr>
          <w:rFonts w:ascii="Times New Roman" w:hAnsi="Times New Roman" w:cs="Times New Roman"/>
          <w:b/>
          <w:bCs/>
          <w:lang w:eastAsia="en-GB"/>
        </w:rPr>
        <w:t>1,255</w:t>
      </w:r>
      <w:r w:rsidRPr="008E065F">
        <w:rPr>
          <w:rFonts w:ascii="Times New Roman" w:hAnsi="Times New Roman" w:cs="Times New Roman"/>
          <w:b/>
          <w:bCs/>
          <w:lang w:eastAsia="en-GB"/>
        </w:rPr>
        <w:t>/</w:t>
      </w:r>
      <w:r w:rsidRPr="008E065F">
        <w:rPr>
          <w:rFonts w:ascii="Times New Roman" w:hAnsi="Times New Roman" w:cs="Times New Roman"/>
          <w:b/>
          <w:bCs/>
          <w:lang w:eastAsia="en-GB"/>
        </w:rPr>
        <w:t>245=5.12</w:t>
      </w:r>
    </w:p>
    <w:p w14:paraId="0648A63B" w14:textId="77777777" w:rsidR="00100766"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 xml:space="preserve">This means the company uses £5.12 of liabilities for every £1 of equity—a structure that the Board wishes to maintain when non-current assets increase by £110 million. The asset increase raises total assets from £1,500 million to £1,610 </w:t>
      </w:r>
      <w:proofErr w:type="gramStart"/>
      <w:r w:rsidRPr="009E7E4E">
        <w:rPr>
          <w:rFonts w:ascii="Times New Roman" w:hAnsi="Times New Roman" w:cs="Times New Roman"/>
          <w:lang w:eastAsia="en-GB"/>
        </w:rPr>
        <w:t>million .</w:t>
      </w:r>
      <w:proofErr w:type="gramEnd"/>
    </w:p>
    <w:p w14:paraId="2C1DD889" w14:textId="77777777" w:rsidR="00100766"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To preserve the existing leverage, the following condition must hold:</w:t>
      </w:r>
    </w:p>
    <w:p w14:paraId="1008D4F7" w14:textId="5A715233" w:rsidR="00100766" w:rsidRPr="008E065F" w:rsidRDefault="00100766" w:rsidP="008E065F">
      <w:pPr>
        <w:spacing w:line="360" w:lineRule="auto"/>
        <w:jc w:val="center"/>
        <w:rPr>
          <w:rFonts w:ascii="Times New Roman" w:hAnsi="Times New Roman" w:cs="Times New Roman"/>
          <w:b/>
          <w:bCs/>
          <w:lang w:eastAsia="en-GB"/>
        </w:rPr>
      </w:pPr>
      <w:r w:rsidRPr="008E065F">
        <w:rPr>
          <w:rFonts w:ascii="Times New Roman" w:hAnsi="Times New Roman" w:cs="Times New Roman"/>
          <w:b/>
          <w:bCs/>
          <w:lang w:eastAsia="en-GB"/>
        </w:rPr>
        <w:t>L′</w:t>
      </w:r>
      <w:r w:rsidRPr="008E065F">
        <w:rPr>
          <w:rFonts w:ascii="Times New Roman" w:hAnsi="Times New Roman" w:cs="Times New Roman"/>
          <w:b/>
          <w:bCs/>
          <w:lang w:eastAsia="en-GB"/>
        </w:rPr>
        <w:t>/</w:t>
      </w:r>
      <w:r w:rsidRPr="008E065F">
        <w:rPr>
          <w:rFonts w:ascii="Times New Roman" w:hAnsi="Times New Roman" w:cs="Times New Roman"/>
          <w:b/>
          <w:bCs/>
          <w:lang w:eastAsia="en-GB"/>
        </w:rPr>
        <w:t>E′=5.12</w:t>
      </w:r>
    </w:p>
    <w:p w14:paraId="3DDECF5D" w14:textId="77777777" w:rsidR="00100766" w:rsidRPr="008E065F" w:rsidRDefault="00100766" w:rsidP="008E065F">
      <w:pPr>
        <w:spacing w:line="360" w:lineRule="auto"/>
        <w:jc w:val="center"/>
        <w:rPr>
          <w:rFonts w:ascii="Times New Roman" w:hAnsi="Times New Roman" w:cs="Times New Roman"/>
          <w:b/>
          <w:bCs/>
          <w:lang w:eastAsia="en-GB"/>
        </w:rPr>
      </w:pPr>
      <w:r w:rsidRPr="008E065F">
        <w:rPr>
          <w:rFonts w:ascii="Times New Roman" w:hAnsi="Times New Roman" w:cs="Times New Roman"/>
          <w:b/>
          <w:bCs/>
          <w:lang w:eastAsia="en-GB"/>
        </w:rPr>
        <w:t>and</w:t>
      </w:r>
    </w:p>
    <w:p w14:paraId="27C5EF24" w14:textId="11C15BC7" w:rsidR="00100766" w:rsidRPr="008E065F" w:rsidRDefault="00100766" w:rsidP="008E065F">
      <w:pPr>
        <w:spacing w:line="360" w:lineRule="auto"/>
        <w:jc w:val="center"/>
        <w:rPr>
          <w:rFonts w:ascii="Times New Roman" w:hAnsi="Times New Roman" w:cs="Times New Roman"/>
          <w:b/>
          <w:bCs/>
          <w:lang w:eastAsia="en-GB"/>
        </w:rPr>
      </w:pPr>
      <w:r w:rsidRPr="008E065F">
        <w:rPr>
          <w:rFonts w:ascii="Times New Roman" w:hAnsi="Times New Roman" w:cs="Times New Roman"/>
          <w:b/>
          <w:bCs/>
          <w:lang w:eastAsia="en-GB"/>
        </w:rPr>
        <w:t>L′+E′=1,61</w:t>
      </w:r>
    </w:p>
    <w:p w14:paraId="6F73EF13" w14:textId="77777777" w:rsidR="00100766"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Substituting the first equation into the second:</w:t>
      </w:r>
    </w:p>
    <w:p w14:paraId="5DB38E3F" w14:textId="77777777" w:rsidR="00100766" w:rsidRPr="008E065F" w:rsidRDefault="00100766" w:rsidP="008E065F">
      <w:pPr>
        <w:spacing w:line="360" w:lineRule="auto"/>
        <w:jc w:val="center"/>
        <w:rPr>
          <w:rFonts w:ascii="Times New Roman" w:hAnsi="Times New Roman" w:cs="Times New Roman"/>
          <w:b/>
          <w:bCs/>
          <w:lang w:eastAsia="en-GB"/>
        </w:rPr>
      </w:pPr>
      <w:r w:rsidRPr="008E065F">
        <w:rPr>
          <w:rFonts w:ascii="Times New Roman" w:hAnsi="Times New Roman" w:cs="Times New Roman"/>
          <w:b/>
          <w:bCs/>
          <w:lang w:eastAsia="en-GB"/>
        </w:rPr>
        <w:t>5.12E′+E′=1,610</w:t>
      </w:r>
    </w:p>
    <w:p w14:paraId="38F5F023" w14:textId="77777777" w:rsidR="00100766" w:rsidRPr="008E065F" w:rsidRDefault="00100766" w:rsidP="008E065F">
      <w:pPr>
        <w:spacing w:line="360" w:lineRule="auto"/>
        <w:jc w:val="center"/>
        <w:rPr>
          <w:rFonts w:ascii="Times New Roman" w:hAnsi="Times New Roman" w:cs="Times New Roman"/>
          <w:b/>
          <w:bCs/>
          <w:lang w:eastAsia="en-GB"/>
        </w:rPr>
      </w:pPr>
    </w:p>
    <w:p w14:paraId="7B99C0BD" w14:textId="77777777" w:rsidR="00100766" w:rsidRPr="008E065F" w:rsidRDefault="00100766" w:rsidP="008E065F">
      <w:pPr>
        <w:spacing w:line="360" w:lineRule="auto"/>
        <w:jc w:val="center"/>
        <w:rPr>
          <w:rFonts w:ascii="Times New Roman" w:hAnsi="Times New Roman" w:cs="Times New Roman"/>
          <w:b/>
          <w:bCs/>
          <w:lang w:eastAsia="en-GB"/>
        </w:rPr>
      </w:pPr>
      <w:r w:rsidRPr="008E065F">
        <w:rPr>
          <w:rFonts w:ascii="Times New Roman" w:hAnsi="Times New Roman" w:cs="Times New Roman"/>
          <w:b/>
          <w:bCs/>
          <w:lang w:eastAsia="en-GB"/>
        </w:rPr>
        <w:lastRenderedPageBreak/>
        <w:t>6.12E′=1,610</w:t>
      </w:r>
    </w:p>
    <w:p w14:paraId="250B7E1E" w14:textId="77777777" w:rsidR="00100766" w:rsidRPr="008E065F" w:rsidRDefault="00100766" w:rsidP="008E065F">
      <w:pPr>
        <w:spacing w:line="360" w:lineRule="auto"/>
        <w:jc w:val="center"/>
        <w:rPr>
          <w:rFonts w:ascii="Times New Roman" w:hAnsi="Times New Roman" w:cs="Times New Roman"/>
          <w:b/>
          <w:bCs/>
          <w:lang w:eastAsia="en-GB"/>
        </w:rPr>
      </w:pPr>
    </w:p>
    <w:p w14:paraId="1558E3F1" w14:textId="77777777" w:rsidR="00100766" w:rsidRPr="008E065F" w:rsidRDefault="00100766" w:rsidP="008E065F">
      <w:pPr>
        <w:spacing w:line="360" w:lineRule="auto"/>
        <w:jc w:val="center"/>
        <w:rPr>
          <w:rFonts w:ascii="Times New Roman" w:hAnsi="Times New Roman" w:cs="Times New Roman"/>
          <w:b/>
          <w:bCs/>
          <w:lang w:eastAsia="en-GB"/>
        </w:rPr>
      </w:pPr>
      <w:r w:rsidRPr="008E065F">
        <w:rPr>
          <w:rFonts w:ascii="Times New Roman" w:hAnsi="Times New Roman" w:cs="Times New Roman"/>
          <w:b/>
          <w:bCs/>
          <w:lang w:eastAsia="en-GB"/>
        </w:rPr>
        <w:t>E′=£262.97m,</w:t>
      </w:r>
    </w:p>
    <w:p w14:paraId="3CEFB107" w14:textId="77777777" w:rsidR="00100766" w:rsidRPr="008E065F" w:rsidRDefault="00100766" w:rsidP="008E065F">
      <w:pPr>
        <w:spacing w:line="360" w:lineRule="auto"/>
        <w:jc w:val="center"/>
        <w:rPr>
          <w:rFonts w:ascii="Times New Roman" w:hAnsi="Times New Roman" w:cs="Times New Roman"/>
          <w:b/>
          <w:bCs/>
          <w:lang w:eastAsia="en-GB"/>
        </w:rPr>
      </w:pPr>
    </w:p>
    <w:p w14:paraId="7BAC7524" w14:textId="77777777" w:rsidR="00100766" w:rsidRPr="008E065F" w:rsidRDefault="00100766" w:rsidP="008E065F">
      <w:pPr>
        <w:spacing w:line="360" w:lineRule="auto"/>
        <w:jc w:val="center"/>
        <w:rPr>
          <w:rFonts w:ascii="Times New Roman" w:hAnsi="Times New Roman" w:cs="Times New Roman"/>
          <w:b/>
          <w:bCs/>
          <w:lang w:eastAsia="en-GB"/>
        </w:rPr>
      </w:pPr>
      <w:r w:rsidRPr="008E065F">
        <w:rPr>
          <w:rFonts w:ascii="Times New Roman" w:hAnsi="Times New Roman" w:cs="Times New Roman"/>
          <w:b/>
          <w:bCs/>
          <w:lang w:eastAsia="en-GB"/>
        </w:rPr>
        <w:t>L′=1,610−262.97=£1,347.03m</w:t>
      </w:r>
    </w:p>
    <w:p w14:paraId="62737693" w14:textId="77777777" w:rsidR="00100766" w:rsidRPr="009E7E4E" w:rsidRDefault="00100766" w:rsidP="009E7E4E">
      <w:pPr>
        <w:spacing w:line="360" w:lineRule="auto"/>
        <w:jc w:val="both"/>
        <w:rPr>
          <w:rFonts w:ascii="Times New Roman" w:hAnsi="Times New Roman" w:cs="Times New Roman"/>
          <w:lang w:eastAsia="en-GB"/>
        </w:rPr>
      </w:pPr>
    </w:p>
    <w:p w14:paraId="309FC64E" w14:textId="77777777" w:rsidR="00100766" w:rsidRPr="009E7E4E" w:rsidRDefault="00100766"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The increase in long-term liabilities required is therefore:</w:t>
      </w:r>
    </w:p>
    <w:p w14:paraId="7C875EC5" w14:textId="603A6B52" w:rsidR="00100766" w:rsidRPr="008E065F" w:rsidRDefault="00100766" w:rsidP="008E065F">
      <w:pPr>
        <w:spacing w:line="360" w:lineRule="auto"/>
        <w:jc w:val="center"/>
        <w:rPr>
          <w:rFonts w:ascii="Times New Roman" w:hAnsi="Times New Roman" w:cs="Times New Roman"/>
          <w:b/>
          <w:bCs/>
          <w:lang w:eastAsia="en-GB"/>
        </w:rPr>
      </w:pPr>
      <w:r w:rsidRPr="008E065F">
        <w:rPr>
          <w:rFonts w:ascii="Times New Roman" w:hAnsi="Times New Roman" w:cs="Times New Roman"/>
          <w:b/>
          <w:bCs/>
          <w:lang w:eastAsia="en-GB"/>
        </w:rPr>
        <w:t>1,347.03−1,255=£92.03m</w:t>
      </w:r>
    </w:p>
    <w:p w14:paraId="3E9E3078" w14:textId="16C94AEE" w:rsidR="00100766" w:rsidRPr="009E7E4E" w:rsidRDefault="009402AA"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 xml:space="preserve">Bringing an additional long-term debt of £92 million is an option that maintains the capital </w:t>
      </w:r>
      <w:proofErr w:type="gramStart"/>
      <w:r w:rsidRPr="009E7E4E">
        <w:rPr>
          <w:rFonts w:ascii="Times New Roman" w:hAnsi="Times New Roman" w:cs="Times New Roman"/>
          <w:lang w:eastAsia="en-GB"/>
        </w:rPr>
        <w:t>structure, but</w:t>
      </w:r>
      <w:proofErr w:type="gramEnd"/>
      <w:r w:rsidRPr="009E7E4E">
        <w:rPr>
          <w:rFonts w:ascii="Times New Roman" w:hAnsi="Times New Roman" w:cs="Times New Roman"/>
          <w:lang w:eastAsia="en-GB"/>
        </w:rPr>
        <w:t xml:space="preserve"> risks more finance. Increased leverage increases the cost of equity in the Modigliani-Miller model and increases volatility exposure particularly in the energy markets (Brealey and Shen, 2020). Gearing should then be handled carefully before an IPO.</w:t>
      </w:r>
    </w:p>
    <w:p w14:paraId="3E0ECBD3" w14:textId="1F8D6CA6" w:rsidR="00100766" w:rsidRPr="009E7E4E" w:rsidRDefault="00100766" w:rsidP="008E065F">
      <w:pPr>
        <w:pStyle w:val="Heading2"/>
        <w:rPr>
          <w:rFonts w:eastAsia="Times New Roman"/>
          <w:lang w:eastAsia="en-GB"/>
        </w:rPr>
      </w:pPr>
      <w:bookmarkStart w:id="5" w:name="_Toc216115073"/>
      <w:r w:rsidRPr="009E7E4E">
        <w:rPr>
          <w:rFonts w:eastAsia="Times New Roman"/>
          <w:lang w:eastAsia="en-GB"/>
        </w:rPr>
        <w:t>2C. Critical Argument Against 45% Workforce Reduction</w:t>
      </w:r>
      <w:bookmarkEnd w:id="5"/>
      <w:r w:rsidRPr="009E7E4E">
        <w:rPr>
          <w:rFonts w:eastAsia="Times New Roman"/>
          <w:lang w:eastAsia="en-GB"/>
        </w:rPr>
        <w:t xml:space="preserve"> </w:t>
      </w:r>
    </w:p>
    <w:p w14:paraId="46169E0E" w14:textId="77777777" w:rsidR="009E7E4E" w:rsidRPr="009E7E4E" w:rsidRDefault="009E7E4E"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Nobody would claim that the downsizing of 45 percent of the workforce is in line with the contemporary demands of ethical governance and cannot be justified by the long-term value of E-energy Ltd. According to the UK Corporate Governance Code, boards should take into consideration employee interests and make sure that organisational culture offers sustainable success (FRC, 2018). Reducing the number of employees by close to half is something that would be against these principles, and it will likely hurt the reputation of the company during the time when it is preparing to be listed publicly. The past few years have seen an increase in the level of social practices scrutiny by investors, where evidence indicates that companies with better employee-related ESG indicators are priced at a higher value and perceived to be less risky (Grewal et al., 2020).</w:t>
      </w:r>
    </w:p>
    <w:p w14:paraId="6CBA6510" w14:textId="77777777" w:rsidR="009E7E4E" w:rsidRPr="009E7E4E" w:rsidRDefault="009E7E4E"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The CSR theory also offers a very good rationale against such a reduction. The stakeholder theory underlines that employees are key drivers of the value creation and organisational stability (Freeman et al., 2020). Massive layoff like this would demotivate, break up knowledge networks and destabilize the existing culture of family that the company has built. The triple bottom line model also emphasizes the fact that social performance also has a direct impact on the future financial performance; mistreating employees can become a source of a bad reputation and business interference (Elkington, 2018).</w:t>
      </w:r>
    </w:p>
    <w:p w14:paraId="45C3F8D2" w14:textId="77777777" w:rsidR="009E7E4E" w:rsidRPr="009E7E4E" w:rsidRDefault="009E7E4E"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 xml:space="preserve">The agency theory is also a warning of short-term cost cutting decisions at the long-term capability cost. It has been found that massive layoffs often do not bring long-term financial returns and may lower organisational resilience (Cascio, 2019). To an external investor looking </w:t>
      </w:r>
      <w:r w:rsidRPr="009E7E4E">
        <w:rPr>
          <w:rFonts w:ascii="Times New Roman" w:hAnsi="Times New Roman" w:cs="Times New Roman"/>
          <w:lang w:eastAsia="en-GB"/>
        </w:rPr>
        <w:lastRenderedPageBreak/>
        <w:t>to invest in a company, that instability can cast doubt on the quality of leadership and its strategy.</w:t>
      </w:r>
    </w:p>
    <w:p w14:paraId="58AE4414" w14:textId="4A760296" w:rsidR="00100766" w:rsidRPr="009E7E4E" w:rsidRDefault="009E7E4E"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All in all, the downsizing of 45 percent workforce is inconsistent with good governance, principles of CSR and long-term value creation. It would endanger the prospects of IPO and undermine the strategic position of the firm.</w:t>
      </w:r>
    </w:p>
    <w:p w14:paraId="07A7EADC" w14:textId="678A0FEC" w:rsidR="00F2646C" w:rsidRPr="009E7E4E" w:rsidRDefault="00100766" w:rsidP="008E065F">
      <w:pPr>
        <w:pStyle w:val="Heading2"/>
        <w:rPr>
          <w:rFonts w:eastAsia="Times New Roman"/>
          <w:lang w:eastAsia="en-GB"/>
        </w:rPr>
      </w:pPr>
      <w:bookmarkStart w:id="6" w:name="_Toc216115074"/>
      <w:r w:rsidRPr="009E7E4E">
        <w:rPr>
          <w:rFonts w:eastAsia="Times New Roman"/>
          <w:lang w:eastAsia="en-GB"/>
        </w:rPr>
        <w:t xml:space="preserve">2D. Director Remuneration After IPO </w:t>
      </w:r>
      <w:r w:rsidR="009E7E4E" w:rsidRPr="009E7E4E">
        <w:rPr>
          <w:rFonts w:eastAsia="Times New Roman"/>
          <w:lang w:eastAsia="en-GB"/>
        </w:rPr>
        <w:t>and</w:t>
      </w:r>
      <w:r w:rsidRPr="009E7E4E">
        <w:rPr>
          <w:rFonts w:eastAsia="Times New Roman"/>
          <w:lang w:eastAsia="en-GB"/>
        </w:rPr>
        <w:t xml:space="preserve"> Governance Structures</w:t>
      </w:r>
      <w:bookmarkEnd w:id="6"/>
      <w:r w:rsidRPr="009E7E4E">
        <w:rPr>
          <w:rFonts w:eastAsia="Times New Roman"/>
          <w:lang w:eastAsia="en-GB"/>
        </w:rPr>
        <w:t xml:space="preserve"> </w:t>
      </w:r>
    </w:p>
    <w:p w14:paraId="414A869E" w14:textId="77777777" w:rsidR="009E7E4E" w:rsidRPr="009E7E4E" w:rsidRDefault="009E7E4E"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Should E-energy Ltd decide to go with an IPO, the remuneration of directors will have to change its privately negotiated practice to an open, well-managed framework compliant with the UK listing requirements. The UK Corporate Governance Code stipulates that remuneration policies should contribute to long-term sustainable success, they should be explicitly aligned with strategy, and managed by an independent remuneration committee (FRC, 2018). This committee must also compare remuneration with other similar listed companies and make incentives dependent on performance and not seniority.</w:t>
      </w:r>
    </w:p>
    <w:p w14:paraId="631B2820" w14:textId="77777777" w:rsidR="009E7E4E" w:rsidRPr="009E7E4E" w:rsidRDefault="009E7E4E"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 xml:space="preserve">The remuneration package of directors after the IPO ought to be a combination of fixed salary coupled with long term and </w:t>
      </w:r>
      <w:proofErr w:type="gramStart"/>
      <w:r w:rsidRPr="009E7E4E">
        <w:rPr>
          <w:rFonts w:ascii="Times New Roman" w:hAnsi="Times New Roman" w:cs="Times New Roman"/>
          <w:lang w:eastAsia="en-GB"/>
        </w:rPr>
        <w:t>performance based</w:t>
      </w:r>
      <w:proofErr w:type="gramEnd"/>
      <w:r w:rsidRPr="009E7E4E">
        <w:rPr>
          <w:rFonts w:ascii="Times New Roman" w:hAnsi="Times New Roman" w:cs="Times New Roman"/>
          <w:lang w:eastAsia="en-GB"/>
        </w:rPr>
        <w:t xml:space="preserve"> elements. Multi-year-vesting share-based incentives are also highly advised since they provide a long-term orientation and minimize the risk-taking in the short-term (Edmans et al., 2018). The performance measures must not be limited to financial performance, but also safety performance and operation and environmental efficiency, as the investor expectation in the energy industry.</w:t>
      </w:r>
    </w:p>
    <w:p w14:paraId="23DF2D77" w14:textId="77777777" w:rsidR="009E7E4E" w:rsidRPr="009E7E4E" w:rsidRDefault="009E7E4E"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The significance of such a structure can be described as per the agency theory: without properly crafted incentives, managers can serve their own interests, instead of those of shareholders. The agency costs can be addressed by aligning compensation with the long-term value creation (Hill et al., 2020). It is also necessary to disclose remuneration policies in a transparent manner since the IPO investors are becoming more demanding about the quality of governance when valuing new listings (PwC, 2021).</w:t>
      </w:r>
    </w:p>
    <w:p w14:paraId="0FEA3CD1" w14:textId="43DFFFE7" w:rsidR="009E7E4E" w:rsidRPr="009E7E4E" w:rsidRDefault="009E7E4E"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Other governance mechanisms ought to be put in place prior to listing such as a majority independent board, a stronger audit committee and a separate risk committee that is well in a position to manage the commodity price volatility and operational risks. These arrangements portend responsibility and increase investor confidence which facilitates a more successful transition to state ownership.</w:t>
      </w:r>
    </w:p>
    <w:p w14:paraId="70320470" w14:textId="708E1EBA" w:rsidR="00F2646C" w:rsidRPr="009E7E4E" w:rsidRDefault="00F2646C" w:rsidP="008E065F">
      <w:pPr>
        <w:pStyle w:val="Heading1"/>
        <w:rPr>
          <w:rFonts w:eastAsia="Times New Roman"/>
          <w:lang w:eastAsia="en-GB"/>
        </w:rPr>
      </w:pPr>
      <w:bookmarkStart w:id="7" w:name="_Toc216115075"/>
      <w:r w:rsidRPr="009E7E4E">
        <w:rPr>
          <w:rFonts w:eastAsia="Times New Roman"/>
          <w:lang w:eastAsia="en-GB"/>
        </w:rPr>
        <w:lastRenderedPageBreak/>
        <w:t>3. CONCLUSION</w:t>
      </w:r>
      <w:bookmarkEnd w:id="7"/>
    </w:p>
    <w:p w14:paraId="49E14222" w14:textId="4197724E" w:rsidR="00F2646C" w:rsidRPr="009E7E4E" w:rsidRDefault="009E7E4E"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Financial status of the E-energy Ltd in 2022 reflects that the assets amount 1,500 million, liabilities amount 1,255 million and the equity amount is 245 million representing an extremely leveraged structure. To sustain the present ratio of the liabilities to the equity after the planned addition of assets of 110m, it will be necessary to add about 92m in additional long-term liabilities. The reduction of the number of employees by 45 percent would destabilise the organisation, deter compliance with CSRs, and harm IPO opportunities. An effective shift to state ownership rather needs effective governance mechanisms such as independent control and open remuneration schemes that relate the incentives of directors to the long-term value and responsible behaviour.</w:t>
      </w:r>
    </w:p>
    <w:p w14:paraId="3F1F64AA" w14:textId="34046B7E" w:rsidR="00F2646C" w:rsidRPr="009E7E4E" w:rsidRDefault="00F2646C" w:rsidP="008E065F">
      <w:pPr>
        <w:pStyle w:val="Heading1"/>
        <w:rPr>
          <w:rFonts w:eastAsia="Times New Roman"/>
          <w:lang w:eastAsia="en-GB"/>
        </w:rPr>
      </w:pPr>
      <w:bookmarkStart w:id="8" w:name="_Toc216115076"/>
      <w:r w:rsidRPr="009E7E4E">
        <w:rPr>
          <w:rFonts w:eastAsia="Times New Roman"/>
          <w:lang w:eastAsia="en-GB"/>
        </w:rPr>
        <w:t>4. RECOMMENDATIONS</w:t>
      </w:r>
      <w:bookmarkEnd w:id="8"/>
      <w:r w:rsidRPr="009E7E4E">
        <w:rPr>
          <w:rFonts w:eastAsia="Times New Roman"/>
          <w:lang w:eastAsia="en-GB"/>
        </w:rPr>
        <w:t xml:space="preserve"> </w:t>
      </w:r>
    </w:p>
    <w:p w14:paraId="03604AF3" w14:textId="77777777" w:rsidR="009E7E4E" w:rsidRPr="009E7E4E" w:rsidRDefault="009E7E4E"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Keep the current ratio of liabilities to equity by increasing long-term liabilities by about £92 million, which will help to finance the proposed asset growth without going out of business.</w:t>
      </w:r>
    </w:p>
    <w:p w14:paraId="202801B4" w14:textId="77777777" w:rsidR="009E7E4E" w:rsidRPr="009E7E4E" w:rsidRDefault="009E7E4E"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Prevent a 45 percent workforce cut, rather enhance efficiency by undertaking selective reskilling, process streamlining, and retrenchment of valuable organisational knowledge.</w:t>
      </w:r>
    </w:p>
    <w:p w14:paraId="39D61D6C" w14:textId="77777777" w:rsidR="009E7E4E" w:rsidRPr="009E7E4E" w:rsidRDefault="009E7E4E"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At least three committees audit, remuneration and risk fully independent before seeking an IPO to enhance control and responsibility.</w:t>
      </w:r>
    </w:p>
    <w:p w14:paraId="66339990" w14:textId="77777777" w:rsidR="009E7E4E" w:rsidRPr="009E7E4E" w:rsidRDefault="009E7E4E"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Introduce a compensation scheme that attaches compensation to long run performance of directors including multi-year share schemes and disclosure in line with UK governance standards.</w:t>
      </w:r>
    </w:p>
    <w:p w14:paraId="326592FE" w14:textId="649727A4" w:rsidR="00F2646C" w:rsidRDefault="009E7E4E"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Put a high priority on good CSR practices and employee engagement as a measure of safeguarding the reputations and maintain investor confidence.</w:t>
      </w:r>
    </w:p>
    <w:p w14:paraId="6372380E" w14:textId="77777777" w:rsidR="008E065F" w:rsidRDefault="008E065F" w:rsidP="009E7E4E">
      <w:pPr>
        <w:spacing w:line="360" w:lineRule="auto"/>
        <w:jc w:val="both"/>
        <w:rPr>
          <w:rFonts w:ascii="Times New Roman" w:hAnsi="Times New Roman" w:cs="Times New Roman"/>
          <w:lang w:eastAsia="en-GB"/>
        </w:rPr>
      </w:pPr>
    </w:p>
    <w:p w14:paraId="5BF42534" w14:textId="77777777" w:rsidR="008E065F" w:rsidRDefault="008E065F" w:rsidP="009E7E4E">
      <w:pPr>
        <w:spacing w:line="360" w:lineRule="auto"/>
        <w:jc w:val="both"/>
        <w:rPr>
          <w:rFonts w:ascii="Times New Roman" w:hAnsi="Times New Roman" w:cs="Times New Roman"/>
          <w:lang w:eastAsia="en-GB"/>
        </w:rPr>
      </w:pPr>
    </w:p>
    <w:p w14:paraId="0EEE5984" w14:textId="77777777" w:rsidR="008E065F" w:rsidRDefault="008E065F" w:rsidP="009E7E4E">
      <w:pPr>
        <w:spacing w:line="360" w:lineRule="auto"/>
        <w:jc w:val="both"/>
        <w:rPr>
          <w:rFonts w:ascii="Times New Roman" w:hAnsi="Times New Roman" w:cs="Times New Roman"/>
          <w:lang w:eastAsia="en-GB"/>
        </w:rPr>
      </w:pPr>
    </w:p>
    <w:p w14:paraId="5E868ED5" w14:textId="77777777" w:rsidR="008E065F" w:rsidRDefault="008E065F" w:rsidP="009E7E4E">
      <w:pPr>
        <w:spacing w:line="360" w:lineRule="auto"/>
        <w:jc w:val="both"/>
        <w:rPr>
          <w:rFonts w:ascii="Times New Roman" w:hAnsi="Times New Roman" w:cs="Times New Roman"/>
          <w:lang w:eastAsia="en-GB"/>
        </w:rPr>
      </w:pPr>
    </w:p>
    <w:p w14:paraId="21A792C8" w14:textId="77777777" w:rsidR="008E065F" w:rsidRPr="009E7E4E" w:rsidRDefault="008E065F" w:rsidP="009E7E4E">
      <w:pPr>
        <w:spacing w:line="360" w:lineRule="auto"/>
        <w:jc w:val="both"/>
        <w:rPr>
          <w:rFonts w:ascii="Times New Roman" w:hAnsi="Times New Roman" w:cs="Times New Roman"/>
          <w:lang w:eastAsia="en-GB"/>
        </w:rPr>
      </w:pPr>
    </w:p>
    <w:p w14:paraId="7DC4EDD1" w14:textId="3E3C473D" w:rsidR="009E7E4E" w:rsidRDefault="00F2646C" w:rsidP="008E065F">
      <w:pPr>
        <w:pStyle w:val="Heading1"/>
        <w:rPr>
          <w:lang w:eastAsia="en-GB"/>
        </w:rPr>
      </w:pPr>
      <w:bookmarkStart w:id="9" w:name="_Toc216115077"/>
      <w:r w:rsidRPr="009E7E4E">
        <w:rPr>
          <w:rFonts w:eastAsia="Times New Roman"/>
          <w:lang w:eastAsia="en-GB"/>
        </w:rPr>
        <w:t>REFERENCE</w:t>
      </w:r>
      <w:r w:rsidR="009E7E4E" w:rsidRPr="009E7E4E">
        <w:rPr>
          <w:rFonts w:eastAsia="Times New Roman"/>
          <w:lang w:eastAsia="en-GB"/>
        </w:rPr>
        <w:t>S</w:t>
      </w:r>
      <w:bookmarkEnd w:id="9"/>
    </w:p>
    <w:p w14:paraId="04A254E0" w14:textId="77777777" w:rsidR="002035D1" w:rsidRPr="002035D1" w:rsidRDefault="002035D1" w:rsidP="002035D1">
      <w:pPr>
        <w:pStyle w:val="NormalWeb"/>
        <w:spacing w:line="360" w:lineRule="auto"/>
        <w:rPr>
          <w:color w:val="000000" w:themeColor="text1"/>
        </w:rPr>
      </w:pPr>
      <w:proofErr w:type="spellStart"/>
      <w:r w:rsidRPr="002035D1">
        <w:rPr>
          <w:color w:val="000000" w:themeColor="text1"/>
        </w:rPr>
        <w:t>Atrill</w:t>
      </w:r>
      <w:proofErr w:type="spellEnd"/>
      <w:r w:rsidRPr="002035D1">
        <w:rPr>
          <w:color w:val="000000" w:themeColor="text1"/>
        </w:rPr>
        <w:t>, P. and McLaney, E. (2020)</w:t>
      </w:r>
      <w:r w:rsidRPr="002035D1">
        <w:rPr>
          <w:rStyle w:val="apple-converted-space"/>
          <w:rFonts w:eastAsiaTheme="majorEastAsia"/>
          <w:color w:val="000000" w:themeColor="text1"/>
        </w:rPr>
        <w:t> </w:t>
      </w:r>
      <w:r w:rsidRPr="002035D1">
        <w:rPr>
          <w:rStyle w:val="Emphasis"/>
          <w:rFonts w:eastAsiaTheme="majorEastAsia"/>
          <w:color w:val="000000" w:themeColor="text1"/>
        </w:rPr>
        <w:t>Accounting and Finance for Non-Specialists</w:t>
      </w:r>
      <w:r w:rsidRPr="002035D1">
        <w:rPr>
          <w:color w:val="000000" w:themeColor="text1"/>
        </w:rPr>
        <w:t>. 12th ed. Harlow: Pearson.</w:t>
      </w:r>
    </w:p>
    <w:p w14:paraId="629ECA33" w14:textId="77777777" w:rsidR="002035D1" w:rsidRPr="002035D1" w:rsidRDefault="002035D1" w:rsidP="002035D1">
      <w:pPr>
        <w:pStyle w:val="NormalWeb"/>
        <w:spacing w:line="360" w:lineRule="auto"/>
        <w:rPr>
          <w:color w:val="000000" w:themeColor="text1"/>
        </w:rPr>
      </w:pPr>
      <w:r w:rsidRPr="002035D1">
        <w:rPr>
          <w:color w:val="000000" w:themeColor="text1"/>
        </w:rPr>
        <w:lastRenderedPageBreak/>
        <w:t>BBC News (2022) ‘Meta to cut 11,000 jobs in major workforce reduction’,</w:t>
      </w:r>
      <w:r w:rsidRPr="002035D1">
        <w:rPr>
          <w:rStyle w:val="apple-converted-space"/>
          <w:rFonts w:eastAsiaTheme="majorEastAsia"/>
          <w:color w:val="000000" w:themeColor="text1"/>
        </w:rPr>
        <w:t> </w:t>
      </w:r>
      <w:r w:rsidRPr="002035D1">
        <w:rPr>
          <w:rStyle w:val="Emphasis"/>
          <w:rFonts w:eastAsiaTheme="majorEastAsia"/>
          <w:color w:val="000000" w:themeColor="text1"/>
        </w:rPr>
        <w:t>BBC News</w:t>
      </w:r>
      <w:r w:rsidRPr="002035D1">
        <w:rPr>
          <w:color w:val="000000" w:themeColor="text1"/>
        </w:rPr>
        <w:t>, 9 November. Available at:</w:t>
      </w:r>
      <w:r w:rsidRPr="002035D1">
        <w:rPr>
          <w:rStyle w:val="apple-converted-space"/>
          <w:rFonts w:eastAsiaTheme="majorEastAsia"/>
          <w:color w:val="000000" w:themeColor="text1"/>
        </w:rPr>
        <w:t> </w:t>
      </w:r>
      <w:r w:rsidRPr="002035D1">
        <w:rPr>
          <w:color w:val="000000" w:themeColor="text1"/>
        </w:rPr>
        <w:t>https://www.bbc.co.uk/news</w:t>
      </w:r>
      <w:r w:rsidRPr="002035D1">
        <w:rPr>
          <w:rStyle w:val="apple-converted-space"/>
          <w:rFonts w:eastAsiaTheme="majorEastAsia"/>
          <w:color w:val="000000" w:themeColor="text1"/>
        </w:rPr>
        <w:t> </w:t>
      </w:r>
      <w:r w:rsidRPr="002035D1">
        <w:rPr>
          <w:color w:val="000000" w:themeColor="text1"/>
        </w:rPr>
        <w:t>(Accessed:</w:t>
      </w:r>
      <w:r w:rsidRPr="002035D1">
        <w:rPr>
          <w:rStyle w:val="apple-converted-space"/>
          <w:rFonts w:eastAsiaTheme="majorEastAsia"/>
          <w:color w:val="000000" w:themeColor="text1"/>
        </w:rPr>
        <w:t> </w:t>
      </w:r>
      <w:r w:rsidRPr="002035D1">
        <w:rPr>
          <w:rStyle w:val="Strong"/>
          <w:rFonts w:eastAsiaTheme="majorEastAsia"/>
          <w:b w:val="0"/>
          <w:bCs w:val="0"/>
          <w:color w:val="000000" w:themeColor="text1"/>
        </w:rPr>
        <w:t>12 December 2025</w:t>
      </w:r>
      <w:r w:rsidRPr="002035D1">
        <w:rPr>
          <w:b/>
          <w:bCs/>
          <w:color w:val="000000" w:themeColor="text1"/>
        </w:rPr>
        <w:t>).</w:t>
      </w:r>
    </w:p>
    <w:p w14:paraId="00BFE28B" w14:textId="77777777" w:rsidR="002035D1" w:rsidRPr="002035D1" w:rsidRDefault="002035D1" w:rsidP="002035D1">
      <w:pPr>
        <w:pStyle w:val="NormalWeb"/>
        <w:spacing w:line="360" w:lineRule="auto"/>
        <w:rPr>
          <w:color w:val="000000" w:themeColor="text1"/>
        </w:rPr>
      </w:pPr>
      <w:r w:rsidRPr="002035D1">
        <w:rPr>
          <w:color w:val="000000" w:themeColor="text1"/>
        </w:rPr>
        <w:t>Brealey, R.A., Myers, S.C. and Allen, F. (2020)</w:t>
      </w:r>
      <w:r w:rsidRPr="002035D1">
        <w:rPr>
          <w:rStyle w:val="apple-converted-space"/>
          <w:rFonts w:eastAsiaTheme="majorEastAsia"/>
          <w:color w:val="000000" w:themeColor="text1"/>
        </w:rPr>
        <w:t> </w:t>
      </w:r>
      <w:r w:rsidRPr="002035D1">
        <w:rPr>
          <w:rStyle w:val="Emphasis"/>
          <w:rFonts w:eastAsiaTheme="majorEastAsia"/>
          <w:color w:val="000000" w:themeColor="text1"/>
        </w:rPr>
        <w:t>Principles of Corporate Finance</w:t>
      </w:r>
      <w:r w:rsidRPr="002035D1">
        <w:rPr>
          <w:color w:val="000000" w:themeColor="text1"/>
        </w:rPr>
        <w:t>. 13th ed. New York: McGraw-Hill.</w:t>
      </w:r>
    </w:p>
    <w:p w14:paraId="5C62A412" w14:textId="77777777" w:rsidR="002035D1" w:rsidRPr="002035D1" w:rsidRDefault="002035D1" w:rsidP="002035D1">
      <w:pPr>
        <w:pStyle w:val="NormalWeb"/>
        <w:spacing w:line="360" w:lineRule="auto"/>
        <w:rPr>
          <w:color w:val="000000" w:themeColor="text1"/>
        </w:rPr>
      </w:pPr>
      <w:r w:rsidRPr="002035D1">
        <w:rPr>
          <w:color w:val="000000" w:themeColor="text1"/>
        </w:rPr>
        <w:t>Cascio, W.F. (2019) ‘Alternatives to employee layoffs’,</w:t>
      </w:r>
      <w:r w:rsidRPr="002035D1">
        <w:rPr>
          <w:rStyle w:val="apple-converted-space"/>
          <w:rFonts w:eastAsiaTheme="majorEastAsia"/>
          <w:color w:val="000000" w:themeColor="text1"/>
        </w:rPr>
        <w:t> </w:t>
      </w:r>
      <w:r w:rsidRPr="002035D1">
        <w:rPr>
          <w:rStyle w:val="Emphasis"/>
          <w:rFonts w:eastAsiaTheme="majorEastAsia"/>
          <w:color w:val="000000" w:themeColor="text1"/>
        </w:rPr>
        <w:t>Compensation &amp; Benefits Review</w:t>
      </w:r>
      <w:r w:rsidRPr="002035D1">
        <w:rPr>
          <w:color w:val="000000" w:themeColor="text1"/>
        </w:rPr>
        <w:t>, 51(3), pp. 113–119.</w:t>
      </w:r>
    </w:p>
    <w:p w14:paraId="4F3D1B82" w14:textId="77777777" w:rsidR="002035D1" w:rsidRPr="002035D1" w:rsidRDefault="002035D1" w:rsidP="002035D1">
      <w:pPr>
        <w:pStyle w:val="NormalWeb"/>
        <w:spacing w:line="360" w:lineRule="auto"/>
        <w:rPr>
          <w:color w:val="000000" w:themeColor="text1"/>
        </w:rPr>
      </w:pPr>
      <w:r w:rsidRPr="002035D1">
        <w:rPr>
          <w:color w:val="000000" w:themeColor="text1"/>
        </w:rPr>
        <w:t xml:space="preserve">Cumming, D., </w:t>
      </w:r>
      <w:proofErr w:type="spellStart"/>
      <w:r w:rsidRPr="002035D1">
        <w:rPr>
          <w:color w:val="000000" w:themeColor="text1"/>
        </w:rPr>
        <w:t>Haß</w:t>
      </w:r>
      <w:proofErr w:type="spellEnd"/>
      <w:r w:rsidRPr="002035D1">
        <w:rPr>
          <w:color w:val="000000" w:themeColor="text1"/>
        </w:rPr>
        <w:t>, L.H. and Schweizer, D. (2021) ‘The impact of governance on IPO performance’,</w:t>
      </w:r>
      <w:r w:rsidRPr="002035D1">
        <w:rPr>
          <w:rStyle w:val="apple-converted-space"/>
          <w:rFonts w:eastAsiaTheme="majorEastAsia"/>
          <w:color w:val="000000" w:themeColor="text1"/>
        </w:rPr>
        <w:t> </w:t>
      </w:r>
      <w:r w:rsidRPr="002035D1">
        <w:rPr>
          <w:rStyle w:val="Emphasis"/>
          <w:rFonts w:eastAsiaTheme="majorEastAsia"/>
          <w:color w:val="000000" w:themeColor="text1"/>
        </w:rPr>
        <w:t>Journal of Corporate Finance</w:t>
      </w:r>
      <w:r w:rsidRPr="002035D1">
        <w:rPr>
          <w:color w:val="000000" w:themeColor="text1"/>
        </w:rPr>
        <w:t>, 66, 101790.</w:t>
      </w:r>
    </w:p>
    <w:p w14:paraId="76552EC7" w14:textId="77777777" w:rsidR="002035D1" w:rsidRPr="002035D1" w:rsidRDefault="002035D1" w:rsidP="002035D1">
      <w:pPr>
        <w:pStyle w:val="NormalWeb"/>
        <w:spacing w:line="360" w:lineRule="auto"/>
        <w:rPr>
          <w:color w:val="000000" w:themeColor="text1"/>
        </w:rPr>
      </w:pPr>
      <w:r w:rsidRPr="002035D1">
        <w:rPr>
          <w:color w:val="000000" w:themeColor="text1"/>
        </w:rPr>
        <w:t>Dang, V.A., Kim, M. and Shin, Y. (2019) ‘Asymmetric capital structure adjustments: New evidence from dynamic models’,</w:t>
      </w:r>
      <w:r w:rsidRPr="002035D1">
        <w:rPr>
          <w:rStyle w:val="apple-converted-space"/>
          <w:rFonts w:eastAsiaTheme="majorEastAsia"/>
          <w:color w:val="000000" w:themeColor="text1"/>
        </w:rPr>
        <w:t> </w:t>
      </w:r>
      <w:r w:rsidRPr="002035D1">
        <w:rPr>
          <w:rStyle w:val="Emphasis"/>
          <w:rFonts w:eastAsiaTheme="majorEastAsia"/>
          <w:color w:val="000000" w:themeColor="text1"/>
        </w:rPr>
        <w:t>Journal of Corporate Finance</w:t>
      </w:r>
      <w:r w:rsidRPr="002035D1">
        <w:rPr>
          <w:color w:val="000000" w:themeColor="text1"/>
        </w:rPr>
        <w:t>, 56, pp. 1–19.</w:t>
      </w:r>
    </w:p>
    <w:p w14:paraId="3CF07F5B" w14:textId="77777777" w:rsidR="002035D1" w:rsidRPr="002035D1" w:rsidRDefault="002035D1" w:rsidP="002035D1">
      <w:pPr>
        <w:pStyle w:val="NormalWeb"/>
        <w:spacing w:line="360" w:lineRule="auto"/>
        <w:rPr>
          <w:color w:val="000000" w:themeColor="text1"/>
        </w:rPr>
      </w:pPr>
      <w:r w:rsidRPr="002035D1">
        <w:rPr>
          <w:color w:val="000000" w:themeColor="text1"/>
        </w:rPr>
        <w:t>Edmans, A., Fang, V.W. and Lewellen, K. (2018) ‘Executive compensation and long-term incentives’,</w:t>
      </w:r>
      <w:r w:rsidRPr="002035D1">
        <w:rPr>
          <w:rStyle w:val="apple-converted-space"/>
          <w:rFonts w:eastAsiaTheme="majorEastAsia"/>
          <w:color w:val="000000" w:themeColor="text1"/>
        </w:rPr>
        <w:t> </w:t>
      </w:r>
      <w:r w:rsidRPr="002035D1">
        <w:rPr>
          <w:rStyle w:val="Emphasis"/>
          <w:rFonts w:eastAsiaTheme="majorEastAsia"/>
          <w:color w:val="000000" w:themeColor="text1"/>
        </w:rPr>
        <w:t>Review of Financial Studies</w:t>
      </w:r>
      <w:r w:rsidRPr="002035D1">
        <w:rPr>
          <w:color w:val="000000" w:themeColor="text1"/>
        </w:rPr>
        <w:t>, 31(12), pp. 4426–4464.</w:t>
      </w:r>
    </w:p>
    <w:p w14:paraId="715291A9" w14:textId="77777777" w:rsidR="002035D1" w:rsidRPr="002035D1" w:rsidRDefault="002035D1" w:rsidP="002035D1">
      <w:pPr>
        <w:pStyle w:val="NormalWeb"/>
        <w:spacing w:line="360" w:lineRule="auto"/>
        <w:rPr>
          <w:color w:val="000000" w:themeColor="text1"/>
        </w:rPr>
      </w:pPr>
      <w:r w:rsidRPr="002035D1">
        <w:rPr>
          <w:color w:val="000000" w:themeColor="text1"/>
        </w:rPr>
        <w:t>Elkington, J. (2018) ‘25 years ago I coined the phrase “triple bottom line”. Here’s why it’s time to rethink it’,</w:t>
      </w:r>
      <w:r w:rsidRPr="002035D1">
        <w:rPr>
          <w:rStyle w:val="apple-converted-space"/>
          <w:rFonts w:eastAsiaTheme="majorEastAsia"/>
          <w:color w:val="000000" w:themeColor="text1"/>
        </w:rPr>
        <w:t> </w:t>
      </w:r>
      <w:r w:rsidRPr="002035D1">
        <w:rPr>
          <w:rStyle w:val="Emphasis"/>
          <w:rFonts w:eastAsiaTheme="majorEastAsia"/>
          <w:color w:val="000000" w:themeColor="text1"/>
        </w:rPr>
        <w:t>Harvard Business Review</w:t>
      </w:r>
      <w:r w:rsidRPr="002035D1">
        <w:rPr>
          <w:color w:val="000000" w:themeColor="text1"/>
        </w:rPr>
        <w:t>, June. Available at:</w:t>
      </w:r>
      <w:r w:rsidRPr="002035D1">
        <w:rPr>
          <w:rStyle w:val="apple-converted-space"/>
          <w:rFonts w:eastAsiaTheme="majorEastAsia"/>
          <w:color w:val="000000" w:themeColor="text1"/>
        </w:rPr>
        <w:t> </w:t>
      </w:r>
      <w:r w:rsidRPr="002035D1">
        <w:rPr>
          <w:color w:val="000000" w:themeColor="text1"/>
        </w:rPr>
        <w:t>https://hbr.org</w:t>
      </w:r>
      <w:r w:rsidRPr="002035D1">
        <w:rPr>
          <w:rStyle w:val="apple-converted-space"/>
          <w:rFonts w:eastAsiaTheme="majorEastAsia"/>
          <w:color w:val="000000" w:themeColor="text1"/>
        </w:rPr>
        <w:t> </w:t>
      </w:r>
      <w:r w:rsidRPr="002035D1">
        <w:rPr>
          <w:color w:val="000000" w:themeColor="text1"/>
        </w:rPr>
        <w:t>(Accessed:</w:t>
      </w:r>
      <w:r w:rsidRPr="002035D1">
        <w:rPr>
          <w:rStyle w:val="apple-converted-space"/>
          <w:rFonts w:eastAsiaTheme="majorEastAsia"/>
          <w:color w:val="000000" w:themeColor="text1"/>
        </w:rPr>
        <w:t> </w:t>
      </w:r>
      <w:r w:rsidRPr="002035D1">
        <w:rPr>
          <w:rStyle w:val="Strong"/>
          <w:rFonts w:eastAsiaTheme="majorEastAsia"/>
          <w:b w:val="0"/>
          <w:bCs w:val="0"/>
          <w:color w:val="000000" w:themeColor="text1"/>
        </w:rPr>
        <w:t>10 December 2025</w:t>
      </w:r>
      <w:r w:rsidRPr="002035D1">
        <w:rPr>
          <w:color w:val="000000" w:themeColor="text1"/>
        </w:rPr>
        <w:t>).</w:t>
      </w:r>
    </w:p>
    <w:p w14:paraId="07AAE4CD" w14:textId="77777777" w:rsidR="002035D1" w:rsidRPr="002035D1" w:rsidRDefault="002035D1" w:rsidP="002035D1">
      <w:pPr>
        <w:pStyle w:val="NormalWeb"/>
        <w:spacing w:line="360" w:lineRule="auto"/>
        <w:rPr>
          <w:color w:val="000000" w:themeColor="text1"/>
        </w:rPr>
      </w:pPr>
      <w:r w:rsidRPr="002035D1">
        <w:rPr>
          <w:color w:val="000000" w:themeColor="text1"/>
        </w:rPr>
        <w:t>Financial Reporting Council (FRC) (2018)</w:t>
      </w:r>
      <w:r w:rsidRPr="002035D1">
        <w:rPr>
          <w:rStyle w:val="apple-converted-space"/>
          <w:rFonts w:eastAsiaTheme="majorEastAsia"/>
          <w:color w:val="000000" w:themeColor="text1"/>
        </w:rPr>
        <w:t> </w:t>
      </w:r>
      <w:r w:rsidRPr="002035D1">
        <w:rPr>
          <w:rStyle w:val="Emphasis"/>
          <w:rFonts w:eastAsiaTheme="majorEastAsia"/>
          <w:color w:val="000000" w:themeColor="text1"/>
        </w:rPr>
        <w:t>The UK Corporate Governance Code</w:t>
      </w:r>
      <w:r w:rsidRPr="002035D1">
        <w:rPr>
          <w:color w:val="000000" w:themeColor="text1"/>
        </w:rPr>
        <w:t>. London: FRC. Available at:</w:t>
      </w:r>
      <w:r w:rsidRPr="002035D1">
        <w:rPr>
          <w:rStyle w:val="apple-converted-space"/>
          <w:rFonts w:eastAsiaTheme="majorEastAsia"/>
          <w:color w:val="000000" w:themeColor="text1"/>
        </w:rPr>
        <w:t> </w:t>
      </w:r>
      <w:hyperlink r:id="rId8" w:tgtFrame="_new" w:history="1">
        <w:r w:rsidRPr="002035D1">
          <w:rPr>
            <w:rStyle w:val="Hyperlink"/>
            <w:rFonts w:eastAsiaTheme="majorEastAsia"/>
            <w:color w:val="000000" w:themeColor="text1"/>
          </w:rPr>
          <w:t>https://www.frc.org.uk</w:t>
        </w:r>
      </w:hyperlink>
      <w:r w:rsidRPr="002035D1">
        <w:rPr>
          <w:rStyle w:val="apple-converted-space"/>
          <w:rFonts w:eastAsiaTheme="majorEastAsia"/>
          <w:color w:val="000000" w:themeColor="text1"/>
        </w:rPr>
        <w:t> </w:t>
      </w:r>
      <w:r w:rsidRPr="002035D1">
        <w:rPr>
          <w:color w:val="000000" w:themeColor="text1"/>
        </w:rPr>
        <w:t>(Accessed:</w:t>
      </w:r>
      <w:r w:rsidRPr="002035D1">
        <w:rPr>
          <w:rStyle w:val="apple-converted-space"/>
          <w:rFonts w:eastAsiaTheme="majorEastAsia"/>
          <w:color w:val="000000" w:themeColor="text1"/>
        </w:rPr>
        <w:t> </w:t>
      </w:r>
      <w:r w:rsidRPr="002035D1">
        <w:rPr>
          <w:rStyle w:val="Strong"/>
          <w:rFonts w:eastAsiaTheme="majorEastAsia"/>
          <w:b w:val="0"/>
          <w:bCs w:val="0"/>
          <w:color w:val="000000" w:themeColor="text1"/>
        </w:rPr>
        <w:t>8 December 2025</w:t>
      </w:r>
      <w:r w:rsidRPr="002035D1">
        <w:rPr>
          <w:color w:val="000000" w:themeColor="text1"/>
        </w:rPr>
        <w:t>).</w:t>
      </w:r>
    </w:p>
    <w:p w14:paraId="42184F3C" w14:textId="77777777" w:rsidR="002035D1" w:rsidRPr="002035D1" w:rsidRDefault="002035D1" w:rsidP="002035D1">
      <w:pPr>
        <w:pStyle w:val="NormalWeb"/>
        <w:spacing w:line="360" w:lineRule="auto"/>
        <w:rPr>
          <w:color w:val="000000" w:themeColor="text1"/>
        </w:rPr>
      </w:pPr>
      <w:r w:rsidRPr="002035D1">
        <w:rPr>
          <w:color w:val="000000" w:themeColor="text1"/>
        </w:rPr>
        <w:t>Freeman, R.E., Phillips, R.A. and Sisodia, R. (2020) ‘Tensions in stakeholder theory’,</w:t>
      </w:r>
      <w:r w:rsidRPr="002035D1">
        <w:rPr>
          <w:rStyle w:val="apple-converted-space"/>
          <w:rFonts w:eastAsiaTheme="majorEastAsia"/>
          <w:color w:val="000000" w:themeColor="text1"/>
        </w:rPr>
        <w:t> </w:t>
      </w:r>
      <w:r w:rsidRPr="002035D1">
        <w:rPr>
          <w:rStyle w:val="Emphasis"/>
          <w:rFonts w:eastAsiaTheme="majorEastAsia"/>
          <w:color w:val="000000" w:themeColor="text1"/>
        </w:rPr>
        <w:t>Business &amp; Society</w:t>
      </w:r>
      <w:r w:rsidRPr="002035D1">
        <w:rPr>
          <w:color w:val="000000" w:themeColor="text1"/>
        </w:rPr>
        <w:t>, 59(2), pp. 213–231.</w:t>
      </w:r>
    </w:p>
    <w:p w14:paraId="39A48491" w14:textId="77777777" w:rsidR="002035D1" w:rsidRPr="002035D1" w:rsidRDefault="002035D1" w:rsidP="002035D1">
      <w:pPr>
        <w:pStyle w:val="NormalWeb"/>
        <w:spacing w:line="360" w:lineRule="auto"/>
        <w:rPr>
          <w:color w:val="000000" w:themeColor="text1"/>
        </w:rPr>
      </w:pPr>
      <w:r w:rsidRPr="002035D1">
        <w:rPr>
          <w:color w:val="000000" w:themeColor="text1"/>
        </w:rPr>
        <w:t>Grewal, J., Riedl, E.J. and Serafeim, G. (2020) ‘Market reaction to ESG disclosures: Evidence from sustainability reporting’,</w:t>
      </w:r>
      <w:r w:rsidRPr="002035D1">
        <w:rPr>
          <w:rStyle w:val="apple-converted-space"/>
          <w:rFonts w:eastAsiaTheme="majorEastAsia"/>
          <w:color w:val="000000" w:themeColor="text1"/>
        </w:rPr>
        <w:t> </w:t>
      </w:r>
      <w:r w:rsidRPr="002035D1">
        <w:rPr>
          <w:rStyle w:val="Emphasis"/>
          <w:rFonts w:eastAsiaTheme="majorEastAsia"/>
          <w:color w:val="000000" w:themeColor="text1"/>
        </w:rPr>
        <w:t>Management Science</w:t>
      </w:r>
      <w:r w:rsidRPr="002035D1">
        <w:rPr>
          <w:color w:val="000000" w:themeColor="text1"/>
        </w:rPr>
        <w:t>, 66(9), pp. 4141–4166.</w:t>
      </w:r>
    </w:p>
    <w:p w14:paraId="777E8B5C" w14:textId="77777777" w:rsidR="002035D1" w:rsidRPr="002035D1" w:rsidRDefault="002035D1" w:rsidP="002035D1">
      <w:pPr>
        <w:pStyle w:val="NormalWeb"/>
        <w:spacing w:line="360" w:lineRule="auto"/>
        <w:rPr>
          <w:color w:val="000000" w:themeColor="text1"/>
        </w:rPr>
      </w:pPr>
      <w:r w:rsidRPr="002035D1">
        <w:rPr>
          <w:color w:val="000000" w:themeColor="text1"/>
        </w:rPr>
        <w:t>Hill, C.W.L., Kulkarni, S.P. and Westbrook, R.A. (2020) ‘Why executive compensation is a governance issue’,</w:t>
      </w:r>
      <w:r w:rsidRPr="002035D1">
        <w:rPr>
          <w:rStyle w:val="apple-converted-space"/>
          <w:rFonts w:eastAsiaTheme="majorEastAsia"/>
          <w:color w:val="000000" w:themeColor="text1"/>
        </w:rPr>
        <w:t> </w:t>
      </w:r>
      <w:r w:rsidRPr="002035D1">
        <w:rPr>
          <w:rStyle w:val="Emphasis"/>
          <w:rFonts w:eastAsiaTheme="majorEastAsia"/>
          <w:color w:val="000000" w:themeColor="text1"/>
        </w:rPr>
        <w:t>Harvard Business Review</w:t>
      </w:r>
      <w:r w:rsidRPr="002035D1">
        <w:rPr>
          <w:color w:val="000000" w:themeColor="text1"/>
        </w:rPr>
        <w:t>, July–August. Available at:</w:t>
      </w:r>
      <w:r w:rsidRPr="002035D1">
        <w:rPr>
          <w:rStyle w:val="apple-converted-space"/>
          <w:rFonts w:eastAsiaTheme="majorEastAsia"/>
          <w:color w:val="000000" w:themeColor="text1"/>
        </w:rPr>
        <w:t> </w:t>
      </w:r>
      <w:r w:rsidRPr="002035D1">
        <w:rPr>
          <w:color w:val="000000" w:themeColor="text1"/>
        </w:rPr>
        <w:t>https://hbr.org</w:t>
      </w:r>
      <w:r w:rsidRPr="002035D1">
        <w:rPr>
          <w:rStyle w:val="apple-converted-space"/>
          <w:rFonts w:eastAsiaTheme="majorEastAsia"/>
          <w:color w:val="000000" w:themeColor="text1"/>
        </w:rPr>
        <w:t> </w:t>
      </w:r>
      <w:r w:rsidRPr="002035D1">
        <w:rPr>
          <w:color w:val="000000" w:themeColor="text1"/>
        </w:rPr>
        <w:t>(Accessed:</w:t>
      </w:r>
      <w:r w:rsidRPr="002035D1">
        <w:rPr>
          <w:rStyle w:val="apple-converted-space"/>
          <w:rFonts w:eastAsiaTheme="majorEastAsia"/>
          <w:color w:val="000000" w:themeColor="text1"/>
        </w:rPr>
        <w:t> </w:t>
      </w:r>
      <w:r w:rsidRPr="002035D1">
        <w:rPr>
          <w:rStyle w:val="Strong"/>
          <w:rFonts w:eastAsiaTheme="majorEastAsia"/>
          <w:b w:val="0"/>
          <w:bCs w:val="0"/>
          <w:color w:val="000000" w:themeColor="text1"/>
        </w:rPr>
        <w:t>14 December 2025</w:t>
      </w:r>
      <w:r w:rsidRPr="002035D1">
        <w:rPr>
          <w:color w:val="000000" w:themeColor="text1"/>
        </w:rPr>
        <w:t>).</w:t>
      </w:r>
    </w:p>
    <w:p w14:paraId="4CB53CB6" w14:textId="77777777" w:rsidR="002035D1" w:rsidRPr="002035D1" w:rsidRDefault="002035D1" w:rsidP="002035D1">
      <w:pPr>
        <w:pStyle w:val="NormalWeb"/>
        <w:spacing w:line="360" w:lineRule="auto"/>
        <w:rPr>
          <w:color w:val="000000" w:themeColor="text1"/>
        </w:rPr>
      </w:pPr>
      <w:r w:rsidRPr="002035D1">
        <w:rPr>
          <w:color w:val="000000" w:themeColor="text1"/>
        </w:rPr>
        <w:t>PwC (2021)</w:t>
      </w:r>
      <w:r w:rsidRPr="002035D1">
        <w:rPr>
          <w:rStyle w:val="apple-converted-space"/>
          <w:rFonts w:eastAsiaTheme="majorEastAsia"/>
          <w:color w:val="000000" w:themeColor="text1"/>
        </w:rPr>
        <w:t> </w:t>
      </w:r>
      <w:r w:rsidRPr="002035D1">
        <w:rPr>
          <w:rStyle w:val="Emphasis"/>
          <w:rFonts w:eastAsiaTheme="majorEastAsia"/>
          <w:color w:val="000000" w:themeColor="text1"/>
        </w:rPr>
        <w:t>IPO Watch Europe 2021</w:t>
      </w:r>
      <w:r w:rsidRPr="002035D1">
        <w:rPr>
          <w:color w:val="000000" w:themeColor="text1"/>
        </w:rPr>
        <w:t>. London: PricewaterhouseCoopers. Available at:</w:t>
      </w:r>
      <w:r w:rsidRPr="002035D1">
        <w:rPr>
          <w:rStyle w:val="apple-converted-space"/>
          <w:rFonts w:eastAsiaTheme="majorEastAsia"/>
          <w:color w:val="000000" w:themeColor="text1"/>
        </w:rPr>
        <w:t> </w:t>
      </w:r>
      <w:hyperlink r:id="rId9" w:tgtFrame="_new" w:history="1">
        <w:r w:rsidRPr="002035D1">
          <w:rPr>
            <w:rStyle w:val="Hyperlink"/>
            <w:rFonts w:eastAsiaTheme="majorEastAsia"/>
            <w:color w:val="000000" w:themeColor="text1"/>
          </w:rPr>
          <w:t>https://www.pwc.com</w:t>
        </w:r>
      </w:hyperlink>
      <w:r w:rsidRPr="002035D1">
        <w:rPr>
          <w:color w:val="000000" w:themeColor="text1"/>
        </w:rPr>
        <w:t>(Accessed:</w:t>
      </w:r>
      <w:r w:rsidRPr="002035D1">
        <w:rPr>
          <w:rStyle w:val="apple-converted-space"/>
          <w:rFonts w:eastAsiaTheme="majorEastAsia"/>
          <w:color w:val="000000" w:themeColor="text1"/>
        </w:rPr>
        <w:t> </w:t>
      </w:r>
      <w:r w:rsidRPr="002035D1">
        <w:rPr>
          <w:rStyle w:val="Strong"/>
          <w:rFonts w:eastAsiaTheme="majorEastAsia"/>
          <w:b w:val="0"/>
          <w:bCs w:val="0"/>
          <w:color w:val="000000" w:themeColor="text1"/>
        </w:rPr>
        <w:t>15 December 2025</w:t>
      </w:r>
      <w:r w:rsidRPr="002035D1">
        <w:rPr>
          <w:color w:val="000000" w:themeColor="text1"/>
        </w:rPr>
        <w:t>).</w:t>
      </w:r>
    </w:p>
    <w:p w14:paraId="65AC7A33" w14:textId="77777777" w:rsidR="002035D1" w:rsidRPr="009E7E4E" w:rsidRDefault="002035D1" w:rsidP="009E7E4E">
      <w:pPr>
        <w:spacing w:line="360" w:lineRule="auto"/>
        <w:jc w:val="both"/>
        <w:rPr>
          <w:rFonts w:ascii="Times New Roman" w:hAnsi="Times New Roman" w:cs="Times New Roman"/>
          <w:lang w:eastAsia="en-GB"/>
        </w:rPr>
      </w:pPr>
    </w:p>
    <w:p w14:paraId="06E45913" w14:textId="15D8A1DC" w:rsidR="00F2646C" w:rsidRPr="009E7E4E" w:rsidRDefault="00F2646C" w:rsidP="009E7E4E">
      <w:pPr>
        <w:spacing w:line="360" w:lineRule="auto"/>
        <w:jc w:val="both"/>
        <w:rPr>
          <w:rFonts w:ascii="Times New Roman" w:hAnsi="Times New Roman" w:cs="Times New Roman"/>
          <w:lang w:eastAsia="en-GB"/>
        </w:rPr>
      </w:pPr>
      <w:r w:rsidRPr="009E7E4E">
        <w:rPr>
          <w:rFonts w:ascii="Times New Roman" w:hAnsi="Times New Roman" w:cs="Times New Roman"/>
          <w:lang w:eastAsia="en-GB"/>
        </w:rPr>
        <w:t>.</w:t>
      </w:r>
    </w:p>
    <w:p w14:paraId="67195CE4" w14:textId="77777777" w:rsidR="00F2646C" w:rsidRPr="00F2646C" w:rsidRDefault="00F2646C" w:rsidP="00F2646C">
      <w:pPr>
        <w:rPr>
          <w:rFonts w:ascii="Times New Roman" w:hAnsi="Times New Roman" w:cs="Times New Roman"/>
        </w:rPr>
      </w:pPr>
    </w:p>
    <w:sectPr w:rsidR="00F2646C" w:rsidRPr="00F2646C">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5485D" w14:textId="77777777" w:rsidR="00310F22" w:rsidRDefault="00310F22" w:rsidP="00100766">
      <w:r>
        <w:separator/>
      </w:r>
    </w:p>
  </w:endnote>
  <w:endnote w:type="continuationSeparator" w:id="0">
    <w:p w14:paraId="1D269A18" w14:textId="77777777" w:rsidR="00310F22" w:rsidRDefault="00310F22" w:rsidP="00100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31102620"/>
      <w:docPartObj>
        <w:docPartGallery w:val="Page Numbers (Bottom of Page)"/>
        <w:docPartUnique/>
      </w:docPartObj>
    </w:sdtPr>
    <w:sdtContent>
      <w:p w14:paraId="05ACBAB5" w14:textId="20680A46" w:rsidR="00100766" w:rsidRDefault="00100766" w:rsidP="007A08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BEED92" w14:textId="77777777" w:rsidR="00100766" w:rsidRDefault="00100766" w:rsidP="001007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75677657"/>
      <w:docPartObj>
        <w:docPartGallery w:val="Page Numbers (Bottom of Page)"/>
        <w:docPartUnique/>
      </w:docPartObj>
    </w:sdtPr>
    <w:sdtContent>
      <w:p w14:paraId="1B6D07B4" w14:textId="57331260" w:rsidR="00100766" w:rsidRDefault="00100766" w:rsidP="007A08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7A835551" w14:textId="77777777" w:rsidR="00100766" w:rsidRDefault="00100766" w:rsidP="0010076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535CA" w14:textId="77777777" w:rsidR="00310F22" w:rsidRDefault="00310F22" w:rsidP="00100766">
      <w:r>
        <w:separator/>
      </w:r>
    </w:p>
  </w:footnote>
  <w:footnote w:type="continuationSeparator" w:id="0">
    <w:p w14:paraId="2D34FA0D" w14:textId="77777777" w:rsidR="00310F22" w:rsidRDefault="00310F22" w:rsidP="001007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23FD4"/>
    <w:multiLevelType w:val="multilevel"/>
    <w:tmpl w:val="E2B2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00BB3"/>
    <w:multiLevelType w:val="multilevel"/>
    <w:tmpl w:val="0EF42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4D0F3E"/>
    <w:multiLevelType w:val="multilevel"/>
    <w:tmpl w:val="E3002A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2543FA"/>
    <w:multiLevelType w:val="multilevel"/>
    <w:tmpl w:val="0F6E67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CB599D"/>
    <w:multiLevelType w:val="multilevel"/>
    <w:tmpl w:val="39387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827854"/>
    <w:multiLevelType w:val="multilevel"/>
    <w:tmpl w:val="DCFEAC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A4509C"/>
    <w:multiLevelType w:val="multilevel"/>
    <w:tmpl w:val="6EC88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D15391"/>
    <w:multiLevelType w:val="multilevel"/>
    <w:tmpl w:val="3A4C0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3442165">
    <w:abstractNumId w:val="1"/>
  </w:num>
  <w:num w:numId="2" w16cid:durableId="1386103846">
    <w:abstractNumId w:val="5"/>
  </w:num>
  <w:num w:numId="3" w16cid:durableId="488248717">
    <w:abstractNumId w:val="2"/>
  </w:num>
  <w:num w:numId="4" w16cid:durableId="1688628730">
    <w:abstractNumId w:val="7"/>
  </w:num>
  <w:num w:numId="5" w16cid:durableId="1861626022">
    <w:abstractNumId w:val="4"/>
  </w:num>
  <w:num w:numId="6" w16cid:durableId="432553089">
    <w:abstractNumId w:val="3"/>
  </w:num>
  <w:num w:numId="7" w16cid:durableId="468523920">
    <w:abstractNumId w:val="6"/>
  </w:num>
  <w:num w:numId="8" w16cid:durableId="141628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46C"/>
    <w:rsid w:val="00003D14"/>
    <w:rsid w:val="00100766"/>
    <w:rsid w:val="002035D1"/>
    <w:rsid w:val="00310F22"/>
    <w:rsid w:val="00515FD9"/>
    <w:rsid w:val="00692B26"/>
    <w:rsid w:val="006B336C"/>
    <w:rsid w:val="008E065F"/>
    <w:rsid w:val="009402AA"/>
    <w:rsid w:val="009E7E4E"/>
    <w:rsid w:val="00F17B83"/>
    <w:rsid w:val="00F26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6CA0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64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264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264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64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64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64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64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64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64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4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264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264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64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64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64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64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64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646C"/>
    <w:rPr>
      <w:rFonts w:eastAsiaTheme="majorEastAsia" w:cstheme="majorBidi"/>
      <w:color w:val="272727" w:themeColor="text1" w:themeTint="D8"/>
    </w:rPr>
  </w:style>
  <w:style w:type="paragraph" w:styleId="Title">
    <w:name w:val="Title"/>
    <w:basedOn w:val="Normal"/>
    <w:next w:val="Normal"/>
    <w:link w:val="TitleChar"/>
    <w:uiPriority w:val="10"/>
    <w:qFormat/>
    <w:rsid w:val="00F264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64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646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64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646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2646C"/>
    <w:rPr>
      <w:i/>
      <w:iCs/>
      <w:color w:val="404040" w:themeColor="text1" w:themeTint="BF"/>
    </w:rPr>
  </w:style>
  <w:style w:type="paragraph" w:styleId="ListParagraph">
    <w:name w:val="List Paragraph"/>
    <w:basedOn w:val="Normal"/>
    <w:uiPriority w:val="34"/>
    <w:qFormat/>
    <w:rsid w:val="00F2646C"/>
    <w:pPr>
      <w:ind w:left="720"/>
      <w:contextualSpacing/>
    </w:pPr>
  </w:style>
  <w:style w:type="character" w:styleId="IntenseEmphasis">
    <w:name w:val="Intense Emphasis"/>
    <w:basedOn w:val="DefaultParagraphFont"/>
    <w:uiPriority w:val="21"/>
    <w:qFormat/>
    <w:rsid w:val="00F2646C"/>
    <w:rPr>
      <w:i/>
      <w:iCs/>
      <w:color w:val="0F4761" w:themeColor="accent1" w:themeShade="BF"/>
    </w:rPr>
  </w:style>
  <w:style w:type="paragraph" w:styleId="IntenseQuote">
    <w:name w:val="Intense Quote"/>
    <w:basedOn w:val="Normal"/>
    <w:next w:val="Normal"/>
    <w:link w:val="IntenseQuoteChar"/>
    <w:uiPriority w:val="30"/>
    <w:qFormat/>
    <w:rsid w:val="00F264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646C"/>
    <w:rPr>
      <w:i/>
      <w:iCs/>
      <w:color w:val="0F4761" w:themeColor="accent1" w:themeShade="BF"/>
    </w:rPr>
  </w:style>
  <w:style w:type="character" w:styleId="IntenseReference">
    <w:name w:val="Intense Reference"/>
    <w:basedOn w:val="DefaultParagraphFont"/>
    <w:uiPriority w:val="32"/>
    <w:qFormat/>
    <w:rsid w:val="00F2646C"/>
    <w:rPr>
      <w:b/>
      <w:bCs/>
      <w:smallCaps/>
      <w:color w:val="0F4761" w:themeColor="accent1" w:themeShade="BF"/>
      <w:spacing w:val="5"/>
    </w:rPr>
  </w:style>
  <w:style w:type="character" w:styleId="Emphasis">
    <w:name w:val="Emphasis"/>
    <w:basedOn w:val="DefaultParagraphFont"/>
    <w:uiPriority w:val="20"/>
    <w:qFormat/>
    <w:rsid w:val="00F2646C"/>
    <w:rPr>
      <w:i/>
      <w:iCs/>
    </w:rPr>
  </w:style>
  <w:style w:type="character" w:styleId="Strong">
    <w:name w:val="Strong"/>
    <w:basedOn w:val="DefaultParagraphFont"/>
    <w:uiPriority w:val="22"/>
    <w:qFormat/>
    <w:rsid w:val="00F2646C"/>
    <w:rPr>
      <w:b/>
      <w:bCs/>
    </w:rPr>
  </w:style>
  <w:style w:type="character" w:customStyle="1" w:styleId="apple-converted-space">
    <w:name w:val="apple-converted-space"/>
    <w:basedOn w:val="DefaultParagraphFont"/>
    <w:rsid w:val="00F2646C"/>
  </w:style>
  <w:style w:type="paragraph" w:styleId="NormalWeb">
    <w:name w:val="Normal (Web)"/>
    <w:basedOn w:val="Normal"/>
    <w:uiPriority w:val="99"/>
    <w:semiHidden/>
    <w:unhideWhenUsed/>
    <w:rsid w:val="00F2646C"/>
    <w:pPr>
      <w:spacing w:before="100" w:beforeAutospacing="1" w:after="100" w:afterAutospacing="1"/>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100766"/>
    <w:pPr>
      <w:tabs>
        <w:tab w:val="center" w:pos="4513"/>
        <w:tab w:val="right" w:pos="9026"/>
      </w:tabs>
    </w:pPr>
  </w:style>
  <w:style w:type="character" w:customStyle="1" w:styleId="FooterChar">
    <w:name w:val="Footer Char"/>
    <w:basedOn w:val="DefaultParagraphFont"/>
    <w:link w:val="Footer"/>
    <w:uiPriority w:val="99"/>
    <w:rsid w:val="00100766"/>
  </w:style>
  <w:style w:type="character" w:styleId="PageNumber">
    <w:name w:val="page number"/>
    <w:basedOn w:val="DefaultParagraphFont"/>
    <w:uiPriority w:val="99"/>
    <w:semiHidden/>
    <w:unhideWhenUsed/>
    <w:rsid w:val="00100766"/>
  </w:style>
  <w:style w:type="character" w:customStyle="1" w:styleId="katex-mathml">
    <w:name w:val="katex-mathml"/>
    <w:basedOn w:val="DefaultParagraphFont"/>
    <w:rsid w:val="00100766"/>
  </w:style>
  <w:style w:type="character" w:customStyle="1" w:styleId="mord">
    <w:name w:val="mord"/>
    <w:basedOn w:val="DefaultParagraphFont"/>
    <w:rsid w:val="00100766"/>
  </w:style>
  <w:style w:type="character" w:customStyle="1" w:styleId="mrel">
    <w:name w:val="mrel"/>
    <w:basedOn w:val="DefaultParagraphFont"/>
    <w:rsid w:val="00100766"/>
  </w:style>
  <w:style w:type="character" w:customStyle="1" w:styleId="mpunct">
    <w:name w:val="mpunct"/>
    <w:basedOn w:val="DefaultParagraphFont"/>
    <w:rsid w:val="00100766"/>
  </w:style>
  <w:style w:type="character" w:customStyle="1" w:styleId="vlist-s">
    <w:name w:val="vlist-s"/>
    <w:basedOn w:val="DefaultParagraphFont"/>
    <w:rsid w:val="00100766"/>
  </w:style>
  <w:style w:type="character" w:customStyle="1" w:styleId="mbin">
    <w:name w:val="mbin"/>
    <w:basedOn w:val="DefaultParagraphFont"/>
    <w:rsid w:val="00100766"/>
  </w:style>
  <w:style w:type="table" w:styleId="TableGrid">
    <w:name w:val="Table Grid"/>
    <w:basedOn w:val="TableNormal"/>
    <w:uiPriority w:val="39"/>
    <w:rsid w:val="001007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035D1"/>
    <w:rPr>
      <w:color w:val="0000FF"/>
      <w:u w:val="single"/>
    </w:rPr>
  </w:style>
  <w:style w:type="paragraph" w:styleId="TOCHeading">
    <w:name w:val="TOC Heading"/>
    <w:basedOn w:val="Heading1"/>
    <w:next w:val="Normal"/>
    <w:uiPriority w:val="39"/>
    <w:unhideWhenUsed/>
    <w:qFormat/>
    <w:rsid w:val="008E065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E065F"/>
    <w:pPr>
      <w:spacing w:before="120"/>
    </w:pPr>
    <w:rPr>
      <w:b/>
      <w:bCs/>
      <w:i/>
      <w:iCs/>
    </w:rPr>
  </w:style>
  <w:style w:type="paragraph" w:styleId="TOC2">
    <w:name w:val="toc 2"/>
    <w:basedOn w:val="Normal"/>
    <w:next w:val="Normal"/>
    <w:autoRedefine/>
    <w:uiPriority w:val="39"/>
    <w:unhideWhenUsed/>
    <w:rsid w:val="008E065F"/>
    <w:pPr>
      <w:spacing w:before="120"/>
      <w:ind w:left="240"/>
    </w:pPr>
    <w:rPr>
      <w:b/>
      <w:bCs/>
      <w:sz w:val="22"/>
      <w:szCs w:val="22"/>
    </w:rPr>
  </w:style>
  <w:style w:type="paragraph" w:styleId="TOC3">
    <w:name w:val="toc 3"/>
    <w:basedOn w:val="Normal"/>
    <w:next w:val="Normal"/>
    <w:autoRedefine/>
    <w:uiPriority w:val="39"/>
    <w:semiHidden/>
    <w:unhideWhenUsed/>
    <w:rsid w:val="008E065F"/>
    <w:pPr>
      <w:ind w:left="480"/>
    </w:pPr>
    <w:rPr>
      <w:sz w:val="20"/>
      <w:szCs w:val="20"/>
    </w:rPr>
  </w:style>
  <w:style w:type="paragraph" w:styleId="TOC4">
    <w:name w:val="toc 4"/>
    <w:basedOn w:val="Normal"/>
    <w:next w:val="Normal"/>
    <w:autoRedefine/>
    <w:uiPriority w:val="39"/>
    <w:semiHidden/>
    <w:unhideWhenUsed/>
    <w:rsid w:val="008E065F"/>
    <w:pPr>
      <w:ind w:left="720"/>
    </w:pPr>
    <w:rPr>
      <w:sz w:val="20"/>
      <w:szCs w:val="20"/>
    </w:rPr>
  </w:style>
  <w:style w:type="paragraph" w:styleId="TOC5">
    <w:name w:val="toc 5"/>
    <w:basedOn w:val="Normal"/>
    <w:next w:val="Normal"/>
    <w:autoRedefine/>
    <w:uiPriority w:val="39"/>
    <w:semiHidden/>
    <w:unhideWhenUsed/>
    <w:rsid w:val="008E065F"/>
    <w:pPr>
      <w:ind w:left="960"/>
    </w:pPr>
    <w:rPr>
      <w:sz w:val="20"/>
      <w:szCs w:val="20"/>
    </w:rPr>
  </w:style>
  <w:style w:type="paragraph" w:styleId="TOC6">
    <w:name w:val="toc 6"/>
    <w:basedOn w:val="Normal"/>
    <w:next w:val="Normal"/>
    <w:autoRedefine/>
    <w:uiPriority w:val="39"/>
    <w:semiHidden/>
    <w:unhideWhenUsed/>
    <w:rsid w:val="008E065F"/>
    <w:pPr>
      <w:ind w:left="1200"/>
    </w:pPr>
    <w:rPr>
      <w:sz w:val="20"/>
      <w:szCs w:val="20"/>
    </w:rPr>
  </w:style>
  <w:style w:type="paragraph" w:styleId="TOC7">
    <w:name w:val="toc 7"/>
    <w:basedOn w:val="Normal"/>
    <w:next w:val="Normal"/>
    <w:autoRedefine/>
    <w:uiPriority w:val="39"/>
    <w:semiHidden/>
    <w:unhideWhenUsed/>
    <w:rsid w:val="008E065F"/>
    <w:pPr>
      <w:ind w:left="1440"/>
    </w:pPr>
    <w:rPr>
      <w:sz w:val="20"/>
      <w:szCs w:val="20"/>
    </w:rPr>
  </w:style>
  <w:style w:type="paragraph" w:styleId="TOC8">
    <w:name w:val="toc 8"/>
    <w:basedOn w:val="Normal"/>
    <w:next w:val="Normal"/>
    <w:autoRedefine/>
    <w:uiPriority w:val="39"/>
    <w:semiHidden/>
    <w:unhideWhenUsed/>
    <w:rsid w:val="008E065F"/>
    <w:pPr>
      <w:ind w:left="1680"/>
    </w:pPr>
    <w:rPr>
      <w:sz w:val="20"/>
      <w:szCs w:val="20"/>
    </w:rPr>
  </w:style>
  <w:style w:type="paragraph" w:styleId="TOC9">
    <w:name w:val="toc 9"/>
    <w:basedOn w:val="Normal"/>
    <w:next w:val="Normal"/>
    <w:autoRedefine/>
    <w:uiPriority w:val="39"/>
    <w:semiHidden/>
    <w:unhideWhenUsed/>
    <w:rsid w:val="008E065F"/>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c.org.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w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62389-14B2-CF48-B5E2-621D6001E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1925</Words>
  <Characters>13036</Characters>
  <Application>Microsoft Office Word</Application>
  <DocSecurity>0</DocSecurity>
  <Lines>501</Lines>
  <Paragraphs>311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2025-12-08T19:15:00Z</dcterms:created>
  <dcterms:modified xsi:type="dcterms:W3CDTF">2025-12-08T19:37:00Z</dcterms:modified>
</cp:coreProperties>
</file>