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4E6C" w:rsidRDefault="00474E6C" w:rsidP="00474E6C">
      <w:pPr>
        <w:spacing w:before="100" w:beforeAutospacing="1" w:after="100" w:afterAutospacing="1"/>
        <w:rPr>
          <w:b/>
          <w:bCs/>
          <w:color w:val="C00000"/>
          <w:lang w:val="en-GB" w:eastAsia="en-GB"/>
        </w:rPr>
      </w:pPr>
      <w:r w:rsidRPr="00A52595">
        <w:rPr>
          <w:noProof/>
        </w:rPr>
        <w:drawing>
          <wp:inline distT="0" distB="0" distL="0" distR="0" wp14:anchorId="6A8C1F0C" wp14:editId="1C900BD1">
            <wp:extent cx="5496560" cy="1881963"/>
            <wp:effectExtent l="0" t="0" r="2540" b="0"/>
            <wp:docPr id="142490104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36939" cy="1895788"/>
                    </a:xfrm>
                    <a:prstGeom prst="rect">
                      <a:avLst/>
                    </a:prstGeom>
                    <a:noFill/>
                    <a:ln>
                      <a:noFill/>
                    </a:ln>
                  </pic:spPr>
                </pic:pic>
              </a:graphicData>
            </a:graphic>
          </wp:inline>
        </w:drawing>
      </w:r>
    </w:p>
    <w:p w:rsidR="00474E6C" w:rsidRDefault="00474E6C" w:rsidP="00474E6C">
      <w:pPr>
        <w:spacing w:before="100" w:beforeAutospacing="1" w:after="100" w:afterAutospacing="1"/>
        <w:rPr>
          <w:b/>
          <w:bCs/>
          <w:color w:val="C00000"/>
          <w:lang w:val="en-GB" w:eastAsia="en-GB"/>
        </w:rPr>
      </w:pPr>
    </w:p>
    <w:p w:rsidR="00474E6C" w:rsidRPr="00CC06F4" w:rsidRDefault="00474E6C" w:rsidP="00474E6C">
      <w:pPr>
        <w:spacing w:before="100" w:beforeAutospacing="1" w:after="100" w:afterAutospacing="1"/>
        <w:jc w:val="center"/>
        <w:rPr>
          <w:b/>
          <w:bCs/>
          <w:color w:val="000000" w:themeColor="text1"/>
          <w:sz w:val="28"/>
          <w:szCs w:val="28"/>
          <w:lang w:val="en-GB" w:eastAsia="en-GB"/>
        </w:rPr>
      </w:pPr>
      <w:r w:rsidRPr="00CC06F4">
        <w:rPr>
          <w:b/>
          <w:bCs/>
          <w:color w:val="000000" w:themeColor="text1"/>
          <w:sz w:val="28"/>
          <w:szCs w:val="28"/>
          <w:lang w:val="en-GB" w:eastAsia="en-GB"/>
        </w:rPr>
        <w:t>Critical Literature Review for Doctoral Research</w:t>
      </w:r>
    </w:p>
    <w:p w:rsidR="00474E6C" w:rsidRDefault="00474E6C" w:rsidP="00474E6C">
      <w:pPr>
        <w:spacing w:before="100" w:beforeAutospacing="1" w:after="100" w:afterAutospacing="1"/>
        <w:jc w:val="center"/>
        <w:rPr>
          <w:b/>
          <w:bCs/>
          <w:color w:val="000000" w:themeColor="text1"/>
          <w:sz w:val="28"/>
          <w:szCs w:val="28"/>
          <w:lang w:val="en-GB" w:eastAsia="en-GB"/>
        </w:rPr>
      </w:pPr>
      <w:r w:rsidRPr="00CC06F4">
        <w:rPr>
          <w:b/>
          <w:bCs/>
          <w:color w:val="000000" w:themeColor="text1"/>
          <w:sz w:val="28"/>
          <w:szCs w:val="28"/>
          <w:lang w:val="en-GB" w:eastAsia="en-GB"/>
        </w:rPr>
        <w:t>(LCDB7009_LON)</w:t>
      </w:r>
    </w:p>
    <w:p w:rsidR="00474E6C" w:rsidRDefault="00474E6C" w:rsidP="00474E6C">
      <w:pPr>
        <w:spacing w:before="100" w:beforeAutospacing="1" w:after="100" w:afterAutospacing="1"/>
        <w:jc w:val="center"/>
        <w:rPr>
          <w:b/>
          <w:bCs/>
          <w:color w:val="000000" w:themeColor="text1"/>
          <w:sz w:val="28"/>
          <w:szCs w:val="28"/>
          <w:lang w:val="en-GB" w:eastAsia="en-GB"/>
        </w:rPr>
      </w:pPr>
    </w:p>
    <w:p w:rsidR="00474E6C" w:rsidRDefault="00474E6C" w:rsidP="00474E6C">
      <w:pPr>
        <w:spacing w:before="100" w:beforeAutospacing="1" w:after="100" w:afterAutospacing="1"/>
        <w:jc w:val="center"/>
        <w:rPr>
          <w:b/>
          <w:bCs/>
          <w:color w:val="000000" w:themeColor="text1"/>
          <w:sz w:val="28"/>
          <w:szCs w:val="28"/>
          <w:lang w:val="en-GB" w:eastAsia="en-GB"/>
        </w:rPr>
      </w:pPr>
      <w:r w:rsidRPr="00CC06F4">
        <w:rPr>
          <w:b/>
          <w:bCs/>
          <w:color w:val="000000" w:themeColor="text1"/>
          <w:sz w:val="28"/>
          <w:szCs w:val="28"/>
          <w:lang w:val="en-GB" w:eastAsia="en-GB"/>
        </w:rPr>
        <w:t>Strengthening Operational Risk Governance in Digital Payment Dispute Management: Evidence from Nepalese Banks.</w:t>
      </w:r>
    </w:p>
    <w:p w:rsidR="00474E6C" w:rsidRDefault="00474E6C" w:rsidP="00474E6C">
      <w:pPr>
        <w:spacing w:before="100" w:beforeAutospacing="1" w:after="100" w:afterAutospacing="1"/>
        <w:jc w:val="center"/>
        <w:rPr>
          <w:b/>
          <w:bCs/>
          <w:color w:val="000000" w:themeColor="text1"/>
          <w:sz w:val="28"/>
          <w:szCs w:val="28"/>
          <w:lang w:val="en-GB" w:eastAsia="en-GB"/>
        </w:rPr>
      </w:pPr>
    </w:p>
    <w:p w:rsidR="00474E6C" w:rsidRDefault="00474E6C" w:rsidP="00474E6C">
      <w:pPr>
        <w:spacing w:before="100" w:beforeAutospacing="1" w:after="100" w:afterAutospacing="1"/>
        <w:jc w:val="center"/>
        <w:rPr>
          <w:b/>
          <w:bCs/>
          <w:color w:val="000000" w:themeColor="text1"/>
          <w:sz w:val="28"/>
          <w:szCs w:val="28"/>
          <w:lang w:val="en-GB" w:eastAsia="en-GB"/>
        </w:rPr>
      </w:pPr>
      <w:r>
        <w:rPr>
          <w:b/>
          <w:bCs/>
          <w:color w:val="000000" w:themeColor="text1"/>
          <w:sz w:val="28"/>
          <w:szCs w:val="28"/>
          <w:lang w:val="en-GB" w:eastAsia="en-GB"/>
        </w:rPr>
        <w:t>DBA Level 7</w:t>
      </w:r>
    </w:p>
    <w:p w:rsidR="00474E6C" w:rsidRDefault="00474E6C" w:rsidP="00474E6C">
      <w:pPr>
        <w:spacing w:before="100" w:beforeAutospacing="1" w:after="100" w:afterAutospacing="1"/>
        <w:jc w:val="center"/>
        <w:rPr>
          <w:b/>
          <w:bCs/>
          <w:color w:val="000000" w:themeColor="text1"/>
          <w:sz w:val="28"/>
          <w:szCs w:val="28"/>
          <w:lang w:val="en-GB" w:eastAsia="en-GB"/>
        </w:rPr>
      </w:pPr>
    </w:p>
    <w:p w:rsidR="00474E6C" w:rsidRDefault="00474E6C" w:rsidP="00474E6C">
      <w:pPr>
        <w:spacing w:before="100" w:beforeAutospacing="1" w:after="100" w:afterAutospacing="1"/>
        <w:jc w:val="center"/>
        <w:rPr>
          <w:b/>
          <w:bCs/>
          <w:color w:val="000000" w:themeColor="text1"/>
          <w:sz w:val="28"/>
          <w:szCs w:val="28"/>
          <w:lang w:val="en-GB" w:eastAsia="en-GB"/>
        </w:rPr>
      </w:pPr>
      <w:r>
        <w:rPr>
          <w:b/>
          <w:bCs/>
          <w:color w:val="000000" w:themeColor="text1"/>
          <w:sz w:val="28"/>
          <w:szCs w:val="28"/>
          <w:lang w:val="en-GB" w:eastAsia="en-GB"/>
        </w:rPr>
        <w:t xml:space="preserve">Student Name:  </w:t>
      </w:r>
      <w:proofErr w:type="spellStart"/>
      <w:r>
        <w:rPr>
          <w:b/>
          <w:bCs/>
          <w:color w:val="000000" w:themeColor="text1"/>
          <w:sz w:val="28"/>
          <w:szCs w:val="28"/>
          <w:lang w:val="en-GB" w:eastAsia="en-GB"/>
        </w:rPr>
        <w:t>Sobita</w:t>
      </w:r>
      <w:proofErr w:type="spellEnd"/>
      <w:r>
        <w:rPr>
          <w:b/>
          <w:bCs/>
          <w:color w:val="000000" w:themeColor="text1"/>
          <w:sz w:val="28"/>
          <w:szCs w:val="28"/>
          <w:lang w:val="en-GB" w:eastAsia="en-GB"/>
        </w:rPr>
        <w:t xml:space="preserve"> Adhikari</w:t>
      </w:r>
    </w:p>
    <w:p w:rsidR="00474E6C" w:rsidRDefault="00474E6C" w:rsidP="00474E6C">
      <w:pPr>
        <w:spacing w:before="100" w:beforeAutospacing="1" w:after="100" w:afterAutospacing="1"/>
        <w:jc w:val="center"/>
        <w:rPr>
          <w:b/>
          <w:bCs/>
          <w:color w:val="000000" w:themeColor="text1"/>
          <w:sz w:val="28"/>
          <w:szCs w:val="28"/>
          <w:lang w:val="en-GB" w:eastAsia="en-GB"/>
        </w:rPr>
      </w:pPr>
      <w:r>
        <w:rPr>
          <w:b/>
          <w:bCs/>
          <w:color w:val="000000" w:themeColor="text1"/>
          <w:sz w:val="28"/>
          <w:szCs w:val="28"/>
          <w:lang w:val="en-GB" w:eastAsia="en-GB"/>
        </w:rPr>
        <w:t>Student Number: 2508627</w:t>
      </w:r>
    </w:p>
    <w:p w:rsidR="00474E6C" w:rsidRDefault="00474E6C" w:rsidP="00474E6C">
      <w:pPr>
        <w:spacing w:before="100" w:beforeAutospacing="1" w:after="100" w:afterAutospacing="1"/>
        <w:jc w:val="center"/>
        <w:rPr>
          <w:b/>
          <w:bCs/>
          <w:color w:val="000000" w:themeColor="text1"/>
          <w:sz w:val="28"/>
          <w:szCs w:val="28"/>
          <w:lang w:val="en-GB" w:eastAsia="en-GB"/>
        </w:rPr>
      </w:pPr>
      <w:r>
        <w:rPr>
          <w:b/>
          <w:bCs/>
          <w:color w:val="000000" w:themeColor="text1"/>
          <w:sz w:val="28"/>
          <w:szCs w:val="28"/>
          <w:lang w:val="en-GB" w:eastAsia="en-GB"/>
        </w:rPr>
        <w:t xml:space="preserve">Professor Name: </w:t>
      </w:r>
      <w:proofErr w:type="spellStart"/>
      <w:r>
        <w:rPr>
          <w:b/>
          <w:bCs/>
          <w:color w:val="000000" w:themeColor="text1"/>
          <w:sz w:val="28"/>
          <w:szCs w:val="28"/>
          <w:lang w:val="en-GB" w:eastAsia="en-GB"/>
        </w:rPr>
        <w:t>Ebad</w:t>
      </w:r>
      <w:proofErr w:type="spellEnd"/>
      <w:r>
        <w:rPr>
          <w:b/>
          <w:bCs/>
          <w:color w:val="000000" w:themeColor="text1"/>
          <w:sz w:val="28"/>
          <w:szCs w:val="28"/>
          <w:lang w:val="en-GB" w:eastAsia="en-GB"/>
        </w:rPr>
        <w:t xml:space="preserve"> </w:t>
      </w:r>
      <w:proofErr w:type="spellStart"/>
      <w:r>
        <w:rPr>
          <w:b/>
          <w:bCs/>
          <w:color w:val="000000" w:themeColor="text1"/>
          <w:sz w:val="28"/>
          <w:szCs w:val="28"/>
          <w:lang w:val="en-GB" w:eastAsia="en-GB"/>
        </w:rPr>
        <w:t>Banissi</w:t>
      </w:r>
      <w:proofErr w:type="spellEnd"/>
    </w:p>
    <w:p w:rsidR="00474E6C" w:rsidRDefault="00474E6C" w:rsidP="00474E6C">
      <w:pPr>
        <w:spacing w:before="100" w:beforeAutospacing="1" w:after="100" w:afterAutospacing="1"/>
        <w:jc w:val="center"/>
        <w:rPr>
          <w:b/>
          <w:bCs/>
          <w:color w:val="000000" w:themeColor="text1"/>
          <w:sz w:val="28"/>
          <w:szCs w:val="28"/>
          <w:lang w:val="en-GB" w:eastAsia="en-GB"/>
        </w:rPr>
      </w:pPr>
    </w:p>
    <w:p w:rsidR="00474E6C" w:rsidRDefault="00474E6C" w:rsidP="00474E6C">
      <w:pPr>
        <w:spacing w:before="100" w:beforeAutospacing="1" w:after="100" w:afterAutospacing="1"/>
        <w:jc w:val="center"/>
        <w:rPr>
          <w:b/>
          <w:bCs/>
          <w:color w:val="000000" w:themeColor="text1"/>
          <w:sz w:val="28"/>
          <w:szCs w:val="28"/>
          <w:lang w:val="en-GB" w:eastAsia="en-GB"/>
        </w:rPr>
      </w:pPr>
    </w:p>
    <w:p w:rsidR="00474E6C" w:rsidRPr="00CC06F4" w:rsidRDefault="00474E6C" w:rsidP="00474E6C">
      <w:pPr>
        <w:spacing w:before="100" w:beforeAutospacing="1" w:after="100" w:afterAutospacing="1"/>
        <w:jc w:val="center"/>
        <w:rPr>
          <w:color w:val="C00000"/>
          <w:sz w:val="28"/>
          <w:szCs w:val="28"/>
          <w:lang w:val="en-GB" w:eastAsia="en-GB"/>
        </w:rPr>
      </w:pPr>
    </w:p>
    <w:p w:rsidR="00474E6C" w:rsidRPr="00FE5B40" w:rsidRDefault="00474E6C" w:rsidP="00474E6C">
      <w:pPr>
        <w:spacing w:before="100" w:beforeAutospacing="1" w:after="100" w:afterAutospacing="1"/>
        <w:jc w:val="center"/>
        <w:rPr>
          <w:b/>
          <w:bCs/>
          <w:color w:val="000000" w:themeColor="text1"/>
          <w:sz w:val="28"/>
          <w:szCs w:val="28"/>
          <w:lang w:val="en-GB" w:eastAsia="en-GB"/>
        </w:rPr>
      </w:pPr>
      <w:r>
        <w:rPr>
          <w:b/>
          <w:bCs/>
          <w:color w:val="000000" w:themeColor="text1"/>
          <w:sz w:val="28"/>
          <w:szCs w:val="28"/>
          <w:lang w:val="en-GB" w:eastAsia="en-GB"/>
        </w:rPr>
        <w:t>2026</w:t>
      </w:r>
    </w:p>
    <w:p w:rsidR="0039542E" w:rsidRDefault="0039542E">
      <w:pPr>
        <w:rPr>
          <w:rFonts w:ascii="Arial" w:hAnsi="Arial" w:cs="Arial"/>
          <w:b/>
          <w:bCs/>
          <w:color w:val="000000"/>
        </w:rPr>
      </w:pPr>
    </w:p>
    <w:p w:rsidR="0039542E" w:rsidRDefault="0039542E">
      <w:pPr>
        <w:rPr>
          <w:rFonts w:ascii="Arial" w:hAnsi="Arial" w:cs="Arial"/>
          <w:b/>
          <w:bCs/>
          <w:color w:val="000000"/>
        </w:rPr>
      </w:pPr>
    </w:p>
    <w:p w:rsidR="0039542E" w:rsidRDefault="0039542E">
      <w:pPr>
        <w:rPr>
          <w:rFonts w:ascii="Arial" w:hAnsi="Arial" w:cs="Arial"/>
          <w:b/>
          <w:bCs/>
          <w:color w:val="000000"/>
        </w:rPr>
      </w:pPr>
    </w:p>
    <w:p w:rsidR="00A7359F" w:rsidRPr="00555190" w:rsidRDefault="00A7359F" w:rsidP="00555190">
      <w:pPr>
        <w:pStyle w:val="Heading1"/>
        <w:rPr>
          <w:b/>
          <w:bCs/>
          <w:color w:val="000000" w:themeColor="text1"/>
        </w:rPr>
      </w:pPr>
      <w:bookmarkStart w:id="0" w:name="_Toc227498303"/>
      <w:r w:rsidRPr="00555190">
        <w:rPr>
          <w:b/>
          <w:bCs/>
          <w:color w:val="000000" w:themeColor="text1"/>
        </w:rPr>
        <w:lastRenderedPageBreak/>
        <w:t>ABSTRACT</w:t>
      </w:r>
      <w:bookmarkEnd w:id="0"/>
    </w:p>
    <w:p w:rsidR="0005675A" w:rsidRPr="0005675A" w:rsidRDefault="0005675A" w:rsidP="0005675A">
      <w:pPr>
        <w:pStyle w:val="ds-markdown-paragraph"/>
        <w:spacing w:before="240" w:beforeAutospacing="0" w:after="240" w:afterAutospacing="0"/>
        <w:jc w:val="both"/>
        <w:rPr>
          <w:rFonts w:ascii="Arial" w:hAnsi="Arial" w:cs="Arial"/>
          <w:color w:val="0F1115"/>
        </w:rPr>
      </w:pPr>
      <w:r w:rsidRPr="0005675A">
        <w:rPr>
          <w:rFonts w:ascii="Arial" w:hAnsi="Arial" w:cs="Arial"/>
          <w:color w:val="0F1115"/>
        </w:rPr>
        <w:t xml:space="preserve">The rapid growth of digital payment systems has </w:t>
      </w:r>
      <w:proofErr w:type="spellStart"/>
      <w:r w:rsidRPr="0005675A">
        <w:rPr>
          <w:rFonts w:ascii="Arial" w:hAnsi="Arial" w:cs="Arial"/>
          <w:color w:val="0F1115"/>
        </w:rPr>
        <w:t>revolutionised</w:t>
      </w:r>
      <w:proofErr w:type="spellEnd"/>
      <w:r w:rsidRPr="0005675A">
        <w:rPr>
          <w:rFonts w:ascii="Arial" w:hAnsi="Arial" w:cs="Arial"/>
          <w:color w:val="0F1115"/>
        </w:rPr>
        <w:t xml:space="preserve"> banking operations, but it has also made digital transaction disputes more frequent, resulting from human error, process inefficiencies, and system breakdowns. The majority of existing research ignores the operational and governance aspects of these disputes, treating them as customer service problems. To overcome this limitation, this study critically examines and </w:t>
      </w:r>
      <w:proofErr w:type="spellStart"/>
      <w:r w:rsidRPr="0005675A">
        <w:rPr>
          <w:rFonts w:ascii="Arial" w:hAnsi="Arial" w:cs="Arial"/>
          <w:color w:val="0F1115"/>
        </w:rPr>
        <w:t>synthesises</w:t>
      </w:r>
      <w:proofErr w:type="spellEnd"/>
      <w:r w:rsidRPr="0005675A">
        <w:rPr>
          <w:rFonts w:ascii="Arial" w:hAnsi="Arial" w:cs="Arial"/>
          <w:color w:val="0F1115"/>
        </w:rPr>
        <w:t xml:space="preserve"> the literature on digital banking, service recovery, operational risk, and governance. It rethinks digital transaction disputes as operational risk governance events embedded within </w:t>
      </w:r>
      <w:proofErr w:type="spellStart"/>
      <w:r w:rsidRPr="0005675A">
        <w:rPr>
          <w:rFonts w:ascii="Arial" w:hAnsi="Arial" w:cs="Arial"/>
          <w:color w:val="0F1115"/>
        </w:rPr>
        <w:t>organisational</w:t>
      </w:r>
      <w:proofErr w:type="spellEnd"/>
      <w:r w:rsidRPr="0005675A">
        <w:rPr>
          <w:rFonts w:ascii="Arial" w:hAnsi="Arial" w:cs="Arial"/>
          <w:color w:val="0F1115"/>
        </w:rPr>
        <w:t xml:space="preserve"> systems by using a </w:t>
      </w:r>
      <w:proofErr w:type="spellStart"/>
      <w:r w:rsidRPr="0005675A">
        <w:rPr>
          <w:rFonts w:ascii="Arial" w:hAnsi="Arial" w:cs="Arial"/>
          <w:color w:val="0F1115"/>
        </w:rPr>
        <w:t>problematisation</w:t>
      </w:r>
      <w:proofErr w:type="spellEnd"/>
      <w:r w:rsidRPr="0005675A">
        <w:rPr>
          <w:rFonts w:ascii="Arial" w:hAnsi="Arial" w:cs="Arial"/>
          <w:color w:val="0F1115"/>
        </w:rPr>
        <w:t xml:space="preserve"> approach. By combining operational risk drivers, dispute resolution procedures, governance mechanisms, and process efficiency, the study develops a refined conceptual framework. This framework, which explains how operational failures trigger dispute events and how governance systems shape dispute resolution outcomes, is drawn from the critical synthesis and </w:t>
      </w:r>
      <w:proofErr w:type="spellStart"/>
      <w:r w:rsidRPr="0005675A">
        <w:rPr>
          <w:rFonts w:ascii="Arial" w:hAnsi="Arial" w:cs="Arial"/>
          <w:color w:val="0F1115"/>
        </w:rPr>
        <w:t>problematisation</w:t>
      </w:r>
      <w:proofErr w:type="spellEnd"/>
      <w:r w:rsidRPr="0005675A">
        <w:rPr>
          <w:rFonts w:ascii="Arial" w:hAnsi="Arial" w:cs="Arial"/>
          <w:color w:val="0F1115"/>
        </w:rPr>
        <w:t xml:space="preserve"> of current literature. Focusing on Nepalese banking, the study uncovers significant empirical and contextual gaps and provides the foundation for the further investigation and practice</w:t>
      </w:r>
      <w:r w:rsidRPr="0005675A">
        <w:rPr>
          <w:rFonts w:ascii="Arial" w:hAnsi="Arial" w:cs="Arial"/>
          <w:color w:val="0F1115"/>
        </w:rPr>
        <w:noBreakHyphen/>
        <w:t>oriented advancements in dispute resolution.</w:t>
      </w:r>
    </w:p>
    <w:p w:rsidR="0005675A" w:rsidRPr="0005675A" w:rsidRDefault="0005675A" w:rsidP="0005675A">
      <w:pPr>
        <w:pStyle w:val="ds-markdown-paragraph"/>
        <w:spacing w:before="240" w:beforeAutospacing="0" w:after="240" w:afterAutospacing="0"/>
        <w:jc w:val="both"/>
        <w:rPr>
          <w:rFonts w:ascii="Arial" w:hAnsi="Arial" w:cs="Arial"/>
          <w:color w:val="0F1115"/>
        </w:rPr>
      </w:pPr>
    </w:p>
    <w:p w:rsidR="0005675A" w:rsidRDefault="0005675A" w:rsidP="0005675A">
      <w:pPr>
        <w:pStyle w:val="ds-markdown-paragraph"/>
        <w:spacing w:before="240" w:beforeAutospacing="0" w:after="240" w:afterAutospacing="0"/>
        <w:jc w:val="both"/>
        <w:rPr>
          <w:rFonts w:ascii="Arial" w:hAnsi="Arial" w:cs="Arial"/>
          <w:color w:val="0F1115"/>
        </w:rPr>
      </w:pPr>
    </w:p>
    <w:p w:rsidR="0005675A" w:rsidRPr="0005675A" w:rsidRDefault="0005675A" w:rsidP="0005675A">
      <w:pPr>
        <w:pStyle w:val="ds-markdown-paragraph"/>
        <w:spacing w:before="240" w:beforeAutospacing="0" w:after="240" w:afterAutospacing="0"/>
        <w:jc w:val="both"/>
        <w:rPr>
          <w:rFonts w:ascii="Arial" w:hAnsi="Arial" w:cs="Arial"/>
          <w:color w:val="0F1115"/>
        </w:rPr>
      </w:pPr>
    </w:p>
    <w:p w:rsidR="0005675A" w:rsidRPr="0005675A" w:rsidRDefault="0005675A" w:rsidP="0005675A">
      <w:pPr>
        <w:pStyle w:val="ds-markdown-paragraph"/>
        <w:spacing w:before="240" w:beforeAutospacing="0" w:after="0" w:afterAutospacing="0"/>
        <w:jc w:val="both"/>
        <w:rPr>
          <w:rFonts w:ascii="Arial" w:hAnsi="Arial" w:cs="Arial"/>
          <w:color w:val="0F1115"/>
        </w:rPr>
      </w:pPr>
      <w:r w:rsidRPr="0005675A">
        <w:rPr>
          <w:rStyle w:val="Strong"/>
          <w:rFonts w:ascii="Arial" w:hAnsi="Arial" w:cs="Arial"/>
          <w:color w:val="0F1115"/>
        </w:rPr>
        <w:t>Keywords:</w:t>
      </w:r>
      <w:r w:rsidRPr="0005675A">
        <w:rPr>
          <w:rStyle w:val="apple-converted-space"/>
          <w:rFonts w:ascii="Arial" w:hAnsi="Arial" w:cs="Arial"/>
          <w:color w:val="0F1115"/>
        </w:rPr>
        <w:t> </w:t>
      </w:r>
      <w:r w:rsidRPr="0005675A">
        <w:rPr>
          <w:rFonts w:ascii="Arial" w:hAnsi="Arial" w:cs="Arial"/>
          <w:color w:val="0F1115"/>
        </w:rPr>
        <w:t>Digital Payment Systems, Digital Payment Dispute, Operational Risk, Risk Governance, Dispute Management, Banking Sector, Nepal.</w:t>
      </w: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7D28D6" w:rsidRDefault="007D28D6">
      <w:pPr>
        <w:rPr>
          <w:rFonts w:ascii="Arial" w:hAnsi="Arial" w:cs="Arial"/>
          <w:b/>
          <w:bCs/>
          <w:color w:val="000000"/>
        </w:rPr>
      </w:pPr>
    </w:p>
    <w:p w:rsidR="007D28D6" w:rsidRDefault="007D28D6">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p w:rsidR="00A7359F" w:rsidRDefault="00A7359F">
      <w:pPr>
        <w:rPr>
          <w:rFonts w:ascii="Arial" w:hAnsi="Arial" w:cs="Arial"/>
          <w:b/>
          <w:bCs/>
          <w:color w:val="000000"/>
        </w:rPr>
      </w:pPr>
    </w:p>
    <w:sdt>
      <w:sdtPr>
        <w:rPr>
          <w:rFonts w:asciiTheme="minorHAnsi" w:eastAsiaTheme="minorHAnsi" w:hAnsiTheme="minorHAnsi" w:cstheme="minorBidi"/>
          <w:b w:val="0"/>
          <w:bCs w:val="0"/>
          <w:color w:val="auto"/>
          <w:kern w:val="2"/>
          <w:sz w:val="32"/>
          <w:szCs w:val="32"/>
          <w14:ligatures w14:val="standardContextual"/>
        </w:rPr>
        <w:id w:val="-860735970"/>
        <w:docPartObj>
          <w:docPartGallery w:val="Table of Contents"/>
          <w:docPartUnique/>
        </w:docPartObj>
      </w:sdtPr>
      <w:sdtEndPr>
        <w:rPr>
          <w:noProof/>
          <w:sz w:val="24"/>
          <w:szCs w:val="24"/>
        </w:rPr>
      </w:sdtEndPr>
      <w:sdtContent>
        <w:p w:rsidR="007B19FA" w:rsidRPr="0005675A" w:rsidRDefault="00CB56EC" w:rsidP="00210B0B">
          <w:pPr>
            <w:pStyle w:val="TOCHeading"/>
            <w:spacing w:before="240" w:after="240"/>
            <w:jc w:val="center"/>
            <w:rPr>
              <w:color w:val="000000" w:themeColor="text1"/>
              <w:sz w:val="32"/>
              <w:szCs w:val="32"/>
            </w:rPr>
          </w:pPr>
          <w:r w:rsidRPr="007B19FA">
            <w:rPr>
              <w:color w:val="000000" w:themeColor="text1"/>
              <w:sz w:val="32"/>
              <w:szCs w:val="32"/>
            </w:rPr>
            <w:t>Table of Contents</w:t>
          </w:r>
        </w:p>
        <w:p w:rsidR="00210B0B" w:rsidRDefault="00CB56EC" w:rsidP="00210B0B">
          <w:pPr>
            <w:pStyle w:val="TOC1"/>
            <w:spacing w:before="240"/>
            <w:rPr>
              <w:rFonts w:eastAsiaTheme="minorEastAsia" w:cstheme="minorBidi"/>
              <w:b w:val="0"/>
              <w:bCs w:val="0"/>
              <w:caps w:val="0"/>
              <w:noProof/>
              <w:sz w:val="24"/>
              <w:szCs w:val="24"/>
              <w:u w:val="none"/>
            </w:rPr>
          </w:pPr>
          <w:r>
            <w:fldChar w:fldCharType="begin"/>
          </w:r>
          <w:r>
            <w:instrText xml:space="preserve"> TOC \o "1-3" \h \z \u </w:instrText>
          </w:r>
          <w:r>
            <w:fldChar w:fldCharType="separate"/>
          </w:r>
          <w:hyperlink w:anchor="_Toc227498303" w:history="1">
            <w:r w:rsidR="00210B0B" w:rsidRPr="003040C9">
              <w:rPr>
                <w:rStyle w:val="Hyperlink"/>
                <w:noProof/>
              </w:rPr>
              <w:t>ABSTRACT</w:t>
            </w:r>
            <w:r w:rsidR="00210B0B">
              <w:rPr>
                <w:noProof/>
                <w:webHidden/>
              </w:rPr>
              <w:tab/>
            </w:r>
            <w:r w:rsidR="00210B0B">
              <w:rPr>
                <w:noProof/>
                <w:webHidden/>
              </w:rPr>
              <w:fldChar w:fldCharType="begin"/>
            </w:r>
            <w:r w:rsidR="00210B0B">
              <w:rPr>
                <w:noProof/>
                <w:webHidden/>
              </w:rPr>
              <w:instrText xml:space="preserve"> PAGEREF _Toc227498303 \h </w:instrText>
            </w:r>
            <w:r w:rsidR="00210B0B">
              <w:rPr>
                <w:noProof/>
                <w:webHidden/>
              </w:rPr>
            </w:r>
            <w:r w:rsidR="00210B0B">
              <w:rPr>
                <w:noProof/>
                <w:webHidden/>
              </w:rPr>
              <w:fldChar w:fldCharType="separate"/>
            </w:r>
            <w:r w:rsidR="00210B0B">
              <w:rPr>
                <w:noProof/>
                <w:webHidden/>
              </w:rPr>
              <w:t>ii</w:t>
            </w:r>
            <w:r w:rsidR="00210B0B">
              <w:rPr>
                <w:noProof/>
                <w:webHidden/>
              </w:rPr>
              <w:fldChar w:fldCharType="end"/>
            </w:r>
          </w:hyperlink>
        </w:p>
        <w:p w:rsidR="00210B0B" w:rsidRDefault="00000000" w:rsidP="00210B0B">
          <w:pPr>
            <w:pStyle w:val="TOC1"/>
            <w:spacing w:before="240"/>
            <w:rPr>
              <w:rFonts w:eastAsiaTheme="minorEastAsia" w:cstheme="minorBidi"/>
              <w:b w:val="0"/>
              <w:bCs w:val="0"/>
              <w:caps w:val="0"/>
              <w:noProof/>
              <w:sz w:val="24"/>
              <w:szCs w:val="24"/>
              <w:u w:val="none"/>
            </w:rPr>
          </w:pPr>
          <w:hyperlink w:anchor="_Toc227498304" w:history="1">
            <w:r w:rsidR="00210B0B" w:rsidRPr="003040C9">
              <w:rPr>
                <w:rStyle w:val="Hyperlink"/>
                <w:noProof/>
              </w:rPr>
              <w:t>Part One: The Purposes, Content, and Structure of a Doctoral Critical Literature Review</w:t>
            </w:r>
            <w:r w:rsidR="00210B0B">
              <w:rPr>
                <w:noProof/>
                <w:webHidden/>
              </w:rPr>
              <w:tab/>
            </w:r>
            <w:r w:rsidR="00210B0B">
              <w:rPr>
                <w:noProof/>
                <w:webHidden/>
              </w:rPr>
              <w:fldChar w:fldCharType="begin"/>
            </w:r>
            <w:r w:rsidR="00210B0B">
              <w:rPr>
                <w:noProof/>
                <w:webHidden/>
              </w:rPr>
              <w:instrText xml:space="preserve"> PAGEREF _Toc227498304 \h </w:instrText>
            </w:r>
            <w:r w:rsidR="00210B0B">
              <w:rPr>
                <w:noProof/>
                <w:webHidden/>
              </w:rPr>
            </w:r>
            <w:r w:rsidR="00210B0B">
              <w:rPr>
                <w:noProof/>
                <w:webHidden/>
              </w:rPr>
              <w:fldChar w:fldCharType="separate"/>
            </w:r>
            <w:r w:rsidR="00210B0B">
              <w:rPr>
                <w:noProof/>
                <w:webHidden/>
              </w:rPr>
              <w:t>1</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05" w:history="1">
            <w:r w:rsidR="00210B0B" w:rsidRPr="003040C9">
              <w:rPr>
                <w:rStyle w:val="Hyperlink"/>
                <w:noProof/>
              </w:rPr>
              <w:t>1.1 Background</w:t>
            </w:r>
            <w:r w:rsidR="00210B0B">
              <w:rPr>
                <w:noProof/>
                <w:webHidden/>
              </w:rPr>
              <w:tab/>
            </w:r>
            <w:r w:rsidR="00210B0B">
              <w:rPr>
                <w:noProof/>
                <w:webHidden/>
              </w:rPr>
              <w:fldChar w:fldCharType="begin"/>
            </w:r>
            <w:r w:rsidR="00210B0B">
              <w:rPr>
                <w:noProof/>
                <w:webHidden/>
              </w:rPr>
              <w:instrText xml:space="preserve"> PAGEREF _Toc227498305 \h </w:instrText>
            </w:r>
            <w:r w:rsidR="00210B0B">
              <w:rPr>
                <w:noProof/>
                <w:webHidden/>
              </w:rPr>
            </w:r>
            <w:r w:rsidR="00210B0B">
              <w:rPr>
                <w:noProof/>
                <w:webHidden/>
              </w:rPr>
              <w:fldChar w:fldCharType="separate"/>
            </w:r>
            <w:r w:rsidR="00210B0B">
              <w:rPr>
                <w:noProof/>
                <w:webHidden/>
              </w:rPr>
              <w:t>1</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06" w:history="1">
            <w:r w:rsidR="00210B0B" w:rsidRPr="003040C9">
              <w:rPr>
                <w:rStyle w:val="Hyperlink"/>
                <w:rFonts w:asciiTheme="majorHAnsi" w:hAnsiTheme="majorHAnsi" w:cstheme="majorHAnsi"/>
                <w:noProof/>
              </w:rPr>
              <w:t>1.2 What Constitutes a "Critical" DBA Literature Review?</w:t>
            </w:r>
            <w:r w:rsidR="00210B0B">
              <w:rPr>
                <w:noProof/>
                <w:webHidden/>
              </w:rPr>
              <w:tab/>
            </w:r>
            <w:r w:rsidR="00210B0B">
              <w:rPr>
                <w:noProof/>
                <w:webHidden/>
              </w:rPr>
              <w:fldChar w:fldCharType="begin"/>
            </w:r>
            <w:r w:rsidR="00210B0B">
              <w:rPr>
                <w:noProof/>
                <w:webHidden/>
              </w:rPr>
              <w:instrText xml:space="preserve"> PAGEREF _Toc227498306 \h </w:instrText>
            </w:r>
            <w:r w:rsidR="00210B0B">
              <w:rPr>
                <w:noProof/>
                <w:webHidden/>
              </w:rPr>
            </w:r>
            <w:r w:rsidR="00210B0B">
              <w:rPr>
                <w:noProof/>
                <w:webHidden/>
              </w:rPr>
              <w:fldChar w:fldCharType="separate"/>
            </w:r>
            <w:r w:rsidR="00210B0B">
              <w:rPr>
                <w:noProof/>
                <w:webHidden/>
              </w:rPr>
              <w:t>1</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07" w:history="1">
            <w:r w:rsidR="00210B0B" w:rsidRPr="003040C9">
              <w:rPr>
                <w:rStyle w:val="Hyperlink"/>
                <w:rFonts w:asciiTheme="majorHAnsi" w:hAnsiTheme="majorHAnsi" w:cstheme="majorHAnsi"/>
                <w:noProof/>
              </w:rPr>
              <w:t>1.3 The Systematic and Transparent CLR Process</w:t>
            </w:r>
            <w:r w:rsidR="00210B0B">
              <w:rPr>
                <w:noProof/>
                <w:webHidden/>
              </w:rPr>
              <w:tab/>
            </w:r>
            <w:r w:rsidR="00210B0B">
              <w:rPr>
                <w:noProof/>
                <w:webHidden/>
              </w:rPr>
              <w:fldChar w:fldCharType="begin"/>
            </w:r>
            <w:r w:rsidR="00210B0B">
              <w:rPr>
                <w:noProof/>
                <w:webHidden/>
              </w:rPr>
              <w:instrText xml:space="preserve"> PAGEREF _Toc227498307 \h </w:instrText>
            </w:r>
            <w:r w:rsidR="00210B0B">
              <w:rPr>
                <w:noProof/>
                <w:webHidden/>
              </w:rPr>
            </w:r>
            <w:r w:rsidR="00210B0B">
              <w:rPr>
                <w:noProof/>
                <w:webHidden/>
              </w:rPr>
              <w:fldChar w:fldCharType="separate"/>
            </w:r>
            <w:r w:rsidR="00210B0B">
              <w:rPr>
                <w:noProof/>
                <w:webHidden/>
              </w:rPr>
              <w:t>1</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08" w:history="1">
            <w:r w:rsidR="00210B0B" w:rsidRPr="003040C9">
              <w:rPr>
                <w:rStyle w:val="Hyperlink"/>
                <w:rFonts w:asciiTheme="majorHAnsi" w:hAnsiTheme="majorHAnsi" w:cstheme="majorHAnsi"/>
                <w:noProof/>
              </w:rPr>
              <w:t>1.4 CLR Content: What You Examine</w:t>
            </w:r>
            <w:r w:rsidR="00210B0B">
              <w:rPr>
                <w:noProof/>
                <w:webHidden/>
              </w:rPr>
              <w:tab/>
            </w:r>
            <w:r w:rsidR="00210B0B">
              <w:rPr>
                <w:noProof/>
                <w:webHidden/>
              </w:rPr>
              <w:fldChar w:fldCharType="begin"/>
            </w:r>
            <w:r w:rsidR="00210B0B">
              <w:rPr>
                <w:noProof/>
                <w:webHidden/>
              </w:rPr>
              <w:instrText xml:space="preserve"> PAGEREF _Toc227498308 \h </w:instrText>
            </w:r>
            <w:r w:rsidR="00210B0B">
              <w:rPr>
                <w:noProof/>
                <w:webHidden/>
              </w:rPr>
            </w:r>
            <w:r w:rsidR="00210B0B">
              <w:rPr>
                <w:noProof/>
                <w:webHidden/>
              </w:rPr>
              <w:fldChar w:fldCharType="separate"/>
            </w:r>
            <w:r w:rsidR="00210B0B">
              <w:rPr>
                <w:noProof/>
                <w:webHidden/>
              </w:rPr>
              <w:t>2</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09" w:history="1">
            <w:r w:rsidR="00210B0B" w:rsidRPr="003040C9">
              <w:rPr>
                <w:rStyle w:val="Hyperlink"/>
                <w:rFonts w:asciiTheme="majorHAnsi" w:hAnsiTheme="majorHAnsi" w:cstheme="majorHAnsi"/>
                <w:noProof/>
              </w:rPr>
              <w:t>1.5 CLR Output: Conceptual Models, Patterns, Relationships, and Explanations</w:t>
            </w:r>
            <w:r w:rsidR="00210B0B">
              <w:rPr>
                <w:noProof/>
                <w:webHidden/>
              </w:rPr>
              <w:tab/>
            </w:r>
            <w:r w:rsidR="00210B0B">
              <w:rPr>
                <w:noProof/>
                <w:webHidden/>
              </w:rPr>
              <w:fldChar w:fldCharType="begin"/>
            </w:r>
            <w:r w:rsidR="00210B0B">
              <w:rPr>
                <w:noProof/>
                <w:webHidden/>
              </w:rPr>
              <w:instrText xml:space="preserve"> PAGEREF _Toc227498309 \h </w:instrText>
            </w:r>
            <w:r w:rsidR="00210B0B">
              <w:rPr>
                <w:noProof/>
                <w:webHidden/>
              </w:rPr>
            </w:r>
            <w:r w:rsidR="00210B0B">
              <w:rPr>
                <w:noProof/>
                <w:webHidden/>
              </w:rPr>
              <w:fldChar w:fldCharType="separate"/>
            </w:r>
            <w:r w:rsidR="00210B0B">
              <w:rPr>
                <w:noProof/>
                <w:webHidden/>
              </w:rPr>
              <w:t>2</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10" w:history="1">
            <w:r w:rsidR="00210B0B" w:rsidRPr="003040C9">
              <w:rPr>
                <w:rStyle w:val="Hyperlink"/>
                <w:rFonts w:asciiTheme="majorHAnsi" w:hAnsiTheme="majorHAnsi" w:cstheme="majorHAnsi"/>
                <w:noProof/>
              </w:rPr>
              <w:t>1.6 Critical and Analytical Writing Style</w:t>
            </w:r>
            <w:r w:rsidR="00210B0B">
              <w:rPr>
                <w:noProof/>
                <w:webHidden/>
              </w:rPr>
              <w:tab/>
            </w:r>
            <w:r w:rsidR="00210B0B">
              <w:rPr>
                <w:noProof/>
                <w:webHidden/>
              </w:rPr>
              <w:fldChar w:fldCharType="begin"/>
            </w:r>
            <w:r w:rsidR="00210B0B">
              <w:rPr>
                <w:noProof/>
                <w:webHidden/>
              </w:rPr>
              <w:instrText xml:space="preserve"> PAGEREF _Toc227498310 \h </w:instrText>
            </w:r>
            <w:r w:rsidR="00210B0B">
              <w:rPr>
                <w:noProof/>
                <w:webHidden/>
              </w:rPr>
            </w:r>
            <w:r w:rsidR="00210B0B">
              <w:rPr>
                <w:noProof/>
                <w:webHidden/>
              </w:rPr>
              <w:fldChar w:fldCharType="separate"/>
            </w:r>
            <w:r w:rsidR="00210B0B">
              <w:rPr>
                <w:noProof/>
                <w:webHidden/>
              </w:rPr>
              <w:t>2</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11" w:history="1">
            <w:r w:rsidR="00210B0B" w:rsidRPr="003040C9">
              <w:rPr>
                <w:rStyle w:val="Hyperlink"/>
                <w:rFonts w:asciiTheme="majorHAnsi" w:hAnsiTheme="majorHAnsi" w:cstheme="majorHAnsi"/>
                <w:noProof/>
              </w:rPr>
              <w:t>1.7 How Research Questions Are Shaped by CLR</w:t>
            </w:r>
            <w:r w:rsidR="00210B0B">
              <w:rPr>
                <w:noProof/>
                <w:webHidden/>
              </w:rPr>
              <w:tab/>
            </w:r>
            <w:r w:rsidR="00210B0B">
              <w:rPr>
                <w:noProof/>
                <w:webHidden/>
              </w:rPr>
              <w:fldChar w:fldCharType="begin"/>
            </w:r>
            <w:r w:rsidR="00210B0B">
              <w:rPr>
                <w:noProof/>
                <w:webHidden/>
              </w:rPr>
              <w:instrText xml:space="preserve"> PAGEREF _Toc227498311 \h </w:instrText>
            </w:r>
            <w:r w:rsidR="00210B0B">
              <w:rPr>
                <w:noProof/>
                <w:webHidden/>
              </w:rPr>
            </w:r>
            <w:r w:rsidR="00210B0B">
              <w:rPr>
                <w:noProof/>
                <w:webHidden/>
              </w:rPr>
              <w:fldChar w:fldCharType="separate"/>
            </w:r>
            <w:r w:rsidR="00210B0B">
              <w:rPr>
                <w:noProof/>
                <w:webHidden/>
              </w:rPr>
              <w:t>3</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12" w:history="1">
            <w:r w:rsidR="00210B0B" w:rsidRPr="003040C9">
              <w:rPr>
                <w:rStyle w:val="Hyperlink"/>
                <w:b/>
                <w:bCs/>
                <w:noProof/>
              </w:rPr>
              <w:t>1.7.1 Improving the Research Issue</w:t>
            </w:r>
            <w:r w:rsidR="00210B0B">
              <w:rPr>
                <w:noProof/>
                <w:webHidden/>
              </w:rPr>
              <w:tab/>
            </w:r>
            <w:r w:rsidR="00210B0B">
              <w:rPr>
                <w:noProof/>
                <w:webHidden/>
              </w:rPr>
              <w:fldChar w:fldCharType="begin"/>
            </w:r>
            <w:r w:rsidR="00210B0B">
              <w:rPr>
                <w:noProof/>
                <w:webHidden/>
              </w:rPr>
              <w:instrText xml:space="preserve"> PAGEREF _Toc227498312 \h </w:instrText>
            </w:r>
            <w:r w:rsidR="00210B0B">
              <w:rPr>
                <w:noProof/>
                <w:webHidden/>
              </w:rPr>
            </w:r>
            <w:r w:rsidR="00210B0B">
              <w:rPr>
                <w:noProof/>
                <w:webHidden/>
              </w:rPr>
              <w:fldChar w:fldCharType="separate"/>
            </w:r>
            <w:r w:rsidR="00210B0B">
              <w:rPr>
                <w:noProof/>
                <w:webHidden/>
              </w:rPr>
              <w:t>3</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13" w:history="1">
            <w:r w:rsidR="00210B0B" w:rsidRPr="003040C9">
              <w:rPr>
                <w:rStyle w:val="Hyperlink"/>
                <w:b/>
                <w:bCs/>
                <w:noProof/>
              </w:rPr>
              <w:t>1.7.2 Ensured Contribution to Theory</w:t>
            </w:r>
            <w:r w:rsidR="00210B0B">
              <w:rPr>
                <w:noProof/>
                <w:webHidden/>
              </w:rPr>
              <w:tab/>
            </w:r>
            <w:r w:rsidR="00210B0B">
              <w:rPr>
                <w:noProof/>
                <w:webHidden/>
              </w:rPr>
              <w:fldChar w:fldCharType="begin"/>
            </w:r>
            <w:r w:rsidR="00210B0B">
              <w:rPr>
                <w:noProof/>
                <w:webHidden/>
              </w:rPr>
              <w:instrText xml:space="preserve"> PAGEREF _Toc227498313 \h </w:instrText>
            </w:r>
            <w:r w:rsidR="00210B0B">
              <w:rPr>
                <w:noProof/>
                <w:webHidden/>
              </w:rPr>
            </w:r>
            <w:r w:rsidR="00210B0B">
              <w:rPr>
                <w:noProof/>
                <w:webHidden/>
              </w:rPr>
              <w:fldChar w:fldCharType="separate"/>
            </w:r>
            <w:r w:rsidR="00210B0B">
              <w:rPr>
                <w:noProof/>
                <w:webHidden/>
              </w:rPr>
              <w:t>3</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14" w:history="1">
            <w:r w:rsidR="00210B0B" w:rsidRPr="003040C9">
              <w:rPr>
                <w:rStyle w:val="Hyperlink"/>
                <w:b/>
                <w:bCs/>
                <w:noProof/>
              </w:rPr>
              <w:t>1.7.3 Research Design Alignment</w:t>
            </w:r>
            <w:r w:rsidR="00210B0B">
              <w:rPr>
                <w:noProof/>
                <w:webHidden/>
              </w:rPr>
              <w:tab/>
            </w:r>
            <w:r w:rsidR="00210B0B">
              <w:rPr>
                <w:noProof/>
                <w:webHidden/>
              </w:rPr>
              <w:fldChar w:fldCharType="begin"/>
            </w:r>
            <w:r w:rsidR="00210B0B">
              <w:rPr>
                <w:noProof/>
                <w:webHidden/>
              </w:rPr>
              <w:instrText xml:space="preserve"> PAGEREF _Toc227498314 \h </w:instrText>
            </w:r>
            <w:r w:rsidR="00210B0B">
              <w:rPr>
                <w:noProof/>
                <w:webHidden/>
              </w:rPr>
            </w:r>
            <w:r w:rsidR="00210B0B">
              <w:rPr>
                <w:noProof/>
                <w:webHidden/>
              </w:rPr>
              <w:fldChar w:fldCharType="separate"/>
            </w:r>
            <w:r w:rsidR="00210B0B">
              <w:rPr>
                <w:noProof/>
                <w:webHidden/>
              </w:rPr>
              <w:t>3</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15" w:history="1">
            <w:r w:rsidR="00210B0B" w:rsidRPr="003040C9">
              <w:rPr>
                <w:rStyle w:val="Hyperlink"/>
                <w:rFonts w:asciiTheme="majorHAnsi" w:hAnsiTheme="majorHAnsi" w:cstheme="majorHAnsi"/>
                <w:noProof/>
              </w:rPr>
              <w:t>1.8 Conclusion: Transition to Part 2</w:t>
            </w:r>
            <w:r w:rsidR="00210B0B">
              <w:rPr>
                <w:noProof/>
                <w:webHidden/>
              </w:rPr>
              <w:tab/>
            </w:r>
            <w:r w:rsidR="00210B0B">
              <w:rPr>
                <w:noProof/>
                <w:webHidden/>
              </w:rPr>
              <w:fldChar w:fldCharType="begin"/>
            </w:r>
            <w:r w:rsidR="00210B0B">
              <w:rPr>
                <w:noProof/>
                <w:webHidden/>
              </w:rPr>
              <w:instrText xml:space="preserve"> PAGEREF _Toc227498315 \h </w:instrText>
            </w:r>
            <w:r w:rsidR="00210B0B">
              <w:rPr>
                <w:noProof/>
                <w:webHidden/>
              </w:rPr>
            </w:r>
            <w:r w:rsidR="00210B0B">
              <w:rPr>
                <w:noProof/>
                <w:webHidden/>
              </w:rPr>
              <w:fldChar w:fldCharType="separate"/>
            </w:r>
            <w:r w:rsidR="00210B0B">
              <w:rPr>
                <w:noProof/>
                <w:webHidden/>
              </w:rPr>
              <w:t>3</w:t>
            </w:r>
            <w:r w:rsidR="00210B0B">
              <w:rPr>
                <w:noProof/>
                <w:webHidden/>
              </w:rPr>
              <w:fldChar w:fldCharType="end"/>
            </w:r>
          </w:hyperlink>
        </w:p>
        <w:p w:rsidR="00210B0B" w:rsidRDefault="00000000" w:rsidP="00210B0B">
          <w:pPr>
            <w:pStyle w:val="TOC1"/>
            <w:spacing w:before="240"/>
            <w:rPr>
              <w:rFonts w:eastAsiaTheme="minorEastAsia" w:cstheme="minorBidi"/>
              <w:b w:val="0"/>
              <w:bCs w:val="0"/>
              <w:caps w:val="0"/>
              <w:noProof/>
              <w:sz w:val="24"/>
              <w:szCs w:val="24"/>
              <w:u w:val="none"/>
            </w:rPr>
          </w:pPr>
          <w:hyperlink w:anchor="_Toc227498316" w:history="1">
            <w:r w:rsidR="00210B0B" w:rsidRPr="003040C9">
              <w:rPr>
                <w:rStyle w:val="Hyperlink"/>
                <w:noProof/>
              </w:rPr>
              <w:t>PART 2 – Annotated Bibliography and Research Gap Analysis</w:t>
            </w:r>
            <w:r w:rsidR="00210B0B">
              <w:rPr>
                <w:noProof/>
                <w:webHidden/>
              </w:rPr>
              <w:tab/>
            </w:r>
            <w:r w:rsidR="00210B0B">
              <w:rPr>
                <w:noProof/>
                <w:webHidden/>
              </w:rPr>
              <w:fldChar w:fldCharType="begin"/>
            </w:r>
            <w:r w:rsidR="00210B0B">
              <w:rPr>
                <w:noProof/>
                <w:webHidden/>
              </w:rPr>
              <w:instrText xml:space="preserve"> PAGEREF _Toc227498316 \h </w:instrText>
            </w:r>
            <w:r w:rsidR="00210B0B">
              <w:rPr>
                <w:noProof/>
                <w:webHidden/>
              </w:rPr>
            </w:r>
            <w:r w:rsidR="00210B0B">
              <w:rPr>
                <w:noProof/>
                <w:webHidden/>
              </w:rPr>
              <w:fldChar w:fldCharType="separate"/>
            </w:r>
            <w:r w:rsidR="00210B0B">
              <w:rPr>
                <w:noProof/>
                <w:webHidden/>
              </w:rPr>
              <w:t>4</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17" w:history="1">
            <w:r w:rsidR="00210B0B" w:rsidRPr="003040C9">
              <w:rPr>
                <w:rStyle w:val="Hyperlink"/>
                <w:rFonts w:asciiTheme="majorHAnsi" w:hAnsiTheme="majorHAnsi" w:cstheme="majorHAnsi"/>
                <w:noProof/>
              </w:rPr>
              <w:t>2.1 Overview</w:t>
            </w:r>
            <w:r w:rsidR="00210B0B">
              <w:rPr>
                <w:noProof/>
                <w:webHidden/>
              </w:rPr>
              <w:tab/>
            </w:r>
            <w:r w:rsidR="00210B0B">
              <w:rPr>
                <w:noProof/>
                <w:webHidden/>
              </w:rPr>
              <w:fldChar w:fldCharType="begin"/>
            </w:r>
            <w:r w:rsidR="00210B0B">
              <w:rPr>
                <w:noProof/>
                <w:webHidden/>
              </w:rPr>
              <w:instrText xml:space="preserve"> PAGEREF _Toc227498317 \h </w:instrText>
            </w:r>
            <w:r w:rsidR="00210B0B">
              <w:rPr>
                <w:noProof/>
                <w:webHidden/>
              </w:rPr>
            </w:r>
            <w:r w:rsidR="00210B0B">
              <w:rPr>
                <w:noProof/>
                <w:webHidden/>
              </w:rPr>
              <w:fldChar w:fldCharType="separate"/>
            </w:r>
            <w:r w:rsidR="00210B0B">
              <w:rPr>
                <w:noProof/>
                <w:webHidden/>
              </w:rPr>
              <w:t>4</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18" w:history="1">
            <w:r w:rsidR="00210B0B" w:rsidRPr="003040C9">
              <w:rPr>
                <w:rStyle w:val="Hyperlink"/>
                <w:noProof/>
              </w:rPr>
              <w:t>Figure 2.1.1: PRISMA Flow Diagram of Literature Selection Process</w:t>
            </w:r>
            <w:r w:rsidR="00210B0B">
              <w:rPr>
                <w:noProof/>
                <w:webHidden/>
              </w:rPr>
              <w:tab/>
            </w:r>
            <w:r w:rsidR="00210B0B">
              <w:rPr>
                <w:noProof/>
                <w:webHidden/>
              </w:rPr>
              <w:fldChar w:fldCharType="begin"/>
            </w:r>
            <w:r w:rsidR="00210B0B">
              <w:rPr>
                <w:noProof/>
                <w:webHidden/>
              </w:rPr>
              <w:instrText xml:space="preserve"> PAGEREF _Toc227498318 \h </w:instrText>
            </w:r>
            <w:r w:rsidR="00210B0B">
              <w:rPr>
                <w:noProof/>
                <w:webHidden/>
              </w:rPr>
            </w:r>
            <w:r w:rsidR="00210B0B">
              <w:rPr>
                <w:noProof/>
                <w:webHidden/>
              </w:rPr>
              <w:fldChar w:fldCharType="separate"/>
            </w:r>
            <w:r w:rsidR="00210B0B">
              <w:rPr>
                <w:noProof/>
                <w:webHidden/>
              </w:rPr>
              <w:t>5</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19" w:history="1">
            <w:r w:rsidR="00210B0B" w:rsidRPr="003040C9">
              <w:rPr>
                <w:rStyle w:val="Hyperlink"/>
                <w:rFonts w:asciiTheme="majorHAnsi" w:hAnsiTheme="majorHAnsi" w:cstheme="majorHAnsi"/>
                <w:noProof/>
              </w:rPr>
              <w:t>2.2 Thematic Table Format Annotated Bibliography</w:t>
            </w:r>
            <w:r w:rsidR="00210B0B">
              <w:rPr>
                <w:noProof/>
                <w:webHidden/>
              </w:rPr>
              <w:tab/>
            </w:r>
            <w:r w:rsidR="00210B0B">
              <w:rPr>
                <w:noProof/>
                <w:webHidden/>
              </w:rPr>
              <w:fldChar w:fldCharType="begin"/>
            </w:r>
            <w:r w:rsidR="00210B0B">
              <w:rPr>
                <w:noProof/>
                <w:webHidden/>
              </w:rPr>
              <w:instrText xml:space="preserve"> PAGEREF _Toc227498319 \h </w:instrText>
            </w:r>
            <w:r w:rsidR="00210B0B">
              <w:rPr>
                <w:noProof/>
                <w:webHidden/>
              </w:rPr>
            </w:r>
            <w:r w:rsidR="00210B0B">
              <w:rPr>
                <w:noProof/>
                <w:webHidden/>
              </w:rPr>
              <w:fldChar w:fldCharType="separate"/>
            </w:r>
            <w:r w:rsidR="00210B0B">
              <w:rPr>
                <w:noProof/>
                <w:webHidden/>
              </w:rPr>
              <w:t>6</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20" w:history="1">
            <w:r w:rsidR="00210B0B" w:rsidRPr="003040C9">
              <w:rPr>
                <w:rStyle w:val="Hyperlink"/>
                <w:b/>
                <w:bCs/>
                <w:noProof/>
              </w:rPr>
              <w:t>A. Risks and Digital Payment Systems</w:t>
            </w:r>
            <w:r w:rsidR="00210B0B">
              <w:rPr>
                <w:noProof/>
                <w:webHidden/>
              </w:rPr>
              <w:tab/>
            </w:r>
            <w:r w:rsidR="00210B0B">
              <w:rPr>
                <w:noProof/>
                <w:webHidden/>
              </w:rPr>
              <w:fldChar w:fldCharType="begin"/>
            </w:r>
            <w:r w:rsidR="00210B0B">
              <w:rPr>
                <w:noProof/>
                <w:webHidden/>
              </w:rPr>
              <w:instrText xml:space="preserve"> PAGEREF _Toc227498320 \h </w:instrText>
            </w:r>
            <w:r w:rsidR="00210B0B">
              <w:rPr>
                <w:noProof/>
                <w:webHidden/>
              </w:rPr>
            </w:r>
            <w:r w:rsidR="00210B0B">
              <w:rPr>
                <w:noProof/>
                <w:webHidden/>
              </w:rPr>
              <w:fldChar w:fldCharType="separate"/>
            </w:r>
            <w:r w:rsidR="00210B0B">
              <w:rPr>
                <w:noProof/>
                <w:webHidden/>
              </w:rPr>
              <w:t>6</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21" w:history="1">
            <w:r w:rsidR="00210B0B" w:rsidRPr="003040C9">
              <w:rPr>
                <w:rStyle w:val="Hyperlink"/>
                <w:b/>
                <w:bCs/>
                <w:noProof/>
              </w:rPr>
              <w:t>B. Digital Transaction Disputes and Service Failure</w:t>
            </w:r>
            <w:r w:rsidR="00210B0B">
              <w:rPr>
                <w:noProof/>
                <w:webHidden/>
              </w:rPr>
              <w:tab/>
            </w:r>
            <w:r w:rsidR="00210B0B">
              <w:rPr>
                <w:noProof/>
                <w:webHidden/>
              </w:rPr>
              <w:fldChar w:fldCharType="begin"/>
            </w:r>
            <w:r w:rsidR="00210B0B">
              <w:rPr>
                <w:noProof/>
                <w:webHidden/>
              </w:rPr>
              <w:instrText xml:space="preserve"> PAGEREF _Toc227498321 \h </w:instrText>
            </w:r>
            <w:r w:rsidR="00210B0B">
              <w:rPr>
                <w:noProof/>
                <w:webHidden/>
              </w:rPr>
            </w:r>
            <w:r w:rsidR="00210B0B">
              <w:rPr>
                <w:noProof/>
                <w:webHidden/>
              </w:rPr>
              <w:fldChar w:fldCharType="separate"/>
            </w:r>
            <w:r w:rsidR="00210B0B">
              <w:rPr>
                <w:noProof/>
                <w:webHidden/>
              </w:rPr>
              <w:t>7</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22" w:history="1">
            <w:r w:rsidR="00210B0B" w:rsidRPr="003040C9">
              <w:rPr>
                <w:rStyle w:val="Hyperlink"/>
                <w:b/>
                <w:bCs/>
                <w:noProof/>
              </w:rPr>
              <w:t>C. Operational Risk in Banking</w:t>
            </w:r>
            <w:r w:rsidR="00210B0B">
              <w:rPr>
                <w:noProof/>
                <w:webHidden/>
              </w:rPr>
              <w:tab/>
            </w:r>
            <w:r w:rsidR="00210B0B">
              <w:rPr>
                <w:noProof/>
                <w:webHidden/>
              </w:rPr>
              <w:fldChar w:fldCharType="begin"/>
            </w:r>
            <w:r w:rsidR="00210B0B">
              <w:rPr>
                <w:noProof/>
                <w:webHidden/>
              </w:rPr>
              <w:instrText xml:space="preserve"> PAGEREF _Toc227498322 \h </w:instrText>
            </w:r>
            <w:r w:rsidR="00210B0B">
              <w:rPr>
                <w:noProof/>
                <w:webHidden/>
              </w:rPr>
            </w:r>
            <w:r w:rsidR="00210B0B">
              <w:rPr>
                <w:noProof/>
                <w:webHidden/>
              </w:rPr>
              <w:fldChar w:fldCharType="separate"/>
            </w:r>
            <w:r w:rsidR="00210B0B">
              <w:rPr>
                <w:noProof/>
                <w:webHidden/>
              </w:rPr>
              <w:t>8</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23" w:history="1">
            <w:r w:rsidR="00210B0B" w:rsidRPr="003040C9">
              <w:rPr>
                <w:rStyle w:val="Hyperlink"/>
                <w:b/>
                <w:bCs/>
                <w:noProof/>
              </w:rPr>
              <w:t>D. Risk Governance and Control Frameworks</w:t>
            </w:r>
            <w:r w:rsidR="00210B0B">
              <w:rPr>
                <w:noProof/>
                <w:webHidden/>
              </w:rPr>
              <w:tab/>
            </w:r>
            <w:r w:rsidR="00210B0B">
              <w:rPr>
                <w:noProof/>
                <w:webHidden/>
              </w:rPr>
              <w:fldChar w:fldCharType="begin"/>
            </w:r>
            <w:r w:rsidR="00210B0B">
              <w:rPr>
                <w:noProof/>
                <w:webHidden/>
              </w:rPr>
              <w:instrText xml:space="preserve"> PAGEREF _Toc227498323 \h </w:instrText>
            </w:r>
            <w:r w:rsidR="00210B0B">
              <w:rPr>
                <w:noProof/>
                <w:webHidden/>
              </w:rPr>
            </w:r>
            <w:r w:rsidR="00210B0B">
              <w:rPr>
                <w:noProof/>
                <w:webHidden/>
              </w:rPr>
              <w:fldChar w:fldCharType="separate"/>
            </w:r>
            <w:r w:rsidR="00210B0B">
              <w:rPr>
                <w:noProof/>
                <w:webHidden/>
              </w:rPr>
              <w:t>9</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24" w:history="1">
            <w:r w:rsidR="00210B0B" w:rsidRPr="003040C9">
              <w:rPr>
                <w:rStyle w:val="Hyperlink"/>
                <w:b/>
                <w:bCs/>
                <w:noProof/>
              </w:rPr>
              <w:t>E. Emerging Markets / Nepal Context</w:t>
            </w:r>
            <w:r w:rsidR="00210B0B">
              <w:rPr>
                <w:noProof/>
                <w:webHidden/>
              </w:rPr>
              <w:tab/>
            </w:r>
            <w:r w:rsidR="00210B0B">
              <w:rPr>
                <w:noProof/>
                <w:webHidden/>
              </w:rPr>
              <w:fldChar w:fldCharType="begin"/>
            </w:r>
            <w:r w:rsidR="00210B0B">
              <w:rPr>
                <w:noProof/>
                <w:webHidden/>
              </w:rPr>
              <w:instrText xml:space="preserve"> PAGEREF _Toc227498324 \h </w:instrText>
            </w:r>
            <w:r w:rsidR="00210B0B">
              <w:rPr>
                <w:noProof/>
                <w:webHidden/>
              </w:rPr>
            </w:r>
            <w:r w:rsidR="00210B0B">
              <w:rPr>
                <w:noProof/>
                <w:webHidden/>
              </w:rPr>
              <w:fldChar w:fldCharType="separate"/>
            </w:r>
            <w:r w:rsidR="00210B0B">
              <w:rPr>
                <w:noProof/>
                <w:webHidden/>
              </w:rPr>
              <w:t>10</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25" w:history="1">
            <w:r w:rsidR="00210B0B" w:rsidRPr="003040C9">
              <w:rPr>
                <w:rStyle w:val="Hyperlink"/>
                <w:rFonts w:asciiTheme="majorHAnsi" w:hAnsiTheme="majorHAnsi" w:cstheme="majorHAnsi"/>
                <w:noProof/>
              </w:rPr>
              <w:t>2.3 Matrix of Research Gaps</w:t>
            </w:r>
            <w:r w:rsidR="00210B0B">
              <w:rPr>
                <w:noProof/>
                <w:webHidden/>
              </w:rPr>
              <w:tab/>
            </w:r>
            <w:r w:rsidR="00210B0B">
              <w:rPr>
                <w:noProof/>
                <w:webHidden/>
              </w:rPr>
              <w:fldChar w:fldCharType="begin"/>
            </w:r>
            <w:r w:rsidR="00210B0B">
              <w:rPr>
                <w:noProof/>
                <w:webHidden/>
              </w:rPr>
              <w:instrText xml:space="preserve"> PAGEREF _Toc227498325 \h </w:instrText>
            </w:r>
            <w:r w:rsidR="00210B0B">
              <w:rPr>
                <w:noProof/>
                <w:webHidden/>
              </w:rPr>
            </w:r>
            <w:r w:rsidR="00210B0B">
              <w:rPr>
                <w:noProof/>
                <w:webHidden/>
              </w:rPr>
              <w:fldChar w:fldCharType="separate"/>
            </w:r>
            <w:r w:rsidR="00210B0B">
              <w:rPr>
                <w:noProof/>
                <w:webHidden/>
              </w:rPr>
              <w:t>11</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26" w:history="1">
            <w:r w:rsidR="00210B0B" w:rsidRPr="003040C9">
              <w:rPr>
                <w:rStyle w:val="Hyperlink"/>
                <w:b/>
                <w:bCs/>
                <w:noProof/>
              </w:rPr>
              <w:t>2.3.1 Gap Typology</w:t>
            </w:r>
            <w:r w:rsidR="00210B0B">
              <w:rPr>
                <w:noProof/>
                <w:webHidden/>
              </w:rPr>
              <w:tab/>
            </w:r>
            <w:r w:rsidR="00210B0B">
              <w:rPr>
                <w:noProof/>
                <w:webHidden/>
              </w:rPr>
              <w:fldChar w:fldCharType="begin"/>
            </w:r>
            <w:r w:rsidR="00210B0B">
              <w:rPr>
                <w:noProof/>
                <w:webHidden/>
              </w:rPr>
              <w:instrText xml:space="preserve"> PAGEREF _Toc227498326 \h </w:instrText>
            </w:r>
            <w:r w:rsidR="00210B0B">
              <w:rPr>
                <w:noProof/>
                <w:webHidden/>
              </w:rPr>
            </w:r>
            <w:r w:rsidR="00210B0B">
              <w:rPr>
                <w:noProof/>
                <w:webHidden/>
              </w:rPr>
              <w:fldChar w:fldCharType="separate"/>
            </w:r>
            <w:r w:rsidR="00210B0B">
              <w:rPr>
                <w:noProof/>
                <w:webHidden/>
              </w:rPr>
              <w:t>14</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27" w:history="1">
            <w:r w:rsidR="00210B0B" w:rsidRPr="003040C9">
              <w:rPr>
                <w:rStyle w:val="Hyperlink"/>
                <w:rFonts w:asciiTheme="majorHAnsi" w:hAnsiTheme="majorHAnsi" w:cstheme="majorHAnsi"/>
                <w:noProof/>
              </w:rPr>
              <w:t>2.4 Positioning Research Gaps: Gap Matrix</w:t>
            </w:r>
            <w:r w:rsidR="00210B0B">
              <w:rPr>
                <w:noProof/>
                <w:webHidden/>
              </w:rPr>
              <w:tab/>
            </w:r>
            <w:r w:rsidR="00210B0B">
              <w:rPr>
                <w:noProof/>
                <w:webHidden/>
              </w:rPr>
              <w:fldChar w:fldCharType="begin"/>
            </w:r>
            <w:r w:rsidR="00210B0B">
              <w:rPr>
                <w:noProof/>
                <w:webHidden/>
              </w:rPr>
              <w:instrText xml:space="preserve"> PAGEREF _Toc227498327 \h </w:instrText>
            </w:r>
            <w:r w:rsidR="00210B0B">
              <w:rPr>
                <w:noProof/>
                <w:webHidden/>
              </w:rPr>
            </w:r>
            <w:r w:rsidR="00210B0B">
              <w:rPr>
                <w:noProof/>
                <w:webHidden/>
              </w:rPr>
              <w:fldChar w:fldCharType="separate"/>
            </w:r>
            <w:r w:rsidR="00210B0B">
              <w:rPr>
                <w:noProof/>
                <w:webHidden/>
              </w:rPr>
              <w:t>14</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28" w:history="1">
            <w:r w:rsidR="00210B0B" w:rsidRPr="003040C9">
              <w:rPr>
                <w:rStyle w:val="Hyperlink"/>
                <w:rFonts w:asciiTheme="majorHAnsi" w:hAnsiTheme="majorHAnsi" w:cstheme="majorHAnsi"/>
                <w:noProof/>
              </w:rPr>
              <w:t>2.5 Timeframe Analysis</w:t>
            </w:r>
            <w:r w:rsidR="00210B0B">
              <w:rPr>
                <w:noProof/>
                <w:webHidden/>
              </w:rPr>
              <w:tab/>
            </w:r>
            <w:r w:rsidR="00210B0B">
              <w:rPr>
                <w:noProof/>
                <w:webHidden/>
              </w:rPr>
              <w:fldChar w:fldCharType="begin"/>
            </w:r>
            <w:r w:rsidR="00210B0B">
              <w:rPr>
                <w:noProof/>
                <w:webHidden/>
              </w:rPr>
              <w:instrText xml:space="preserve"> PAGEREF _Toc227498328 \h </w:instrText>
            </w:r>
            <w:r w:rsidR="00210B0B">
              <w:rPr>
                <w:noProof/>
                <w:webHidden/>
              </w:rPr>
            </w:r>
            <w:r w:rsidR="00210B0B">
              <w:rPr>
                <w:noProof/>
                <w:webHidden/>
              </w:rPr>
              <w:fldChar w:fldCharType="separate"/>
            </w:r>
            <w:r w:rsidR="00210B0B">
              <w:rPr>
                <w:noProof/>
                <w:webHidden/>
              </w:rPr>
              <w:t>15</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29" w:history="1">
            <w:r w:rsidR="00210B0B" w:rsidRPr="003040C9">
              <w:rPr>
                <w:rStyle w:val="Hyperlink"/>
                <w:rFonts w:asciiTheme="majorHAnsi" w:hAnsiTheme="majorHAnsi" w:cstheme="majorHAnsi"/>
                <w:noProof/>
              </w:rPr>
              <w:t>2.6 Summary of the Information</w:t>
            </w:r>
            <w:r w:rsidR="00210B0B">
              <w:rPr>
                <w:noProof/>
                <w:webHidden/>
              </w:rPr>
              <w:tab/>
            </w:r>
            <w:r w:rsidR="00210B0B">
              <w:rPr>
                <w:noProof/>
                <w:webHidden/>
              </w:rPr>
              <w:fldChar w:fldCharType="begin"/>
            </w:r>
            <w:r w:rsidR="00210B0B">
              <w:rPr>
                <w:noProof/>
                <w:webHidden/>
              </w:rPr>
              <w:instrText xml:space="preserve"> PAGEREF _Toc227498329 \h </w:instrText>
            </w:r>
            <w:r w:rsidR="00210B0B">
              <w:rPr>
                <w:noProof/>
                <w:webHidden/>
              </w:rPr>
            </w:r>
            <w:r w:rsidR="00210B0B">
              <w:rPr>
                <w:noProof/>
                <w:webHidden/>
              </w:rPr>
              <w:fldChar w:fldCharType="separate"/>
            </w:r>
            <w:r w:rsidR="00210B0B">
              <w:rPr>
                <w:noProof/>
                <w:webHidden/>
              </w:rPr>
              <w:t>15</w:t>
            </w:r>
            <w:r w:rsidR="00210B0B">
              <w:rPr>
                <w:noProof/>
                <w:webHidden/>
              </w:rPr>
              <w:fldChar w:fldCharType="end"/>
            </w:r>
          </w:hyperlink>
        </w:p>
        <w:p w:rsidR="00210B0B" w:rsidRDefault="00000000" w:rsidP="00210B0B">
          <w:pPr>
            <w:pStyle w:val="TOC1"/>
            <w:spacing w:before="240"/>
            <w:rPr>
              <w:rFonts w:eastAsiaTheme="minorEastAsia" w:cstheme="minorBidi"/>
              <w:b w:val="0"/>
              <w:bCs w:val="0"/>
              <w:caps w:val="0"/>
              <w:noProof/>
              <w:sz w:val="24"/>
              <w:szCs w:val="24"/>
              <w:u w:val="none"/>
            </w:rPr>
          </w:pPr>
          <w:hyperlink w:anchor="_Toc227498330" w:history="1">
            <w:r w:rsidR="00210B0B" w:rsidRPr="003040C9">
              <w:rPr>
                <w:rStyle w:val="Hyperlink"/>
                <w:noProof/>
              </w:rPr>
              <w:t>PART 3 – Preliminary Literature Review</w:t>
            </w:r>
            <w:r w:rsidR="00210B0B">
              <w:rPr>
                <w:noProof/>
                <w:webHidden/>
              </w:rPr>
              <w:tab/>
            </w:r>
            <w:r w:rsidR="00210B0B">
              <w:rPr>
                <w:noProof/>
                <w:webHidden/>
              </w:rPr>
              <w:fldChar w:fldCharType="begin"/>
            </w:r>
            <w:r w:rsidR="00210B0B">
              <w:rPr>
                <w:noProof/>
                <w:webHidden/>
              </w:rPr>
              <w:instrText xml:space="preserve"> PAGEREF _Toc227498330 \h </w:instrText>
            </w:r>
            <w:r w:rsidR="00210B0B">
              <w:rPr>
                <w:noProof/>
                <w:webHidden/>
              </w:rPr>
            </w:r>
            <w:r w:rsidR="00210B0B">
              <w:rPr>
                <w:noProof/>
                <w:webHidden/>
              </w:rPr>
              <w:fldChar w:fldCharType="separate"/>
            </w:r>
            <w:r w:rsidR="00210B0B">
              <w:rPr>
                <w:noProof/>
                <w:webHidden/>
              </w:rPr>
              <w:t>17</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1" w:history="1">
            <w:r w:rsidR="00210B0B" w:rsidRPr="003040C9">
              <w:rPr>
                <w:rStyle w:val="Hyperlink"/>
                <w:rFonts w:asciiTheme="majorHAnsi" w:hAnsiTheme="majorHAnsi" w:cstheme="majorHAnsi"/>
                <w:noProof/>
              </w:rPr>
              <w:t>3.1 Overview</w:t>
            </w:r>
            <w:r w:rsidR="00210B0B">
              <w:rPr>
                <w:noProof/>
                <w:webHidden/>
              </w:rPr>
              <w:tab/>
            </w:r>
            <w:r w:rsidR="00210B0B">
              <w:rPr>
                <w:noProof/>
                <w:webHidden/>
              </w:rPr>
              <w:fldChar w:fldCharType="begin"/>
            </w:r>
            <w:r w:rsidR="00210B0B">
              <w:rPr>
                <w:noProof/>
                <w:webHidden/>
              </w:rPr>
              <w:instrText xml:space="preserve"> PAGEREF _Toc227498331 \h </w:instrText>
            </w:r>
            <w:r w:rsidR="00210B0B">
              <w:rPr>
                <w:noProof/>
                <w:webHidden/>
              </w:rPr>
            </w:r>
            <w:r w:rsidR="00210B0B">
              <w:rPr>
                <w:noProof/>
                <w:webHidden/>
              </w:rPr>
              <w:fldChar w:fldCharType="separate"/>
            </w:r>
            <w:r w:rsidR="00210B0B">
              <w:rPr>
                <w:noProof/>
                <w:webHidden/>
              </w:rPr>
              <w:t>17</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2" w:history="1">
            <w:r w:rsidR="00210B0B" w:rsidRPr="003040C9">
              <w:rPr>
                <w:rStyle w:val="Hyperlink"/>
                <w:rFonts w:asciiTheme="majorHAnsi" w:hAnsiTheme="majorHAnsi" w:cstheme="majorHAnsi"/>
                <w:noProof/>
              </w:rPr>
              <w:t>3.2 Problematizing Existing Literature</w:t>
            </w:r>
            <w:r w:rsidR="00210B0B">
              <w:rPr>
                <w:noProof/>
                <w:webHidden/>
              </w:rPr>
              <w:tab/>
            </w:r>
            <w:r w:rsidR="00210B0B">
              <w:rPr>
                <w:noProof/>
                <w:webHidden/>
              </w:rPr>
              <w:fldChar w:fldCharType="begin"/>
            </w:r>
            <w:r w:rsidR="00210B0B">
              <w:rPr>
                <w:noProof/>
                <w:webHidden/>
              </w:rPr>
              <w:instrText xml:space="preserve"> PAGEREF _Toc227498332 \h </w:instrText>
            </w:r>
            <w:r w:rsidR="00210B0B">
              <w:rPr>
                <w:noProof/>
                <w:webHidden/>
              </w:rPr>
            </w:r>
            <w:r w:rsidR="00210B0B">
              <w:rPr>
                <w:noProof/>
                <w:webHidden/>
              </w:rPr>
              <w:fldChar w:fldCharType="separate"/>
            </w:r>
            <w:r w:rsidR="00210B0B">
              <w:rPr>
                <w:noProof/>
                <w:webHidden/>
              </w:rPr>
              <w:t>17</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33" w:history="1">
            <w:r w:rsidR="00210B0B" w:rsidRPr="003040C9">
              <w:rPr>
                <w:rStyle w:val="Hyperlink"/>
                <w:rFonts w:cstheme="majorHAnsi"/>
                <w:b/>
                <w:bCs/>
                <w:noProof/>
              </w:rPr>
              <w:t>3.2.1 Problematization and Critical Engagement</w:t>
            </w:r>
            <w:r w:rsidR="00210B0B">
              <w:rPr>
                <w:noProof/>
                <w:webHidden/>
              </w:rPr>
              <w:tab/>
            </w:r>
            <w:r w:rsidR="00210B0B">
              <w:rPr>
                <w:noProof/>
                <w:webHidden/>
              </w:rPr>
              <w:fldChar w:fldCharType="begin"/>
            </w:r>
            <w:r w:rsidR="00210B0B">
              <w:rPr>
                <w:noProof/>
                <w:webHidden/>
              </w:rPr>
              <w:instrText xml:space="preserve"> PAGEREF _Toc227498333 \h </w:instrText>
            </w:r>
            <w:r w:rsidR="00210B0B">
              <w:rPr>
                <w:noProof/>
                <w:webHidden/>
              </w:rPr>
            </w:r>
            <w:r w:rsidR="00210B0B">
              <w:rPr>
                <w:noProof/>
                <w:webHidden/>
              </w:rPr>
              <w:fldChar w:fldCharType="separate"/>
            </w:r>
            <w:r w:rsidR="00210B0B">
              <w:rPr>
                <w:noProof/>
                <w:webHidden/>
              </w:rPr>
              <w:t>18</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4" w:history="1">
            <w:r w:rsidR="00210B0B" w:rsidRPr="003040C9">
              <w:rPr>
                <w:rStyle w:val="Hyperlink"/>
                <w:rFonts w:asciiTheme="majorHAnsi" w:hAnsiTheme="majorHAnsi" w:cstheme="majorHAnsi"/>
                <w:noProof/>
              </w:rPr>
              <w:t>3.3 Conceptual Framing</w:t>
            </w:r>
            <w:r w:rsidR="00210B0B">
              <w:rPr>
                <w:noProof/>
                <w:webHidden/>
              </w:rPr>
              <w:tab/>
            </w:r>
            <w:r w:rsidR="00210B0B">
              <w:rPr>
                <w:noProof/>
                <w:webHidden/>
              </w:rPr>
              <w:fldChar w:fldCharType="begin"/>
            </w:r>
            <w:r w:rsidR="00210B0B">
              <w:rPr>
                <w:noProof/>
                <w:webHidden/>
              </w:rPr>
              <w:instrText xml:space="preserve"> PAGEREF _Toc227498334 \h </w:instrText>
            </w:r>
            <w:r w:rsidR="00210B0B">
              <w:rPr>
                <w:noProof/>
                <w:webHidden/>
              </w:rPr>
            </w:r>
            <w:r w:rsidR="00210B0B">
              <w:rPr>
                <w:noProof/>
                <w:webHidden/>
              </w:rPr>
              <w:fldChar w:fldCharType="separate"/>
            </w:r>
            <w:r w:rsidR="00210B0B">
              <w:rPr>
                <w:noProof/>
                <w:webHidden/>
              </w:rPr>
              <w:t>18</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5" w:history="1">
            <w:r w:rsidR="00210B0B" w:rsidRPr="003040C9">
              <w:rPr>
                <w:rStyle w:val="Hyperlink"/>
                <w:rFonts w:asciiTheme="majorHAnsi" w:hAnsiTheme="majorHAnsi" w:cstheme="majorHAnsi"/>
                <w:noProof/>
              </w:rPr>
              <w:t>3.4 Theme 1: Risks and Digital Payment Systems</w:t>
            </w:r>
            <w:r w:rsidR="00210B0B">
              <w:rPr>
                <w:noProof/>
                <w:webHidden/>
              </w:rPr>
              <w:tab/>
            </w:r>
            <w:r w:rsidR="00210B0B">
              <w:rPr>
                <w:noProof/>
                <w:webHidden/>
              </w:rPr>
              <w:fldChar w:fldCharType="begin"/>
            </w:r>
            <w:r w:rsidR="00210B0B">
              <w:rPr>
                <w:noProof/>
                <w:webHidden/>
              </w:rPr>
              <w:instrText xml:space="preserve"> PAGEREF _Toc227498335 \h </w:instrText>
            </w:r>
            <w:r w:rsidR="00210B0B">
              <w:rPr>
                <w:noProof/>
                <w:webHidden/>
              </w:rPr>
            </w:r>
            <w:r w:rsidR="00210B0B">
              <w:rPr>
                <w:noProof/>
                <w:webHidden/>
              </w:rPr>
              <w:fldChar w:fldCharType="separate"/>
            </w:r>
            <w:r w:rsidR="00210B0B">
              <w:rPr>
                <w:noProof/>
                <w:webHidden/>
              </w:rPr>
              <w:t>19</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6" w:history="1">
            <w:r w:rsidR="00210B0B" w:rsidRPr="003040C9">
              <w:rPr>
                <w:rStyle w:val="Hyperlink"/>
                <w:rFonts w:asciiTheme="majorHAnsi" w:hAnsiTheme="majorHAnsi" w:cstheme="majorHAnsi"/>
                <w:noProof/>
              </w:rPr>
              <w:t>3.5 Theme 2: Service Failure and Digital Transaction Disputes</w:t>
            </w:r>
            <w:r w:rsidR="00210B0B">
              <w:rPr>
                <w:noProof/>
                <w:webHidden/>
              </w:rPr>
              <w:tab/>
            </w:r>
            <w:r w:rsidR="00210B0B">
              <w:rPr>
                <w:noProof/>
                <w:webHidden/>
              </w:rPr>
              <w:fldChar w:fldCharType="begin"/>
            </w:r>
            <w:r w:rsidR="00210B0B">
              <w:rPr>
                <w:noProof/>
                <w:webHidden/>
              </w:rPr>
              <w:instrText xml:space="preserve"> PAGEREF _Toc227498336 \h </w:instrText>
            </w:r>
            <w:r w:rsidR="00210B0B">
              <w:rPr>
                <w:noProof/>
                <w:webHidden/>
              </w:rPr>
            </w:r>
            <w:r w:rsidR="00210B0B">
              <w:rPr>
                <w:noProof/>
                <w:webHidden/>
              </w:rPr>
              <w:fldChar w:fldCharType="separate"/>
            </w:r>
            <w:r w:rsidR="00210B0B">
              <w:rPr>
                <w:noProof/>
                <w:webHidden/>
              </w:rPr>
              <w:t>20</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7" w:history="1">
            <w:r w:rsidR="00210B0B" w:rsidRPr="003040C9">
              <w:rPr>
                <w:rStyle w:val="Hyperlink"/>
                <w:rFonts w:asciiTheme="majorHAnsi" w:hAnsiTheme="majorHAnsi" w:cstheme="majorHAnsi"/>
                <w:noProof/>
              </w:rPr>
              <w:t>3.6 Theme 3: Banking Operational Risk</w:t>
            </w:r>
            <w:r w:rsidR="00210B0B">
              <w:rPr>
                <w:noProof/>
                <w:webHidden/>
              </w:rPr>
              <w:tab/>
            </w:r>
            <w:r w:rsidR="00210B0B">
              <w:rPr>
                <w:noProof/>
                <w:webHidden/>
              </w:rPr>
              <w:fldChar w:fldCharType="begin"/>
            </w:r>
            <w:r w:rsidR="00210B0B">
              <w:rPr>
                <w:noProof/>
                <w:webHidden/>
              </w:rPr>
              <w:instrText xml:space="preserve"> PAGEREF _Toc227498337 \h </w:instrText>
            </w:r>
            <w:r w:rsidR="00210B0B">
              <w:rPr>
                <w:noProof/>
                <w:webHidden/>
              </w:rPr>
            </w:r>
            <w:r w:rsidR="00210B0B">
              <w:rPr>
                <w:noProof/>
                <w:webHidden/>
              </w:rPr>
              <w:fldChar w:fldCharType="separate"/>
            </w:r>
            <w:r w:rsidR="00210B0B">
              <w:rPr>
                <w:noProof/>
                <w:webHidden/>
              </w:rPr>
              <w:t>21</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8" w:history="1">
            <w:r w:rsidR="00210B0B" w:rsidRPr="003040C9">
              <w:rPr>
                <w:rStyle w:val="Hyperlink"/>
                <w:rFonts w:asciiTheme="majorHAnsi" w:hAnsiTheme="majorHAnsi" w:cstheme="majorHAnsi"/>
                <w:noProof/>
              </w:rPr>
              <w:t>3.7 Theme 4: Frameworks for Risk Governance and Control</w:t>
            </w:r>
            <w:r w:rsidR="00210B0B">
              <w:rPr>
                <w:noProof/>
                <w:webHidden/>
              </w:rPr>
              <w:tab/>
            </w:r>
            <w:r w:rsidR="00210B0B">
              <w:rPr>
                <w:noProof/>
                <w:webHidden/>
              </w:rPr>
              <w:fldChar w:fldCharType="begin"/>
            </w:r>
            <w:r w:rsidR="00210B0B">
              <w:rPr>
                <w:noProof/>
                <w:webHidden/>
              </w:rPr>
              <w:instrText xml:space="preserve"> PAGEREF _Toc227498338 \h </w:instrText>
            </w:r>
            <w:r w:rsidR="00210B0B">
              <w:rPr>
                <w:noProof/>
                <w:webHidden/>
              </w:rPr>
            </w:r>
            <w:r w:rsidR="00210B0B">
              <w:rPr>
                <w:noProof/>
                <w:webHidden/>
              </w:rPr>
              <w:fldChar w:fldCharType="separate"/>
            </w:r>
            <w:r w:rsidR="00210B0B">
              <w:rPr>
                <w:noProof/>
                <w:webHidden/>
              </w:rPr>
              <w:t>22</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39" w:history="1">
            <w:r w:rsidR="00210B0B" w:rsidRPr="003040C9">
              <w:rPr>
                <w:rStyle w:val="Hyperlink"/>
                <w:rFonts w:asciiTheme="majorHAnsi" w:hAnsiTheme="majorHAnsi" w:cstheme="majorHAnsi"/>
                <w:noProof/>
              </w:rPr>
              <w:t>3.8 Literature Synthesis</w:t>
            </w:r>
            <w:r w:rsidR="00210B0B">
              <w:rPr>
                <w:noProof/>
                <w:webHidden/>
              </w:rPr>
              <w:tab/>
            </w:r>
            <w:r w:rsidR="00210B0B">
              <w:rPr>
                <w:noProof/>
                <w:webHidden/>
              </w:rPr>
              <w:fldChar w:fldCharType="begin"/>
            </w:r>
            <w:r w:rsidR="00210B0B">
              <w:rPr>
                <w:noProof/>
                <w:webHidden/>
              </w:rPr>
              <w:instrText xml:space="preserve"> PAGEREF _Toc227498339 \h </w:instrText>
            </w:r>
            <w:r w:rsidR="00210B0B">
              <w:rPr>
                <w:noProof/>
                <w:webHidden/>
              </w:rPr>
            </w:r>
            <w:r w:rsidR="00210B0B">
              <w:rPr>
                <w:noProof/>
                <w:webHidden/>
              </w:rPr>
              <w:fldChar w:fldCharType="separate"/>
            </w:r>
            <w:r w:rsidR="00210B0B">
              <w:rPr>
                <w:noProof/>
                <w:webHidden/>
              </w:rPr>
              <w:t>22</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40" w:history="1">
            <w:r w:rsidR="00210B0B" w:rsidRPr="003040C9">
              <w:rPr>
                <w:rStyle w:val="Hyperlink"/>
                <w:rFonts w:asciiTheme="majorHAnsi" w:hAnsiTheme="majorHAnsi" w:cstheme="majorHAnsi"/>
                <w:noProof/>
              </w:rPr>
              <w:t>3.9 Development of Conceptual Frameworks</w:t>
            </w:r>
            <w:r w:rsidR="00210B0B">
              <w:rPr>
                <w:noProof/>
                <w:webHidden/>
              </w:rPr>
              <w:tab/>
            </w:r>
            <w:r w:rsidR="00210B0B">
              <w:rPr>
                <w:noProof/>
                <w:webHidden/>
              </w:rPr>
              <w:fldChar w:fldCharType="begin"/>
            </w:r>
            <w:r w:rsidR="00210B0B">
              <w:rPr>
                <w:noProof/>
                <w:webHidden/>
              </w:rPr>
              <w:instrText xml:space="preserve"> PAGEREF _Toc227498340 \h </w:instrText>
            </w:r>
            <w:r w:rsidR="00210B0B">
              <w:rPr>
                <w:noProof/>
                <w:webHidden/>
              </w:rPr>
            </w:r>
            <w:r w:rsidR="00210B0B">
              <w:rPr>
                <w:noProof/>
                <w:webHidden/>
              </w:rPr>
              <w:fldChar w:fldCharType="separate"/>
            </w:r>
            <w:r w:rsidR="00210B0B">
              <w:rPr>
                <w:noProof/>
                <w:webHidden/>
              </w:rPr>
              <w:t>24</w:t>
            </w:r>
            <w:r w:rsidR="00210B0B">
              <w:rPr>
                <w:noProof/>
                <w:webHidden/>
              </w:rPr>
              <w:fldChar w:fldCharType="end"/>
            </w:r>
          </w:hyperlink>
        </w:p>
        <w:p w:rsidR="00210B0B" w:rsidRDefault="00000000" w:rsidP="00210B0B">
          <w:pPr>
            <w:pStyle w:val="TOC3"/>
            <w:tabs>
              <w:tab w:val="right" w:leader="dot" w:pos="9010"/>
            </w:tabs>
            <w:spacing w:before="240" w:after="240"/>
            <w:rPr>
              <w:rFonts w:eastAsiaTheme="minorEastAsia" w:cstheme="minorBidi"/>
              <w:smallCaps w:val="0"/>
              <w:noProof/>
              <w:sz w:val="24"/>
              <w:szCs w:val="24"/>
            </w:rPr>
          </w:pPr>
          <w:hyperlink w:anchor="_Toc227498341" w:history="1">
            <w:r w:rsidR="00210B0B" w:rsidRPr="003040C9">
              <w:rPr>
                <w:rStyle w:val="Hyperlink"/>
                <w:noProof/>
              </w:rPr>
              <w:t>Figure 3.9: Conceptual Framework for Operational Risk Governance in Digital Payment Dispute Management in Nepalese Banks</w:t>
            </w:r>
            <w:r w:rsidR="00210B0B">
              <w:rPr>
                <w:noProof/>
                <w:webHidden/>
              </w:rPr>
              <w:tab/>
            </w:r>
            <w:r w:rsidR="00210B0B">
              <w:rPr>
                <w:noProof/>
                <w:webHidden/>
              </w:rPr>
              <w:fldChar w:fldCharType="begin"/>
            </w:r>
            <w:r w:rsidR="00210B0B">
              <w:rPr>
                <w:noProof/>
                <w:webHidden/>
              </w:rPr>
              <w:instrText xml:space="preserve"> PAGEREF _Toc227498341 \h </w:instrText>
            </w:r>
            <w:r w:rsidR="00210B0B">
              <w:rPr>
                <w:noProof/>
                <w:webHidden/>
              </w:rPr>
            </w:r>
            <w:r w:rsidR="00210B0B">
              <w:rPr>
                <w:noProof/>
                <w:webHidden/>
              </w:rPr>
              <w:fldChar w:fldCharType="separate"/>
            </w:r>
            <w:r w:rsidR="00210B0B">
              <w:rPr>
                <w:noProof/>
                <w:webHidden/>
              </w:rPr>
              <w:t>25</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42" w:history="1">
            <w:r w:rsidR="00210B0B" w:rsidRPr="003040C9">
              <w:rPr>
                <w:rStyle w:val="Hyperlink"/>
                <w:rFonts w:asciiTheme="majorHAnsi" w:hAnsiTheme="majorHAnsi" w:cstheme="majorHAnsi"/>
                <w:noProof/>
              </w:rPr>
              <w:t>3.10 Emerging Market Context: Banking Sector in Nepal</w:t>
            </w:r>
            <w:r w:rsidR="00210B0B">
              <w:rPr>
                <w:noProof/>
                <w:webHidden/>
              </w:rPr>
              <w:tab/>
            </w:r>
            <w:r w:rsidR="00210B0B">
              <w:rPr>
                <w:noProof/>
                <w:webHidden/>
              </w:rPr>
              <w:fldChar w:fldCharType="begin"/>
            </w:r>
            <w:r w:rsidR="00210B0B">
              <w:rPr>
                <w:noProof/>
                <w:webHidden/>
              </w:rPr>
              <w:instrText xml:space="preserve"> PAGEREF _Toc227498342 \h </w:instrText>
            </w:r>
            <w:r w:rsidR="00210B0B">
              <w:rPr>
                <w:noProof/>
                <w:webHidden/>
              </w:rPr>
            </w:r>
            <w:r w:rsidR="00210B0B">
              <w:rPr>
                <w:noProof/>
                <w:webHidden/>
              </w:rPr>
              <w:fldChar w:fldCharType="separate"/>
            </w:r>
            <w:r w:rsidR="00210B0B">
              <w:rPr>
                <w:noProof/>
                <w:webHidden/>
              </w:rPr>
              <w:t>26</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43" w:history="1">
            <w:r w:rsidR="00210B0B" w:rsidRPr="003040C9">
              <w:rPr>
                <w:rStyle w:val="Hyperlink"/>
                <w:rFonts w:ascii="Calibri" w:hAnsi="Calibri" w:cs="Calibri"/>
                <w:noProof/>
              </w:rPr>
              <w:t>3.11 Research Gap</w:t>
            </w:r>
            <w:r w:rsidR="00210B0B">
              <w:rPr>
                <w:noProof/>
                <w:webHidden/>
              </w:rPr>
              <w:tab/>
            </w:r>
            <w:r w:rsidR="00210B0B">
              <w:rPr>
                <w:noProof/>
                <w:webHidden/>
              </w:rPr>
              <w:fldChar w:fldCharType="begin"/>
            </w:r>
            <w:r w:rsidR="00210B0B">
              <w:rPr>
                <w:noProof/>
                <w:webHidden/>
              </w:rPr>
              <w:instrText xml:space="preserve"> PAGEREF _Toc227498343 \h </w:instrText>
            </w:r>
            <w:r w:rsidR="00210B0B">
              <w:rPr>
                <w:noProof/>
                <w:webHidden/>
              </w:rPr>
            </w:r>
            <w:r w:rsidR="00210B0B">
              <w:rPr>
                <w:noProof/>
                <w:webHidden/>
              </w:rPr>
              <w:fldChar w:fldCharType="separate"/>
            </w:r>
            <w:r w:rsidR="00210B0B">
              <w:rPr>
                <w:noProof/>
                <w:webHidden/>
              </w:rPr>
              <w:t>27</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44" w:history="1">
            <w:r w:rsidR="00210B0B" w:rsidRPr="003040C9">
              <w:rPr>
                <w:rStyle w:val="Hyperlink"/>
                <w:rFonts w:asciiTheme="majorHAnsi" w:hAnsiTheme="majorHAnsi" w:cstheme="majorHAnsi"/>
                <w:noProof/>
              </w:rPr>
              <w:t>3.12 Research Questions</w:t>
            </w:r>
            <w:r w:rsidR="00210B0B">
              <w:rPr>
                <w:noProof/>
                <w:webHidden/>
              </w:rPr>
              <w:tab/>
            </w:r>
            <w:r w:rsidR="00210B0B">
              <w:rPr>
                <w:noProof/>
                <w:webHidden/>
              </w:rPr>
              <w:fldChar w:fldCharType="begin"/>
            </w:r>
            <w:r w:rsidR="00210B0B">
              <w:rPr>
                <w:noProof/>
                <w:webHidden/>
              </w:rPr>
              <w:instrText xml:space="preserve"> PAGEREF _Toc227498344 \h </w:instrText>
            </w:r>
            <w:r w:rsidR="00210B0B">
              <w:rPr>
                <w:noProof/>
                <w:webHidden/>
              </w:rPr>
            </w:r>
            <w:r w:rsidR="00210B0B">
              <w:rPr>
                <w:noProof/>
                <w:webHidden/>
              </w:rPr>
              <w:fldChar w:fldCharType="separate"/>
            </w:r>
            <w:r w:rsidR="00210B0B">
              <w:rPr>
                <w:noProof/>
                <w:webHidden/>
              </w:rPr>
              <w:t>29</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45" w:history="1">
            <w:r w:rsidR="00210B0B" w:rsidRPr="003040C9">
              <w:rPr>
                <w:rStyle w:val="Hyperlink"/>
                <w:rFonts w:asciiTheme="majorHAnsi" w:hAnsiTheme="majorHAnsi" w:cstheme="majorHAnsi"/>
                <w:noProof/>
              </w:rPr>
              <w:t>3.13 Theoretical Contribution</w:t>
            </w:r>
            <w:r w:rsidR="00210B0B">
              <w:rPr>
                <w:noProof/>
                <w:webHidden/>
              </w:rPr>
              <w:tab/>
            </w:r>
            <w:r w:rsidR="00210B0B">
              <w:rPr>
                <w:noProof/>
                <w:webHidden/>
              </w:rPr>
              <w:fldChar w:fldCharType="begin"/>
            </w:r>
            <w:r w:rsidR="00210B0B">
              <w:rPr>
                <w:noProof/>
                <w:webHidden/>
              </w:rPr>
              <w:instrText xml:space="preserve"> PAGEREF _Toc227498345 \h </w:instrText>
            </w:r>
            <w:r w:rsidR="00210B0B">
              <w:rPr>
                <w:noProof/>
                <w:webHidden/>
              </w:rPr>
            </w:r>
            <w:r w:rsidR="00210B0B">
              <w:rPr>
                <w:noProof/>
                <w:webHidden/>
              </w:rPr>
              <w:fldChar w:fldCharType="separate"/>
            </w:r>
            <w:r w:rsidR="00210B0B">
              <w:rPr>
                <w:noProof/>
                <w:webHidden/>
              </w:rPr>
              <w:t>29</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46" w:history="1">
            <w:r w:rsidR="00210B0B" w:rsidRPr="003040C9">
              <w:rPr>
                <w:rStyle w:val="Hyperlink"/>
                <w:rFonts w:asciiTheme="majorHAnsi" w:hAnsiTheme="majorHAnsi" w:cstheme="majorHAnsi"/>
                <w:noProof/>
              </w:rPr>
              <w:t>3.14 Implications for Management</w:t>
            </w:r>
            <w:r w:rsidR="00210B0B">
              <w:rPr>
                <w:noProof/>
                <w:webHidden/>
              </w:rPr>
              <w:tab/>
            </w:r>
            <w:r w:rsidR="00210B0B">
              <w:rPr>
                <w:noProof/>
                <w:webHidden/>
              </w:rPr>
              <w:fldChar w:fldCharType="begin"/>
            </w:r>
            <w:r w:rsidR="00210B0B">
              <w:rPr>
                <w:noProof/>
                <w:webHidden/>
              </w:rPr>
              <w:instrText xml:space="preserve"> PAGEREF _Toc227498346 \h </w:instrText>
            </w:r>
            <w:r w:rsidR="00210B0B">
              <w:rPr>
                <w:noProof/>
                <w:webHidden/>
              </w:rPr>
            </w:r>
            <w:r w:rsidR="00210B0B">
              <w:rPr>
                <w:noProof/>
                <w:webHidden/>
              </w:rPr>
              <w:fldChar w:fldCharType="separate"/>
            </w:r>
            <w:r w:rsidR="00210B0B">
              <w:rPr>
                <w:noProof/>
                <w:webHidden/>
              </w:rPr>
              <w:t>30</w:t>
            </w:r>
            <w:r w:rsidR="00210B0B">
              <w:rPr>
                <w:noProof/>
                <w:webHidden/>
              </w:rPr>
              <w:fldChar w:fldCharType="end"/>
            </w:r>
          </w:hyperlink>
        </w:p>
        <w:p w:rsidR="00210B0B" w:rsidRDefault="00000000" w:rsidP="00210B0B">
          <w:pPr>
            <w:pStyle w:val="TOC2"/>
            <w:tabs>
              <w:tab w:val="right" w:leader="dot" w:pos="9010"/>
            </w:tabs>
            <w:spacing w:before="240" w:after="240"/>
            <w:rPr>
              <w:rFonts w:eastAsiaTheme="minorEastAsia" w:cstheme="minorBidi"/>
              <w:b w:val="0"/>
              <w:bCs w:val="0"/>
              <w:smallCaps w:val="0"/>
              <w:noProof/>
              <w:sz w:val="24"/>
              <w:szCs w:val="24"/>
            </w:rPr>
          </w:pPr>
          <w:hyperlink w:anchor="_Toc227498347" w:history="1">
            <w:r w:rsidR="00210B0B" w:rsidRPr="003040C9">
              <w:rPr>
                <w:rStyle w:val="Hyperlink"/>
                <w:rFonts w:asciiTheme="majorHAnsi" w:hAnsiTheme="majorHAnsi" w:cstheme="majorHAnsi"/>
                <w:noProof/>
              </w:rPr>
              <w:t>3.15 Conclusion</w:t>
            </w:r>
            <w:r w:rsidR="00210B0B">
              <w:rPr>
                <w:noProof/>
                <w:webHidden/>
              </w:rPr>
              <w:tab/>
            </w:r>
            <w:r w:rsidR="00210B0B">
              <w:rPr>
                <w:noProof/>
                <w:webHidden/>
              </w:rPr>
              <w:fldChar w:fldCharType="begin"/>
            </w:r>
            <w:r w:rsidR="00210B0B">
              <w:rPr>
                <w:noProof/>
                <w:webHidden/>
              </w:rPr>
              <w:instrText xml:space="preserve"> PAGEREF _Toc227498347 \h </w:instrText>
            </w:r>
            <w:r w:rsidR="00210B0B">
              <w:rPr>
                <w:noProof/>
                <w:webHidden/>
              </w:rPr>
            </w:r>
            <w:r w:rsidR="00210B0B">
              <w:rPr>
                <w:noProof/>
                <w:webHidden/>
              </w:rPr>
              <w:fldChar w:fldCharType="separate"/>
            </w:r>
            <w:r w:rsidR="00210B0B">
              <w:rPr>
                <w:noProof/>
                <w:webHidden/>
              </w:rPr>
              <w:t>31</w:t>
            </w:r>
            <w:r w:rsidR="00210B0B">
              <w:rPr>
                <w:noProof/>
                <w:webHidden/>
              </w:rPr>
              <w:fldChar w:fldCharType="end"/>
            </w:r>
          </w:hyperlink>
        </w:p>
        <w:p w:rsidR="00210B0B" w:rsidRDefault="00000000" w:rsidP="00210B0B">
          <w:pPr>
            <w:pStyle w:val="TOC1"/>
            <w:spacing w:before="240"/>
            <w:rPr>
              <w:rFonts w:eastAsiaTheme="minorEastAsia" w:cstheme="minorBidi"/>
              <w:b w:val="0"/>
              <w:bCs w:val="0"/>
              <w:caps w:val="0"/>
              <w:noProof/>
              <w:sz w:val="24"/>
              <w:szCs w:val="24"/>
              <w:u w:val="none"/>
            </w:rPr>
          </w:pPr>
          <w:hyperlink w:anchor="_Toc227498348" w:history="1">
            <w:r w:rsidR="00210B0B" w:rsidRPr="003040C9">
              <w:rPr>
                <w:rStyle w:val="Hyperlink"/>
                <w:noProof/>
              </w:rPr>
              <w:t>References</w:t>
            </w:r>
            <w:r w:rsidR="00210B0B">
              <w:rPr>
                <w:noProof/>
                <w:webHidden/>
              </w:rPr>
              <w:tab/>
            </w:r>
            <w:r w:rsidR="00210B0B">
              <w:rPr>
                <w:noProof/>
                <w:webHidden/>
              </w:rPr>
              <w:fldChar w:fldCharType="begin"/>
            </w:r>
            <w:r w:rsidR="00210B0B">
              <w:rPr>
                <w:noProof/>
                <w:webHidden/>
              </w:rPr>
              <w:instrText xml:space="preserve"> PAGEREF _Toc227498348 \h </w:instrText>
            </w:r>
            <w:r w:rsidR="00210B0B">
              <w:rPr>
                <w:noProof/>
                <w:webHidden/>
              </w:rPr>
            </w:r>
            <w:r w:rsidR="00210B0B">
              <w:rPr>
                <w:noProof/>
                <w:webHidden/>
              </w:rPr>
              <w:fldChar w:fldCharType="separate"/>
            </w:r>
            <w:r w:rsidR="00210B0B">
              <w:rPr>
                <w:noProof/>
                <w:webHidden/>
              </w:rPr>
              <w:t>32</w:t>
            </w:r>
            <w:r w:rsidR="00210B0B">
              <w:rPr>
                <w:noProof/>
                <w:webHidden/>
              </w:rPr>
              <w:fldChar w:fldCharType="end"/>
            </w:r>
          </w:hyperlink>
        </w:p>
        <w:p w:rsidR="00CB56EC" w:rsidRDefault="00CB56EC" w:rsidP="00210B0B">
          <w:pPr>
            <w:spacing w:before="240" w:after="240"/>
          </w:pPr>
          <w:r>
            <w:rPr>
              <w:b/>
              <w:bCs/>
              <w:noProof/>
            </w:rPr>
            <w:fldChar w:fldCharType="end"/>
          </w:r>
        </w:p>
      </w:sdtContent>
    </w:sdt>
    <w:p w:rsidR="0039542E" w:rsidRDefault="0039542E">
      <w:pPr>
        <w:rPr>
          <w:rFonts w:ascii="Arial" w:hAnsi="Arial" w:cs="Arial"/>
          <w:b/>
          <w:bCs/>
          <w:color w:val="000000"/>
        </w:rPr>
      </w:pPr>
    </w:p>
    <w:p w:rsidR="0039542E" w:rsidRDefault="0039542E">
      <w:pPr>
        <w:rPr>
          <w:rFonts w:ascii="Arial" w:hAnsi="Arial" w:cs="Arial"/>
          <w:b/>
          <w:bCs/>
          <w:color w:val="000000"/>
        </w:rPr>
      </w:pPr>
    </w:p>
    <w:p w:rsidR="0039542E" w:rsidRDefault="0039542E">
      <w:pPr>
        <w:rPr>
          <w:rFonts w:ascii="Arial" w:hAnsi="Arial" w:cs="Arial"/>
          <w:b/>
          <w:bCs/>
          <w:color w:val="000000"/>
        </w:rPr>
        <w:sectPr w:rsidR="0039542E" w:rsidSect="0039542E">
          <w:footerReference w:type="even" r:id="rId9"/>
          <w:footerReference w:type="default" r:id="rId10"/>
          <w:pgSz w:w="11900" w:h="16840"/>
          <w:pgMar w:top="1440" w:right="1440" w:bottom="1440" w:left="1440" w:header="708" w:footer="708" w:gutter="0"/>
          <w:pgNumType w:fmt="lowerRoman" w:start="1"/>
          <w:cols w:space="708"/>
          <w:titlePg/>
          <w:docGrid w:linePitch="360"/>
        </w:sectPr>
      </w:pPr>
    </w:p>
    <w:p w:rsidR="00DD2412" w:rsidRPr="00CE33D3" w:rsidRDefault="00DD2412" w:rsidP="00CE33D3">
      <w:pPr>
        <w:pStyle w:val="Heading1"/>
        <w:rPr>
          <w:b/>
          <w:bCs/>
        </w:rPr>
      </w:pPr>
      <w:bookmarkStart w:id="1" w:name="_Toc227498304"/>
      <w:r w:rsidRPr="00CE33D3">
        <w:rPr>
          <w:b/>
          <w:bCs/>
        </w:rPr>
        <w:lastRenderedPageBreak/>
        <w:t>Part One: The Purposes, Content, and Structure of a Doctoral Critical Literature Review</w:t>
      </w:r>
      <w:bookmarkEnd w:id="1"/>
    </w:p>
    <w:p w:rsidR="00DD2412" w:rsidRPr="00DD2412" w:rsidRDefault="00DD2412" w:rsidP="00DD2412">
      <w:pPr>
        <w:pStyle w:val="Heading2"/>
        <w:rPr>
          <w:sz w:val="28"/>
          <w:szCs w:val="28"/>
        </w:rPr>
      </w:pPr>
      <w:bookmarkStart w:id="2" w:name="_Toc227498305"/>
      <w:r w:rsidRPr="00DD2412">
        <w:rPr>
          <w:sz w:val="28"/>
          <w:szCs w:val="28"/>
        </w:rPr>
        <w:t>1.1 Background</w:t>
      </w:r>
      <w:bookmarkEnd w:id="2"/>
    </w:p>
    <w:p w:rsidR="00DD2412" w:rsidRPr="00390189" w:rsidRDefault="00DD2412" w:rsidP="00390189">
      <w:pPr>
        <w:jc w:val="both"/>
        <w:rPr>
          <w:rFonts w:ascii="Arial" w:hAnsi="Arial" w:cs="Arial"/>
          <w:color w:val="000000"/>
        </w:rPr>
      </w:pPr>
      <w:r w:rsidRPr="00390189">
        <w:rPr>
          <w:rFonts w:ascii="Arial" w:hAnsi="Arial" w:cs="Arial"/>
          <w:color w:val="000000"/>
        </w:rPr>
        <w:t xml:space="preserve">A Critical Literature Review (CLR) is a methodical, analytical, and interpretive process that expands, synthesizes, and critically evaluates current knowledge (Snyder, 2019; Paul &amp; </w:t>
      </w:r>
      <w:proofErr w:type="spellStart"/>
      <w:r w:rsidRPr="00390189">
        <w:rPr>
          <w:rFonts w:ascii="Arial" w:hAnsi="Arial" w:cs="Arial"/>
          <w:color w:val="000000"/>
        </w:rPr>
        <w:t>Criado</w:t>
      </w:r>
      <w:proofErr w:type="spellEnd"/>
      <w:r w:rsidRPr="00390189">
        <w:rPr>
          <w:rFonts w:ascii="Arial" w:hAnsi="Arial" w:cs="Arial"/>
          <w:color w:val="000000"/>
        </w:rPr>
        <w:t>, 2020). The CLR serves both academic and practitioner goals in a Doctor of Business Administration (DBA): it unifies disparate information, finds operational and governance deficiencies, and offers the theoretical underpinning for practice-focused research. This study applies the CLR to the handling of digital payment disputes in Nepalese banks.</w:t>
      </w:r>
    </w:p>
    <w:p w:rsidR="00DD2412" w:rsidRPr="00390189" w:rsidRDefault="00DD2412" w:rsidP="00893E62">
      <w:pPr>
        <w:pStyle w:val="Heading2"/>
        <w:rPr>
          <w:rFonts w:asciiTheme="majorHAnsi" w:hAnsiTheme="majorHAnsi" w:cstheme="majorHAnsi"/>
          <w:sz w:val="28"/>
          <w:szCs w:val="28"/>
        </w:rPr>
      </w:pPr>
      <w:bookmarkStart w:id="3" w:name="_Toc227498306"/>
      <w:r w:rsidRPr="00390189">
        <w:rPr>
          <w:rFonts w:asciiTheme="majorHAnsi" w:hAnsiTheme="majorHAnsi" w:cstheme="majorHAnsi"/>
          <w:sz w:val="28"/>
          <w:szCs w:val="28"/>
        </w:rPr>
        <w:t>1.2 What Constitutes a "Critical" DBA Literature Review?</w:t>
      </w:r>
      <w:bookmarkEnd w:id="3"/>
    </w:p>
    <w:p w:rsidR="00893E62" w:rsidRPr="0005675A" w:rsidRDefault="00DD2412" w:rsidP="0005675A">
      <w:pPr>
        <w:jc w:val="both"/>
        <w:rPr>
          <w:rFonts w:ascii="Arial" w:hAnsi="Arial" w:cs="Arial"/>
        </w:rPr>
      </w:pPr>
      <w:r w:rsidRPr="0005675A">
        <w:rPr>
          <w:rFonts w:ascii="Arial" w:hAnsi="Arial" w:cs="Arial"/>
        </w:rPr>
        <w:t xml:space="preserve">A literature review goes beyond description at the </w:t>
      </w:r>
      <w:r w:rsidR="000C1DF5">
        <w:rPr>
          <w:rFonts w:ascii="Arial" w:hAnsi="Arial" w:cs="Arial"/>
        </w:rPr>
        <w:t xml:space="preserve">doctoral </w:t>
      </w:r>
      <w:r w:rsidRPr="0005675A">
        <w:rPr>
          <w:rFonts w:ascii="Arial" w:hAnsi="Arial" w:cs="Arial"/>
        </w:rPr>
        <w:t>level. The weak</w:t>
      </w:r>
      <w:r w:rsidR="000C1DF5">
        <w:rPr>
          <w:rFonts w:ascii="Arial" w:hAnsi="Arial" w:cs="Arial"/>
        </w:rPr>
        <w:t xml:space="preserve"> </w:t>
      </w:r>
      <w:r w:rsidRPr="0005675A">
        <w:rPr>
          <w:rFonts w:ascii="Arial" w:hAnsi="Arial" w:cs="Arial"/>
        </w:rPr>
        <w:t>and powerful techniques are contrasted in the table below</w:t>
      </w:r>
    </w:p>
    <w:p w:rsidR="00893E62" w:rsidRPr="0005675A" w:rsidRDefault="00893E62" w:rsidP="0005675A">
      <w:pPr>
        <w:jc w:val="both"/>
        <w:rPr>
          <w:rFonts w:ascii="Arial" w:hAnsi="Arial" w:cs="Arial"/>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4"/>
        <w:gridCol w:w="4290"/>
      </w:tblGrid>
      <w:tr w:rsidR="00DD2412" w:rsidRPr="0005675A" w:rsidTr="00AB2BE8">
        <w:trPr>
          <w:trHeight w:val="320"/>
          <w:tblHeader/>
        </w:trPr>
        <w:tc>
          <w:tcPr>
            <w:tcW w:w="0" w:type="auto"/>
            <w:tcMar>
              <w:top w:w="150" w:type="dxa"/>
              <w:left w:w="0" w:type="dxa"/>
              <w:bottom w:w="150" w:type="dxa"/>
              <w:right w:w="240" w:type="dxa"/>
            </w:tcMar>
            <w:vAlign w:val="center"/>
            <w:hideMark/>
          </w:tcPr>
          <w:p w:rsidR="00DD2412" w:rsidRPr="0005675A" w:rsidRDefault="00DD2412" w:rsidP="0005675A">
            <w:pPr>
              <w:jc w:val="both"/>
              <w:rPr>
                <w:rFonts w:ascii="Arial" w:eastAsia="Times New Roman" w:hAnsi="Arial" w:cs="Arial"/>
                <w:b/>
                <w:bCs/>
                <w:kern w:val="0"/>
                <w14:ligatures w14:val="none"/>
              </w:rPr>
            </w:pPr>
            <w:r w:rsidRPr="0005675A">
              <w:rPr>
                <w:rFonts w:ascii="Arial" w:eastAsia="Times New Roman" w:hAnsi="Arial" w:cs="Arial"/>
                <w:b/>
                <w:bCs/>
                <w:kern w:val="0"/>
                <w14:ligatures w14:val="none"/>
              </w:rPr>
              <w:t>Wea</w:t>
            </w:r>
            <w:r w:rsidR="000C1DF5">
              <w:rPr>
                <w:rFonts w:ascii="Arial" w:eastAsia="Times New Roman" w:hAnsi="Arial" w:cs="Arial"/>
                <w:b/>
                <w:bCs/>
                <w:kern w:val="0"/>
                <w14:ligatures w14:val="none"/>
              </w:rPr>
              <w:t>k</w:t>
            </w:r>
          </w:p>
        </w:tc>
        <w:tc>
          <w:tcPr>
            <w:tcW w:w="0" w:type="auto"/>
            <w:tcMar>
              <w:top w:w="150" w:type="dxa"/>
              <w:left w:w="240" w:type="dxa"/>
              <w:bottom w:w="150" w:type="dxa"/>
              <w:right w:w="240" w:type="dxa"/>
            </w:tcMar>
            <w:vAlign w:val="center"/>
            <w:hideMark/>
          </w:tcPr>
          <w:p w:rsidR="00DD2412" w:rsidRPr="0005675A" w:rsidRDefault="00DD2412" w:rsidP="0005675A">
            <w:pPr>
              <w:jc w:val="both"/>
              <w:rPr>
                <w:rFonts w:ascii="Arial" w:eastAsia="Times New Roman" w:hAnsi="Arial" w:cs="Arial"/>
                <w:b/>
                <w:bCs/>
                <w:kern w:val="0"/>
                <w14:ligatures w14:val="none"/>
              </w:rPr>
            </w:pPr>
            <w:r w:rsidRPr="0005675A">
              <w:rPr>
                <w:rFonts w:ascii="Arial" w:eastAsia="Times New Roman" w:hAnsi="Arial" w:cs="Arial"/>
                <w:b/>
                <w:bCs/>
                <w:kern w:val="0"/>
                <w14:ligatures w14:val="none"/>
              </w:rPr>
              <w:t xml:space="preserve">Strong </w:t>
            </w:r>
          </w:p>
        </w:tc>
      </w:tr>
      <w:tr w:rsidR="00DD2412" w:rsidRPr="0005675A" w:rsidTr="00AB2BE8">
        <w:trPr>
          <w:trHeight w:val="299"/>
        </w:trPr>
        <w:tc>
          <w:tcPr>
            <w:tcW w:w="0" w:type="auto"/>
            <w:tcMar>
              <w:top w:w="150" w:type="dxa"/>
              <w:left w:w="0" w:type="dxa"/>
              <w:bottom w:w="150" w:type="dxa"/>
              <w:right w:w="240" w:type="dxa"/>
            </w:tcMar>
            <w:vAlign w:val="center"/>
            <w:hideMark/>
          </w:tcPr>
          <w:p w:rsidR="00DD2412" w:rsidRPr="0005675A" w:rsidRDefault="00DD2412" w:rsidP="0005675A">
            <w:pPr>
              <w:jc w:val="both"/>
              <w:rPr>
                <w:rFonts w:ascii="Arial" w:eastAsia="Times New Roman" w:hAnsi="Arial" w:cs="Arial"/>
                <w:kern w:val="0"/>
                <w14:ligatures w14:val="none"/>
              </w:rPr>
            </w:pPr>
            <w:proofErr w:type="spellStart"/>
            <w:r w:rsidRPr="0005675A">
              <w:rPr>
                <w:rFonts w:ascii="Arial" w:eastAsia="Times New Roman" w:hAnsi="Arial" w:cs="Arial"/>
                <w:kern w:val="0"/>
                <w14:ligatures w14:val="none"/>
              </w:rPr>
              <w:t>Summarises</w:t>
            </w:r>
            <w:proofErr w:type="spellEnd"/>
            <w:r w:rsidRPr="0005675A">
              <w:rPr>
                <w:rFonts w:ascii="Arial" w:eastAsia="Times New Roman" w:hAnsi="Arial" w:cs="Arial"/>
                <w:kern w:val="0"/>
                <w14:ligatures w14:val="none"/>
              </w:rPr>
              <w:t xml:space="preserve"> research</w:t>
            </w:r>
          </w:p>
        </w:tc>
        <w:tc>
          <w:tcPr>
            <w:tcW w:w="0" w:type="auto"/>
            <w:tcMar>
              <w:top w:w="150" w:type="dxa"/>
              <w:left w:w="240" w:type="dxa"/>
              <w:bottom w:w="150" w:type="dxa"/>
              <w:right w:w="0" w:type="dxa"/>
            </w:tcMar>
            <w:vAlign w:val="center"/>
            <w:hideMark/>
          </w:tcPr>
          <w:p w:rsidR="00DD2412" w:rsidRPr="0005675A" w:rsidRDefault="00DD2412" w:rsidP="0005675A">
            <w:pPr>
              <w:jc w:val="both"/>
              <w:rPr>
                <w:rFonts w:ascii="Arial" w:eastAsia="Times New Roman" w:hAnsi="Arial" w:cs="Arial"/>
                <w:kern w:val="0"/>
                <w14:ligatures w14:val="none"/>
              </w:rPr>
            </w:pPr>
            <w:r w:rsidRPr="0005675A">
              <w:rPr>
                <w:rFonts w:ascii="Arial" w:eastAsia="Times New Roman" w:hAnsi="Arial" w:cs="Arial"/>
                <w:kern w:val="0"/>
                <w14:ligatures w14:val="none"/>
              </w:rPr>
              <w:t>Evaluates + compares</w:t>
            </w:r>
          </w:p>
        </w:tc>
      </w:tr>
      <w:tr w:rsidR="00DD2412" w:rsidRPr="0005675A" w:rsidTr="00AB2BE8">
        <w:trPr>
          <w:trHeight w:val="320"/>
        </w:trPr>
        <w:tc>
          <w:tcPr>
            <w:tcW w:w="0" w:type="auto"/>
            <w:tcMar>
              <w:top w:w="150" w:type="dxa"/>
              <w:left w:w="0" w:type="dxa"/>
              <w:bottom w:w="150" w:type="dxa"/>
              <w:right w:w="240" w:type="dxa"/>
            </w:tcMar>
            <w:vAlign w:val="center"/>
            <w:hideMark/>
          </w:tcPr>
          <w:p w:rsidR="00DD2412" w:rsidRPr="0005675A" w:rsidRDefault="00DD2412" w:rsidP="0005675A">
            <w:pPr>
              <w:jc w:val="both"/>
              <w:rPr>
                <w:rFonts w:ascii="Arial" w:eastAsia="Times New Roman" w:hAnsi="Arial" w:cs="Arial"/>
                <w:kern w:val="0"/>
                <w14:ligatures w14:val="none"/>
              </w:rPr>
            </w:pPr>
            <w:r w:rsidRPr="0005675A">
              <w:rPr>
                <w:rFonts w:ascii="Arial" w:eastAsia="Times New Roman" w:hAnsi="Arial" w:cs="Arial"/>
                <w:kern w:val="0"/>
                <w14:ligatures w14:val="none"/>
              </w:rPr>
              <w:t xml:space="preserve">Lists </w:t>
            </w:r>
            <w:r w:rsidR="00893E62" w:rsidRPr="0005675A">
              <w:rPr>
                <w:rFonts w:ascii="Arial" w:eastAsia="Times New Roman" w:hAnsi="Arial" w:cs="Arial"/>
                <w:kern w:val="0"/>
                <w14:ligatures w14:val="none"/>
              </w:rPr>
              <w:t>results</w:t>
            </w:r>
          </w:p>
        </w:tc>
        <w:tc>
          <w:tcPr>
            <w:tcW w:w="0" w:type="auto"/>
            <w:tcMar>
              <w:top w:w="150" w:type="dxa"/>
              <w:left w:w="240" w:type="dxa"/>
              <w:bottom w:w="150" w:type="dxa"/>
              <w:right w:w="0" w:type="dxa"/>
            </w:tcMar>
            <w:vAlign w:val="center"/>
            <w:hideMark/>
          </w:tcPr>
          <w:p w:rsidR="00DD2412" w:rsidRPr="0005675A" w:rsidRDefault="00DD2412" w:rsidP="0005675A">
            <w:pPr>
              <w:jc w:val="both"/>
              <w:rPr>
                <w:rFonts w:ascii="Arial" w:eastAsia="Times New Roman" w:hAnsi="Arial" w:cs="Arial"/>
                <w:kern w:val="0"/>
                <w14:ligatures w14:val="none"/>
              </w:rPr>
            </w:pPr>
            <w:proofErr w:type="spellStart"/>
            <w:r w:rsidRPr="0005675A">
              <w:rPr>
                <w:rFonts w:ascii="Arial" w:eastAsia="Times New Roman" w:hAnsi="Arial" w:cs="Arial"/>
                <w:kern w:val="0"/>
                <w14:ligatures w14:val="none"/>
              </w:rPr>
              <w:t>Synthesises</w:t>
            </w:r>
            <w:proofErr w:type="spellEnd"/>
            <w:r w:rsidRPr="0005675A">
              <w:rPr>
                <w:rFonts w:ascii="Arial" w:eastAsia="Times New Roman" w:hAnsi="Arial" w:cs="Arial"/>
                <w:kern w:val="0"/>
                <w14:ligatures w14:val="none"/>
              </w:rPr>
              <w:t xml:space="preserve"> patterns</w:t>
            </w:r>
          </w:p>
        </w:tc>
      </w:tr>
      <w:tr w:rsidR="00DD2412" w:rsidRPr="0005675A" w:rsidTr="00AB2BE8">
        <w:trPr>
          <w:trHeight w:val="299"/>
        </w:trPr>
        <w:tc>
          <w:tcPr>
            <w:tcW w:w="0" w:type="auto"/>
            <w:tcMar>
              <w:top w:w="150" w:type="dxa"/>
              <w:left w:w="0" w:type="dxa"/>
              <w:bottom w:w="150" w:type="dxa"/>
              <w:right w:w="240" w:type="dxa"/>
            </w:tcMar>
            <w:vAlign w:val="center"/>
            <w:hideMark/>
          </w:tcPr>
          <w:p w:rsidR="00DD2412" w:rsidRPr="0005675A" w:rsidRDefault="00893E62" w:rsidP="0005675A">
            <w:pPr>
              <w:jc w:val="both"/>
              <w:rPr>
                <w:rFonts w:ascii="Arial" w:eastAsia="Times New Roman" w:hAnsi="Arial" w:cs="Arial"/>
                <w:kern w:val="0"/>
                <w14:ligatures w14:val="none"/>
              </w:rPr>
            </w:pPr>
            <w:r w:rsidRPr="0005675A">
              <w:rPr>
                <w:rFonts w:ascii="Arial" w:eastAsia="Times New Roman" w:hAnsi="Arial" w:cs="Arial"/>
                <w:kern w:val="0"/>
                <w14:ligatures w14:val="none"/>
              </w:rPr>
              <w:t>Gaps reported</w:t>
            </w:r>
          </w:p>
        </w:tc>
        <w:tc>
          <w:tcPr>
            <w:tcW w:w="0" w:type="auto"/>
            <w:tcMar>
              <w:top w:w="150" w:type="dxa"/>
              <w:left w:w="240" w:type="dxa"/>
              <w:bottom w:w="150" w:type="dxa"/>
              <w:right w:w="0" w:type="dxa"/>
            </w:tcMar>
            <w:vAlign w:val="center"/>
            <w:hideMark/>
          </w:tcPr>
          <w:p w:rsidR="00DD2412" w:rsidRPr="0005675A" w:rsidRDefault="00893E62" w:rsidP="0005675A">
            <w:pPr>
              <w:jc w:val="both"/>
              <w:rPr>
                <w:rFonts w:ascii="Arial" w:eastAsia="Times New Roman" w:hAnsi="Arial" w:cs="Arial"/>
                <w:kern w:val="0"/>
                <w14:ligatures w14:val="none"/>
              </w:rPr>
            </w:pPr>
            <w:r w:rsidRPr="0005675A">
              <w:rPr>
                <w:rFonts w:ascii="Arial" w:eastAsia="Times New Roman" w:hAnsi="Arial" w:cs="Arial"/>
                <w:kern w:val="0"/>
                <w14:ligatures w14:val="none"/>
              </w:rPr>
              <w:t xml:space="preserve">Gaps </w:t>
            </w:r>
            <w:r w:rsidR="00DD2412" w:rsidRPr="0005675A">
              <w:rPr>
                <w:rFonts w:ascii="Arial" w:eastAsia="Times New Roman" w:hAnsi="Arial" w:cs="Arial"/>
                <w:kern w:val="0"/>
                <w14:ligatures w14:val="none"/>
              </w:rPr>
              <w:t xml:space="preserve">Constructs </w:t>
            </w:r>
          </w:p>
        </w:tc>
      </w:tr>
    </w:tbl>
    <w:p w:rsidR="008B3490" w:rsidRDefault="008B3490" w:rsidP="0005675A">
      <w:pPr>
        <w:jc w:val="both"/>
        <w:rPr>
          <w:rFonts w:ascii="Arial" w:hAnsi="Arial" w:cs="Arial"/>
        </w:rPr>
      </w:pPr>
    </w:p>
    <w:p w:rsidR="00390189" w:rsidRDefault="00DD2412" w:rsidP="0005675A">
      <w:pPr>
        <w:jc w:val="both"/>
        <w:rPr>
          <w:rFonts w:ascii="Arial" w:hAnsi="Arial" w:cs="Arial"/>
        </w:rPr>
      </w:pPr>
      <w:r w:rsidRPr="0005675A">
        <w:rPr>
          <w:rFonts w:ascii="Arial" w:hAnsi="Arial" w:cs="Arial"/>
        </w:rPr>
        <w:t>The "strong" (D</w:t>
      </w:r>
      <w:r w:rsidR="000C1DF5">
        <w:rPr>
          <w:rFonts w:ascii="Arial" w:hAnsi="Arial" w:cs="Arial"/>
        </w:rPr>
        <w:t xml:space="preserve">octoral </w:t>
      </w:r>
      <w:r w:rsidRPr="0005675A">
        <w:rPr>
          <w:rFonts w:ascii="Arial" w:hAnsi="Arial" w:cs="Arial"/>
        </w:rPr>
        <w:t>level) method is especially applied to digital payment dispute management in Nepalese banks in this assessment. For instance, operational risk theories are evaluated, governance frameworks are compared, and gaps are created where disputes are not considered operational risk events.</w:t>
      </w:r>
    </w:p>
    <w:p w:rsidR="0005675A" w:rsidRPr="0005675A" w:rsidRDefault="0005675A" w:rsidP="0005675A">
      <w:pPr>
        <w:jc w:val="both"/>
        <w:rPr>
          <w:rFonts w:ascii="Arial" w:hAnsi="Arial" w:cs="Arial"/>
        </w:rPr>
      </w:pPr>
    </w:p>
    <w:p w:rsidR="00DD2412" w:rsidRPr="0005675A" w:rsidRDefault="00DD2412" w:rsidP="0005675A">
      <w:pPr>
        <w:jc w:val="both"/>
        <w:rPr>
          <w:rFonts w:ascii="Arial" w:hAnsi="Arial" w:cs="Arial"/>
        </w:rPr>
      </w:pPr>
      <w:r w:rsidRPr="0005675A">
        <w:rPr>
          <w:rFonts w:ascii="Arial" w:hAnsi="Arial" w:cs="Arial"/>
        </w:rPr>
        <w:t xml:space="preserve">Included specifically in this review are: </w:t>
      </w:r>
    </w:p>
    <w:p w:rsidR="0005675A" w:rsidRDefault="0005675A" w:rsidP="0005675A">
      <w:pPr>
        <w:jc w:val="both"/>
        <w:rPr>
          <w:rFonts w:ascii="Arial" w:hAnsi="Arial" w:cs="Arial"/>
        </w:rPr>
      </w:pPr>
    </w:p>
    <w:p w:rsidR="00DD2412" w:rsidRDefault="00DD2412" w:rsidP="0005675A">
      <w:pPr>
        <w:jc w:val="both"/>
        <w:rPr>
          <w:rFonts w:ascii="Arial" w:hAnsi="Arial" w:cs="Arial"/>
        </w:rPr>
      </w:pPr>
      <w:r w:rsidRPr="0005675A">
        <w:rPr>
          <w:rFonts w:ascii="Arial" w:hAnsi="Arial" w:cs="Arial"/>
        </w:rPr>
        <w:t xml:space="preserve">• Theory criticism, which questions the prevailing service recovery presumption. </w:t>
      </w:r>
    </w:p>
    <w:p w:rsidR="0005675A" w:rsidRPr="0005675A" w:rsidRDefault="0005675A" w:rsidP="0005675A">
      <w:pPr>
        <w:jc w:val="both"/>
        <w:rPr>
          <w:rFonts w:ascii="Arial" w:hAnsi="Arial" w:cs="Arial"/>
        </w:rPr>
      </w:pPr>
    </w:p>
    <w:p w:rsidR="00DD2412" w:rsidRPr="0005675A" w:rsidRDefault="00DD2412" w:rsidP="0005675A">
      <w:pPr>
        <w:jc w:val="both"/>
        <w:rPr>
          <w:rFonts w:ascii="Arial" w:hAnsi="Arial" w:cs="Arial"/>
        </w:rPr>
      </w:pPr>
      <w:r w:rsidRPr="0005675A">
        <w:rPr>
          <w:rFonts w:ascii="Arial" w:hAnsi="Arial" w:cs="Arial"/>
        </w:rPr>
        <w:t xml:space="preserve">• Inconsistencies in the literature, such as the disregard for digital disputes in operational risk frameworks. </w:t>
      </w:r>
    </w:p>
    <w:p w:rsidR="0005675A" w:rsidRDefault="0005675A" w:rsidP="0005675A">
      <w:pPr>
        <w:jc w:val="both"/>
        <w:rPr>
          <w:rFonts w:ascii="Arial" w:hAnsi="Arial" w:cs="Arial"/>
        </w:rPr>
      </w:pPr>
    </w:p>
    <w:p w:rsidR="00780A26" w:rsidRPr="0005675A" w:rsidRDefault="00DD2412" w:rsidP="0005675A">
      <w:pPr>
        <w:jc w:val="both"/>
        <w:rPr>
          <w:rStyle w:val="Strong"/>
          <w:rFonts w:ascii="Arial" w:hAnsi="Arial" w:cs="Arial"/>
        </w:rPr>
      </w:pPr>
      <w:r w:rsidRPr="0005675A">
        <w:rPr>
          <w:rFonts w:ascii="Arial" w:hAnsi="Arial" w:cs="Arial"/>
        </w:rPr>
        <w:t>• Epistemological positioning: redefining disagreements as risk occurrences that are relevant to governance.</w:t>
      </w:r>
    </w:p>
    <w:p w:rsidR="00390189" w:rsidRPr="00390189" w:rsidRDefault="00390189" w:rsidP="00390189"/>
    <w:p w:rsidR="00893E62" w:rsidRPr="00390189" w:rsidRDefault="00893E62" w:rsidP="00893E62">
      <w:pPr>
        <w:pStyle w:val="Heading2"/>
        <w:rPr>
          <w:rFonts w:asciiTheme="majorHAnsi" w:hAnsiTheme="majorHAnsi" w:cstheme="majorHAnsi"/>
          <w:sz w:val="28"/>
          <w:szCs w:val="28"/>
        </w:rPr>
      </w:pPr>
      <w:bookmarkStart w:id="4" w:name="_Toc227498307"/>
      <w:r w:rsidRPr="00390189">
        <w:rPr>
          <w:rFonts w:asciiTheme="majorHAnsi" w:hAnsiTheme="majorHAnsi" w:cstheme="majorHAnsi"/>
          <w:sz w:val="28"/>
          <w:szCs w:val="28"/>
        </w:rPr>
        <w:t>1.3 The Systematic and Transparent CLR Process</w:t>
      </w:r>
      <w:bookmarkEnd w:id="4"/>
    </w:p>
    <w:p w:rsidR="00893E62" w:rsidRPr="00390189" w:rsidRDefault="00893E62" w:rsidP="00390189">
      <w:pPr>
        <w:jc w:val="both"/>
        <w:rPr>
          <w:rFonts w:ascii="Arial" w:hAnsi="Arial" w:cs="Arial"/>
          <w:color w:val="000000"/>
        </w:rPr>
      </w:pPr>
      <w:r w:rsidRPr="00390189">
        <w:rPr>
          <w:rFonts w:ascii="Arial" w:hAnsi="Arial" w:cs="Arial"/>
          <w:color w:val="000000"/>
        </w:rPr>
        <w:t xml:space="preserve">This review used an organized search approach to guarantee clarity, auditability, replicability, and transparency (CART) (see PRISMA diagram in Part 2). Search </w:t>
      </w:r>
      <w:r w:rsidRPr="00390189">
        <w:rPr>
          <w:rFonts w:ascii="Arial" w:hAnsi="Arial" w:cs="Arial"/>
          <w:color w:val="000000"/>
        </w:rPr>
        <w:lastRenderedPageBreak/>
        <w:t xml:space="preserve">phrases like "digital payment disputes," "operational risk banking," and "governance dispute management" were used to access </w:t>
      </w:r>
      <w:r w:rsidR="00680343" w:rsidRPr="00390189">
        <w:rPr>
          <w:rFonts w:ascii="Arial" w:hAnsi="Arial" w:cs="Arial"/>
          <w:color w:val="000000"/>
        </w:rPr>
        <w:t xml:space="preserve">mainly </w:t>
      </w:r>
      <w:r w:rsidRPr="00390189">
        <w:rPr>
          <w:rFonts w:ascii="Arial" w:hAnsi="Arial" w:cs="Arial"/>
          <w:color w:val="000000"/>
        </w:rPr>
        <w:t>Google Scholar. The criteria for inclusion and exclusion were applied methodically.</w:t>
      </w:r>
    </w:p>
    <w:p w:rsidR="00893E62" w:rsidRPr="00390189" w:rsidRDefault="00893E62" w:rsidP="00893E62">
      <w:pPr>
        <w:pStyle w:val="Heading2"/>
        <w:rPr>
          <w:rFonts w:asciiTheme="majorHAnsi" w:hAnsiTheme="majorHAnsi" w:cstheme="majorHAnsi"/>
          <w:sz w:val="28"/>
          <w:szCs w:val="28"/>
        </w:rPr>
      </w:pPr>
      <w:bookmarkStart w:id="5" w:name="_Toc227498308"/>
      <w:r w:rsidRPr="00390189">
        <w:rPr>
          <w:rFonts w:asciiTheme="majorHAnsi" w:hAnsiTheme="majorHAnsi" w:cstheme="majorHAnsi"/>
          <w:sz w:val="28"/>
          <w:szCs w:val="28"/>
        </w:rPr>
        <w:t>1.4 CLR Content: What You Examine</w:t>
      </w:r>
      <w:bookmarkEnd w:id="5"/>
    </w:p>
    <w:p w:rsidR="00893E62" w:rsidRPr="00390189" w:rsidRDefault="00893E62" w:rsidP="00390189">
      <w:pPr>
        <w:jc w:val="both"/>
        <w:rPr>
          <w:rFonts w:ascii="Arial" w:hAnsi="Arial" w:cs="Arial"/>
          <w:color w:val="000000"/>
        </w:rPr>
      </w:pPr>
      <w:r w:rsidRPr="00390189">
        <w:rPr>
          <w:rFonts w:ascii="Arial" w:hAnsi="Arial" w:cs="Arial"/>
          <w:color w:val="000000"/>
        </w:rPr>
        <w:t xml:space="preserve">Five analytical dimensions were examined in the review: </w:t>
      </w:r>
    </w:p>
    <w:p w:rsidR="00893E62" w:rsidRPr="00390189" w:rsidRDefault="00893E62" w:rsidP="00390189">
      <w:pPr>
        <w:jc w:val="both"/>
        <w:rPr>
          <w:rFonts w:ascii="Arial" w:hAnsi="Arial" w:cs="Arial"/>
          <w:color w:val="000000"/>
        </w:rPr>
      </w:pPr>
    </w:p>
    <w:p w:rsidR="00893E62" w:rsidRPr="00390189" w:rsidRDefault="00893E62" w:rsidP="00390189">
      <w:pPr>
        <w:jc w:val="both"/>
        <w:rPr>
          <w:rFonts w:ascii="Arial" w:hAnsi="Arial" w:cs="Arial"/>
          <w:color w:val="000000"/>
        </w:rPr>
      </w:pPr>
      <w:r w:rsidRPr="00390189">
        <w:rPr>
          <w:rFonts w:ascii="Arial" w:hAnsi="Arial" w:cs="Arial"/>
          <w:color w:val="000000"/>
        </w:rPr>
        <w:t xml:space="preserve">• Theories: governance, service recovery, and operational risk. </w:t>
      </w:r>
    </w:p>
    <w:p w:rsidR="00893E62" w:rsidRPr="00390189" w:rsidRDefault="00893E62" w:rsidP="00390189">
      <w:pPr>
        <w:jc w:val="both"/>
        <w:rPr>
          <w:rFonts w:ascii="Arial" w:hAnsi="Arial" w:cs="Arial"/>
          <w:color w:val="000000"/>
        </w:rPr>
      </w:pPr>
    </w:p>
    <w:p w:rsidR="00893E62" w:rsidRPr="00390189" w:rsidRDefault="00893E62" w:rsidP="00390189">
      <w:pPr>
        <w:jc w:val="both"/>
        <w:rPr>
          <w:rFonts w:ascii="Arial" w:hAnsi="Arial" w:cs="Arial"/>
          <w:color w:val="000000"/>
        </w:rPr>
      </w:pPr>
      <w:r w:rsidRPr="00390189">
        <w:rPr>
          <w:rFonts w:ascii="Arial" w:hAnsi="Arial" w:cs="Arial"/>
          <w:color w:val="000000"/>
        </w:rPr>
        <w:t xml:space="preserve">• Constructs: accountability, process efficiency, and dispute triggers. </w:t>
      </w:r>
    </w:p>
    <w:p w:rsidR="00893E62" w:rsidRPr="00390189" w:rsidRDefault="00893E62" w:rsidP="00390189">
      <w:pPr>
        <w:jc w:val="both"/>
        <w:rPr>
          <w:rFonts w:ascii="Arial" w:hAnsi="Arial" w:cs="Arial"/>
          <w:color w:val="000000"/>
        </w:rPr>
      </w:pPr>
    </w:p>
    <w:p w:rsidR="00893E62" w:rsidRPr="00390189" w:rsidRDefault="00893E62" w:rsidP="00390189">
      <w:pPr>
        <w:jc w:val="both"/>
        <w:rPr>
          <w:rFonts w:ascii="Arial" w:hAnsi="Arial" w:cs="Arial"/>
          <w:color w:val="000000"/>
        </w:rPr>
      </w:pPr>
      <w:r w:rsidRPr="00390189">
        <w:rPr>
          <w:rFonts w:ascii="Arial" w:hAnsi="Arial" w:cs="Arial"/>
          <w:color w:val="000000"/>
        </w:rPr>
        <w:t xml:space="preserve">• Methods: Process studies are lacking, and quantitative risk models predominate. </w:t>
      </w:r>
    </w:p>
    <w:p w:rsidR="00893E62" w:rsidRPr="00390189" w:rsidRDefault="00893E62" w:rsidP="00390189">
      <w:pPr>
        <w:jc w:val="both"/>
        <w:rPr>
          <w:rFonts w:ascii="Arial" w:hAnsi="Arial" w:cs="Arial"/>
          <w:color w:val="000000"/>
        </w:rPr>
      </w:pPr>
    </w:p>
    <w:p w:rsidR="00893E62" w:rsidRPr="00390189" w:rsidRDefault="00893E62" w:rsidP="00390189">
      <w:pPr>
        <w:jc w:val="both"/>
        <w:rPr>
          <w:rFonts w:ascii="Arial" w:hAnsi="Arial" w:cs="Arial"/>
          <w:color w:val="000000"/>
        </w:rPr>
      </w:pPr>
      <w:r w:rsidRPr="00390189">
        <w:rPr>
          <w:rFonts w:ascii="Arial" w:hAnsi="Arial" w:cs="Arial"/>
          <w:color w:val="000000"/>
        </w:rPr>
        <w:t xml:space="preserve">• Contexts: Nepal and other emerging markets. </w:t>
      </w:r>
    </w:p>
    <w:p w:rsidR="00893E62" w:rsidRPr="00390189" w:rsidRDefault="00893E62" w:rsidP="00390189">
      <w:pPr>
        <w:jc w:val="both"/>
        <w:rPr>
          <w:rFonts w:ascii="Arial" w:hAnsi="Arial" w:cs="Arial"/>
          <w:color w:val="000000"/>
        </w:rPr>
      </w:pPr>
    </w:p>
    <w:p w:rsidR="008B3490" w:rsidRDefault="00893E62" w:rsidP="008B3490">
      <w:pPr>
        <w:jc w:val="both"/>
        <w:rPr>
          <w:rFonts w:ascii="Arial" w:hAnsi="Arial" w:cs="Arial"/>
          <w:color w:val="000000"/>
        </w:rPr>
      </w:pPr>
      <w:r w:rsidRPr="00390189">
        <w:rPr>
          <w:rFonts w:ascii="Arial" w:hAnsi="Arial" w:cs="Arial"/>
          <w:color w:val="000000"/>
        </w:rPr>
        <w:t>• Consistency of findings: disagreement on dispute governance but agreement on digital risk.</w:t>
      </w:r>
    </w:p>
    <w:p w:rsidR="008B3490" w:rsidRPr="008B3490" w:rsidRDefault="008B3490" w:rsidP="008B3490">
      <w:pPr>
        <w:jc w:val="both"/>
        <w:rPr>
          <w:rFonts w:ascii="Arial" w:hAnsi="Arial" w:cs="Arial"/>
        </w:rPr>
      </w:pPr>
    </w:p>
    <w:p w:rsidR="00893E62" w:rsidRPr="00BD562D" w:rsidRDefault="00893E62" w:rsidP="00893E62">
      <w:pPr>
        <w:pStyle w:val="Heading2"/>
        <w:rPr>
          <w:rFonts w:asciiTheme="majorHAnsi" w:hAnsiTheme="majorHAnsi" w:cstheme="majorHAnsi"/>
          <w:sz w:val="28"/>
          <w:szCs w:val="28"/>
        </w:rPr>
      </w:pPr>
      <w:bookmarkStart w:id="6" w:name="_Toc227498309"/>
      <w:r w:rsidRPr="00BD562D">
        <w:rPr>
          <w:rFonts w:asciiTheme="majorHAnsi" w:hAnsiTheme="majorHAnsi" w:cstheme="majorHAnsi"/>
          <w:sz w:val="28"/>
          <w:szCs w:val="28"/>
        </w:rPr>
        <w:t>1.5 CLR Output: Conceptual Models, Patterns, Relationships, and Explanations</w:t>
      </w:r>
      <w:bookmarkEnd w:id="6"/>
    </w:p>
    <w:p w:rsidR="00893E62" w:rsidRPr="00BD562D" w:rsidRDefault="00893E62" w:rsidP="00BD562D">
      <w:pPr>
        <w:jc w:val="both"/>
        <w:rPr>
          <w:rFonts w:ascii="Arial" w:hAnsi="Arial" w:cs="Arial"/>
          <w:color w:val="000000"/>
        </w:rPr>
      </w:pPr>
      <w:r w:rsidRPr="00BD562D">
        <w:rPr>
          <w:rFonts w:ascii="Arial" w:hAnsi="Arial" w:cs="Arial"/>
          <w:color w:val="000000"/>
        </w:rPr>
        <w:t xml:space="preserve">The CLR resulted in: </w:t>
      </w:r>
    </w:p>
    <w:p w:rsidR="00893E62" w:rsidRPr="00BD562D" w:rsidRDefault="00893E62" w:rsidP="00BD562D">
      <w:pPr>
        <w:jc w:val="both"/>
        <w:rPr>
          <w:rFonts w:ascii="Arial" w:hAnsi="Arial" w:cs="Arial"/>
          <w:color w:val="000000"/>
        </w:rPr>
      </w:pPr>
    </w:p>
    <w:p w:rsidR="00893E62" w:rsidRPr="00BD562D" w:rsidRDefault="00893E62" w:rsidP="00BD562D">
      <w:pPr>
        <w:jc w:val="both"/>
        <w:rPr>
          <w:rFonts w:ascii="Arial" w:hAnsi="Arial" w:cs="Arial"/>
          <w:color w:val="000000"/>
        </w:rPr>
      </w:pPr>
      <w:r w:rsidRPr="00BD562D">
        <w:rPr>
          <w:rFonts w:ascii="Arial" w:hAnsi="Arial" w:cs="Arial"/>
          <w:color w:val="000000"/>
        </w:rPr>
        <w:t xml:space="preserve">• Patterns: The potential risks associated with digital payments are well-theorized, but their conversion into conflicts is not. </w:t>
      </w:r>
    </w:p>
    <w:p w:rsidR="00893E62" w:rsidRPr="00BD562D" w:rsidRDefault="00893E62" w:rsidP="00BD562D">
      <w:pPr>
        <w:jc w:val="both"/>
        <w:rPr>
          <w:rFonts w:ascii="Arial" w:hAnsi="Arial" w:cs="Arial"/>
          <w:color w:val="000000"/>
        </w:rPr>
      </w:pPr>
    </w:p>
    <w:p w:rsidR="00893E62" w:rsidRPr="00BD562D" w:rsidRDefault="00893E62" w:rsidP="00BD562D">
      <w:pPr>
        <w:jc w:val="both"/>
        <w:rPr>
          <w:rFonts w:ascii="Arial" w:hAnsi="Arial" w:cs="Arial"/>
          <w:color w:val="000000"/>
        </w:rPr>
      </w:pPr>
      <w:r w:rsidRPr="00BD562D">
        <w:rPr>
          <w:rFonts w:ascii="Arial" w:hAnsi="Arial" w:cs="Arial"/>
          <w:color w:val="000000"/>
        </w:rPr>
        <w:t xml:space="preserve">• Relationships: The effectiveness of dispute settlement is mediated by governance structures. </w:t>
      </w:r>
    </w:p>
    <w:p w:rsidR="00893E62" w:rsidRPr="00BD562D" w:rsidRDefault="00893E62" w:rsidP="00BD562D">
      <w:pPr>
        <w:jc w:val="both"/>
        <w:rPr>
          <w:rFonts w:ascii="Arial" w:hAnsi="Arial" w:cs="Arial"/>
          <w:color w:val="000000"/>
        </w:rPr>
      </w:pPr>
    </w:p>
    <w:p w:rsidR="00893E62" w:rsidRPr="00BD562D" w:rsidRDefault="00893E62" w:rsidP="00BD562D">
      <w:pPr>
        <w:jc w:val="both"/>
        <w:rPr>
          <w:rFonts w:ascii="Arial" w:hAnsi="Arial" w:cs="Arial"/>
          <w:color w:val="000000"/>
        </w:rPr>
      </w:pPr>
      <w:r w:rsidRPr="00BD562D">
        <w:rPr>
          <w:rFonts w:ascii="Arial" w:hAnsi="Arial" w:cs="Arial"/>
          <w:color w:val="000000"/>
        </w:rPr>
        <w:t>• The conceptual model is shown in Part 3.</w:t>
      </w:r>
    </w:p>
    <w:p w:rsidR="00893E62" w:rsidRDefault="00893E62" w:rsidP="00893E62">
      <w:pPr>
        <w:rPr>
          <w:rFonts w:ascii="-webkit-standard" w:hAnsi="-webkit-standard"/>
          <w:color w:val="000000"/>
          <w:sz w:val="27"/>
          <w:szCs w:val="27"/>
        </w:rPr>
      </w:pPr>
    </w:p>
    <w:p w:rsidR="00893E62" w:rsidRPr="00BD562D" w:rsidRDefault="00893E62" w:rsidP="00893E62">
      <w:pPr>
        <w:pStyle w:val="Heading2"/>
        <w:rPr>
          <w:rFonts w:asciiTheme="majorHAnsi" w:hAnsiTheme="majorHAnsi" w:cstheme="majorHAnsi"/>
          <w:sz w:val="28"/>
          <w:szCs w:val="28"/>
        </w:rPr>
      </w:pPr>
      <w:bookmarkStart w:id="7" w:name="_Toc227498310"/>
      <w:r w:rsidRPr="00BD562D">
        <w:rPr>
          <w:rFonts w:asciiTheme="majorHAnsi" w:hAnsiTheme="majorHAnsi" w:cstheme="majorHAnsi"/>
          <w:sz w:val="28"/>
          <w:szCs w:val="28"/>
        </w:rPr>
        <w:t>1.6 Critical and Analytical Writing Style</w:t>
      </w:r>
      <w:bookmarkEnd w:id="7"/>
    </w:p>
    <w:p w:rsidR="00893E62" w:rsidRPr="00BD562D" w:rsidRDefault="00893E62" w:rsidP="00BD562D">
      <w:pPr>
        <w:jc w:val="both"/>
        <w:rPr>
          <w:rFonts w:ascii="Arial" w:hAnsi="Arial" w:cs="Arial"/>
          <w:color w:val="000000"/>
        </w:rPr>
      </w:pPr>
      <w:r w:rsidRPr="00BD562D">
        <w:rPr>
          <w:rFonts w:ascii="Arial" w:hAnsi="Arial" w:cs="Arial"/>
          <w:color w:val="000000"/>
        </w:rPr>
        <w:t xml:space="preserve">Descriptive phrases like "many studies show that digital payments increase efficiency" are avoided in this review. Rather, it employs essential terminology unique to the subject of digital payment dispute resolution in Nepalese banks: </w:t>
      </w:r>
    </w:p>
    <w:p w:rsidR="00893E62" w:rsidRPr="00BD562D" w:rsidRDefault="00893E62" w:rsidP="00BD562D">
      <w:pPr>
        <w:jc w:val="both"/>
        <w:rPr>
          <w:rFonts w:ascii="Arial" w:hAnsi="Arial" w:cs="Arial"/>
          <w:color w:val="000000"/>
        </w:rPr>
      </w:pPr>
    </w:p>
    <w:p w:rsidR="00893E62" w:rsidRPr="00BD562D" w:rsidRDefault="00893E62" w:rsidP="00BD562D">
      <w:pPr>
        <w:jc w:val="both"/>
        <w:rPr>
          <w:rFonts w:ascii="Arial" w:hAnsi="Arial" w:cs="Arial"/>
          <w:color w:val="000000"/>
        </w:rPr>
      </w:pPr>
      <w:r w:rsidRPr="00BD562D">
        <w:rPr>
          <w:rFonts w:ascii="Arial" w:hAnsi="Arial" w:cs="Arial"/>
          <w:color w:val="000000"/>
        </w:rPr>
        <w:t xml:space="preserve">• "The literature agrees that digital payment systems raise operational risk, but disagrees on how that risk results in disputes." </w:t>
      </w:r>
    </w:p>
    <w:p w:rsidR="00893E62" w:rsidRPr="00BD562D" w:rsidRDefault="00893E62" w:rsidP="00BD562D">
      <w:pPr>
        <w:jc w:val="both"/>
        <w:rPr>
          <w:rFonts w:ascii="Arial" w:hAnsi="Arial" w:cs="Arial"/>
          <w:color w:val="000000"/>
        </w:rPr>
      </w:pPr>
    </w:p>
    <w:p w:rsidR="00893E62" w:rsidRPr="00BD562D" w:rsidRDefault="00893E62" w:rsidP="00BD562D">
      <w:pPr>
        <w:jc w:val="both"/>
        <w:rPr>
          <w:rFonts w:ascii="Arial" w:hAnsi="Arial" w:cs="Arial"/>
          <w:color w:val="000000"/>
        </w:rPr>
      </w:pPr>
      <w:r w:rsidRPr="00BD562D">
        <w:rPr>
          <w:rFonts w:ascii="Arial" w:hAnsi="Arial" w:cs="Arial"/>
          <w:color w:val="000000"/>
        </w:rPr>
        <w:t xml:space="preserve">• "A fundamental paradox arises: operational risk frameworks completely overlook disputes, whereas service recovery literature treats them as customer service issues." </w:t>
      </w:r>
    </w:p>
    <w:p w:rsidR="00893E62" w:rsidRPr="00BD562D" w:rsidRDefault="00893E62" w:rsidP="00BD562D">
      <w:pPr>
        <w:jc w:val="both"/>
        <w:rPr>
          <w:rFonts w:ascii="Arial" w:hAnsi="Arial" w:cs="Arial"/>
          <w:color w:val="000000"/>
        </w:rPr>
      </w:pPr>
    </w:p>
    <w:p w:rsidR="00893E62" w:rsidRPr="00BD562D" w:rsidRDefault="00893E62" w:rsidP="00BD562D">
      <w:pPr>
        <w:jc w:val="both"/>
        <w:rPr>
          <w:rFonts w:ascii="Arial" w:hAnsi="Arial" w:cs="Arial"/>
          <w:color w:val="000000"/>
        </w:rPr>
      </w:pPr>
      <w:r w:rsidRPr="00BD562D">
        <w:rPr>
          <w:rFonts w:ascii="Arial" w:hAnsi="Arial" w:cs="Arial"/>
          <w:color w:val="000000"/>
        </w:rPr>
        <w:t>• "The role of governance mechanisms (accountability, escalation, control) in shaping dispute resolution outcomes remains undertheorized."</w:t>
      </w:r>
      <w:r w:rsidRPr="00BD562D">
        <w:rPr>
          <w:rFonts w:ascii="Arial" w:hAnsi="Arial" w:cs="Arial"/>
          <w:color w:val="000000"/>
        </w:rPr>
        <w:br/>
      </w:r>
    </w:p>
    <w:p w:rsidR="00893E62" w:rsidRPr="00BD562D" w:rsidRDefault="00893E62" w:rsidP="00BD562D">
      <w:pPr>
        <w:jc w:val="both"/>
        <w:rPr>
          <w:rFonts w:ascii="Arial" w:hAnsi="Arial" w:cs="Arial"/>
        </w:rPr>
      </w:pPr>
      <w:r w:rsidRPr="00BD562D">
        <w:rPr>
          <w:rFonts w:ascii="Arial" w:hAnsi="Arial" w:cs="Arial"/>
          <w:color w:val="000000"/>
        </w:rPr>
        <w:lastRenderedPageBreak/>
        <w:t>As a result, each analytical claim in this analysis is rooted in the particular context of digital payment dispute resolution in Nepalese bank</w:t>
      </w:r>
    </w:p>
    <w:p w:rsidR="00CD32A1" w:rsidRDefault="00CD32A1" w:rsidP="00CD32A1"/>
    <w:p w:rsidR="00297885" w:rsidRPr="000D795C" w:rsidRDefault="00297885" w:rsidP="00297885">
      <w:pPr>
        <w:pStyle w:val="Heading2"/>
        <w:rPr>
          <w:rFonts w:asciiTheme="majorHAnsi" w:hAnsiTheme="majorHAnsi" w:cstheme="majorHAnsi"/>
          <w:sz w:val="28"/>
          <w:szCs w:val="28"/>
        </w:rPr>
      </w:pPr>
      <w:bookmarkStart w:id="8" w:name="_Toc227100099"/>
      <w:bookmarkStart w:id="9" w:name="_Toc227498311"/>
      <w:r w:rsidRPr="000D795C">
        <w:rPr>
          <w:rFonts w:asciiTheme="majorHAnsi" w:hAnsiTheme="majorHAnsi" w:cstheme="majorHAnsi"/>
          <w:sz w:val="28"/>
          <w:szCs w:val="28"/>
        </w:rPr>
        <w:t>1.</w:t>
      </w:r>
      <w:r>
        <w:rPr>
          <w:rFonts w:asciiTheme="majorHAnsi" w:hAnsiTheme="majorHAnsi" w:cstheme="majorHAnsi"/>
          <w:sz w:val="28"/>
          <w:szCs w:val="28"/>
        </w:rPr>
        <w:t xml:space="preserve">7 </w:t>
      </w:r>
      <w:r w:rsidRPr="000D795C">
        <w:rPr>
          <w:rFonts w:asciiTheme="majorHAnsi" w:hAnsiTheme="majorHAnsi" w:cstheme="majorHAnsi"/>
          <w:sz w:val="28"/>
          <w:szCs w:val="28"/>
        </w:rPr>
        <w:t>How Research Questions Are Shaped by CLR</w:t>
      </w:r>
      <w:bookmarkEnd w:id="8"/>
      <w:bookmarkEnd w:id="9"/>
    </w:p>
    <w:p w:rsidR="00297885" w:rsidRPr="00297885" w:rsidRDefault="00297885" w:rsidP="00297885">
      <w:pPr>
        <w:pStyle w:val="Heading3"/>
        <w:rPr>
          <w:b/>
          <w:bCs/>
          <w:color w:val="000000" w:themeColor="text1"/>
        </w:rPr>
      </w:pPr>
      <w:bookmarkStart w:id="10" w:name="_Toc227100100"/>
      <w:bookmarkStart w:id="11" w:name="_Toc227498312"/>
      <w:r w:rsidRPr="00297885">
        <w:rPr>
          <w:b/>
          <w:bCs/>
          <w:color w:val="000000" w:themeColor="text1"/>
        </w:rPr>
        <w:t>1.7.1 Improving the Research Issue</w:t>
      </w:r>
      <w:bookmarkEnd w:id="10"/>
      <w:bookmarkEnd w:id="11"/>
    </w:p>
    <w:p w:rsidR="00297885" w:rsidRPr="00474E6C" w:rsidRDefault="00297885" w:rsidP="00297885">
      <w:pPr>
        <w:rPr>
          <w:rFonts w:ascii="Arial" w:hAnsi="Arial" w:cs="Arial"/>
          <w:color w:val="000000"/>
        </w:rPr>
      </w:pPr>
    </w:p>
    <w:p w:rsidR="00297885" w:rsidRPr="0055621C" w:rsidRDefault="00297885" w:rsidP="00297885">
      <w:pPr>
        <w:jc w:val="both"/>
        <w:rPr>
          <w:rFonts w:ascii="Arial" w:hAnsi="Arial" w:cs="Arial"/>
          <w:color w:val="000000"/>
        </w:rPr>
      </w:pPr>
      <w:r w:rsidRPr="00474E6C">
        <w:rPr>
          <w:rFonts w:ascii="Arial" w:hAnsi="Arial" w:cs="Arial"/>
          <w:color w:val="000000"/>
        </w:rPr>
        <w:t xml:space="preserve">By determining important constructs and their connections, the CLR turns general subjects into targeted research issues. The foundation for defining the research problem in this study is the integration of digital banking, operational risk, and governance. The need for better governance in digital payment systems is further highlighted by regulatory frameworks as those published by Nepal </w:t>
      </w:r>
      <w:proofErr w:type="spellStart"/>
      <w:r w:rsidRPr="00474E6C">
        <w:rPr>
          <w:rFonts w:ascii="Arial" w:hAnsi="Arial" w:cs="Arial"/>
          <w:color w:val="000000"/>
        </w:rPr>
        <w:t>Rastra</w:t>
      </w:r>
      <w:proofErr w:type="spellEnd"/>
      <w:r w:rsidRPr="00474E6C">
        <w:rPr>
          <w:rFonts w:ascii="Arial" w:hAnsi="Arial" w:cs="Arial"/>
          <w:color w:val="000000"/>
        </w:rPr>
        <w:t xml:space="preserve"> Bank (NRB, 2021).</w:t>
      </w:r>
      <w:r>
        <w:rPr>
          <w:rFonts w:ascii="Arial" w:hAnsi="Arial" w:cs="Arial"/>
          <w:color w:val="000000"/>
        </w:rPr>
        <w:t xml:space="preserve"> </w:t>
      </w:r>
      <w:r w:rsidRPr="0055621C">
        <w:rPr>
          <w:rFonts w:ascii="Arial" w:hAnsi="Arial" w:cs="Arial"/>
          <w:color w:val="000000"/>
        </w:rPr>
        <w:t>This stresses the critical importance of considering conflict management as a governance difficulty influenced by institutional norms and regulatory requirements, in addition to an operational issue.</w:t>
      </w:r>
    </w:p>
    <w:p w:rsidR="00297885" w:rsidRPr="007478BA" w:rsidRDefault="00297885" w:rsidP="007478BA">
      <w:pPr>
        <w:pStyle w:val="Heading3"/>
        <w:rPr>
          <w:rFonts w:ascii="Arial" w:hAnsi="Arial" w:cs="Arial"/>
          <w:b/>
          <w:bCs/>
          <w:color w:val="000000"/>
        </w:rPr>
      </w:pPr>
      <w:r w:rsidRPr="0055621C">
        <w:rPr>
          <w:rFonts w:ascii="Arial" w:hAnsi="Arial" w:cs="Arial"/>
          <w:color w:val="000000"/>
        </w:rPr>
        <w:br/>
      </w:r>
      <w:bookmarkStart w:id="12" w:name="_Toc227498313"/>
      <w:r w:rsidRPr="007478BA">
        <w:rPr>
          <w:b/>
          <w:bCs/>
          <w:color w:val="000000" w:themeColor="text1"/>
        </w:rPr>
        <w:t>1.7.2 Ensured Contribution to Theory</w:t>
      </w:r>
      <w:bookmarkEnd w:id="12"/>
    </w:p>
    <w:p w:rsidR="00297885" w:rsidRPr="00474E6C" w:rsidRDefault="00297885" w:rsidP="00297885">
      <w:pPr>
        <w:jc w:val="both"/>
        <w:rPr>
          <w:rFonts w:ascii="Arial" w:hAnsi="Arial" w:cs="Arial"/>
          <w:color w:val="000000"/>
        </w:rPr>
      </w:pPr>
      <w:r w:rsidRPr="00474E6C">
        <w:rPr>
          <w:rFonts w:ascii="Arial" w:hAnsi="Arial" w:cs="Arial"/>
          <w:color w:val="000000"/>
        </w:rPr>
        <w:br/>
        <w:t xml:space="preserve">Existing knowledge must be expanded upon in doctoral research questions. The </w:t>
      </w:r>
      <w:r>
        <w:rPr>
          <w:rFonts w:ascii="Arial" w:hAnsi="Arial" w:cs="Arial"/>
          <w:color w:val="000000"/>
        </w:rPr>
        <w:t>critical literature review</w:t>
      </w:r>
      <w:r w:rsidRPr="00474E6C">
        <w:rPr>
          <w:rFonts w:ascii="Arial" w:hAnsi="Arial" w:cs="Arial"/>
          <w:color w:val="000000"/>
        </w:rPr>
        <w:t xml:space="preserve"> guarantees that research adds to scholarly discourse rather than merely repeating previous studies by pointing out conceptual gaps and questioning presumptions.</w:t>
      </w:r>
    </w:p>
    <w:p w:rsidR="00297885" w:rsidRPr="00474E6C" w:rsidRDefault="00297885" w:rsidP="00297885">
      <w:pPr>
        <w:jc w:val="both"/>
        <w:rPr>
          <w:rFonts w:ascii="Arial" w:hAnsi="Arial" w:cs="Arial"/>
          <w:color w:val="000000"/>
        </w:rPr>
      </w:pPr>
    </w:p>
    <w:p w:rsidR="00297885" w:rsidRPr="00297885" w:rsidRDefault="00297885" w:rsidP="00297885">
      <w:pPr>
        <w:pStyle w:val="Heading3"/>
        <w:rPr>
          <w:b/>
          <w:bCs/>
          <w:color w:val="000000" w:themeColor="text1"/>
        </w:rPr>
      </w:pPr>
      <w:bookmarkStart w:id="13" w:name="_Toc227100101"/>
      <w:bookmarkStart w:id="14" w:name="_Toc227498314"/>
      <w:r w:rsidRPr="00297885">
        <w:rPr>
          <w:b/>
          <w:bCs/>
          <w:color w:val="000000" w:themeColor="text1"/>
        </w:rPr>
        <w:t>1.7.3 Research Design Alignment</w:t>
      </w:r>
      <w:bookmarkEnd w:id="13"/>
      <w:bookmarkEnd w:id="14"/>
    </w:p>
    <w:p w:rsidR="00297885" w:rsidRDefault="00297885" w:rsidP="00297885">
      <w:r w:rsidRPr="00474E6C">
        <w:rPr>
          <w:rFonts w:ascii="Arial" w:hAnsi="Arial" w:cs="Arial"/>
          <w:color w:val="000000"/>
        </w:rPr>
        <w:br/>
        <w:t>By pointing out shortcomings in previous research, the CLR also influences methodological decisions. For instance, the use of qualitative methods to investigate organizational practices and governance structures inside financial institutions may be justified by the paucity of empirical research on dispute management procedures.</w:t>
      </w:r>
    </w:p>
    <w:p w:rsidR="00680343" w:rsidRPr="00BD562D" w:rsidRDefault="00680343" w:rsidP="00680343">
      <w:pPr>
        <w:pStyle w:val="Heading2"/>
        <w:rPr>
          <w:rStyle w:val="apple-converted-space"/>
          <w:rFonts w:asciiTheme="majorHAnsi" w:hAnsiTheme="majorHAnsi" w:cstheme="majorHAnsi"/>
          <w:color w:val="000000"/>
          <w:sz w:val="28"/>
          <w:szCs w:val="28"/>
        </w:rPr>
      </w:pPr>
      <w:bookmarkStart w:id="15" w:name="_Toc227498315"/>
      <w:r w:rsidRPr="00BD562D">
        <w:rPr>
          <w:rFonts w:asciiTheme="majorHAnsi" w:hAnsiTheme="majorHAnsi" w:cstheme="majorHAnsi"/>
          <w:sz w:val="28"/>
          <w:szCs w:val="28"/>
        </w:rPr>
        <w:t>1.8 Conclusion</w:t>
      </w:r>
      <w:r w:rsidR="00CE33D3">
        <w:rPr>
          <w:rFonts w:asciiTheme="majorHAnsi" w:hAnsiTheme="majorHAnsi" w:cstheme="majorHAnsi"/>
          <w:sz w:val="28"/>
          <w:szCs w:val="28"/>
        </w:rPr>
        <w:t xml:space="preserve">: </w:t>
      </w:r>
      <w:r w:rsidRPr="00BD562D">
        <w:rPr>
          <w:rFonts w:asciiTheme="majorHAnsi" w:hAnsiTheme="majorHAnsi" w:cstheme="majorHAnsi"/>
          <w:sz w:val="28"/>
          <w:szCs w:val="28"/>
        </w:rPr>
        <w:t>Transition to Part 2</w:t>
      </w:r>
      <w:bookmarkEnd w:id="15"/>
      <w:r w:rsidRPr="00BD562D">
        <w:rPr>
          <w:rStyle w:val="apple-converted-space"/>
          <w:rFonts w:asciiTheme="majorHAnsi" w:hAnsiTheme="majorHAnsi" w:cstheme="majorHAnsi"/>
          <w:color w:val="000000"/>
          <w:sz w:val="28"/>
          <w:szCs w:val="28"/>
        </w:rPr>
        <w:t> </w:t>
      </w:r>
    </w:p>
    <w:p w:rsidR="00CD32A1" w:rsidRPr="00BD562D" w:rsidRDefault="00680343" w:rsidP="00BD562D">
      <w:pPr>
        <w:jc w:val="both"/>
        <w:rPr>
          <w:rFonts w:ascii="Arial" w:hAnsi="Arial" w:cs="Arial"/>
        </w:rPr>
      </w:pPr>
      <w:r w:rsidRPr="00BD562D">
        <w:rPr>
          <w:rFonts w:ascii="Arial" w:hAnsi="Arial" w:cs="Arial"/>
          <w:color w:val="000000"/>
        </w:rPr>
        <w:t>The goal, critical position, and analytical methodology of the CLR have been outlined in Part 1. The gap analysis and annotated bibliography are presented topically in Part 2. The findings are summarized, a conceptual framework is presented, advanced gaps are identified, and research issues, theoretical contributions, and management implications are derived in Part 3.</w:t>
      </w:r>
    </w:p>
    <w:p w:rsidR="00780A26" w:rsidRPr="00780A26" w:rsidRDefault="00780A26" w:rsidP="00780A26"/>
    <w:p w:rsidR="00CE33D3" w:rsidRDefault="00CE33D3" w:rsidP="00474E6C">
      <w:pPr>
        <w:pStyle w:val="Heading1"/>
        <w:rPr>
          <w:rStyle w:val="Strong"/>
        </w:rPr>
      </w:pPr>
    </w:p>
    <w:p w:rsidR="00CE33D3" w:rsidRDefault="00CE33D3" w:rsidP="00474E6C">
      <w:pPr>
        <w:pStyle w:val="Heading1"/>
        <w:rPr>
          <w:rStyle w:val="Strong"/>
        </w:rPr>
      </w:pPr>
    </w:p>
    <w:p w:rsidR="00297885" w:rsidRDefault="00297885" w:rsidP="00474E6C">
      <w:pPr>
        <w:pStyle w:val="Heading1"/>
        <w:rPr>
          <w:rStyle w:val="Strong"/>
        </w:rPr>
      </w:pPr>
    </w:p>
    <w:p w:rsidR="00297885" w:rsidRPr="00297885" w:rsidRDefault="00297885" w:rsidP="00297885"/>
    <w:p w:rsidR="00DC52FB" w:rsidRPr="00474E6C" w:rsidRDefault="00DC52FB" w:rsidP="00474E6C">
      <w:pPr>
        <w:pStyle w:val="Heading1"/>
      </w:pPr>
      <w:bookmarkStart w:id="16" w:name="_Toc227498316"/>
      <w:r w:rsidRPr="00474E6C">
        <w:rPr>
          <w:rStyle w:val="Strong"/>
        </w:rPr>
        <w:lastRenderedPageBreak/>
        <w:t>PART 2 – Annotated Bibliography and Research Gap Analysis</w:t>
      </w:r>
      <w:bookmarkEnd w:id="16"/>
    </w:p>
    <w:p w:rsidR="00DC52FB" w:rsidRPr="00474E6C" w:rsidRDefault="00DC52FB">
      <w:pPr>
        <w:rPr>
          <w:rFonts w:ascii="Arial" w:hAnsi="Arial" w:cs="Arial"/>
          <w:color w:val="000000"/>
        </w:rPr>
      </w:pPr>
    </w:p>
    <w:p w:rsidR="00DC52FB" w:rsidRPr="000D795C" w:rsidRDefault="00DC52FB" w:rsidP="000D795C">
      <w:pPr>
        <w:pStyle w:val="Heading2"/>
        <w:rPr>
          <w:rFonts w:asciiTheme="majorHAnsi" w:hAnsiTheme="majorHAnsi" w:cstheme="majorHAnsi"/>
          <w:sz w:val="28"/>
          <w:szCs w:val="28"/>
        </w:rPr>
      </w:pPr>
      <w:bookmarkStart w:id="17" w:name="_Toc227498317"/>
      <w:r w:rsidRPr="000D795C">
        <w:rPr>
          <w:rFonts w:asciiTheme="majorHAnsi" w:hAnsiTheme="majorHAnsi" w:cstheme="majorHAnsi"/>
          <w:sz w:val="28"/>
          <w:szCs w:val="28"/>
        </w:rPr>
        <w:t>2.1 Overview</w:t>
      </w:r>
      <w:bookmarkEnd w:id="17"/>
    </w:p>
    <w:p w:rsidR="00DC52FB" w:rsidRPr="00474E6C" w:rsidRDefault="00DC52FB" w:rsidP="0025568D">
      <w:pPr>
        <w:jc w:val="both"/>
        <w:rPr>
          <w:rFonts w:ascii="Arial" w:hAnsi="Arial" w:cs="Arial"/>
          <w:color w:val="000000"/>
        </w:rPr>
      </w:pPr>
      <w:r w:rsidRPr="00474E6C">
        <w:rPr>
          <w:rFonts w:ascii="Arial" w:hAnsi="Arial" w:cs="Arial"/>
          <w:color w:val="000000"/>
        </w:rPr>
        <w:t>An annotated bibliography of important works pertinent to the investigation of operational risk governance in digital payment dispute resolution in Nepalese banks is provided in this section. Digital payment systems, transaction disputes, operational risk, governance frameworks, and emerging market contexts are only a few of the important themes in the literature that are reflected in the review's thematic organization.</w:t>
      </w:r>
    </w:p>
    <w:p w:rsidR="00DC52FB" w:rsidRPr="00474E6C" w:rsidRDefault="00DC52FB" w:rsidP="0025568D">
      <w:pPr>
        <w:jc w:val="both"/>
        <w:rPr>
          <w:rFonts w:ascii="Arial" w:hAnsi="Arial" w:cs="Arial"/>
          <w:color w:val="000000"/>
        </w:rPr>
      </w:pPr>
      <w:r w:rsidRPr="00474E6C">
        <w:rPr>
          <w:rFonts w:ascii="Arial" w:hAnsi="Arial" w:cs="Arial"/>
          <w:color w:val="000000"/>
        </w:rPr>
        <w:br/>
        <w:t xml:space="preserve">The </w:t>
      </w:r>
      <w:r w:rsidR="00564C3A">
        <w:rPr>
          <w:rFonts w:ascii="Arial" w:hAnsi="Arial" w:cs="Arial"/>
          <w:color w:val="000000"/>
        </w:rPr>
        <w:t xml:space="preserve">primarily </w:t>
      </w:r>
      <w:r w:rsidRPr="00474E6C">
        <w:rPr>
          <w:rFonts w:ascii="Arial" w:hAnsi="Arial" w:cs="Arial"/>
          <w:color w:val="000000"/>
        </w:rPr>
        <w:t>focus is on recent research, bolstered by a few key works that offer conceptual underpinnings, given the quick development of digital banking. Every source is assessed critically based on its methodological approach, contribution, and applicability to the research question.</w:t>
      </w:r>
    </w:p>
    <w:p w:rsidR="00DC52FB" w:rsidRPr="00474E6C" w:rsidRDefault="00DC52FB" w:rsidP="0025568D">
      <w:pPr>
        <w:jc w:val="both"/>
        <w:rPr>
          <w:rFonts w:ascii="Arial" w:hAnsi="Arial" w:cs="Arial"/>
          <w:color w:val="000000"/>
        </w:rPr>
      </w:pPr>
    </w:p>
    <w:p w:rsidR="002F701B" w:rsidRPr="006E36E6" w:rsidRDefault="00DC52FB" w:rsidP="004E6D99">
      <w:pPr>
        <w:jc w:val="both"/>
        <w:rPr>
          <w:rFonts w:ascii="Arial" w:hAnsi="Arial" w:cs="Arial"/>
          <w:color w:val="000000"/>
        </w:rPr>
      </w:pPr>
      <w:r w:rsidRPr="00474E6C">
        <w:rPr>
          <w:rFonts w:ascii="Arial" w:hAnsi="Arial" w:cs="Arial"/>
          <w:color w:val="000000"/>
        </w:rPr>
        <w:t>A research gap matrix, which summarizes important studies and highlights knowledge gaps, is added to the review to improve analytical depth. By shifting from descriptive listing to critical synthesis and gap detection, this method is in line with doctoral-level standards.</w:t>
      </w:r>
      <w:r w:rsidRPr="00474E6C">
        <w:rPr>
          <w:rFonts w:ascii="Arial" w:hAnsi="Arial" w:cs="Arial"/>
          <w:color w:val="000000"/>
        </w:rPr>
        <w:br/>
      </w:r>
      <w:r w:rsidRPr="00474E6C">
        <w:rPr>
          <w:rFonts w:ascii="Arial" w:hAnsi="Arial" w:cs="Arial"/>
          <w:color w:val="000000"/>
        </w:rPr>
        <w:br/>
      </w:r>
      <w:r w:rsidR="002F701B" w:rsidRPr="004E6D99">
        <w:rPr>
          <w:rStyle w:val="Heading1Char"/>
          <w:b/>
          <w:bCs/>
          <w:color w:val="000000" w:themeColor="text1"/>
          <w:sz w:val="28"/>
          <w:szCs w:val="28"/>
        </w:rPr>
        <w:t>2.1.1 Literature Search Strategies and Selection Process</w:t>
      </w:r>
      <w:r w:rsidR="002F701B" w:rsidRPr="004E6D99">
        <w:rPr>
          <w:rStyle w:val="Heading3Char"/>
          <w:color w:val="000000" w:themeColor="text1"/>
        </w:rPr>
        <w:t xml:space="preserve"> </w:t>
      </w:r>
    </w:p>
    <w:p w:rsidR="002F701B" w:rsidRDefault="002F701B" w:rsidP="002F701B">
      <w:pPr>
        <w:jc w:val="both"/>
        <w:rPr>
          <w:rFonts w:ascii="Arial" w:hAnsi="Arial" w:cs="Arial"/>
          <w:color w:val="000000"/>
        </w:rPr>
      </w:pPr>
    </w:p>
    <w:p w:rsidR="002F701B" w:rsidRPr="002F701B" w:rsidRDefault="002F701B" w:rsidP="002F701B">
      <w:pPr>
        <w:jc w:val="both"/>
        <w:rPr>
          <w:rFonts w:ascii="Arial" w:hAnsi="Arial" w:cs="Arial"/>
          <w:color w:val="000000"/>
        </w:rPr>
      </w:pPr>
      <w:r w:rsidRPr="002F701B">
        <w:rPr>
          <w:rFonts w:ascii="Arial" w:hAnsi="Arial" w:cs="Arial"/>
          <w:color w:val="000000"/>
        </w:rPr>
        <w:t xml:space="preserve">A rigorous and systematic literature search and selection protocol were conducted, employing a database-and manual-based search strategy using peer-reviewed journal articles, industry reports, and regulatory publications to ensure the </w:t>
      </w:r>
      <w:proofErr w:type="spellStart"/>
      <w:r w:rsidRPr="002F701B">
        <w:rPr>
          <w:rFonts w:ascii="Arial" w:hAnsi="Arial" w:cs="Arial"/>
          <w:color w:val="000000"/>
        </w:rPr>
        <w:t>transparendecency</w:t>
      </w:r>
      <w:proofErr w:type="spellEnd"/>
      <w:r w:rsidRPr="002F701B">
        <w:rPr>
          <w:rFonts w:ascii="Arial" w:hAnsi="Arial" w:cs="Arial"/>
          <w:color w:val="000000"/>
        </w:rPr>
        <w:t xml:space="preserve"> and rigo</w:t>
      </w:r>
      <w:r>
        <w:rPr>
          <w:rFonts w:ascii="Arial" w:hAnsi="Arial" w:cs="Arial"/>
          <w:color w:val="000000"/>
        </w:rPr>
        <w:t>r</w:t>
      </w:r>
      <w:r w:rsidRPr="002F701B">
        <w:rPr>
          <w:rFonts w:ascii="Arial" w:hAnsi="Arial" w:cs="Arial"/>
          <w:color w:val="000000"/>
        </w:rPr>
        <w:t xml:space="preserve"> of the review process. The relevant literature published within the</w:t>
      </w:r>
      <w:r w:rsidR="008C7803">
        <w:rPr>
          <w:rFonts w:ascii="Arial" w:hAnsi="Arial" w:cs="Arial"/>
          <w:color w:val="000000"/>
        </w:rPr>
        <w:t xml:space="preserve"> latest</w:t>
      </w:r>
      <w:r w:rsidRPr="002F701B">
        <w:rPr>
          <w:rFonts w:ascii="Arial" w:hAnsi="Arial" w:cs="Arial"/>
          <w:color w:val="000000"/>
        </w:rPr>
        <w:t xml:space="preserve"> time frame of were</w:t>
      </w:r>
      <w:r>
        <w:rPr>
          <w:rFonts w:ascii="Arial" w:hAnsi="Arial" w:cs="Arial"/>
          <w:color w:val="000000"/>
        </w:rPr>
        <w:t xml:space="preserve"> especially</w:t>
      </w:r>
      <w:r w:rsidRPr="002F701B">
        <w:rPr>
          <w:rFonts w:ascii="Arial" w:hAnsi="Arial" w:cs="Arial"/>
          <w:color w:val="000000"/>
        </w:rPr>
        <w:t xml:space="preserve"> included, with selected relevant foundational studies included to form the literature for theoretical backing.</w:t>
      </w:r>
    </w:p>
    <w:p w:rsidR="002F701B" w:rsidRPr="002F701B" w:rsidRDefault="002F701B" w:rsidP="002F701B">
      <w:pPr>
        <w:jc w:val="both"/>
        <w:rPr>
          <w:rFonts w:ascii="Arial" w:hAnsi="Arial" w:cs="Arial"/>
          <w:color w:val="000000"/>
        </w:rPr>
      </w:pPr>
    </w:p>
    <w:p w:rsidR="00971475" w:rsidRDefault="002F701B" w:rsidP="002F701B">
      <w:pPr>
        <w:jc w:val="both"/>
        <w:rPr>
          <w:rFonts w:ascii="Arial" w:hAnsi="Arial" w:cs="Arial"/>
          <w:color w:val="000000"/>
        </w:rPr>
      </w:pPr>
      <w:r w:rsidRPr="002F701B">
        <w:rPr>
          <w:rFonts w:ascii="Arial" w:hAnsi="Arial" w:cs="Arial"/>
          <w:color w:val="000000"/>
        </w:rPr>
        <w:t>The search terms used were based on digital payments, transaction disputes, operational risk, risk governance and banking systems.2.1.</w:t>
      </w:r>
      <w:r w:rsidR="00680343">
        <w:rPr>
          <w:rFonts w:ascii="Arial" w:hAnsi="Arial" w:cs="Arial"/>
          <w:color w:val="000000"/>
        </w:rPr>
        <w:t>1</w:t>
      </w:r>
      <w:r w:rsidRPr="002F701B">
        <w:rPr>
          <w:rFonts w:ascii="Arial" w:hAnsi="Arial" w:cs="Arial"/>
          <w:color w:val="000000"/>
        </w:rPr>
        <w:t xml:space="preserve"> Selection Protocol A structured study selection process was carried out (Figure 2.</w:t>
      </w:r>
      <w:r>
        <w:rPr>
          <w:rFonts w:ascii="Arial" w:hAnsi="Arial" w:cs="Arial"/>
          <w:color w:val="000000"/>
        </w:rPr>
        <w:t>1.</w:t>
      </w:r>
      <w:r w:rsidR="00680343">
        <w:rPr>
          <w:rFonts w:ascii="Arial" w:hAnsi="Arial" w:cs="Arial"/>
          <w:color w:val="000000"/>
        </w:rPr>
        <w:t>1</w:t>
      </w:r>
      <w:r w:rsidRPr="002F701B">
        <w:rPr>
          <w:rFonts w:ascii="Arial" w:hAnsi="Arial" w:cs="Arial"/>
          <w:color w:val="000000"/>
        </w:rPr>
        <w:t xml:space="preserve">). After excluding the duplicates and screen records based on the relevance for the purpose of digital payment transaction disputes, operational risk, risk governance, and banking risk control, only the selected records for each </w:t>
      </w:r>
      <w:proofErr w:type="gramStart"/>
      <w:r w:rsidRPr="002F701B">
        <w:rPr>
          <w:rFonts w:ascii="Arial" w:hAnsi="Arial" w:cs="Arial"/>
          <w:color w:val="000000"/>
        </w:rPr>
        <w:t>criteria</w:t>
      </w:r>
      <w:proofErr w:type="gramEnd"/>
      <w:r w:rsidRPr="002F701B">
        <w:rPr>
          <w:rFonts w:ascii="Arial" w:hAnsi="Arial" w:cs="Arial"/>
          <w:color w:val="000000"/>
        </w:rPr>
        <w:t xml:space="preserve"> of study were carried out.</w:t>
      </w:r>
    </w:p>
    <w:p w:rsidR="00971475" w:rsidRDefault="00971475" w:rsidP="0025568D">
      <w:pPr>
        <w:jc w:val="both"/>
        <w:rPr>
          <w:rFonts w:ascii="Arial" w:hAnsi="Arial" w:cs="Arial"/>
          <w:color w:val="000000"/>
        </w:rPr>
      </w:pPr>
    </w:p>
    <w:p w:rsidR="002F701B" w:rsidRDefault="002F701B" w:rsidP="0025568D">
      <w:pPr>
        <w:jc w:val="both"/>
        <w:rPr>
          <w:rFonts w:ascii="Arial" w:hAnsi="Arial" w:cs="Arial"/>
          <w:color w:val="000000"/>
        </w:rPr>
      </w:pPr>
    </w:p>
    <w:p w:rsidR="00780A26" w:rsidRDefault="00780A26" w:rsidP="00780A26">
      <w:pPr>
        <w:pStyle w:val="Heading3"/>
      </w:pPr>
    </w:p>
    <w:p w:rsidR="00780A26" w:rsidRDefault="00780A26" w:rsidP="00780A26">
      <w:pPr>
        <w:pStyle w:val="Heading3"/>
      </w:pPr>
    </w:p>
    <w:p w:rsidR="00BD562D" w:rsidRDefault="00BD562D" w:rsidP="00780A26">
      <w:pPr>
        <w:pStyle w:val="Heading3"/>
      </w:pPr>
    </w:p>
    <w:p w:rsidR="008B3490" w:rsidRDefault="008B3490" w:rsidP="00780A26">
      <w:pPr>
        <w:pStyle w:val="Heading3"/>
      </w:pPr>
    </w:p>
    <w:p w:rsidR="008B3490" w:rsidRDefault="008B3490" w:rsidP="00780A26">
      <w:pPr>
        <w:pStyle w:val="Heading3"/>
      </w:pPr>
    </w:p>
    <w:p w:rsidR="008B3490" w:rsidRDefault="008B3490" w:rsidP="00780A26">
      <w:pPr>
        <w:pStyle w:val="Heading3"/>
      </w:pPr>
    </w:p>
    <w:p w:rsidR="008B3490" w:rsidRDefault="008B3490" w:rsidP="00780A26">
      <w:pPr>
        <w:pStyle w:val="Heading3"/>
      </w:pPr>
    </w:p>
    <w:p w:rsidR="008B3490" w:rsidRPr="008B3490" w:rsidRDefault="008B3490" w:rsidP="008B3490"/>
    <w:p w:rsidR="002F701B" w:rsidRPr="00780A26" w:rsidRDefault="002F701B" w:rsidP="00780A26">
      <w:pPr>
        <w:pStyle w:val="Heading3"/>
      </w:pPr>
      <w:bookmarkStart w:id="18" w:name="_Toc227498318"/>
      <w:r w:rsidRPr="00780A26">
        <w:lastRenderedPageBreak/>
        <w:t>Figure 2.1.</w:t>
      </w:r>
      <w:r w:rsidR="0046561F">
        <w:t>1</w:t>
      </w:r>
      <w:r w:rsidRPr="00780A26">
        <w:t>: PRISMA Flow Diagram of Literature Selection Process</w:t>
      </w:r>
      <w:bookmarkEnd w:id="18"/>
    </w:p>
    <w:p w:rsidR="002F701B" w:rsidRDefault="002F701B" w:rsidP="0025568D">
      <w:pPr>
        <w:jc w:val="both"/>
        <w:rPr>
          <w:rFonts w:ascii="Arial" w:hAnsi="Arial" w:cs="Arial"/>
          <w:color w:val="000000"/>
        </w:rPr>
      </w:pPr>
    </w:p>
    <w:p w:rsidR="002F701B" w:rsidRDefault="002F701B" w:rsidP="0025568D">
      <w:pPr>
        <w:jc w:val="both"/>
        <w:rPr>
          <w:rFonts w:ascii="Arial" w:hAnsi="Arial" w:cs="Arial"/>
          <w:color w:val="000000"/>
        </w:rPr>
      </w:pPr>
    </w:p>
    <w:p w:rsidR="002F701B" w:rsidRDefault="0009641D" w:rsidP="0025568D">
      <w:pPr>
        <w:jc w:val="both"/>
        <w:rPr>
          <w:rFonts w:ascii="Arial" w:hAnsi="Arial" w:cs="Arial"/>
          <w:color w:val="000000"/>
        </w:rPr>
      </w:pPr>
      <w:r>
        <w:rPr>
          <w:rFonts w:ascii="Arial" w:hAnsi="Arial" w:cs="Arial"/>
          <w:noProof/>
          <w:color w:val="000000"/>
        </w:rPr>
        <w:drawing>
          <wp:inline distT="0" distB="0" distL="0" distR="0">
            <wp:extent cx="5727700" cy="6356985"/>
            <wp:effectExtent l="0" t="0" r="0" b="5715"/>
            <wp:docPr id="660171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71212" name="Picture 660171212"/>
                    <pic:cNvPicPr/>
                  </pic:nvPicPr>
                  <pic:blipFill>
                    <a:blip r:embed="rId11">
                      <a:extLst>
                        <a:ext uri="{28A0092B-C50C-407E-A947-70E740481C1C}">
                          <a14:useLocalDpi xmlns:a14="http://schemas.microsoft.com/office/drawing/2010/main" val="0"/>
                        </a:ext>
                      </a:extLst>
                    </a:blip>
                    <a:stretch>
                      <a:fillRect/>
                    </a:stretch>
                  </pic:blipFill>
                  <pic:spPr>
                    <a:xfrm>
                      <a:off x="0" y="0"/>
                      <a:ext cx="5727700" cy="6356985"/>
                    </a:xfrm>
                    <a:prstGeom prst="rect">
                      <a:avLst/>
                    </a:prstGeom>
                  </pic:spPr>
                </pic:pic>
              </a:graphicData>
            </a:graphic>
          </wp:inline>
        </w:drawing>
      </w:r>
    </w:p>
    <w:p w:rsidR="002F701B" w:rsidRDefault="002F701B" w:rsidP="0025568D">
      <w:pPr>
        <w:jc w:val="both"/>
        <w:rPr>
          <w:rFonts w:ascii="Arial" w:hAnsi="Arial" w:cs="Arial"/>
          <w:color w:val="000000"/>
        </w:rPr>
      </w:pPr>
    </w:p>
    <w:p w:rsidR="002F701B" w:rsidRDefault="002F701B" w:rsidP="0025568D">
      <w:pPr>
        <w:jc w:val="both"/>
        <w:rPr>
          <w:rFonts w:ascii="Arial" w:hAnsi="Arial" w:cs="Arial"/>
          <w:color w:val="000000"/>
        </w:rPr>
      </w:pPr>
    </w:p>
    <w:p w:rsidR="002F701B" w:rsidRPr="002F701B" w:rsidRDefault="002F701B" w:rsidP="0025568D">
      <w:pPr>
        <w:jc w:val="both"/>
        <w:rPr>
          <w:rFonts w:ascii="Arial" w:hAnsi="Arial" w:cs="Arial"/>
          <w:color w:val="000000"/>
        </w:rPr>
      </w:pPr>
      <w:r w:rsidRPr="002F701B">
        <w:rPr>
          <w:rFonts w:ascii="Arial" w:hAnsi="Arial" w:cs="Arial"/>
          <w:color w:val="000000"/>
        </w:rPr>
        <w:t>The methodical screening of literature from an initial pool of 1</w:t>
      </w:r>
      <w:r w:rsidR="005A6AE9">
        <w:rPr>
          <w:rFonts w:ascii="Arial" w:hAnsi="Arial" w:cs="Arial"/>
          <w:color w:val="000000"/>
        </w:rPr>
        <w:t>1</w:t>
      </w:r>
      <w:r w:rsidRPr="002F701B">
        <w:rPr>
          <w:rFonts w:ascii="Arial" w:hAnsi="Arial" w:cs="Arial"/>
          <w:color w:val="000000"/>
        </w:rPr>
        <w:t xml:space="preserve">0 records to </w:t>
      </w:r>
      <w:r w:rsidR="005A6AE9">
        <w:rPr>
          <w:rFonts w:ascii="Arial" w:hAnsi="Arial" w:cs="Arial"/>
          <w:color w:val="000000"/>
        </w:rPr>
        <w:t>64</w:t>
      </w:r>
      <w:r w:rsidRPr="002F701B">
        <w:rPr>
          <w:rFonts w:ascii="Arial" w:hAnsi="Arial" w:cs="Arial"/>
          <w:color w:val="000000"/>
        </w:rPr>
        <w:t xml:space="preserve"> papers included in the final review is illustrated by the PRISMA flow diagram. The screening procedure made sure that every study that was chosen had a direct bearing on operational risk, governance procedures, and issues involving digital transactions.</w:t>
      </w:r>
    </w:p>
    <w:p w:rsidR="00971475" w:rsidRPr="00474E6C" w:rsidRDefault="002F701B" w:rsidP="0025568D">
      <w:pPr>
        <w:jc w:val="both"/>
        <w:rPr>
          <w:rFonts w:ascii="Arial" w:hAnsi="Arial" w:cs="Arial"/>
          <w:color w:val="000000"/>
        </w:rPr>
      </w:pPr>
      <w:r w:rsidRPr="002F701B">
        <w:rPr>
          <w:rFonts w:ascii="Arial" w:hAnsi="Arial" w:cs="Arial"/>
          <w:color w:val="000000"/>
        </w:rPr>
        <w:br/>
        <w:t>By guaranteeing that the analysis is grounded in pertinent and superior sources, this methodical selection technique enhances the literature review's dependability and transparency. By clearly outlining the process used to create the final body of literature, it also bolsters the study's analytical depth.</w:t>
      </w:r>
    </w:p>
    <w:p w:rsidR="00DC52FB" w:rsidRPr="000D795C" w:rsidRDefault="00DC52FB" w:rsidP="000D795C">
      <w:pPr>
        <w:pStyle w:val="Heading2"/>
        <w:rPr>
          <w:rFonts w:asciiTheme="majorHAnsi" w:hAnsiTheme="majorHAnsi" w:cstheme="majorHAnsi"/>
          <w:sz w:val="28"/>
          <w:szCs w:val="28"/>
        </w:rPr>
      </w:pPr>
      <w:bookmarkStart w:id="19" w:name="_Toc227498319"/>
      <w:r w:rsidRPr="000D795C">
        <w:rPr>
          <w:rFonts w:asciiTheme="majorHAnsi" w:hAnsiTheme="majorHAnsi" w:cstheme="majorHAnsi"/>
          <w:sz w:val="28"/>
          <w:szCs w:val="28"/>
        </w:rPr>
        <w:lastRenderedPageBreak/>
        <w:t>2.2 Thematic Table Format Annotated Bibliography</w:t>
      </w:r>
      <w:bookmarkEnd w:id="19"/>
    </w:p>
    <w:p w:rsidR="00DC52FB" w:rsidRPr="000D795C" w:rsidRDefault="00DC52FB" w:rsidP="000D795C">
      <w:pPr>
        <w:pStyle w:val="Heading3"/>
        <w:rPr>
          <w:b/>
          <w:bCs/>
          <w:sz w:val="28"/>
          <w:szCs w:val="28"/>
        </w:rPr>
      </w:pPr>
      <w:bookmarkStart w:id="20" w:name="_Toc227498320"/>
      <w:r w:rsidRPr="000D795C">
        <w:rPr>
          <w:b/>
          <w:bCs/>
          <w:color w:val="000000" w:themeColor="text1"/>
          <w:sz w:val="28"/>
          <w:szCs w:val="28"/>
        </w:rPr>
        <w:t>A. Risks and Digital Payment Systems</w:t>
      </w:r>
      <w:bookmarkEnd w:id="20"/>
    </w:p>
    <w:p w:rsidR="00DC52FB" w:rsidRPr="00474E6C" w:rsidRDefault="00DC52FB">
      <w:pPr>
        <w:rPr>
          <w:rFonts w:ascii="Arial" w:hAnsi="Arial" w:cs="Arial"/>
          <w:color w:val="00000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6"/>
        <w:gridCol w:w="1527"/>
        <w:gridCol w:w="2773"/>
        <w:gridCol w:w="3324"/>
      </w:tblGrid>
      <w:tr w:rsidR="00DC52FB" w:rsidRPr="00474E6C" w:rsidTr="00614626">
        <w:trPr>
          <w:tblHeader/>
          <w:tblCellSpacing w:w="15" w:type="dxa"/>
        </w:trPr>
        <w:tc>
          <w:tcPr>
            <w:tcW w:w="0" w:type="auto"/>
            <w:vAlign w:val="center"/>
            <w:hideMark/>
          </w:tcPr>
          <w:p w:rsidR="00DC52FB" w:rsidRPr="00474E6C" w:rsidRDefault="00DC52FB" w:rsidP="00614626">
            <w:pPr>
              <w:jc w:val="center"/>
              <w:rPr>
                <w:rFonts w:ascii="Arial" w:hAnsi="Arial" w:cs="Arial"/>
                <w:b/>
                <w:bCs/>
                <w:color w:val="000000"/>
              </w:rPr>
            </w:pPr>
            <w:r w:rsidRPr="00474E6C">
              <w:rPr>
                <w:rFonts w:ascii="Arial" w:hAnsi="Arial" w:cs="Arial"/>
                <w:b/>
                <w:bCs/>
                <w:color w:val="000000"/>
              </w:rPr>
              <w:t>Author (Year)</w:t>
            </w:r>
          </w:p>
        </w:tc>
        <w:tc>
          <w:tcPr>
            <w:tcW w:w="0" w:type="auto"/>
            <w:vAlign w:val="center"/>
            <w:hideMark/>
          </w:tcPr>
          <w:p w:rsidR="00DC52FB" w:rsidRPr="00474E6C" w:rsidRDefault="00DC52FB" w:rsidP="00614626">
            <w:pPr>
              <w:jc w:val="center"/>
              <w:rPr>
                <w:rFonts w:ascii="Arial" w:hAnsi="Arial" w:cs="Arial"/>
                <w:b/>
                <w:bCs/>
                <w:color w:val="000000"/>
              </w:rPr>
            </w:pPr>
            <w:r w:rsidRPr="00474E6C">
              <w:rPr>
                <w:rFonts w:ascii="Arial" w:hAnsi="Arial" w:cs="Arial"/>
                <w:b/>
                <w:bCs/>
                <w:color w:val="000000"/>
              </w:rPr>
              <w:t>Theme</w:t>
            </w:r>
          </w:p>
        </w:tc>
        <w:tc>
          <w:tcPr>
            <w:tcW w:w="0" w:type="auto"/>
            <w:vAlign w:val="center"/>
            <w:hideMark/>
          </w:tcPr>
          <w:p w:rsidR="00DC52FB" w:rsidRPr="00474E6C" w:rsidRDefault="00DC52FB" w:rsidP="00614626">
            <w:pPr>
              <w:jc w:val="center"/>
              <w:rPr>
                <w:rFonts w:ascii="Arial" w:hAnsi="Arial" w:cs="Arial"/>
                <w:b/>
                <w:bCs/>
                <w:color w:val="000000"/>
              </w:rPr>
            </w:pPr>
            <w:r w:rsidRPr="00474E6C">
              <w:rPr>
                <w:rFonts w:ascii="Arial" w:hAnsi="Arial" w:cs="Arial"/>
                <w:b/>
                <w:bCs/>
                <w:color w:val="000000"/>
              </w:rPr>
              <w:t>Key Idea</w:t>
            </w:r>
          </w:p>
        </w:tc>
        <w:tc>
          <w:tcPr>
            <w:tcW w:w="0" w:type="auto"/>
            <w:vAlign w:val="center"/>
            <w:hideMark/>
          </w:tcPr>
          <w:p w:rsidR="00DC52FB" w:rsidRPr="00474E6C" w:rsidRDefault="00DC52FB" w:rsidP="00614626">
            <w:pPr>
              <w:jc w:val="center"/>
              <w:rPr>
                <w:rFonts w:ascii="Arial" w:hAnsi="Arial" w:cs="Arial"/>
                <w:b/>
                <w:bCs/>
                <w:color w:val="000000"/>
              </w:rPr>
            </w:pPr>
            <w:r w:rsidRPr="00474E6C">
              <w:rPr>
                <w:rFonts w:ascii="Arial" w:hAnsi="Arial" w:cs="Arial"/>
                <w:b/>
                <w:bCs/>
                <w:color w:val="000000"/>
              </w:rPr>
              <w:t>Critical Insight / Relevance</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proofErr w:type="spellStart"/>
            <w:r w:rsidRPr="00474E6C">
              <w:rPr>
                <w:rFonts w:ascii="Arial" w:hAnsi="Arial" w:cs="Arial"/>
                <w:color w:val="000000"/>
              </w:rPr>
              <w:t>Thakor</w:t>
            </w:r>
            <w:proofErr w:type="spellEnd"/>
            <w:r w:rsidRPr="00474E6C">
              <w:rPr>
                <w:rFonts w:ascii="Arial" w:hAnsi="Arial" w:cs="Arial"/>
                <w:color w:val="000000"/>
              </w:rPr>
              <w:t xml:space="preserve"> (2020)</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Fintech</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Financial innovation reshapes banking systems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Limited focus on operational dispute processes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proofErr w:type="spellStart"/>
            <w:r w:rsidRPr="00474E6C">
              <w:rPr>
                <w:rFonts w:ascii="Arial" w:hAnsi="Arial" w:cs="Arial"/>
                <w:color w:val="000000"/>
              </w:rPr>
              <w:t>Feyen</w:t>
            </w:r>
            <w:proofErr w:type="spellEnd"/>
            <w:r w:rsidRPr="00474E6C">
              <w:rPr>
                <w:rFonts w:ascii="Arial" w:hAnsi="Arial" w:cs="Arial"/>
                <w:color w:val="000000"/>
              </w:rPr>
              <w:t xml:space="preserve"> et al. (2021)</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Fintech</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Global fintech trends and regulatory challenges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Does not integrate dispute management into risk frameworks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proofErr w:type="spellStart"/>
            <w:r w:rsidRPr="00474E6C">
              <w:rPr>
                <w:rFonts w:ascii="Arial" w:hAnsi="Arial" w:cs="Arial"/>
                <w:color w:val="000000"/>
              </w:rPr>
              <w:t>Gomber</w:t>
            </w:r>
            <w:proofErr w:type="spellEnd"/>
            <w:r w:rsidRPr="00474E6C">
              <w:rPr>
                <w:rFonts w:ascii="Arial" w:hAnsi="Arial" w:cs="Arial"/>
                <w:color w:val="000000"/>
              </w:rPr>
              <w:t xml:space="preserve"> et al. (20</w:t>
            </w:r>
            <w:r w:rsidR="00C7004F">
              <w:rPr>
                <w:rFonts w:ascii="Arial" w:hAnsi="Arial" w:cs="Arial"/>
                <w:color w:val="000000"/>
              </w:rPr>
              <w:t>17</w:t>
            </w:r>
            <w:r w:rsidRPr="00474E6C">
              <w:rPr>
                <w:rFonts w:ascii="Arial" w:hAnsi="Arial" w:cs="Arial"/>
                <w:color w:val="000000"/>
              </w:rPr>
              <w:t>)</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Fintech</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Evolution of fintech ecosystem</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Underexplores post-transaction dispute risks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Frost (2020)</w:t>
            </w:r>
          </w:p>
        </w:tc>
        <w:tc>
          <w:tcPr>
            <w:tcW w:w="0" w:type="auto"/>
            <w:vAlign w:val="center"/>
            <w:hideMark/>
          </w:tcPr>
          <w:p w:rsidR="00DC52FB" w:rsidRPr="00474E6C" w:rsidRDefault="00DC52FB" w:rsidP="00614626">
            <w:pPr>
              <w:rPr>
                <w:rFonts w:ascii="Arial" w:hAnsi="Arial" w:cs="Arial"/>
                <w:color w:val="000000"/>
              </w:rPr>
            </w:pPr>
            <w:proofErr w:type="spellStart"/>
            <w:r w:rsidRPr="00474E6C">
              <w:rPr>
                <w:rFonts w:ascii="Arial" w:hAnsi="Arial" w:cs="Arial"/>
                <w:color w:val="000000"/>
              </w:rPr>
              <w:t>BigTech</w:t>
            </w:r>
            <w:proofErr w:type="spellEnd"/>
          </w:p>
        </w:tc>
        <w:tc>
          <w:tcPr>
            <w:tcW w:w="0" w:type="auto"/>
            <w:vAlign w:val="center"/>
            <w:hideMark/>
          </w:tcPr>
          <w:p w:rsidR="00DC52FB" w:rsidRPr="00474E6C" w:rsidRDefault="00DC52FB" w:rsidP="00614626">
            <w:pPr>
              <w:rPr>
                <w:rFonts w:ascii="Arial" w:hAnsi="Arial" w:cs="Arial"/>
                <w:color w:val="000000"/>
              </w:rPr>
            </w:pPr>
            <w:proofErr w:type="spellStart"/>
            <w:r w:rsidRPr="00474E6C">
              <w:rPr>
                <w:rFonts w:ascii="Arial" w:hAnsi="Arial" w:cs="Arial"/>
                <w:color w:val="000000"/>
              </w:rPr>
              <w:t>BigTech</w:t>
            </w:r>
            <w:proofErr w:type="spellEnd"/>
            <w:r w:rsidRPr="00474E6C">
              <w:rPr>
                <w:rFonts w:ascii="Arial" w:hAnsi="Arial" w:cs="Arial"/>
                <w:color w:val="000000"/>
              </w:rPr>
              <w:t xml:space="preserve"> increases financial system risks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No discussion of dispute handling mechanisms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Auer et al. (2021)</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Payments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Central bank digital currency risks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Lacks operational dispute analysis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 xml:space="preserve">Bolt &amp; van </w:t>
            </w:r>
            <w:proofErr w:type="spellStart"/>
            <w:r w:rsidRPr="00474E6C">
              <w:rPr>
                <w:rFonts w:ascii="Arial" w:hAnsi="Arial" w:cs="Arial"/>
                <w:color w:val="000000"/>
              </w:rPr>
              <w:t>Oordt</w:t>
            </w:r>
            <w:proofErr w:type="spellEnd"/>
            <w:r w:rsidRPr="00474E6C">
              <w:rPr>
                <w:rFonts w:ascii="Arial" w:hAnsi="Arial" w:cs="Arial"/>
                <w:color w:val="000000"/>
              </w:rPr>
              <w:t xml:space="preserve"> (2020)</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Payments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Payment system resilience</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Dispute processes overlooked</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proofErr w:type="spellStart"/>
            <w:r w:rsidRPr="00474E6C">
              <w:rPr>
                <w:rFonts w:ascii="Arial" w:hAnsi="Arial" w:cs="Arial"/>
                <w:color w:val="000000"/>
              </w:rPr>
              <w:t>Ozili</w:t>
            </w:r>
            <w:proofErr w:type="spellEnd"/>
            <w:r w:rsidRPr="00474E6C">
              <w:rPr>
                <w:rFonts w:ascii="Arial" w:hAnsi="Arial" w:cs="Arial"/>
                <w:color w:val="000000"/>
              </w:rPr>
              <w:t xml:space="preserve"> (2020)</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Digital Finance</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Financial inclusion and risk trade-offs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Governance dimension limited</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Kahn et al. (2022)</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Payments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Payment system inefficiencies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No governance linkage</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BIS (2021)</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Payments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Global payment risks</w:t>
            </w:r>
          </w:p>
        </w:tc>
        <w:tc>
          <w:tcPr>
            <w:tcW w:w="0" w:type="auto"/>
            <w:vAlign w:val="center"/>
            <w:hideMark/>
          </w:tcPr>
          <w:p w:rsidR="00DC52FB" w:rsidRPr="00474E6C" w:rsidRDefault="00DC52FB" w:rsidP="00614626">
            <w:pPr>
              <w:rPr>
                <w:rFonts w:ascii="Arial" w:hAnsi="Arial" w:cs="Arial"/>
                <w:color w:val="000000"/>
              </w:rPr>
            </w:pPr>
            <w:r w:rsidRPr="00474E6C">
              <w:rPr>
                <w:rFonts w:ascii="Arial" w:hAnsi="Arial" w:cs="Arial"/>
                <w:color w:val="000000"/>
              </w:rPr>
              <w:t>Macro-level, lacks dispute focus</w:t>
            </w:r>
          </w:p>
          <w:p w:rsidR="00DC52FB" w:rsidRPr="00474E6C" w:rsidRDefault="00DC52FB" w:rsidP="00614626">
            <w:pPr>
              <w:rPr>
                <w:rFonts w:ascii="Arial" w:hAnsi="Arial" w:cs="Arial"/>
                <w:color w:val="000000"/>
              </w:rPr>
            </w:pPr>
          </w:p>
        </w:tc>
      </w:tr>
      <w:tr w:rsidR="00DC52FB"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KC (2024)</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Nepal Digital Payments</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Digital payment systems enhance transparency and accountability</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Highlights governance issues but lacks integration with operational dispute processes</w:t>
            </w:r>
          </w:p>
        </w:tc>
      </w:tr>
      <w:tr w:rsidR="00DC52FB"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 xml:space="preserve">Nepal </w:t>
            </w:r>
            <w:proofErr w:type="spellStart"/>
            <w:r w:rsidRPr="00474E6C">
              <w:rPr>
                <w:rFonts w:ascii="Arial" w:hAnsi="Arial" w:cs="Arial"/>
                <w:color w:val="000000"/>
              </w:rPr>
              <w:t>Rastra</w:t>
            </w:r>
            <w:proofErr w:type="spellEnd"/>
            <w:r w:rsidRPr="00474E6C">
              <w:rPr>
                <w:rFonts w:ascii="Arial" w:hAnsi="Arial" w:cs="Arial"/>
                <w:color w:val="000000"/>
              </w:rPr>
              <w:t xml:space="preserve"> Bank (2021)</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Regulation</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Payment system development and regulatory framework</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Provides institutional context but lacks clarity on dispute governance mechanisms</w:t>
            </w:r>
          </w:p>
        </w:tc>
      </w:tr>
      <w:tr w:rsidR="00DC52FB"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 xml:space="preserve">Nepal </w:t>
            </w:r>
            <w:proofErr w:type="spellStart"/>
            <w:r w:rsidRPr="00474E6C">
              <w:rPr>
                <w:rFonts w:ascii="Arial" w:hAnsi="Arial" w:cs="Arial"/>
                <w:color w:val="000000"/>
              </w:rPr>
              <w:t>Rastra</w:t>
            </w:r>
            <w:proofErr w:type="spellEnd"/>
            <w:r w:rsidRPr="00474E6C">
              <w:rPr>
                <w:rFonts w:ascii="Arial" w:hAnsi="Arial" w:cs="Arial"/>
                <w:color w:val="000000"/>
              </w:rPr>
              <w:t xml:space="preserve"> Bank (2022)</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Digital Payments</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Growth of digital transactions in Nepal</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color w:val="000000"/>
              </w:rPr>
            </w:pPr>
            <w:r w:rsidRPr="00474E6C">
              <w:rPr>
                <w:rFonts w:ascii="Arial" w:hAnsi="Arial" w:cs="Arial"/>
                <w:color w:val="000000"/>
              </w:rPr>
              <w:t>Limited empirical focus on dispute resolution processes</w:t>
            </w:r>
          </w:p>
        </w:tc>
      </w:tr>
    </w:tbl>
    <w:p w:rsidR="00680343" w:rsidRDefault="00680343" w:rsidP="000D795C">
      <w:pPr>
        <w:pStyle w:val="Heading3"/>
        <w:rPr>
          <w:b/>
          <w:bCs/>
          <w:color w:val="000000" w:themeColor="text1"/>
          <w:sz w:val="28"/>
          <w:szCs w:val="28"/>
        </w:rPr>
      </w:pPr>
    </w:p>
    <w:p w:rsidR="00680343" w:rsidRPr="0005675A" w:rsidRDefault="00680343" w:rsidP="0005675A">
      <w:pPr>
        <w:jc w:val="both"/>
        <w:rPr>
          <w:rFonts w:ascii="Arial" w:hAnsi="Arial" w:cs="Arial"/>
        </w:rPr>
      </w:pPr>
      <w:r w:rsidRPr="0005675A">
        <w:rPr>
          <w:rFonts w:ascii="Arial" w:hAnsi="Arial" w:cs="Arial"/>
          <w:b/>
          <w:bCs/>
        </w:rPr>
        <w:t>Agreement across research</w:t>
      </w:r>
      <w:r w:rsidRPr="0005675A">
        <w:rPr>
          <w:rFonts w:ascii="Arial" w:hAnsi="Arial" w:cs="Arial"/>
        </w:rPr>
        <w:t>: According to all included studies (</w:t>
      </w:r>
      <w:proofErr w:type="spellStart"/>
      <w:r w:rsidRPr="0005675A">
        <w:rPr>
          <w:rFonts w:ascii="Arial" w:hAnsi="Arial" w:cs="Arial"/>
        </w:rPr>
        <w:t>Feyen</w:t>
      </w:r>
      <w:proofErr w:type="spellEnd"/>
      <w:r w:rsidRPr="0005675A">
        <w:rPr>
          <w:rFonts w:ascii="Arial" w:hAnsi="Arial" w:cs="Arial"/>
        </w:rPr>
        <w:t xml:space="preserve"> et al., 2021; Vives, 2021; </w:t>
      </w:r>
      <w:proofErr w:type="spellStart"/>
      <w:r w:rsidRPr="0005675A">
        <w:rPr>
          <w:rFonts w:ascii="Arial" w:hAnsi="Arial" w:cs="Arial"/>
        </w:rPr>
        <w:t>Thakor</w:t>
      </w:r>
      <w:proofErr w:type="spellEnd"/>
      <w:r w:rsidRPr="0005675A">
        <w:rPr>
          <w:rFonts w:ascii="Arial" w:hAnsi="Arial" w:cs="Arial"/>
        </w:rPr>
        <w:t xml:space="preserve">, 2020), digital payment systems improve transaction speed, financial inclusion, and system interdependence. There is broad agreement that this interconnectedness creates new operational vulnerabilities, such as processing errors and system breakdowns (Frost, 2020; Bolt &amp; van </w:t>
      </w:r>
      <w:proofErr w:type="spellStart"/>
      <w:r w:rsidRPr="0005675A">
        <w:rPr>
          <w:rFonts w:ascii="Arial" w:hAnsi="Arial" w:cs="Arial"/>
        </w:rPr>
        <w:t>Oordt</w:t>
      </w:r>
      <w:proofErr w:type="spellEnd"/>
      <w:r w:rsidRPr="0005675A">
        <w:rPr>
          <w:rFonts w:ascii="Arial" w:hAnsi="Arial" w:cs="Arial"/>
        </w:rPr>
        <w:t>, 2020).</w:t>
      </w:r>
    </w:p>
    <w:p w:rsidR="00680343" w:rsidRPr="0005675A" w:rsidRDefault="00680343" w:rsidP="0005675A">
      <w:pPr>
        <w:jc w:val="both"/>
        <w:rPr>
          <w:rFonts w:ascii="Arial" w:hAnsi="Arial" w:cs="Arial"/>
        </w:rPr>
      </w:pPr>
      <w:r w:rsidRPr="0005675A">
        <w:rPr>
          <w:rFonts w:ascii="Arial" w:hAnsi="Arial" w:cs="Arial"/>
        </w:rPr>
        <w:lastRenderedPageBreak/>
        <w:br/>
      </w:r>
      <w:r w:rsidRPr="0005675A">
        <w:rPr>
          <w:rFonts w:ascii="Arial" w:hAnsi="Arial" w:cs="Arial"/>
          <w:b/>
          <w:bCs/>
        </w:rPr>
        <w:t>Conflicts in the literature</w:t>
      </w:r>
      <w:r w:rsidRPr="0005675A">
        <w:rPr>
          <w:rFonts w:ascii="Arial" w:hAnsi="Arial" w:cs="Arial"/>
        </w:rPr>
        <w:t xml:space="preserve">: Micro level banking studies (e.g., KC, 2024; Nepal </w:t>
      </w:r>
      <w:proofErr w:type="spellStart"/>
      <w:r w:rsidRPr="0005675A">
        <w:rPr>
          <w:rFonts w:ascii="Arial" w:hAnsi="Arial" w:cs="Arial"/>
        </w:rPr>
        <w:t>Rastra</w:t>
      </w:r>
      <w:proofErr w:type="spellEnd"/>
      <w:r w:rsidRPr="0005675A">
        <w:rPr>
          <w:rFonts w:ascii="Arial" w:hAnsi="Arial" w:cs="Arial"/>
        </w:rPr>
        <w:t xml:space="preserve"> Bank, 2022) emphasize local governance weaknesses, while macro level policy studies (e.g., BIS, 2021; World Bank, 2021) concentrate on systemic resilience. While the latter demonstrates that technology solutions are ineffective in preventing disputes in the absence of governance integration, the former makes the assumption that technical solutions lower risk.</w:t>
      </w:r>
    </w:p>
    <w:p w:rsidR="00680343" w:rsidRPr="00BD562D" w:rsidRDefault="00680343" w:rsidP="00BD562D">
      <w:pPr>
        <w:jc w:val="both"/>
        <w:rPr>
          <w:rFonts w:ascii="Arial" w:hAnsi="Arial" w:cs="Arial"/>
        </w:rPr>
      </w:pPr>
    </w:p>
    <w:p w:rsidR="00680343" w:rsidRDefault="00680343" w:rsidP="008B3490">
      <w:pPr>
        <w:jc w:val="both"/>
        <w:rPr>
          <w:rFonts w:ascii="Arial" w:hAnsi="Arial" w:cs="Arial"/>
          <w:color w:val="000000"/>
        </w:rPr>
      </w:pPr>
      <w:r w:rsidRPr="00BD562D">
        <w:rPr>
          <w:rFonts w:ascii="Arial" w:hAnsi="Arial" w:cs="Arial"/>
          <w:b/>
          <w:bCs/>
          <w:color w:val="000000"/>
        </w:rPr>
        <w:t>What is missing</w:t>
      </w:r>
      <w:r w:rsidRPr="00BD562D">
        <w:rPr>
          <w:rFonts w:ascii="Arial" w:hAnsi="Arial" w:cs="Arial"/>
          <w:color w:val="000000"/>
        </w:rPr>
        <w:t>: No research on this topic specifically examines the relationship between a customer dispute and a malfunctioning digital payment system. There is no investigation of the "black box" that exists between organizational conflict resolution and system dysfunction. As a result, there is little guidance in the literature regarding the appropriate places for governance systems to step in.</w:t>
      </w:r>
    </w:p>
    <w:p w:rsidR="008B3490" w:rsidRPr="008B3490" w:rsidRDefault="008B3490" w:rsidP="008B3490">
      <w:pPr>
        <w:jc w:val="both"/>
        <w:rPr>
          <w:rFonts w:ascii="Arial" w:hAnsi="Arial" w:cs="Arial"/>
        </w:rPr>
      </w:pPr>
    </w:p>
    <w:p w:rsidR="00DC52FB" w:rsidRDefault="00DC52FB" w:rsidP="000D795C">
      <w:pPr>
        <w:pStyle w:val="Heading3"/>
        <w:rPr>
          <w:b/>
          <w:bCs/>
          <w:color w:val="000000" w:themeColor="text1"/>
          <w:sz w:val="28"/>
          <w:szCs w:val="28"/>
        </w:rPr>
      </w:pPr>
      <w:bookmarkStart w:id="21" w:name="_Toc227498321"/>
      <w:r w:rsidRPr="000D795C">
        <w:rPr>
          <w:b/>
          <w:bCs/>
          <w:color w:val="000000" w:themeColor="text1"/>
          <w:sz w:val="28"/>
          <w:szCs w:val="28"/>
        </w:rPr>
        <w:t>B. Digital Transaction Disputes and Service Failure</w:t>
      </w:r>
      <w:bookmarkEnd w:id="21"/>
    </w:p>
    <w:p w:rsidR="000D795C" w:rsidRPr="000D795C" w:rsidRDefault="000D795C" w:rsidP="000D795C"/>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9"/>
        <w:gridCol w:w="1527"/>
        <w:gridCol w:w="2364"/>
        <w:gridCol w:w="3080"/>
      </w:tblGrid>
      <w:tr w:rsidR="00DC52FB" w:rsidRPr="00474E6C" w:rsidTr="00614626">
        <w:trPr>
          <w:tblHeader/>
          <w:tblCellSpacing w:w="15" w:type="dxa"/>
        </w:trPr>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Author (Year)</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Theme</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Key Idea</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Critical Insight / Relevance</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Lovelock &amp; Wirtz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Service Recovery</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Complaint handling frameworks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Treats disputes as service issues, not operational risk</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 xml:space="preserve">Van </w:t>
            </w:r>
            <w:proofErr w:type="spellStart"/>
            <w:r w:rsidRPr="00474E6C">
              <w:rPr>
                <w:rFonts w:ascii="Arial" w:hAnsi="Arial" w:cs="Arial"/>
              </w:rPr>
              <w:t>Vaerenbergh</w:t>
            </w:r>
            <w:proofErr w:type="spellEnd"/>
            <w:r w:rsidRPr="00474E6C">
              <w:rPr>
                <w:rFonts w:ascii="Arial" w:hAnsi="Arial" w:cs="Arial"/>
              </w:rPr>
              <w:t xml:space="preserve"> &amp; </w:t>
            </w:r>
            <w:proofErr w:type="spellStart"/>
            <w:r w:rsidRPr="00474E6C">
              <w:rPr>
                <w:rFonts w:ascii="Arial" w:hAnsi="Arial" w:cs="Arial"/>
              </w:rPr>
              <w:t>Orsingher</w:t>
            </w:r>
            <w:proofErr w:type="spellEnd"/>
            <w:r w:rsidRPr="00474E6C">
              <w:rPr>
                <w:rFonts w:ascii="Arial" w:hAnsi="Arial" w:cs="Arial"/>
              </w:rPr>
              <w:t xml:space="preserve">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Service Recovery</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Meta-analysis of recovery strategies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No linkage to governance frameworks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Tax et al.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Complaints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Customer complaint processes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Limited operational risk perspective</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proofErr w:type="spellStart"/>
            <w:r w:rsidRPr="00474E6C">
              <w:rPr>
                <w:rFonts w:ascii="Arial" w:hAnsi="Arial" w:cs="Arial"/>
              </w:rPr>
              <w:t>Gelbrich</w:t>
            </w:r>
            <w:proofErr w:type="spellEnd"/>
            <w:r w:rsidRPr="00474E6C">
              <w:rPr>
                <w:rFonts w:ascii="Arial" w:hAnsi="Arial" w:cs="Arial"/>
              </w:rPr>
              <w:t xml:space="preserve"> et al.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Service Failure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Customer reactions to failures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Ignores systemic implications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proofErr w:type="spellStart"/>
            <w:r w:rsidRPr="00474E6C">
              <w:rPr>
                <w:rFonts w:ascii="Arial" w:hAnsi="Arial" w:cs="Arial"/>
              </w:rPr>
              <w:t>Maxham</w:t>
            </w:r>
            <w:proofErr w:type="spellEnd"/>
            <w:r w:rsidRPr="00474E6C">
              <w:rPr>
                <w:rFonts w:ascii="Arial" w:hAnsi="Arial" w:cs="Arial"/>
              </w:rPr>
              <w:t xml:space="preserve">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Complaints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Complaint resolution and loyalty</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No governance integration</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Kumar et al.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Customer Experience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Importance of recovery</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Lacks operational risk linkage</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Bitner et al.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Service Design</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Process mapping of service failure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Not applied to banking disputes</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McColl-Kennedy et al.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Customer Journey</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Disruption in service processes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Governance not addressed</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Huang &amp; Rust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AI Services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Automation risks in services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Dispute governance absent</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Neupane (2024)</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Nepal Context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Dispute resolution practices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Highlights governance gaps</w:t>
            </w:r>
          </w:p>
        </w:tc>
      </w:tr>
      <w:tr w:rsidR="00DC52FB"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Neupane (2024)</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Dispute Resolution</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Examines dispute handling practices in Nepalese banks</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Highlights delays and governance gaps but lacks strong theoretical integration</w:t>
            </w:r>
          </w:p>
        </w:tc>
      </w:tr>
      <w:tr w:rsidR="00DC52FB"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Tamang (2022)</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Customer Complaints</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Customer complaint patterns in Nepalese banks</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 xml:space="preserve">Does not </w:t>
            </w:r>
            <w:proofErr w:type="spellStart"/>
            <w:r w:rsidRPr="00474E6C">
              <w:rPr>
                <w:rFonts w:ascii="Arial" w:hAnsi="Arial" w:cs="Arial"/>
              </w:rPr>
              <w:t>conceptualise</w:t>
            </w:r>
            <w:proofErr w:type="spellEnd"/>
            <w:r w:rsidRPr="00474E6C">
              <w:rPr>
                <w:rFonts w:ascii="Arial" w:hAnsi="Arial" w:cs="Arial"/>
              </w:rPr>
              <w:t xml:space="preserve"> disputes as operational risk events</w:t>
            </w:r>
          </w:p>
        </w:tc>
      </w:tr>
    </w:tbl>
    <w:p w:rsidR="00680343" w:rsidRPr="00BD562D" w:rsidRDefault="00680343" w:rsidP="00BD562D">
      <w:pPr>
        <w:jc w:val="both"/>
        <w:rPr>
          <w:rFonts w:ascii="Arial" w:hAnsi="Arial" w:cs="Arial"/>
          <w:color w:val="000000"/>
        </w:rPr>
      </w:pPr>
      <w:r w:rsidRPr="00BD562D">
        <w:rPr>
          <w:rFonts w:ascii="Arial" w:hAnsi="Arial" w:cs="Arial"/>
          <w:b/>
          <w:bCs/>
          <w:color w:val="000000"/>
        </w:rPr>
        <w:lastRenderedPageBreak/>
        <w:t>Agreement across research</w:t>
      </w:r>
      <w:r w:rsidRPr="00BD562D">
        <w:rPr>
          <w:rFonts w:ascii="Arial" w:hAnsi="Arial" w:cs="Arial"/>
          <w:color w:val="000000"/>
        </w:rPr>
        <w:t xml:space="preserve">: Effective complaint handling increases customer satisfaction and loyalty, according to service recovery literature (Lovelock &amp; Wirtz, 2021; Van </w:t>
      </w:r>
      <w:proofErr w:type="spellStart"/>
      <w:r w:rsidRPr="00BD562D">
        <w:rPr>
          <w:rFonts w:ascii="Arial" w:hAnsi="Arial" w:cs="Arial"/>
          <w:color w:val="000000"/>
        </w:rPr>
        <w:t>Vaerenbergh</w:t>
      </w:r>
      <w:proofErr w:type="spellEnd"/>
      <w:r w:rsidRPr="00BD562D">
        <w:rPr>
          <w:rFonts w:ascii="Arial" w:hAnsi="Arial" w:cs="Arial"/>
          <w:color w:val="000000"/>
        </w:rPr>
        <w:t xml:space="preserve"> &amp; </w:t>
      </w:r>
      <w:proofErr w:type="spellStart"/>
      <w:r w:rsidRPr="00BD562D">
        <w:rPr>
          <w:rFonts w:ascii="Arial" w:hAnsi="Arial" w:cs="Arial"/>
          <w:color w:val="000000"/>
        </w:rPr>
        <w:t>Orsingher</w:t>
      </w:r>
      <w:proofErr w:type="spellEnd"/>
      <w:r w:rsidRPr="00BD562D">
        <w:rPr>
          <w:rFonts w:ascii="Arial" w:hAnsi="Arial" w:cs="Arial"/>
          <w:color w:val="000000"/>
        </w:rPr>
        <w:t xml:space="preserve">, 2020). There is also consensus that poor communication and delays harm customer results (Tax et al., 2021; </w:t>
      </w:r>
      <w:proofErr w:type="spellStart"/>
      <w:r w:rsidRPr="00BD562D">
        <w:rPr>
          <w:rFonts w:ascii="Arial" w:hAnsi="Arial" w:cs="Arial"/>
          <w:color w:val="000000"/>
        </w:rPr>
        <w:t>Gelbrich</w:t>
      </w:r>
      <w:proofErr w:type="spellEnd"/>
      <w:r w:rsidRPr="00BD562D">
        <w:rPr>
          <w:rFonts w:ascii="Arial" w:hAnsi="Arial" w:cs="Arial"/>
          <w:color w:val="000000"/>
        </w:rPr>
        <w:t xml:space="preserve"> et al., 2020).</w:t>
      </w:r>
    </w:p>
    <w:p w:rsidR="00DC52FB" w:rsidRPr="00BD562D" w:rsidRDefault="00680343" w:rsidP="00BD562D">
      <w:pPr>
        <w:jc w:val="both"/>
        <w:rPr>
          <w:rFonts w:ascii="Arial" w:hAnsi="Arial" w:cs="Arial"/>
          <w:color w:val="000000"/>
        </w:rPr>
      </w:pPr>
      <w:r w:rsidRPr="00BD562D">
        <w:rPr>
          <w:rFonts w:ascii="Arial" w:hAnsi="Arial" w:cs="Arial"/>
          <w:color w:val="000000"/>
        </w:rPr>
        <w:br/>
      </w:r>
      <w:r w:rsidRPr="00BD562D">
        <w:rPr>
          <w:rFonts w:ascii="Arial" w:hAnsi="Arial" w:cs="Arial"/>
          <w:b/>
          <w:bCs/>
          <w:color w:val="000000"/>
        </w:rPr>
        <w:t>Conflicts in the literature</w:t>
      </w:r>
      <w:r w:rsidR="00645418" w:rsidRPr="00BD562D">
        <w:rPr>
          <w:rFonts w:ascii="Arial" w:hAnsi="Arial" w:cs="Arial"/>
          <w:b/>
          <w:bCs/>
          <w:color w:val="000000"/>
        </w:rPr>
        <w:t>:</w:t>
      </w:r>
      <w:r w:rsidRPr="00BD562D">
        <w:rPr>
          <w:rFonts w:ascii="Arial" w:hAnsi="Arial" w:cs="Arial"/>
          <w:color w:val="000000"/>
        </w:rPr>
        <w:t xml:space="preserve"> There is a fundamental contradiction: operational risk scholars (BCBS, 2021; </w:t>
      </w:r>
      <w:proofErr w:type="spellStart"/>
      <w:r w:rsidRPr="00BD562D">
        <w:rPr>
          <w:rFonts w:ascii="Arial" w:hAnsi="Arial" w:cs="Arial"/>
          <w:color w:val="000000"/>
        </w:rPr>
        <w:t>Moosa</w:t>
      </w:r>
      <w:proofErr w:type="spellEnd"/>
      <w:r w:rsidRPr="00BD562D">
        <w:rPr>
          <w:rFonts w:ascii="Arial" w:hAnsi="Arial" w:cs="Arial"/>
          <w:color w:val="000000"/>
        </w:rPr>
        <w:t>, 2020) see identical failures as systematic process breakdowns, whereas service researchers interpret conflicts as individual customer-facing incidents. There is never a way to reconcile these two viewpoints. Neupane (2024) notes operational inefficiencies in the Nepalese setting, yet she continues the contradiction by framing them via a service recovery lens.</w:t>
      </w:r>
    </w:p>
    <w:p w:rsidR="00680343" w:rsidRPr="00BD562D" w:rsidRDefault="00680343" w:rsidP="00BD562D">
      <w:pPr>
        <w:jc w:val="both"/>
        <w:rPr>
          <w:rFonts w:ascii="Arial" w:hAnsi="Arial" w:cs="Arial"/>
          <w:color w:val="000000"/>
        </w:rPr>
      </w:pPr>
    </w:p>
    <w:p w:rsidR="00645418" w:rsidRPr="00BD562D" w:rsidRDefault="00645418" w:rsidP="00BD562D">
      <w:pPr>
        <w:jc w:val="both"/>
        <w:rPr>
          <w:rFonts w:ascii="Arial" w:hAnsi="Arial" w:cs="Arial"/>
          <w:b/>
          <w:bCs/>
          <w:color w:val="000000"/>
        </w:rPr>
      </w:pPr>
      <w:r w:rsidRPr="00BD562D">
        <w:rPr>
          <w:rFonts w:ascii="Arial" w:hAnsi="Arial" w:cs="Arial"/>
          <w:b/>
          <w:bCs/>
          <w:color w:val="000000"/>
        </w:rPr>
        <w:t xml:space="preserve">What is missing: </w:t>
      </w:r>
      <w:r w:rsidRPr="00BD562D">
        <w:rPr>
          <w:rFonts w:ascii="Arial" w:hAnsi="Arial" w:cs="Arial"/>
          <w:color w:val="000000"/>
        </w:rPr>
        <w:t xml:space="preserve">There isn't a theoretical model that combines back office operational risk procedures with customer-facing dispute resolution. In particular, governance that is, accountability, escalation, and control </w:t>
      </w:r>
      <w:proofErr w:type="gramStart"/>
      <w:r w:rsidRPr="00BD562D">
        <w:rPr>
          <w:rFonts w:ascii="Arial" w:hAnsi="Arial" w:cs="Arial"/>
          <w:color w:val="000000"/>
        </w:rPr>
        <w:t>plays</w:t>
      </w:r>
      <w:proofErr w:type="gramEnd"/>
      <w:r w:rsidRPr="00BD562D">
        <w:rPr>
          <w:rFonts w:ascii="Arial" w:hAnsi="Arial" w:cs="Arial"/>
          <w:color w:val="000000"/>
        </w:rPr>
        <w:t xml:space="preserve"> no part at all in determining the resolution of disputes. Customer satisfaction is measured by studies, but systemic issues and proper conflict resolution are not taken into account.</w:t>
      </w:r>
    </w:p>
    <w:p w:rsidR="00680343" w:rsidRPr="00474E6C" w:rsidRDefault="00680343">
      <w:pPr>
        <w:rPr>
          <w:rFonts w:ascii="Arial" w:hAnsi="Arial" w:cs="Arial"/>
          <w:color w:val="000000"/>
        </w:rPr>
      </w:pPr>
    </w:p>
    <w:p w:rsidR="00DC52FB" w:rsidRDefault="00DC52FB" w:rsidP="000D795C">
      <w:pPr>
        <w:pStyle w:val="Heading3"/>
        <w:rPr>
          <w:b/>
          <w:bCs/>
          <w:color w:val="000000" w:themeColor="text1"/>
          <w:sz w:val="28"/>
          <w:szCs w:val="28"/>
        </w:rPr>
      </w:pPr>
      <w:bookmarkStart w:id="22" w:name="_Toc227498322"/>
      <w:r w:rsidRPr="000D795C">
        <w:rPr>
          <w:b/>
          <w:bCs/>
          <w:color w:val="000000" w:themeColor="text1"/>
          <w:sz w:val="28"/>
          <w:szCs w:val="28"/>
        </w:rPr>
        <w:t>C. Operational Risk in Banking</w:t>
      </w:r>
      <w:bookmarkEnd w:id="22"/>
    </w:p>
    <w:p w:rsidR="000D795C" w:rsidRPr="000D795C" w:rsidRDefault="000D795C" w:rsidP="000D795C"/>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5"/>
        <w:gridCol w:w="1624"/>
        <w:gridCol w:w="2288"/>
        <w:gridCol w:w="3513"/>
      </w:tblGrid>
      <w:tr w:rsidR="00DC52FB" w:rsidRPr="00474E6C" w:rsidTr="00614626">
        <w:trPr>
          <w:tblHeader/>
          <w:tblCellSpacing w:w="15" w:type="dxa"/>
        </w:trPr>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Author (Year)</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Theme</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Key Idea</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Critical Insight / Relevance</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BCBS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Regulation</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Operational risk principles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Does not address digital disputes explicitly</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proofErr w:type="spellStart"/>
            <w:r w:rsidRPr="00474E6C">
              <w:rPr>
                <w:rFonts w:ascii="Arial" w:hAnsi="Arial" w:cs="Arial"/>
              </w:rPr>
              <w:t>Moosa</w:t>
            </w:r>
            <w:proofErr w:type="spellEnd"/>
            <w:r w:rsidRPr="00474E6C">
              <w:rPr>
                <w:rFonts w:ascii="Arial" w:hAnsi="Arial" w:cs="Arial"/>
              </w:rPr>
              <w:t xml:space="preserve"> (20</w:t>
            </w:r>
            <w:r w:rsidR="008F5205">
              <w:rPr>
                <w:rFonts w:ascii="Arial" w:hAnsi="Arial" w:cs="Arial"/>
              </w:rPr>
              <w:t>07</w:t>
            </w:r>
            <w:r w:rsidRPr="00474E6C">
              <w:rPr>
                <w:rFonts w:ascii="Arial" w:hAnsi="Arial" w:cs="Arial"/>
              </w:rPr>
              <w: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Operational risk overview</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Limited fintech application</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proofErr w:type="spellStart"/>
            <w:r w:rsidRPr="00474E6C">
              <w:rPr>
                <w:rFonts w:ascii="Arial" w:hAnsi="Arial" w:cs="Arial"/>
              </w:rPr>
              <w:t>Bessis</w:t>
            </w:r>
            <w:proofErr w:type="spellEnd"/>
            <w:r w:rsidRPr="00474E6C">
              <w:rPr>
                <w:rFonts w:ascii="Arial" w:hAnsi="Arial" w:cs="Arial"/>
              </w:rPr>
              <w:t xml:space="preserve"> (20</w:t>
            </w:r>
            <w:r w:rsidR="00006ADB">
              <w:rPr>
                <w:rFonts w:ascii="Arial" w:hAnsi="Arial" w:cs="Arial"/>
              </w:rPr>
              <w:t>11</w:t>
            </w:r>
            <w:r w:rsidRPr="00474E6C">
              <w:rPr>
                <w:rFonts w:ascii="Arial" w:hAnsi="Arial" w:cs="Arial"/>
              </w:rPr>
              <w: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Management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frameworks in banking</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Needs digital adaptation</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Sheedy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Culture</w:t>
            </w:r>
          </w:p>
        </w:tc>
        <w:tc>
          <w:tcPr>
            <w:tcW w:w="0" w:type="auto"/>
            <w:vAlign w:val="center"/>
            <w:hideMark/>
          </w:tcPr>
          <w:p w:rsidR="00DC52FB" w:rsidRPr="00474E6C" w:rsidRDefault="00DC52FB" w:rsidP="00614626">
            <w:pPr>
              <w:rPr>
                <w:rFonts w:ascii="Arial" w:hAnsi="Arial" w:cs="Arial"/>
              </w:rPr>
            </w:pPr>
            <w:proofErr w:type="spellStart"/>
            <w:r w:rsidRPr="00474E6C">
              <w:rPr>
                <w:rFonts w:ascii="Arial" w:hAnsi="Arial" w:cs="Arial"/>
              </w:rPr>
              <w:t>Behavioural</w:t>
            </w:r>
            <w:proofErr w:type="spellEnd"/>
            <w:r w:rsidRPr="00474E6C">
              <w:rPr>
                <w:rFonts w:ascii="Arial" w:hAnsi="Arial" w:cs="Arial"/>
              </w:rPr>
              <w:t xml:space="preserve"> aspects of risk</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Dispute handling not included</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proofErr w:type="spellStart"/>
            <w:r w:rsidRPr="00474E6C">
              <w:rPr>
                <w:rFonts w:ascii="Arial" w:hAnsi="Arial" w:cs="Arial"/>
              </w:rPr>
              <w:t>Chernobai</w:t>
            </w:r>
            <w:proofErr w:type="spellEnd"/>
            <w:r w:rsidRPr="00474E6C">
              <w:rPr>
                <w:rFonts w:ascii="Arial" w:hAnsi="Arial" w:cs="Arial"/>
              </w:rPr>
              <w:t xml:space="preserve"> et al.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Analytics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Quantitative risk models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 xml:space="preserve">Disputes not </w:t>
            </w:r>
            <w:proofErr w:type="spellStart"/>
            <w:r w:rsidRPr="00474E6C">
              <w:rPr>
                <w:rFonts w:ascii="Arial" w:hAnsi="Arial" w:cs="Arial"/>
              </w:rPr>
              <w:t>categorised</w:t>
            </w:r>
            <w:proofErr w:type="spellEnd"/>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ORX (2022)</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Data</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Operational loss data</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Disputes not clearly identified</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FSB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Resilience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Operational resilience frameworks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Micro-level processes missing</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PwC (2021)</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Operational resilience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Dispute linkage weak</w:t>
            </w:r>
          </w:p>
        </w:tc>
      </w:tr>
      <w:tr w:rsidR="00DC52FB" w:rsidRPr="00474E6C" w:rsidTr="00614626">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EY (2022)</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Digital banking risks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Governance integration limited</w:t>
            </w:r>
          </w:p>
        </w:tc>
      </w:tr>
      <w:tr w:rsidR="00DC52FB"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proofErr w:type="spellStart"/>
            <w:r w:rsidRPr="00474E6C">
              <w:rPr>
                <w:rFonts w:ascii="Arial" w:hAnsi="Arial" w:cs="Arial"/>
              </w:rPr>
              <w:t>Sayaju</w:t>
            </w:r>
            <w:proofErr w:type="spellEnd"/>
            <w:r w:rsidRPr="00474E6C">
              <w:rPr>
                <w:rFonts w:ascii="Arial" w:hAnsi="Arial" w:cs="Arial"/>
              </w:rPr>
              <w:t xml:space="preserve"> &amp; </w:t>
            </w:r>
            <w:proofErr w:type="spellStart"/>
            <w:r w:rsidRPr="00474E6C">
              <w:rPr>
                <w:rFonts w:ascii="Arial" w:hAnsi="Arial" w:cs="Arial"/>
              </w:rPr>
              <w:t>Dhakal</w:t>
            </w:r>
            <w:proofErr w:type="spellEnd"/>
            <w:r w:rsidRPr="00474E6C">
              <w:rPr>
                <w:rFonts w:ascii="Arial" w:hAnsi="Arial" w:cs="Arial"/>
              </w:rPr>
              <w:t xml:space="preserve"> (2024)</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Operational Risk</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Operational risk practices in Nepalese banks</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Identifies implementation gaps but does not integrate digital dispute processes</w:t>
            </w:r>
          </w:p>
        </w:tc>
      </w:tr>
      <w:tr w:rsidR="00DC52FB"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lastRenderedPageBreak/>
              <w:t>Bhandari (2022)</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Digital Risk</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Digital fraud and financial risks in Nepal</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Focuses on fraud risks without linking to dispute governance</w:t>
            </w:r>
          </w:p>
        </w:tc>
      </w:tr>
    </w:tbl>
    <w:p w:rsidR="00DC52FB" w:rsidRPr="00474E6C" w:rsidRDefault="00DC52FB">
      <w:pPr>
        <w:rPr>
          <w:rFonts w:ascii="Arial" w:hAnsi="Arial" w:cs="Arial"/>
          <w:color w:val="000000"/>
        </w:rPr>
      </w:pPr>
    </w:p>
    <w:p w:rsidR="00CF3749" w:rsidRDefault="00CF3749" w:rsidP="000D795C">
      <w:pPr>
        <w:rPr>
          <w:rFonts w:ascii="Arial" w:hAnsi="Arial" w:cs="Arial"/>
          <w:color w:val="000000"/>
        </w:rPr>
      </w:pPr>
    </w:p>
    <w:p w:rsidR="00645418" w:rsidRPr="00BD562D" w:rsidRDefault="00645418" w:rsidP="00BD562D">
      <w:pPr>
        <w:jc w:val="both"/>
        <w:rPr>
          <w:rFonts w:ascii="Arial" w:hAnsi="Arial" w:cs="Arial"/>
          <w:color w:val="000000"/>
        </w:rPr>
      </w:pPr>
      <w:r w:rsidRPr="00BD562D">
        <w:rPr>
          <w:rFonts w:ascii="Arial" w:hAnsi="Arial" w:cs="Arial"/>
          <w:b/>
          <w:bCs/>
          <w:color w:val="000000"/>
        </w:rPr>
        <w:t>Agreement across research</w:t>
      </w:r>
      <w:r w:rsidRPr="00BD562D">
        <w:rPr>
          <w:rFonts w:ascii="Arial" w:hAnsi="Arial" w:cs="Arial"/>
          <w:color w:val="000000"/>
        </w:rPr>
        <w:t xml:space="preserve">: The notion of operational risk failures in people, systems, processes, or external events is widely accepted (BCBS, 2021; </w:t>
      </w:r>
      <w:proofErr w:type="spellStart"/>
      <w:r w:rsidRPr="00BD562D">
        <w:rPr>
          <w:rFonts w:ascii="Arial" w:hAnsi="Arial" w:cs="Arial"/>
          <w:color w:val="000000"/>
        </w:rPr>
        <w:t>Moosa</w:t>
      </w:r>
      <w:proofErr w:type="spellEnd"/>
      <w:r w:rsidRPr="00BD562D">
        <w:rPr>
          <w:rFonts w:ascii="Arial" w:hAnsi="Arial" w:cs="Arial"/>
          <w:color w:val="000000"/>
        </w:rPr>
        <w:t xml:space="preserve">, 2020). Internal controls and monitoring are critical for mitigation, according to all major frameworks (COSO, 2020; </w:t>
      </w:r>
      <w:proofErr w:type="spellStart"/>
      <w:r w:rsidRPr="00BD562D">
        <w:rPr>
          <w:rFonts w:ascii="Arial" w:hAnsi="Arial" w:cs="Arial"/>
          <w:color w:val="000000"/>
        </w:rPr>
        <w:t>Bessis</w:t>
      </w:r>
      <w:proofErr w:type="spellEnd"/>
      <w:r w:rsidRPr="00BD562D">
        <w:rPr>
          <w:rFonts w:ascii="Arial" w:hAnsi="Arial" w:cs="Arial"/>
          <w:color w:val="000000"/>
        </w:rPr>
        <w:t>, 2020).</w:t>
      </w:r>
    </w:p>
    <w:p w:rsidR="00645418" w:rsidRPr="00BD562D" w:rsidRDefault="00645418" w:rsidP="00BD562D">
      <w:pPr>
        <w:jc w:val="both"/>
        <w:rPr>
          <w:rFonts w:ascii="Arial" w:hAnsi="Arial" w:cs="Arial"/>
          <w:color w:val="000000"/>
        </w:rPr>
      </w:pPr>
      <w:r w:rsidRPr="00BD562D">
        <w:rPr>
          <w:rFonts w:ascii="Arial" w:hAnsi="Arial" w:cs="Arial"/>
          <w:color w:val="000000"/>
        </w:rPr>
        <w:br/>
      </w:r>
      <w:r w:rsidRPr="00BD562D">
        <w:rPr>
          <w:rFonts w:ascii="Arial" w:hAnsi="Arial" w:cs="Arial"/>
          <w:b/>
          <w:bCs/>
          <w:color w:val="000000"/>
        </w:rPr>
        <w:t>Conflicts in the literature:</w:t>
      </w:r>
      <w:r w:rsidRPr="00BD562D">
        <w:rPr>
          <w:rFonts w:ascii="Arial" w:hAnsi="Arial" w:cs="Arial"/>
          <w:color w:val="000000"/>
        </w:rPr>
        <w:t xml:space="preserve"> There is a significant discrepancy between empirical banking studies (</w:t>
      </w:r>
      <w:proofErr w:type="spellStart"/>
      <w:r w:rsidRPr="00BD562D">
        <w:rPr>
          <w:rFonts w:ascii="Arial" w:hAnsi="Arial" w:cs="Arial"/>
          <w:color w:val="000000"/>
        </w:rPr>
        <w:t>Sayaju</w:t>
      </w:r>
      <w:proofErr w:type="spellEnd"/>
      <w:r w:rsidRPr="00BD562D">
        <w:rPr>
          <w:rFonts w:ascii="Arial" w:hAnsi="Arial" w:cs="Arial"/>
          <w:color w:val="000000"/>
        </w:rPr>
        <w:t xml:space="preserve"> &amp; </w:t>
      </w:r>
      <w:proofErr w:type="spellStart"/>
      <w:r w:rsidRPr="00BD562D">
        <w:rPr>
          <w:rFonts w:ascii="Arial" w:hAnsi="Arial" w:cs="Arial"/>
          <w:color w:val="000000"/>
        </w:rPr>
        <w:t>Dhakal</w:t>
      </w:r>
      <w:proofErr w:type="spellEnd"/>
      <w:r w:rsidRPr="00BD562D">
        <w:rPr>
          <w:rFonts w:ascii="Arial" w:hAnsi="Arial" w:cs="Arial"/>
          <w:color w:val="000000"/>
        </w:rPr>
        <w:t>, 2024; Bhandari, 2022) and regulatory frameworks (BCBS, 2021; FSB, 2021). Empirical evidence from Nepal demonstrates that operational risk frameworks are not effectively implemented and integrated, despite regulatory guidance's assumption to the contrary. Furthermore, although quantitative risk models predominate, they are unable to represent disagreement dynamics at the process level (</w:t>
      </w:r>
      <w:proofErr w:type="spellStart"/>
      <w:r w:rsidRPr="00BD562D">
        <w:rPr>
          <w:rFonts w:ascii="Arial" w:hAnsi="Arial" w:cs="Arial"/>
          <w:color w:val="000000"/>
        </w:rPr>
        <w:t>Chernobai</w:t>
      </w:r>
      <w:proofErr w:type="spellEnd"/>
      <w:r w:rsidRPr="00BD562D">
        <w:rPr>
          <w:rFonts w:ascii="Arial" w:hAnsi="Arial" w:cs="Arial"/>
          <w:color w:val="000000"/>
        </w:rPr>
        <w:t xml:space="preserve"> et al., 2020).</w:t>
      </w:r>
    </w:p>
    <w:p w:rsidR="00645418" w:rsidRPr="00BD562D" w:rsidRDefault="00645418" w:rsidP="00BD562D">
      <w:pPr>
        <w:jc w:val="both"/>
        <w:rPr>
          <w:rFonts w:ascii="Arial" w:hAnsi="Arial" w:cs="Arial"/>
          <w:color w:val="000000"/>
        </w:rPr>
      </w:pPr>
    </w:p>
    <w:p w:rsidR="00645418" w:rsidRPr="00BD562D" w:rsidRDefault="00645418" w:rsidP="00BD562D">
      <w:pPr>
        <w:jc w:val="both"/>
        <w:rPr>
          <w:rFonts w:ascii="Arial" w:hAnsi="Arial" w:cs="Arial"/>
          <w:color w:val="000000"/>
        </w:rPr>
      </w:pPr>
      <w:r w:rsidRPr="00BD562D">
        <w:rPr>
          <w:rFonts w:ascii="Arial" w:hAnsi="Arial" w:cs="Arial"/>
          <w:b/>
          <w:bCs/>
          <w:color w:val="000000"/>
        </w:rPr>
        <w:t>What is missing:</w:t>
      </w:r>
      <w:r w:rsidRPr="00BD562D">
        <w:rPr>
          <w:rFonts w:ascii="Arial" w:hAnsi="Arial" w:cs="Arial"/>
          <w:color w:val="000000"/>
        </w:rPr>
        <w:t xml:space="preserve"> Disputes arising from digital transactions are not classified as operational risk events. "Dispute occurrence" is not included as a key risk indicator (KRI) in any operational risk framework. Because of this, banks don't have organized systems in place to record, escalate, or learn from disputes as instances of operational loss. This is an important theoretical and practical oversight.</w:t>
      </w:r>
    </w:p>
    <w:p w:rsidR="00645418" w:rsidRDefault="00645418" w:rsidP="000D795C">
      <w:pPr>
        <w:rPr>
          <w:rFonts w:ascii="Arial" w:hAnsi="Arial" w:cs="Arial"/>
          <w:color w:val="000000"/>
        </w:rPr>
      </w:pPr>
    </w:p>
    <w:p w:rsidR="00DC52FB" w:rsidRDefault="00DC52FB" w:rsidP="000D795C">
      <w:pPr>
        <w:pStyle w:val="Heading3"/>
        <w:rPr>
          <w:b/>
          <w:bCs/>
          <w:color w:val="000000" w:themeColor="text1"/>
          <w:sz w:val="28"/>
          <w:szCs w:val="28"/>
        </w:rPr>
      </w:pPr>
      <w:bookmarkStart w:id="23" w:name="_Toc227498323"/>
      <w:r w:rsidRPr="000D795C">
        <w:rPr>
          <w:b/>
          <w:bCs/>
          <w:color w:val="000000" w:themeColor="text1"/>
          <w:sz w:val="28"/>
          <w:szCs w:val="28"/>
        </w:rPr>
        <w:t>D. Risk Governance and Control Frameworks</w:t>
      </w:r>
      <w:bookmarkEnd w:id="23"/>
    </w:p>
    <w:p w:rsidR="000D795C" w:rsidRPr="000D795C" w:rsidRDefault="000D795C" w:rsidP="000D795C"/>
    <w:tbl>
      <w:tblPr>
        <w:tblW w:w="90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9"/>
        <w:gridCol w:w="1647"/>
        <w:gridCol w:w="2559"/>
        <w:gridCol w:w="3485"/>
      </w:tblGrid>
      <w:tr w:rsidR="00DC52FB" w:rsidRPr="00474E6C" w:rsidTr="002C341F">
        <w:trPr>
          <w:tblHeader/>
          <w:tblCellSpacing w:w="15" w:type="dxa"/>
        </w:trPr>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Author (Year)</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Theme</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Key Idea</w:t>
            </w:r>
          </w:p>
        </w:tc>
        <w:tc>
          <w:tcPr>
            <w:tcW w:w="0" w:type="auto"/>
            <w:vAlign w:val="center"/>
            <w:hideMark/>
          </w:tcPr>
          <w:p w:rsidR="00DC52FB" w:rsidRPr="00474E6C" w:rsidRDefault="00DC52FB" w:rsidP="00614626">
            <w:pPr>
              <w:jc w:val="center"/>
              <w:rPr>
                <w:rFonts w:ascii="Arial" w:hAnsi="Arial" w:cs="Arial"/>
                <w:b/>
                <w:bCs/>
              </w:rPr>
            </w:pPr>
            <w:r w:rsidRPr="00474E6C">
              <w:rPr>
                <w:rFonts w:ascii="Arial" w:hAnsi="Arial" w:cs="Arial"/>
                <w:b/>
                <w:bCs/>
              </w:rPr>
              <w:t>Critical Insight / Relevance</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Power (20</w:t>
            </w:r>
            <w:r w:rsidR="00B40982">
              <w:rPr>
                <w:rFonts w:ascii="Arial" w:hAnsi="Arial" w:cs="Arial"/>
              </w:rPr>
              <w:t>07</w:t>
            </w:r>
            <w:r w:rsidRPr="00474E6C">
              <w:rPr>
                <w:rFonts w:ascii="Arial" w:hAnsi="Arial" w:cs="Arial"/>
              </w:rPr>
              <w: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Governance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governance theory</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Needs application to digital disputes</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Mikes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Governance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management practices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Dispute processes not examined</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COSO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Framework</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ERM framework</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Generic, not dispute-specific</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ISO 31000 (20</w:t>
            </w:r>
            <w:r w:rsidR="0082564E">
              <w:rPr>
                <w:rFonts w:ascii="Arial" w:hAnsi="Arial" w:cs="Arial"/>
              </w:rPr>
              <w:t>18</w:t>
            </w:r>
            <w:r w:rsidRPr="00474E6C">
              <w:rPr>
                <w:rFonts w:ascii="Arial" w:hAnsi="Arial" w:cs="Arial"/>
              </w:rPr>
              <w: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Standards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 management principles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Lacks banking specificity</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Kaplan &amp; Mikes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Risk</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 xml:space="preserve">Risk </w:t>
            </w:r>
            <w:proofErr w:type="spellStart"/>
            <w:r w:rsidRPr="00474E6C">
              <w:rPr>
                <w:rFonts w:ascii="Arial" w:hAnsi="Arial" w:cs="Arial"/>
              </w:rPr>
              <w:t>categorisation</w:t>
            </w:r>
            <w:proofErr w:type="spellEnd"/>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Disputes not classified</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Lam (20</w:t>
            </w:r>
            <w:r w:rsidR="00B86765">
              <w:rPr>
                <w:rFonts w:ascii="Arial" w:hAnsi="Arial" w:cs="Arial"/>
              </w:rPr>
              <w:t>14</w:t>
            </w:r>
            <w:r w:rsidRPr="00474E6C">
              <w:rPr>
                <w:rFonts w:ascii="Arial" w:hAnsi="Arial" w:cs="Arial"/>
              </w:rPr>
              <w: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ERM</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Implementation strategies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Operational detail limited</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t>Beasley (2020)</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Governance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ERM effectiveness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Digital focus limited</w:t>
            </w:r>
          </w:p>
        </w:tc>
      </w:tr>
      <w:tr w:rsidR="00DC52FB" w:rsidRPr="00474E6C" w:rsidTr="002C341F">
        <w:trPr>
          <w:tblCellSpacing w:w="15" w:type="dxa"/>
        </w:trPr>
        <w:tc>
          <w:tcPr>
            <w:tcW w:w="0" w:type="auto"/>
            <w:vAlign w:val="center"/>
            <w:hideMark/>
          </w:tcPr>
          <w:p w:rsidR="00DC52FB" w:rsidRPr="00474E6C" w:rsidRDefault="00DC52FB" w:rsidP="00614626">
            <w:pPr>
              <w:rPr>
                <w:rFonts w:ascii="Arial" w:hAnsi="Arial" w:cs="Arial"/>
              </w:rPr>
            </w:pPr>
            <w:r w:rsidRPr="00474E6C">
              <w:rPr>
                <w:rFonts w:ascii="Arial" w:hAnsi="Arial" w:cs="Arial"/>
              </w:rPr>
              <w:lastRenderedPageBreak/>
              <w:t>OECD (202</w:t>
            </w:r>
            <w:r w:rsidR="008F5205">
              <w:rPr>
                <w:rFonts w:ascii="Arial" w:hAnsi="Arial" w:cs="Arial"/>
              </w:rPr>
              <w:t>3</w:t>
            </w:r>
            <w:r w:rsidRPr="00474E6C">
              <w:rPr>
                <w:rFonts w:ascii="Arial" w:hAnsi="Arial" w:cs="Arial"/>
              </w:rPr>
              <w:t>)</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Governance</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Corporate governance principles</w:t>
            </w:r>
          </w:p>
        </w:tc>
        <w:tc>
          <w:tcPr>
            <w:tcW w:w="0" w:type="auto"/>
            <w:vAlign w:val="center"/>
            <w:hideMark/>
          </w:tcPr>
          <w:p w:rsidR="00DC52FB" w:rsidRPr="00474E6C" w:rsidRDefault="00DC52FB" w:rsidP="00614626">
            <w:pPr>
              <w:rPr>
                <w:rFonts w:ascii="Arial" w:hAnsi="Arial" w:cs="Arial"/>
              </w:rPr>
            </w:pPr>
            <w:r w:rsidRPr="00474E6C">
              <w:rPr>
                <w:rFonts w:ascii="Arial" w:hAnsi="Arial" w:cs="Arial"/>
              </w:rPr>
              <w:t>Operational processes absent</w:t>
            </w:r>
          </w:p>
        </w:tc>
      </w:tr>
      <w:tr w:rsidR="00DC52FB" w:rsidRPr="00474E6C" w:rsidTr="002C34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Bhatt et al. (2024)</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Corporate Governance</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Governance structures in Nepalese banks</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Governance exists but lacks application to operational processes such as dispute management</w:t>
            </w:r>
          </w:p>
        </w:tc>
      </w:tr>
      <w:tr w:rsidR="00DC52FB" w:rsidRPr="00474E6C" w:rsidTr="002C341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Pandey (2022)</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ICT Governance</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ICT infrastructure challenges in Nepalese banking</w:t>
            </w:r>
          </w:p>
        </w:tc>
        <w:tc>
          <w:tcPr>
            <w:tcW w:w="0" w:type="auto"/>
            <w:tcBorders>
              <w:top w:val="single" w:sz="4" w:space="0" w:color="auto"/>
              <w:left w:val="single" w:sz="4" w:space="0" w:color="auto"/>
              <w:bottom w:val="single" w:sz="4" w:space="0" w:color="auto"/>
              <w:right w:val="single" w:sz="4" w:space="0" w:color="auto"/>
            </w:tcBorders>
            <w:vAlign w:val="center"/>
            <w:hideMark/>
          </w:tcPr>
          <w:p w:rsidR="00DC52FB" w:rsidRPr="00474E6C" w:rsidRDefault="00DC52FB" w:rsidP="00614626">
            <w:pPr>
              <w:rPr>
                <w:rFonts w:ascii="Arial" w:hAnsi="Arial" w:cs="Arial"/>
              </w:rPr>
            </w:pPr>
            <w:r w:rsidRPr="00474E6C">
              <w:rPr>
                <w:rFonts w:ascii="Arial" w:hAnsi="Arial" w:cs="Arial"/>
              </w:rPr>
              <w:t>Highlights system limitations but ignores dispute resolution mechanisms</w:t>
            </w:r>
          </w:p>
        </w:tc>
      </w:tr>
    </w:tbl>
    <w:p w:rsidR="00645418" w:rsidRDefault="00645418" w:rsidP="0025568D">
      <w:pPr>
        <w:jc w:val="both"/>
        <w:rPr>
          <w:rFonts w:ascii="Arial" w:hAnsi="Arial" w:cs="Arial"/>
          <w:color w:val="000000"/>
        </w:rPr>
      </w:pPr>
    </w:p>
    <w:p w:rsidR="00444835" w:rsidRDefault="00444835" w:rsidP="0025568D">
      <w:pPr>
        <w:jc w:val="both"/>
        <w:rPr>
          <w:rFonts w:ascii="Arial" w:hAnsi="Arial" w:cs="Arial"/>
          <w:color w:val="000000"/>
        </w:rPr>
      </w:pPr>
    </w:p>
    <w:p w:rsidR="00645418" w:rsidRPr="00BD562D" w:rsidRDefault="00645418" w:rsidP="0025568D">
      <w:pPr>
        <w:jc w:val="both"/>
        <w:rPr>
          <w:rFonts w:ascii="Arial" w:hAnsi="Arial" w:cs="Arial"/>
          <w:color w:val="000000"/>
        </w:rPr>
      </w:pPr>
      <w:r w:rsidRPr="00BD562D">
        <w:rPr>
          <w:rFonts w:ascii="Arial" w:hAnsi="Arial" w:cs="Arial"/>
          <w:b/>
          <w:bCs/>
          <w:color w:val="000000"/>
        </w:rPr>
        <w:t>Agreement across research:</w:t>
      </w:r>
      <w:r w:rsidRPr="00BD562D">
        <w:rPr>
          <w:rFonts w:ascii="Arial" w:hAnsi="Arial" w:cs="Arial"/>
          <w:color w:val="000000"/>
        </w:rPr>
        <w:t xml:space="preserve"> According to the governance literature, successful risk management requires responsibility, control mechanisms, and board supervision (Power, 2021; COSO, 2020). Additionally, there is consensus that governance should not be viewed as a distinct compliance function but rather integrated into operational procedures (Mikes, 2020; Arena et al., 2020).</w:t>
      </w:r>
      <w:r w:rsidRPr="00BD562D">
        <w:rPr>
          <w:rFonts w:ascii="Arial" w:hAnsi="Arial" w:cs="Arial"/>
          <w:color w:val="000000"/>
        </w:rPr>
        <w:br/>
      </w:r>
    </w:p>
    <w:p w:rsidR="00645418" w:rsidRPr="00BD562D" w:rsidRDefault="00645418" w:rsidP="0025568D">
      <w:pPr>
        <w:jc w:val="both"/>
        <w:rPr>
          <w:rFonts w:ascii="Arial" w:hAnsi="Arial" w:cs="Arial"/>
          <w:color w:val="000000"/>
        </w:rPr>
      </w:pPr>
      <w:r w:rsidRPr="00BD562D">
        <w:rPr>
          <w:rFonts w:ascii="Arial" w:hAnsi="Arial" w:cs="Arial"/>
          <w:b/>
          <w:bCs/>
          <w:color w:val="000000"/>
        </w:rPr>
        <w:t>Conflicts in the literature:</w:t>
      </w:r>
      <w:r w:rsidRPr="00BD562D">
        <w:rPr>
          <w:rFonts w:ascii="Arial" w:hAnsi="Arial" w:cs="Arial"/>
          <w:color w:val="000000"/>
        </w:rPr>
        <w:t xml:space="preserve"> Strategic governance recommendations (OECD, 2020; Lam, 2021) and their actual reality are clearly at odds. While empirical research (Bhatt et al., 2024; Pandey, 2022) reveals fragmented responsibility, inadequate coordination, and weak escalation pathways particularly in emerging markets strategic frameworks presuppose linear control.</w:t>
      </w:r>
    </w:p>
    <w:p w:rsidR="00645418" w:rsidRPr="00BD562D" w:rsidRDefault="00645418" w:rsidP="0025568D">
      <w:pPr>
        <w:jc w:val="both"/>
        <w:rPr>
          <w:rFonts w:ascii="Arial" w:hAnsi="Arial" w:cs="Arial"/>
          <w:color w:val="000000"/>
        </w:rPr>
      </w:pPr>
    </w:p>
    <w:p w:rsidR="00645418" w:rsidRPr="00BD562D" w:rsidRDefault="00645418" w:rsidP="0025568D">
      <w:pPr>
        <w:jc w:val="both"/>
        <w:rPr>
          <w:rFonts w:ascii="Arial" w:hAnsi="Arial" w:cs="Arial"/>
          <w:b/>
          <w:bCs/>
          <w:color w:val="000000"/>
        </w:rPr>
      </w:pPr>
      <w:r w:rsidRPr="00BD562D">
        <w:rPr>
          <w:rFonts w:ascii="Arial" w:hAnsi="Arial" w:cs="Arial"/>
          <w:b/>
          <w:bCs/>
          <w:color w:val="000000"/>
        </w:rPr>
        <w:t xml:space="preserve">What is missing: </w:t>
      </w:r>
      <w:r w:rsidRPr="00BD562D">
        <w:rPr>
          <w:rFonts w:ascii="Arial" w:hAnsi="Arial" w:cs="Arial"/>
          <w:color w:val="000000"/>
        </w:rPr>
        <w:t>Control and accountability ideas are not specifically applied to the resolution of disputes involving digital payments in any governance study. We don't know how disagreements are escalated, who is responsible for resolving them across departments, or what controls are in place to stop them from happening again. Given that disagreements are a direct result of operational problems, this is a startling absence.</w:t>
      </w:r>
    </w:p>
    <w:p w:rsidR="00645418" w:rsidRPr="00645418" w:rsidRDefault="00645418" w:rsidP="0025568D">
      <w:pPr>
        <w:jc w:val="both"/>
        <w:rPr>
          <w:rFonts w:ascii="Arial" w:hAnsi="Arial" w:cs="Arial"/>
          <w:b/>
          <w:bCs/>
          <w:color w:val="000000"/>
        </w:rPr>
      </w:pPr>
    </w:p>
    <w:p w:rsidR="00BC6F80" w:rsidRDefault="00BC6F80" w:rsidP="000D795C">
      <w:pPr>
        <w:pStyle w:val="Heading3"/>
        <w:rPr>
          <w:b/>
          <w:bCs/>
          <w:color w:val="000000" w:themeColor="text1"/>
          <w:sz w:val="28"/>
          <w:szCs w:val="28"/>
        </w:rPr>
      </w:pPr>
      <w:bookmarkStart w:id="24" w:name="_Toc227498324"/>
      <w:r w:rsidRPr="000D795C">
        <w:rPr>
          <w:b/>
          <w:bCs/>
          <w:color w:val="000000" w:themeColor="text1"/>
          <w:sz w:val="28"/>
          <w:szCs w:val="28"/>
        </w:rPr>
        <w:t>E. Emerging Markets / Nepal Context</w:t>
      </w:r>
      <w:bookmarkEnd w:id="24"/>
    </w:p>
    <w:p w:rsidR="000D795C" w:rsidRPr="000D795C" w:rsidRDefault="000D795C" w:rsidP="000D795C"/>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9"/>
        <w:gridCol w:w="1698"/>
        <w:gridCol w:w="2498"/>
        <w:gridCol w:w="3405"/>
      </w:tblGrid>
      <w:tr w:rsidR="00BC6F80" w:rsidRPr="00474E6C" w:rsidTr="00614626">
        <w:trPr>
          <w:tblHeader/>
          <w:tblCellSpacing w:w="15" w:type="dxa"/>
        </w:trPr>
        <w:tc>
          <w:tcPr>
            <w:tcW w:w="0" w:type="auto"/>
            <w:vAlign w:val="center"/>
            <w:hideMark/>
          </w:tcPr>
          <w:p w:rsidR="00BC6F80" w:rsidRPr="00474E6C" w:rsidRDefault="00BC6F80" w:rsidP="00614626">
            <w:pPr>
              <w:jc w:val="center"/>
              <w:rPr>
                <w:rFonts w:ascii="Arial" w:hAnsi="Arial" w:cs="Arial"/>
                <w:b/>
                <w:bCs/>
              </w:rPr>
            </w:pPr>
            <w:r w:rsidRPr="00474E6C">
              <w:rPr>
                <w:rFonts w:ascii="Arial" w:hAnsi="Arial" w:cs="Arial"/>
                <w:b/>
                <w:bCs/>
              </w:rPr>
              <w:t>Author (Year)</w:t>
            </w:r>
          </w:p>
        </w:tc>
        <w:tc>
          <w:tcPr>
            <w:tcW w:w="0" w:type="auto"/>
            <w:vAlign w:val="center"/>
            <w:hideMark/>
          </w:tcPr>
          <w:p w:rsidR="00BC6F80" w:rsidRPr="00474E6C" w:rsidRDefault="00BC6F80" w:rsidP="00614626">
            <w:pPr>
              <w:jc w:val="center"/>
              <w:rPr>
                <w:rFonts w:ascii="Arial" w:hAnsi="Arial" w:cs="Arial"/>
                <w:b/>
                <w:bCs/>
              </w:rPr>
            </w:pPr>
            <w:r w:rsidRPr="00474E6C">
              <w:rPr>
                <w:rFonts w:ascii="Arial" w:hAnsi="Arial" w:cs="Arial"/>
                <w:b/>
                <w:bCs/>
              </w:rPr>
              <w:t>Theme</w:t>
            </w:r>
          </w:p>
        </w:tc>
        <w:tc>
          <w:tcPr>
            <w:tcW w:w="0" w:type="auto"/>
            <w:vAlign w:val="center"/>
            <w:hideMark/>
          </w:tcPr>
          <w:p w:rsidR="00BC6F80" w:rsidRPr="00474E6C" w:rsidRDefault="00BC6F80" w:rsidP="00614626">
            <w:pPr>
              <w:jc w:val="center"/>
              <w:rPr>
                <w:rFonts w:ascii="Arial" w:hAnsi="Arial" w:cs="Arial"/>
                <w:b/>
                <w:bCs/>
              </w:rPr>
            </w:pPr>
            <w:r w:rsidRPr="00474E6C">
              <w:rPr>
                <w:rFonts w:ascii="Arial" w:hAnsi="Arial" w:cs="Arial"/>
                <w:b/>
                <w:bCs/>
              </w:rPr>
              <w:t>Key Idea</w:t>
            </w:r>
          </w:p>
        </w:tc>
        <w:tc>
          <w:tcPr>
            <w:tcW w:w="0" w:type="auto"/>
            <w:vAlign w:val="center"/>
            <w:hideMark/>
          </w:tcPr>
          <w:p w:rsidR="00BC6F80" w:rsidRPr="00474E6C" w:rsidRDefault="00BC6F80" w:rsidP="00614626">
            <w:pPr>
              <w:jc w:val="center"/>
              <w:rPr>
                <w:rFonts w:ascii="Arial" w:hAnsi="Arial" w:cs="Arial"/>
                <w:b/>
                <w:bCs/>
              </w:rPr>
            </w:pPr>
            <w:r w:rsidRPr="00474E6C">
              <w:rPr>
                <w:rFonts w:ascii="Arial" w:hAnsi="Arial" w:cs="Arial"/>
                <w:b/>
                <w:bCs/>
              </w:rPr>
              <w:t>Critical Insight / Relevance</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World Bank (2021)</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Developing Markets</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Digital finance expansion</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Governance integration limited</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ADB (2022)</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Asia</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Financial inclusion trends</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Dispute handling not central</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NRB (2021)</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Payment system guidelines</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Operational clarity lacking</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NRB (2022)</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Digital payments growth</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Dispute data limited</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Shrestha (2021)</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Digital banking adoption</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Governance issues underexplored</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lastRenderedPageBreak/>
              <w:t>Sharma (2022)</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Digital payment challenges</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Dispute management limited</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Bhattarai (2022)</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Customer satisfaction</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Weak governance linkage</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Pandey (2022)</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ICT infrastructure</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Dispute processes absent</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Bhandari (2022)</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Digital fraud risks</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No dispute governance integration</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rPr>
            </w:pPr>
            <w:r w:rsidRPr="00474E6C">
              <w:rPr>
                <w:rFonts w:ascii="Arial" w:hAnsi="Arial" w:cs="Arial"/>
              </w:rPr>
              <w:t>Tamang (2022)</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Nepal</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Customer complaints</w:t>
            </w:r>
          </w:p>
        </w:tc>
        <w:tc>
          <w:tcPr>
            <w:tcW w:w="0" w:type="auto"/>
            <w:vAlign w:val="center"/>
            <w:hideMark/>
          </w:tcPr>
          <w:p w:rsidR="00BC6F80" w:rsidRPr="00474E6C" w:rsidRDefault="00BC6F80" w:rsidP="00614626">
            <w:pPr>
              <w:rPr>
                <w:rFonts w:ascii="Arial" w:hAnsi="Arial" w:cs="Arial"/>
              </w:rPr>
            </w:pPr>
            <w:r w:rsidRPr="00474E6C">
              <w:rPr>
                <w:rFonts w:ascii="Arial" w:hAnsi="Arial" w:cs="Arial"/>
              </w:rPr>
              <w:t>Not framed as operational risk</w:t>
            </w:r>
          </w:p>
        </w:tc>
      </w:tr>
      <w:tr w:rsidR="00BC6F80"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Shrestha (2021)</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Digital Banking</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Adoption of digital banking in Nepal</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Limited focus on governance and dispute processes</w:t>
            </w:r>
          </w:p>
        </w:tc>
      </w:tr>
      <w:tr w:rsidR="00BC6F80"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Sharma (2022)</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Digital Payments</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Challenges in digital payment systems</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Identifies operational issues but lacks governance integration</w:t>
            </w:r>
          </w:p>
        </w:tc>
      </w:tr>
      <w:tr w:rsidR="00BC6F80" w:rsidRPr="00474E6C" w:rsidTr="006146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Bhattarai (2022)</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Customer Satisfaction</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Customer experience in banking services</w:t>
            </w:r>
          </w:p>
        </w:tc>
        <w:tc>
          <w:tcPr>
            <w:tcW w:w="0" w:type="auto"/>
            <w:tcBorders>
              <w:top w:val="single" w:sz="4" w:space="0" w:color="auto"/>
              <w:left w:val="single" w:sz="4" w:space="0" w:color="auto"/>
              <w:bottom w:val="single" w:sz="4" w:space="0" w:color="auto"/>
              <w:right w:val="single" w:sz="4" w:space="0" w:color="auto"/>
            </w:tcBorders>
            <w:vAlign w:val="center"/>
            <w:hideMark/>
          </w:tcPr>
          <w:p w:rsidR="00BC6F80" w:rsidRPr="00474E6C" w:rsidRDefault="00BC6F80" w:rsidP="00614626">
            <w:pPr>
              <w:rPr>
                <w:rFonts w:ascii="Arial" w:hAnsi="Arial" w:cs="Arial"/>
              </w:rPr>
            </w:pPr>
            <w:r w:rsidRPr="00474E6C">
              <w:rPr>
                <w:rFonts w:ascii="Arial" w:hAnsi="Arial" w:cs="Arial"/>
              </w:rPr>
              <w:t>Focuses on satisfaction but ignores operational risk perspective</w:t>
            </w:r>
          </w:p>
        </w:tc>
      </w:tr>
    </w:tbl>
    <w:p w:rsidR="00BC6F80" w:rsidRPr="00474E6C" w:rsidRDefault="00BC6F80">
      <w:pPr>
        <w:rPr>
          <w:rFonts w:ascii="Arial" w:hAnsi="Arial" w:cs="Arial"/>
          <w:color w:val="000000"/>
        </w:rPr>
      </w:pPr>
    </w:p>
    <w:p w:rsidR="00BC6F80" w:rsidRDefault="00BC6F80">
      <w:pPr>
        <w:rPr>
          <w:rFonts w:ascii="Arial" w:hAnsi="Arial" w:cs="Arial"/>
          <w:color w:val="000000"/>
        </w:rPr>
      </w:pPr>
    </w:p>
    <w:p w:rsidR="00645418" w:rsidRPr="00BD562D" w:rsidRDefault="00645418" w:rsidP="00BD562D">
      <w:pPr>
        <w:jc w:val="both"/>
        <w:rPr>
          <w:rFonts w:ascii="Arial" w:hAnsi="Arial" w:cs="Arial"/>
          <w:color w:val="000000"/>
        </w:rPr>
      </w:pPr>
      <w:r w:rsidRPr="00BD562D">
        <w:rPr>
          <w:rFonts w:ascii="Arial" w:hAnsi="Arial" w:cs="Arial"/>
          <w:b/>
          <w:bCs/>
          <w:color w:val="000000"/>
        </w:rPr>
        <w:t>Agreement across research:</w:t>
      </w:r>
      <w:r w:rsidRPr="00BD562D">
        <w:rPr>
          <w:rFonts w:ascii="Arial" w:hAnsi="Arial" w:cs="Arial"/>
          <w:color w:val="000000"/>
        </w:rPr>
        <w:t xml:space="preserve"> According to all Nepal-focused studies (NRB, 2021; Shrestha, 2021; Sharma, 2022), the adoption of digital payments is growing quickly but surpassing operational and governance infrastructure. Everyone agrees that poor coordination, unreliable systems, and holes in the infrastructure cause consumer unhappiness (Bhattarai, 2022; Tamang, 2022).</w:t>
      </w:r>
      <w:r w:rsidRPr="00BD562D">
        <w:rPr>
          <w:rFonts w:ascii="Arial" w:hAnsi="Arial" w:cs="Arial"/>
          <w:color w:val="000000"/>
        </w:rPr>
        <w:br/>
      </w:r>
    </w:p>
    <w:p w:rsidR="00645418" w:rsidRPr="00BD562D" w:rsidRDefault="00645418" w:rsidP="00BD562D">
      <w:pPr>
        <w:jc w:val="both"/>
        <w:rPr>
          <w:rFonts w:ascii="Arial" w:hAnsi="Arial" w:cs="Arial"/>
          <w:color w:val="000000"/>
        </w:rPr>
      </w:pPr>
      <w:r w:rsidRPr="00BD562D">
        <w:rPr>
          <w:rFonts w:ascii="Arial" w:hAnsi="Arial" w:cs="Arial"/>
          <w:b/>
          <w:bCs/>
          <w:color w:val="000000"/>
        </w:rPr>
        <w:t>Literature's conflicts:</w:t>
      </w:r>
      <w:r w:rsidRPr="00BD562D">
        <w:rPr>
          <w:rFonts w:ascii="Arial" w:hAnsi="Arial" w:cs="Arial"/>
          <w:color w:val="000000"/>
        </w:rPr>
        <w:t xml:space="preserve"> While some studies (Neupane, 2024) note governance shortcomings and delays in conflict resolution, they do not connect these to operational risk frameworks. Some (</w:t>
      </w:r>
      <w:proofErr w:type="spellStart"/>
      <w:r w:rsidRPr="00BD562D">
        <w:rPr>
          <w:rFonts w:ascii="Arial" w:hAnsi="Arial" w:cs="Arial"/>
          <w:color w:val="000000"/>
        </w:rPr>
        <w:t>Sayaju</w:t>
      </w:r>
      <w:proofErr w:type="spellEnd"/>
      <w:r w:rsidRPr="00BD562D">
        <w:rPr>
          <w:rFonts w:ascii="Arial" w:hAnsi="Arial" w:cs="Arial"/>
          <w:color w:val="000000"/>
        </w:rPr>
        <w:t xml:space="preserve"> &amp; </w:t>
      </w:r>
      <w:proofErr w:type="spellStart"/>
      <w:r w:rsidRPr="00BD562D">
        <w:rPr>
          <w:rFonts w:ascii="Arial" w:hAnsi="Arial" w:cs="Arial"/>
          <w:color w:val="000000"/>
        </w:rPr>
        <w:t>Dhakal</w:t>
      </w:r>
      <w:proofErr w:type="spellEnd"/>
      <w:r w:rsidRPr="00BD562D">
        <w:rPr>
          <w:rFonts w:ascii="Arial" w:hAnsi="Arial" w:cs="Arial"/>
          <w:color w:val="000000"/>
        </w:rPr>
        <w:t>, 2024) look at operational risk but disregard dispute resolution procedures. Due to this disciplinary division, no single study offers a comprehensive perspective.</w:t>
      </w:r>
    </w:p>
    <w:p w:rsidR="00645418" w:rsidRPr="00BD562D" w:rsidRDefault="00645418" w:rsidP="00BD562D">
      <w:pPr>
        <w:jc w:val="both"/>
        <w:rPr>
          <w:rFonts w:ascii="Arial" w:hAnsi="Arial" w:cs="Arial"/>
          <w:color w:val="000000"/>
        </w:rPr>
      </w:pPr>
    </w:p>
    <w:p w:rsidR="00645418" w:rsidRPr="00BD562D" w:rsidRDefault="00645418" w:rsidP="00BD562D">
      <w:pPr>
        <w:jc w:val="both"/>
        <w:rPr>
          <w:rFonts w:ascii="Arial" w:hAnsi="Arial" w:cs="Arial"/>
          <w:color w:val="000000"/>
        </w:rPr>
      </w:pPr>
      <w:r w:rsidRPr="00BD562D">
        <w:rPr>
          <w:rFonts w:ascii="Arial" w:hAnsi="Arial" w:cs="Arial"/>
          <w:b/>
          <w:bCs/>
          <w:color w:val="000000"/>
        </w:rPr>
        <w:t>What is missing:</w:t>
      </w:r>
      <w:r w:rsidR="001F6118" w:rsidRPr="00BD562D">
        <w:rPr>
          <w:rFonts w:ascii="Arial" w:hAnsi="Arial" w:cs="Arial"/>
          <w:b/>
          <w:bCs/>
          <w:color w:val="000000"/>
        </w:rPr>
        <w:t xml:space="preserve"> </w:t>
      </w:r>
      <w:r w:rsidR="001F6118" w:rsidRPr="00BD562D">
        <w:rPr>
          <w:rFonts w:ascii="Arial" w:hAnsi="Arial" w:cs="Arial"/>
          <w:color w:val="000000"/>
        </w:rPr>
        <w:t>The ways in which governance systems (accountability, control, and escalation) genuinely influence the results of dispute resolution in Nepalese banks have not been mapped empirically. There is a lack of context-specific information on regulatory enforcement, interdepartmental handoffs, and process inefficiencies. The proposed study is directly motivated by this significant contextual gap.</w:t>
      </w:r>
    </w:p>
    <w:p w:rsidR="001F6118" w:rsidRPr="00645418" w:rsidRDefault="001F6118">
      <w:pPr>
        <w:rPr>
          <w:rFonts w:ascii="-webkit-standard" w:hAnsi="-webkit-standard"/>
          <w:b/>
          <w:bCs/>
          <w:color w:val="000000"/>
          <w:sz w:val="27"/>
          <w:szCs w:val="27"/>
        </w:rPr>
      </w:pPr>
    </w:p>
    <w:p w:rsidR="00645418" w:rsidRPr="00474E6C" w:rsidRDefault="00645418">
      <w:pPr>
        <w:rPr>
          <w:rFonts w:ascii="Arial" w:hAnsi="Arial" w:cs="Arial"/>
          <w:color w:val="000000"/>
        </w:rPr>
      </w:pPr>
    </w:p>
    <w:p w:rsidR="00BC6F80" w:rsidRPr="00474E6C" w:rsidRDefault="00BC6F80" w:rsidP="0025568D">
      <w:pPr>
        <w:rPr>
          <w:rFonts w:ascii="Arial" w:hAnsi="Arial" w:cs="Arial"/>
          <w:color w:val="000000"/>
        </w:rPr>
      </w:pPr>
      <w:bookmarkStart w:id="25" w:name="_Toc227498325"/>
      <w:r w:rsidRPr="00974BD5">
        <w:rPr>
          <w:rStyle w:val="Heading2Char"/>
          <w:rFonts w:asciiTheme="majorHAnsi" w:eastAsiaTheme="minorHAnsi" w:hAnsiTheme="majorHAnsi" w:cstheme="majorHAnsi"/>
          <w:sz w:val="28"/>
          <w:szCs w:val="28"/>
        </w:rPr>
        <w:t>2.3 Matrix of Research Gaps</w:t>
      </w:r>
      <w:bookmarkEnd w:id="25"/>
      <w:r w:rsidRPr="00474E6C">
        <w:rPr>
          <w:rFonts w:ascii="Arial" w:hAnsi="Arial" w:cs="Arial"/>
          <w:color w:val="000000"/>
        </w:rPr>
        <w:br/>
      </w:r>
      <w:r w:rsidRPr="00474E6C">
        <w:rPr>
          <w:rFonts w:ascii="Arial" w:hAnsi="Arial" w:cs="Arial"/>
          <w:color w:val="000000"/>
        </w:rPr>
        <w:br/>
        <w:t>A research gap matrix is created in order to better synthesize the examined material. This matrix allows for an organized identification of gaps in the current literature by critically evaluating important studies in terms of their context, methodological approach, research emphasis, and stated constraints.</w:t>
      </w:r>
    </w:p>
    <w:p w:rsidR="00BC6F80" w:rsidRPr="00474E6C" w:rsidRDefault="00BC6F80">
      <w:pPr>
        <w:rPr>
          <w:rFonts w:ascii="Arial" w:hAnsi="Arial" w:cs="Arial"/>
          <w:color w:val="00000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6"/>
        <w:gridCol w:w="1453"/>
        <w:gridCol w:w="1886"/>
        <w:gridCol w:w="1466"/>
        <w:gridCol w:w="1474"/>
        <w:gridCol w:w="1365"/>
      </w:tblGrid>
      <w:tr w:rsidR="00BC6F80" w:rsidRPr="00474E6C" w:rsidTr="00614626">
        <w:trPr>
          <w:tblHeader/>
          <w:tblCellSpacing w:w="15" w:type="dxa"/>
        </w:trPr>
        <w:tc>
          <w:tcPr>
            <w:tcW w:w="0" w:type="auto"/>
            <w:vAlign w:val="center"/>
            <w:hideMark/>
          </w:tcPr>
          <w:p w:rsidR="00BC6F80" w:rsidRPr="00474E6C" w:rsidRDefault="00BC6F80" w:rsidP="00614626">
            <w:pPr>
              <w:jc w:val="center"/>
              <w:rPr>
                <w:rFonts w:ascii="Arial" w:hAnsi="Arial" w:cs="Arial"/>
                <w:b/>
                <w:bCs/>
                <w:color w:val="000000"/>
              </w:rPr>
            </w:pPr>
            <w:r w:rsidRPr="00474E6C">
              <w:rPr>
                <w:rFonts w:ascii="Arial" w:hAnsi="Arial" w:cs="Arial"/>
                <w:b/>
                <w:bCs/>
                <w:color w:val="000000"/>
              </w:rPr>
              <w:t>Study</w:t>
            </w:r>
          </w:p>
        </w:tc>
        <w:tc>
          <w:tcPr>
            <w:tcW w:w="0" w:type="auto"/>
            <w:vAlign w:val="center"/>
            <w:hideMark/>
          </w:tcPr>
          <w:p w:rsidR="00BC6F80" w:rsidRPr="00474E6C" w:rsidRDefault="00BC6F80" w:rsidP="00614626">
            <w:pPr>
              <w:jc w:val="center"/>
              <w:rPr>
                <w:rFonts w:ascii="Arial" w:hAnsi="Arial" w:cs="Arial"/>
                <w:b/>
                <w:bCs/>
                <w:color w:val="000000"/>
              </w:rPr>
            </w:pPr>
            <w:r w:rsidRPr="00474E6C">
              <w:rPr>
                <w:rFonts w:ascii="Arial" w:hAnsi="Arial" w:cs="Arial"/>
                <w:b/>
                <w:bCs/>
                <w:color w:val="000000"/>
              </w:rPr>
              <w:t>Context</w:t>
            </w:r>
          </w:p>
        </w:tc>
        <w:tc>
          <w:tcPr>
            <w:tcW w:w="0" w:type="auto"/>
            <w:vAlign w:val="center"/>
            <w:hideMark/>
          </w:tcPr>
          <w:p w:rsidR="00BC6F80" w:rsidRPr="00474E6C" w:rsidRDefault="00BC6F80" w:rsidP="00614626">
            <w:pPr>
              <w:jc w:val="center"/>
              <w:rPr>
                <w:rFonts w:ascii="Arial" w:hAnsi="Arial" w:cs="Arial"/>
                <w:b/>
                <w:bCs/>
                <w:color w:val="000000"/>
              </w:rPr>
            </w:pPr>
            <w:r w:rsidRPr="00474E6C">
              <w:rPr>
                <w:rFonts w:ascii="Arial" w:hAnsi="Arial" w:cs="Arial"/>
                <w:b/>
                <w:bCs/>
                <w:color w:val="000000"/>
              </w:rPr>
              <w:t>Method</w:t>
            </w:r>
          </w:p>
        </w:tc>
        <w:tc>
          <w:tcPr>
            <w:tcW w:w="0" w:type="auto"/>
            <w:vAlign w:val="center"/>
            <w:hideMark/>
          </w:tcPr>
          <w:p w:rsidR="00BC6F80" w:rsidRPr="00474E6C" w:rsidRDefault="00BC6F80" w:rsidP="00614626">
            <w:pPr>
              <w:jc w:val="center"/>
              <w:rPr>
                <w:rFonts w:ascii="Arial" w:hAnsi="Arial" w:cs="Arial"/>
                <w:b/>
                <w:bCs/>
                <w:color w:val="000000"/>
              </w:rPr>
            </w:pPr>
            <w:r w:rsidRPr="00474E6C">
              <w:rPr>
                <w:rFonts w:ascii="Arial" w:hAnsi="Arial" w:cs="Arial"/>
                <w:b/>
                <w:bCs/>
                <w:color w:val="000000"/>
              </w:rPr>
              <w:t>Focus</w:t>
            </w:r>
          </w:p>
        </w:tc>
        <w:tc>
          <w:tcPr>
            <w:tcW w:w="0" w:type="auto"/>
            <w:vAlign w:val="center"/>
            <w:hideMark/>
          </w:tcPr>
          <w:p w:rsidR="00BC6F80" w:rsidRPr="00474E6C" w:rsidRDefault="00BC6F80" w:rsidP="00614626">
            <w:pPr>
              <w:jc w:val="center"/>
              <w:rPr>
                <w:rFonts w:ascii="Arial" w:hAnsi="Arial" w:cs="Arial"/>
                <w:b/>
                <w:bCs/>
                <w:color w:val="000000"/>
              </w:rPr>
            </w:pPr>
            <w:r w:rsidRPr="00474E6C">
              <w:rPr>
                <w:rFonts w:ascii="Arial" w:hAnsi="Arial" w:cs="Arial"/>
                <w:b/>
                <w:bCs/>
                <w:color w:val="000000"/>
              </w:rPr>
              <w:t>Key limitation/ Gap</w:t>
            </w:r>
          </w:p>
        </w:tc>
        <w:tc>
          <w:tcPr>
            <w:tcW w:w="0" w:type="auto"/>
            <w:vAlign w:val="center"/>
            <w:hideMark/>
          </w:tcPr>
          <w:p w:rsidR="00BC6F80" w:rsidRPr="00474E6C" w:rsidRDefault="00BC6F80" w:rsidP="00614626">
            <w:pPr>
              <w:jc w:val="center"/>
              <w:rPr>
                <w:rFonts w:ascii="Arial" w:hAnsi="Arial" w:cs="Arial"/>
                <w:b/>
                <w:bCs/>
                <w:color w:val="000000"/>
              </w:rPr>
            </w:pPr>
            <w:r w:rsidRPr="00474E6C">
              <w:rPr>
                <w:rFonts w:ascii="Arial" w:hAnsi="Arial" w:cs="Arial"/>
                <w:b/>
                <w:bCs/>
                <w:color w:val="000000"/>
              </w:rPr>
              <w:t>Reference</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Thakor</w:t>
            </w:r>
            <w:proofErr w:type="spellEnd"/>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Fintech</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Conceptual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Innovation</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Limited operational processes</w:t>
            </w:r>
          </w:p>
        </w:tc>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Thakor</w:t>
            </w:r>
            <w:proofErr w:type="spellEnd"/>
            <w:r w:rsidRPr="00474E6C">
              <w:rPr>
                <w:rFonts w:ascii="Arial" w:hAnsi="Arial" w:cs="Arial"/>
                <w:color w:val="000000"/>
              </w:rPr>
              <w:t xml:space="preserve"> (2020)</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Feyen</w:t>
            </w:r>
            <w:proofErr w:type="spellEnd"/>
            <w:r w:rsidRPr="00474E6C">
              <w:rPr>
                <w:rFonts w:ascii="Arial" w:hAnsi="Arial" w:cs="Arial"/>
                <w:color w:val="000000"/>
              </w:rPr>
              <w:t xml:space="preserve"> et 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Global fintech</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Policy analysis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Digital finance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No dispute integration</w:t>
            </w:r>
          </w:p>
        </w:tc>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Feyen</w:t>
            </w:r>
            <w:proofErr w:type="spellEnd"/>
            <w:r w:rsidRPr="00474E6C">
              <w:rPr>
                <w:rFonts w:ascii="Arial" w:hAnsi="Arial" w:cs="Arial"/>
                <w:color w:val="000000"/>
              </w:rPr>
              <w:t xml:space="preserve"> et al. (2021)</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Lovelock &amp; Wirtz</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Service sector</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Conceptual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Service recovery</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Disputes not seen as risk</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Lovelock &amp; Wirtz (2021)</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 xml:space="preserve">Van </w:t>
            </w:r>
            <w:proofErr w:type="spellStart"/>
            <w:r w:rsidRPr="00474E6C">
              <w:rPr>
                <w:rFonts w:ascii="Arial" w:hAnsi="Arial" w:cs="Arial"/>
                <w:color w:val="000000"/>
              </w:rPr>
              <w:t>Vaerenbergh</w:t>
            </w:r>
            <w:proofErr w:type="spellEnd"/>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Services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Meta-analysis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Customer response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No governance linkage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 xml:space="preserve">Van </w:t>
            </w:r>
            <w:proofErr w:type="spellStart"/>
            <w:r w:rsidRPr="00474E6C">
              <w:rPr>
                <w:rFonts w:ascii="Arial" w:hAnsi="Arial" w:cs="Arial"/>
                <w:color w:val="000000"/>
              </w:rPr>
              <w:t>Vaerenbergh</w:t>
            </w:r>
            <w:proofErr w:type="spellEnd"/>
            <w:r w:rsidRPr="00474E6C">
              <w:rPr>
                <w:rFonts w:ascii="Arial" w:hAnsi="Arial" w:cs="Arial"/>
                <w:color w:val="000000"/>
              </w:rPr>
              <w:t xml:space="preserve"> &amp; </w:t>
            </w:r>
            <w:proofErr w:type="spellStart"/>
            <w:r w:rsidRPr="00474E6C">
              <w:rPr>
                <w:rFonts w:ascii="Arial" w:hAnsi="Arial" w:cs="Arial"/>
                <w:color w:val="000000"/>
              </w:rPr>
              <w:t>Orsingher</w:t>
            </w:r>
            <w:proofErr w:type="spellEnd"/>
            <w:r w:rsidRPr="00474E6C">
              <w:rPr>
                <w:rFonts w:ascii="Arial" w:hAnsi="Arial" w:cs="Arial"/>
                <w:color w:val="000000"/>
              </w:rPr>
              <w:t xml:space="preserve"> (2020)</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Tax et 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Service firms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Empirical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Complaints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Ignores operational risk</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Tax et al. (2021)</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BCBS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Global banking</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Regulatory</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Risk management</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Digital disputes excluded</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BCBS (2021)</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Moosa</w:t>
            </w:r>
            <w:proofErr w:type="spellEnd"/>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Banking</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Conceptual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Operational risk</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No fintech focus</w:t>
            </w:r>
          </w:p>
        </w:tc>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Moosa</w:t>
            </w:r>
            <w:proofErr w:type="spellEnd"/>
            <w:r w:rsidRPr="00474E6C">
              <w:rPr>
                <w:rFonts w:ascii="Arial" w:hAnsi="Arial" w:cs="Arial"/>
                <w:color w:val="000000"/>
              </w:rPr>
              <w:t xml:space="preserve"> (20</w:t>
            </w:r>
            <w:r w:rsidR="008F5205">
              <w:rPr>
                <w:rFonts w:ascii="Arial" w:hAnsi="Arial" w:cs="Arial"/>
                <w:color w:val="000000"/>
              </w:rPr>
              <w:t>07</w:t>
            </w:r>
            <w:r w:rsidRPr="00474E6C">
              <w:rPr>
                <w:rFonts w:ascii="Arial" w:hAnsi="Arial" w:cs="Arial"/>
                <w:color w:val="000000"/>
              </w:rPr>
              <w:t>)</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Chernobai</w:t>
            </w:r>
            <w:proofErr w:type="spellEnd"/>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Finance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Quantitative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Risk analytics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Disputes not classified</w:t>
            </w:r>
          </w:p>
        </w:tc>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Chernobai</w:t>
            </w:r>
            <w:proofErr w:type="spellEnd"/>
            <w:r w:rsidRPr="00474E6C">
              <w:rPr>
                <w:rFonts w:ascii="Arial" w:hAnsi="Arial" w:cs="Arial"/>
                <w:color w:val="000000"/>
              </w:rPr>
              <w:t xml:space="preserve"> et al. (2020)</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Power</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Governance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Conceptual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Risk control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No digital application</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Power (20</w:t>
            </w:r>
            <w:r w:rsidR="00123E5D">
              <w:rPr>
                <w:rFonts w:ascii="Arial" w:hAnsi="Arial" w:cs="Arial"/>
                <w:color w:val="000000"/>
              </w:rPr>
              <w:t>07)</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Mikes</w:t>
            </w:r>
          </w:p>
        </w:tc>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Organisations</w:t>
            </w:r>
            <w:proofErr w:type="spellEnd"/>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Case study</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Risk practices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Disputes not examined</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Mikes (2020)</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Arena et 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Firms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Empirical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ERM</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Dispute processes absent</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Arena et al. (2020)</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Kaplan &amp; Mikes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Firms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Conceptual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 xml:space="preserve">Risk </w:t>
            </w:r>
            <w:proofErr w:type="spellStart"/>
            <w:r w:rsidRPr="00474E6C">
              <w:rPr>
                <w:rFonts w:ascii="Arial" w:hAnsi="Arial" w:cs="Arial"/>
                <w:color w:val="000000"/>
              </w:rPr>
              <w:t>categorisation</w:t>
            </w:r>
            <w:proofErr w:type="spellEnd"/>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Disputes not included</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Kaplan &amp; Mikes (2020)</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World Bank</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Developing markets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Policy</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Digital finance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Governance gap persists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World Bank (2021)</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NRB</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Nepal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Regulatory</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Payment systems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Weak dispute governance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NRB (2021)</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lastRenderedPageBreak/>
              <w:t>Shrestha</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Nepal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Empirical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Digital banking</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Governance issues limited</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Shrestha (2021)</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Sharma</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Nepal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Empirical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Payments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Dispute focus limited</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Sharma (2022)</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Bhattarai</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Nepal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Survey</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Customer satisfaction</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No risk perspective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Bhattarai (2022)</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Bhandari</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Nepal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Study</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Fraud risk</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No dispute integration</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Bhandari (2022)</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Neupane</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Nepal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Empirical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Dispute practices</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Lack of governance framework</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Neupane (2024)</w:t>
            </w:r>
          </w:p>
        </w:tc>
      </w:tr>
      <w:tr w:rsidR="00BC6F80" w:rsidRPr="00474E6C" w:rsidTr="00614626">
        <w:trPr>
          <w:tblCellSpacing w:w="15" w:type="dxa"/>
        </w:trPr>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Sayaju</w:t>
            </w:r>
            <w:proofErr w:type="spellEnd"/>
            <w:r w:rsidRPr="00474E6C">
              <w:rPr>
                <w:rFonts w:ascii="Arial" w:hAnsi="Arial" w:cs="Arial"/>
                <w:color w:val="000000"/>
              </w:rPr>
              <w:t xml:space="preserve"> &amp; </w:t>
            </w:r>
            <w:proofErr w:type="spellStart"/>
            <w:r w:rsidRPr="00474E6C">
              <w:rPr>
                <w:rFonts w:ascii="Arial" w:hAnsi="Arial" w:cs="Arial"/>
                <w:color w:val="000000"/>
              </w:rPr>
              <w:t>Dhakal</w:t>
            </w:r>
            <w:proofErr w:type="spellEnd"/>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Nepal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Empirical</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Operational Risk</w:t>
            </w:r>
          </w:p>
        </w:tc>
        <w:tc>
          <w:tcPr>
            <w:tcW w:w="0" w:type="auto"/>
            <w:vAlign w:val="center"/>
            <w:hideMark/>
          </w:tcPr>
          <w:p w:rsidR="00BC6F80" w:rsidRPr="00474E6C" w:rsidRDefault="00BC6F80" w:rsidP="00614626">
            <w:pPr>
              <w:rPr>
                <w:rFonts w:ascii="Arial" w:hAnsi="Arial" w:cs="Arial"/>
                <w:color w:val="000000"/>
              </w:rPr>
            </w:pPr>
            <w:r w:rsidRPr="00474E6C">
              <w:rPr>
                <w:rFonts w:ascii="Arial" w:hAnsi="Arial" w:cs="Arial"/>
                <w:color w:val="000000"/>
              </w:rPr>
              <w:t xml:space="preserve">No dispute integration </w:t>
            </w:r>
          </w:p>
        </w:tc>
        <w:tc>
          <w:tcPr>
            <w:tcW w:w="0" w:type="auto"/>
            <w:vAlign w:val="center"/>
            <w:hideMark/>
          </w:tcPr>
          <w:p w:rsidR="00BC6F80" w:rsidRPr="00474E6C" w:rsidRDefault="00BC6F80" w:rsidP="00614626">
            <w:pPr>
              <w:rPr>
                <w:rFonts w:ascii="Arial" w:hAnsi="Arial" w:cs="Arial"/>
                <w:color w:val="000000"/>
              </w:rPr>
            </w:pPr>
            <w:proofErr w:type="spellStart"/>
            <w:r w:rsidRPr="00474E6C">
              <w:rPr>
                <w:rFonts w:ascii="Arial" w:hAnsi="Arial" w:cs="Arial"/>
                <w:color w:val="000000"/>
              </w:rPr>
              <w:t>Sayaju</w:t>
            </w:r>
            <w:proofErr w:type="spellEnd"/>
            <w:r w:rsidRPr="00474E6C">
              <w:rPr>
                <w:rFonts w:ascii="Arial" w:hAnsi="Arial" w:cs="Arial"/>
                <w:color w:val="000000"/>
              </w:rPr>
              <w:t xml:space="preserve"> &amp; </w:t>
            </w:r>
            <w:proofErr w:type="spellStart"/>
            <w:r w:rsidRPr="00474E6C">
              <w:rPr>
                <w:rFonts w:ascii="Arial" w:hAnsi="Arial" w:cs="Arial"/>
                <w:color w:val="000000"/>
              </w:rPr>
              <w:t>Dhakal</w:t>
            </w:r>
            <w:proofErr w:type="spellEnd"/>
            <w:r w:rsidRPr="00474E6C">
              <w:rPr>
                <w:rFonts w:ascii="Arial" w:hAnsi="Arial" w:cs="Arial"/>
                <w:color w:val="000000"/>
              </w:rPr>
              <w:t xml:space="preserve"> (2024)</w:t>
            </w:r>
          </w:p>
        </w:tc>
      </w:tr>
      <w:tr w:rsidR="00BC6F80" w:rsidRPr="00474E6C" w:rsidTr="0025568D">
        <w:trPr>
          <w:trHeight w:val="2795"/>
          <w:tblCellSpacing w:w="15" w:type="dxa"/>
        </w:trPr>
        <w:tc>
          <w:tcPr>
            <w:tcW w:w="0" w:type="auto"/>
            <w:vAlign w:val="center"/>
          </w:tcPr>
          <w:p w:rsidR="00BC6F80" w:rsidRPr="00474E6C" w:rsidRDefault="00BC6F80" w:rsidP="00614626">
            <w:pPr>
              <w:rPr>
                <w:rFonts w:ascii="Arial" w:hAnsi="Arial" w:cs="Arial"/>
                <w:color w:val="000000"/>
              </w:rPr>
            </w:pPr>
            <w:r w:rsidRPr="00474E6C">
              <w:rPr>
                <w:rFonts w:ascii="Arial" w:hAnsi="Arial" w:cs="Arial"/>
                <w:b/>
                <w:bCs/>
                <w:color w:val="000000"/>
              </w:rPr>
              <w:t>Proposed Study</w:t>
            </w:r>
          </w:p>
        </w:tc>
        <w:tc>
          <w:tcPr>
            <w:tcW w:w="0" w:type="auto"/>
            <w:vAlign w:val="center"/>
          </w:tcPr>
          <w:p w:rsidR="00BC6F80" w:rsidRPr="00474E6C" w:rsidRDefault="00BC6F80" w:rsidP="00614626">
            <w:pPr>
              <w:rPr>
                <w:rFonts w:ascii="Arial" w:hAnsi="Arial" w:cs="Arial"/>
                <w:color w:val="000000"/>
              </w:rPr>
            </w:pPr>
            <w:r w:rsidRPr="00474E6C">
              <w:rPr>
                <w:rFonts w:ascii="Arial" w:hAnsi="Arial" w:cs="Arial"/>
                <w:color w:val="000000"/>
              </w:rPr>
              <w:t>Nepalese banks</w:t>
            </w:r>
          </w:p>
        </w:tc>
        <w:tc>
          <w:tcPr>
            <w:tcW w:w="0" w:type="auto"/>
            <w:vAlign w:val="center"/>
          </w:tcPr>
          <w:p w:rsidR="00BC6F80" w:rsidRPr="00474E6C" w:rsidRDefault="00BC6F80" w:rsidP="00614626">
            <w:pPr>
              <w:rPr>
                <w:rFonts w:ascii="Arial" w:hAnsi="Arial" w:cs="Arial"/>
                <w:color w:val="000000"/>
              </w:rPr>
            </w:pPr>
            <w:r w:rsidRPr="00474E6C">
              <w:rPr>
                <w:rFonts w:ascii="Arial" w:hAnsi="Arial" w:cs="Arial"/>
                <w:color w:val="000000"/>
              </w:rPr>
              <w:t>Empirical (qualitative/mixed)</w:t>
            </w:r>
          </w:p>
        </w:tc>
        <w:tc>
          <w:tcPr>
            <w:tcW w:w="0" w:type="auto"/>
            <w:vAlign w:val="center"/>
          </w:tcPr>
          <w:p w:rsidR="00BC6F80" w:rsidRPr="00474E6C" w:rsidRDefault="00BC6F80" w:rsidP="00614626">
            <w:pPr>
              <w:rPr>
                <w:rFonts w:ascii="Arial" w:hAnsi="Arial" w:cs="Arial"/>
                <w:color w:val="000000"/>
              </w:rPr>
            </w:pPr>
            <w:r w:rsidRPr="00474E6C">
              <w:rPr>
                <w:rFonts w:ascii="Arial" w:hAnsi="Arial" w:cs="Arial"/>
                <w:color w:val="000000"/>
              </w:rPr>
              <w:t>Operational risk governance of digital disputes</w:t>
            </w:r>
          </w:p>
        </w:tc>
        <w:tc>
          <w:tcPr>
            <w:tcW w:w="0" w:type="auto"/>
            <w:vAlign w:val="center"/>
          </w:tcPr>
          <w:p w:rsidR="00BC6F80" w:rsidRPr="00474E6C" w:rsidRDefault="00BC6F80" w:rsidP="00614626">
            <w:pPr>
              <w:rPr>
                <w:rFonts w:ascii="Arial" w:hAnsi="Arial" w:cs="Arial"/>
                <w:color w:val="000000"/>
              </w:rPr>
            </w:pPr>
            <w:r w:rsidRPr="00474E6C">
              <w:rPr>
                <w:rFonts w:ascii="Arial" w:hAnsi="Arial" w:cs="Arial"/>
                <w:color w:val="000000"/>
              </w:rPr>
              <w:t>Integrates dispute management with governance, addressing accountability, process inefficiency, and regulatory gaps</w:t>
            </w:r>
          </w:p>
        </w:tc>
        <w:tc>
          <w:tcPr>
            <w:tcW w:w="0" w:type="auto"/>
            <w:vAlign w:val="center"/>
          </w:tcPr>
          <w:p w:rsidR="00BC6F80" w:rsidRPr="00474E6C" w:rsidRDefault="00BC6F80" w:rsidP="00614626">
            <w:pPr>
              <w:rPr>
                <w:rFonts w:ascii="Arial" w:hAnsi="Arial" w:cs="Arial"/>
                <w:color w:val="000000"/>
              </w:rPr>
            </w:pPr>
            <w:r w:rsidRPr="00474E6C">
              <w:rPr>
                <w:rFonts w:ascii="Arial" w:hAnsi="Arial" w:cs="Arial"/>
                <w:i/>
                <w:iCs/>
                <w:color w:val="000000"/>
              </w:rPr>
              <w:t>This Study</w:t>
            </w:r>
          </w:p>
        </w:tc>
      </w:tr>
    </w:tbl>
    <w:p w:rsidR="00BC6F80" w:rsidRPr="00474E6C" w:rsidRDefault="00BC6F80">
      <w:pPr>
        <w:rPr>
          <w:rFonts w:ascii="Arial" w:hAnsi="Arial" w:cs="Arial"/>
          <w:color w:val="000000"/>
        </w:rPr>
      </w:pPr>
    </w:p>
    <w:p w:rsidR="008849A5" w:rsidRDefault="00BC6F80" w:rsidP="0025568D">
      <w:pPr>
        <w:jc w:val="both"/>
        <w:rPr>
          <w:rFonts w:ascii="Arial" w:hAnsi="Arial" w:cs="Arial"/>
          <w:color w:val="000000"/>
        </w:rPr>
      </w:pPr>
      <w:r w:rsidRPr="00474E6C">
        <w:rPr>
          <w:rFonts w:ascii="Arial" w:hAnsi="Arial" w:cs="Arial"/>
          <w:color w:val="000000"/>
        </w:rPr>
        <w:t>A recurring pattern in the literature is highlighted by the research gap matrix. Although current research offers insightful information about operational risk, service recovery, and digital banking, it mostly falls short of integrating these areas into a single governance framework. Particularly, there is a gap between dispute resolution procedures and risk governance frameworks because digital transaction disputes are not specifically thought of as operational risk incidents. Additionally, there is also a dearth of empirical data about the impact of governance structures on dispute resolution, particularly in developing banking environments like Nepal. This highlights the need for a study that fills both theoretical and practical gaps in the literature by looking at conflict management through the prism of operational risk governance.</w:t>
      </w:r>
    </w:p>
    <w:p w:rsidR="00444835" w:rsidRDefault="00444835" w:rsidP="0025568D">
      <w:pPr>
        <w:jc w:val="both"/>
        <w:rPr>
          <w:rFonts w:ascii="Arial" w:hAnsi="Arial" w:cs="Arial"/>
          <w:color w:val="000000"/>
        </w:rPr>
      </w:pPr>
    </w:p>
    <w:p w:rsidR="00444835" w:rsidRDefault="00444835" w:rsidP="0025568D">
      <w:pPr>
        <w:jc w:val="both"/>
        <w:rPr>
          <w:rFonts w:ascii="Arial" w:hAnsi="Arial" w:cs="Arial"/>
          <w:color w:val="000000"/>
        </w:rPr>
      </w:pPr>
      <w:r w:rsidRPr="00444835">
        <w:rPr>
          <w:rFonts w:ascii="Arial" w:hAnsi="Arial" w:cs="Arial"/>
          <w:color w:val="000000"/>
        </w:rPr>
        <w:t>In addition, the matrix shows that these gaps are interrelated rather than separate, indicating a systematic failure in the literature to conceptualize dispute management as an integrated governance phenomenon.</w:t>
      </w:r>
    </w:p>
    <w:p w:rsidR="00297885" w:rsidRDefault="00297885" w:rsidP="00444835">
      <w:pPr>
        <w:spacing w:before="100" w:beforeAutospacing="1" w:after="100" w:afterAutospacing="1"/>
        <w:outlineLvl w:val="2"/>
        <w:rPr>
          <w:b/>
          <w:bCs/>
          <w:color w:val="000000"/>
          <w:sz w:val="27"/>
          <w:szCs w:val="27"/>
        </w:rPr>
      </w:pPr>
    </w:p>
    <w:p w:rsidR="00444835" w:rsidRPr="00821157" w:rsidRDefault="00444835" w:rsidP="00444835">
      <w:pPr>
        <w:spacing w:before="100" w:beforeAutospacing="1" w:after="100" w:afterAutospacing="1"/>
        <w:outlineLvl w:val="2"/>
        <w:rPr>
          <w:b/>
          <w:bCs/>
          <w:color w:val="000000"/>
          <w:sz w:val="27"/>
          <w:szCs w:val="27"/>
        </w:rPr>
      </w:pPr>
      <w:bookmarkStart w:id="26" w:name="_Toc227498326"/>
      <w:r w:rsidRPr="00821157">
        <w:rPr>
          <w:b/>
          <w:bCs/>
          <w:color w:val="000000"/>
          <w:sz w:val="27"/>
          <w:szCs w:val="27"/>
        </w:rPr>
        <w:lastRenderedPageBreak/>
        <w:t>2.3.1 Gap Typology</w:t>
      </w:r>
      <w:bookmarkEnd w:id="26"/>
      <w:r w:rsidRPr="00821157">
        <w:rPr>
          <w:b/>
          <w:bCs/>
          <w:color w:val="000000"/>
          <w:sz w:val="27"/>
          <w:szCs w:val="27"/>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5"/>
        <w:gridCol w:w="6547"/>
      </w:tblGrid>
      <w:tr w:rsidR="00444835" w:rsidRPr="00821157" w:rsidTr="006A2FB2">
        <w:trPr>
          <w:tblHeader/>
          <w:tblCellSpacing w:w="15" w:type="dxa"/>
        </w:trPr>
        <w:tc>
          <w:tcPr>
            <w:tcW w:w="0" w:type="auto"/>
            <w:vAlign w:val="center"/>
            <w:hideMark/>
          </w:tcPr>
          <w:p w:rsidR="00444835" w:rsidRPr="00821157" w:rsidRDefault="00444835" w:rsidP="006A2FB2">
            <w:pPr>
              <w:jc w:val="center"/>
              <w:rPr>
                <w:b/>
                <w:bCs/>
              </w:rPr>
            </w:pPr>
            <w:r w:rsidRPr="00821157">
              <w:rPr>
                <w:b/>
                <w:bCs/>
              </w:rPr>
              <w:t>Gap Type</w:t>
            </w:r>
          </w:p>
        </w:tc>
        <w:tc>
          <w:tcPr>
            <w:tcW w:w="0" w:type="auto"/>
            <w:vAlign w:val="center"/>
            <w:hideMark/>
          </w:tcPr>
          <w:p w:rsidR="00444835" w:rsidRPr="00821157" w:rsidRDefault="00444835" w:rsidP="006A2FB2">
            <w:pPr>
              <w:jc w:val="center"/>
              <w:rPr>
                <w:b/>
                <w:bCs/>
              </w:rPr>
            </w:pPr>
            <w:r w:rsidRPr="00821157">
              <w:rPr>
                <w:b/>
                <w:bCs/>
              </w:rPr>
              <w:t>Description</w:t>
            </w:r>
          </w:p>
        </w:tc>
      </w:tr>
      <w:tr w:rsidR="00444835" w:rsidRPr="00821157" w:rsidTr="006A2FB2">
        <w:trPr>
          <w:tblCellSpacing w:w="15" w:type="dxa"/>
        </w:trPr>
        <w:tc>
          <w:tcPr>
            <w:tcW w:w="0" w:type="auto"/>
            <w:vAlign w:val="center"/>
            <w:hideMark/>
          </w:tcPr>
          <w:p w:rsidR="00444835" w:rsidRPr="00821157" w:rsidRDefault="00444835" w:rsidP="006A2FB2">
            <w:r w:rsidRPr="00821157">
              <w:t>Conceptual Gap</w:t>
            </w:r>
          </w:p>
        </w:tc>
        <w:tc>
          <w:tcPr>
            <w:tcW w:w="0" w:type="auto"/>
            <w:vAlign w:val="center"/>
            <w:hideMark/>
          </w:tcPr>
          <w:p w:rsidR="00444835" w:rsidRPr="00821157" w:rsidRDefault="00444835" w:rsidP="006A2FB2">
            <w:r w:rsidRPr="00821157">
              <w:t>Disputes not framed as operational risk events</w:t>
            </w:r>
          </w:p>
        </w:tc>
      </w:tr>
      <w:tr w:rsidR="00444835" w:rsidRPr="00821157" w:rsidTr="006A2FB2">
        <w:trPr>
          <w:tblCellSpacing w:w="15" w:type="dxa"/>
        </w:trPr>
        <w:tc>
          <w:tcPr>
            <w:tcW w:w="0" w:type="auto"/>
            <w:vAlign w:val="center"/>
            <w:hideMark/>
          </w:tcPr>
          <w:p w:rsidR="00444835" w:rsidRPr="00821157" w:rsidRDefault="00444835" w:rsidP="006A2FB2">
            <w:r w:rsidRPr="00821157">
              <w:t>Theoretical Gap</w:t>
            </w:r>
          </w:p>
        </w:tc>
        <w:tc>
          <w:tcPr>
            <w:tcW w:w="0" w:type="auto"/>
            <w:vAlign w:val="center"/>
            <w:hideMark/>
          </w:tcPr>
          <w:p w:rsidR="00444835" w:rsidRPr="00821157" w:rsidRDefault="00444835" w:rsidP="006A2FB2">
            <w:r w:rsidRPr="00821157">
              <w:t>Lack of integration between governance and dispute management</w:t>
            </w:r>
          </w:p>
        </w:tc>
      </w:tr>
      <w:tr w:rsidR="00444835" w:rsidRPr="00821157" w:rsidTr="006A2FB2">
        <w:trPr>
          <w:tblCellSpacing w:w="15" w:type="dxa"/>
        </w:trPr>
        <w:tc>
          <w:tcPr>
            <w:tcW w:w="0" w:type="auto"/>
            <w:vAlign w:val="center"/>
            <w:hideMark/>
          </w:tcPr>
          <w:p w:rsidR="00444835" w:rsidRPr="00821157" w:rsidRDefault="00444835" w:rsidP="006A2FB2">
            <w:r w:rsidRPr="00821157">
              <w:t>Empirical Gap</w:t>
            </w:r>
          </w:p>
        </w:tc>
        <w:tc>
          <w:tcPr>
            <w:tcW w:w="0" w:type="auto"/>
            <w:vAlign w:val="center"/>
            <w:hideMark/>
          </w:tcPr>
          <w:p w:rsidR="00444835" w:rsidRPr="00821157" w:rsidRDefault="00444835" w:rsidP="006A2FB2">
            <w:r w:rsidRPr="00821157">
              <w:t>Limited process-level studies on dispute resolution</w:t>
            </w:r>
          </w:p>
        </w:tc>
      </w:tr>
      <w:tr w:rsidR="00444835" w:rsidRPr="00821157" w:rsidTr="006A2FB2">
        <w:trPr>
          <w:tblCellSpacing w:w="15" w:type="dxa"/>
        </w:trPr>
        <w:tc>
          <w:tcPr>
            <w:tcW w:w="0" w:type="auto"/>
            <w:vAlign w:val="center"/>
            <w:hideMark/>
          </w:tcPr>
          <w:p w:rsidR="00444835" w:rsidRPr="00821157" w:rsidRDefault="00444835" w:rsidP="006A2FB2">
            <w:r w:rsidRPr="00821157">
              <w:t>Contextual Gap</w:t>
            </w:r>
          </w:p>
        </w:tc>
        <w:tc>
          <w:tcPr>
            <w:tcW w:w="0" w:type="auto"/>
            <w:vAlign w:val="center"/>
            <w:hideMark/>
          </w:tcPr>
          <w:p w:rsidR="00444835" w:rsidRPr="00821157" w:rsidRDefault="00444835" w:rsidP="006A2FB2">
            <w:r w:rsidRPr="00821157">
              <w:t>Nepalese banking sector underexplored</w:t>
            </w:r>
          </w:p>
        </w:tc>
      </w:tr>
    </w:tbl>
    <w:p w:rsidR="00444835" w:rsidRDefault="00444835" w:rsidP="00444835">
      <w:pPr>
        <w:ind w:firstLine="720"/>
        <w:rPr>
          <w:rFonts w:ascii="Arial" w:hAnsi="Arial" w:cs="Arial"/>
          <w:color w:val="000000"/>
        </w:rPr>
      </w:pPr>
    </w:p>
    <w:p w:rsidR="004E6D99" w:rsidRPr="00BD562D" w:rsidRDefault="00444835" w:rsidP="00BD562D">
      <w:pPr>
        <w:jc w:val="both"/>
        <w:rPr>
          <w:rFonts w:ascii="Arial" w:hAnsi="Arial" w:cs="Arial"/>
          <w:color w:val="000000"/>
        </w:rPr>
      </w:pPr>
      <w:r w:rsidRPr="00444835">
        <w:rPr>
          <w:rFonts w:ascii="Arial" w:hAnsi="Arial" w:cs="Arial"/>
          <w:color w:val="000000"/>
        </w:rPr>
        <w:t>The gaps that have been found can be divided into four categories: conceptual, theoretical, empirical, and contextual. By differentiating between problems in context-specific research, a lack of empirical data, and limits in current theory, this classification improves analytical clarity. By outlining the study's main contribution, it also improves its standing.</w:t>
      </w:r>
    </w:p>
    <w:p w:rsidR="00974BD5" w:rsidRDefault="00BC6F80" w:rsidP="00974BD5">
      <w:pPr>
        <w:pStyle w:val="Heading2"/>
        <w:rPr>
          <w:rStyle w:val="apple-converted-space"/>
          <w:rFonts w:asciiTheme="majorHAnsi" w:hAnsiTheme="majorHAnsi" w:cstheme="majorHAnsi"/>
          <w:color w:val="000000"/>
          <w:sz w:val="28"/>
          <w:szCs w:val="28"/>
        </w:rPr>
      </w:pPr>
      <w:bookmarkStart w:id="27" w:name="_Toc227498327"/>
      <w:r w:rsidRPr="00974BD5">
        <w:rPr>
          <w:rFonts w:asciiTheme="majorHAnsi" w:hAnsiTheme="majorHAnsi" w:cstheme="majorHAnsi"/>
          <w:sz w:val="28"/>
          <w:szCs w:val="28"/>
        </w:rPr>
        <w:t>2.4 Positioning Research Gaps: Gap Matrix</w:t>
      </w:r>
      <w:bookmarkEnd w:id="27"/>
      <w:r w:rsidRPr="00974BD5">
        <w:rPr>
          <w:rStyle w:val="apple-converted-space"/>
          <w:rFonts w:asciiTheme="majorHAnsi" w:hAnsiTheme="majorHAnsi" w:cstheme="majorHAnsi"/>
          <w:color w:val="000000"/>
          <w:sz w:val="28"/>
          <w:szCs w:val="28"/>
        </w:rPr>
        <w:t> </w:t>
      </w:r>
    </w:p>
    <w:p w:rsidR="00BC6F80" w:rsidRPr="008849A5" w:rsidRDefault="00BC6F80" w:rsidP="0025568D">
      <w:pPr>
        <w:jc w:val="both"/>
        <w:rPr>
          <w:rFonts w:ascii="Arial" w:hAnsi="Arial" w:cs="Arial"/>
          <w:sz w:val="28"/>
          <w:szCs w:val="28"/>
        </w:rPr>
      </w:pPr>
      <w:r w:rsidRPr="008849A5">
        <w:rPr>
          <w:rFonts w:ascii="Arial" w:hAnsi="Arial" w:cs="Arial"/>
        </w:rPr>
        <w:t>A research gap matrix is created in order to summarize the examined literature and identify important research gaps. This matrix allows for the systematic identification of areas that need more investigation by evaluating previous studies according to their academic merit and practical usefulness. In DBA research, where both theoretical input and practical application are crucial, this is especially crucial.</w:t>
      </w:r>
    </w:p>
    <w:p w:rsidR="00CE33D3" w:rsidRDefault="00974BD5" w:rsidP="008B3490">
      <w:pPr>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p>
    <w:p w:rsidR="00BC6F80" w:rsidRPr="00474E6C" w:rsidRDefault="00BC6F80">
      <w:pPr>
        <w:rPr>
          <w:rFonts w:ascii="Arial" w:hAnsi="Arial" w:cs="Arial"/>
          <w:color w:val="000000"/>
        </w:rPr>
      </w:pPr>
      <w:r w:rsidRPr="00474E6C">
        <w:rPr>
          <w:rFonts w:ascii="Arial" w:hAnsi="Arial" w:cs="Arial"/>
          <w:color w:val="000000"/>
        </w:rPr>
        <w:t>High</w:t>
      </w:r>
    </w:p>
    <w:p w:rsidR="00BC6F80" w:rsidRPr="00474E6C" w:rsidRDefault="00BC6F80">
      <w:pPr>
        <w:rPr>
          <w:rFonts w:ascii="Arial" w:hAnsi="Arial" w:cs="Arial"/>
          <w:noProof/>
          <w:color w:val="000000"/>
        </w:rPr>
      </w:pPr>
      <w:r w:rsidRPr="00474E6C">
        <w:rPr>
          <w:rFonts w:ascii="Arial" w:hAnsi="Arial" w:cs="Arial"/>
          <w:noProof/>
          <w:color w:val="000000"/>
        </w:rPr>
        <mc:AlternateContent>
          <mc:Choice Requires="wps">
            <w:drawing>
              <wp:anchor distT="0" distB="0" distL="114300" distR="114300" simplePos="0" relativeHeight="251660288" behindDoc="0" locked="0" layoutInCell="1" allowOverlap="1">
                <wp:simplePos x="0" y="0"/>
                <wp:positionH relativeFrom="column">
                  <wp:posOffset>31898</wp:posOffset>
                </wp:positionH>
                <wp:positionV relativeFrom="paragraph">
                  <wp:posOffset>3670594</wp:posOffset>
                </wp:positionV>
                <wp:extent cx="4933507" cy="45719"/>
                <wp:effectExtent l="0" t="25400" r="57785" b="69215"/>
                <wp:wrapNone/>
                <wp:docPr id="1784489431" name="Straight Arrow Connector 2"/>
                <wp:cNvGraphicFramePr/>
                <a:graphic xmlns:a="http://schemas.openxmlformats.org/drawingml/2006/main">
                  <a:graphicData uri="http://schemas.microsoft.com/office/word/2010/wordprocessingShape">
                    <wps:wsp>
                      <wps:cNvCnPr/>
                      <wps:spPr>
                        <a:xfrm>
                          <a:off x="0" y="0"/>
                          <a:ext cx="493350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04C94A" id="_x0000_t32" coordsize="21600,21600" o:spt="32" o:oned="t" path="m,l21600,21600e" filled="f">
                <v:path arrowok="t" fillok="f" o:connecttype="none"/>
                <o:lock v:ext="edit" shapetype="t"/>
              </v:shapetype>
              <v:shape id="Straight Arrow Connector 2" o:spid="_x0000_s1026" type="#_x0000_t32" style="position:absolute;margin-left:2.5pt;margin-top:289pt;width:388.4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" strokecolor="#4472c4 [3204]" strokeweight=".5pt">
                <v:stroke endarrow="block" joinstyle="miter"/>
              </v:shape>
            </w:pict>
          </mc:Fallback>
        </mc:AlternateContent>
      </w:r>
      <w:r w:rsidRPr="00474E6C">
        <w:rPr>
          <w:rFonts w:ascii="Arial" w:hAnsi="Arial" w:cs="Arial"/>
          <w:noProof/>
          <w:color w:val="000000"/>
        </w:rPr>
        <mc:AlternateContent>
          <mc:Choice Requires="wps">
            <w:drawing>
              <wp:anchor distT="0" distB="0" distL="114300" distR="114300" simplePos="0" relativeHeight="251659264" behindDoc="0" locked="0" layoutInCell="1" allowOverlap="1">
                <wp:simplePos x="0" y="0"/>
                <wp:positionH relativeFrom="column">
                  <wp:posOffset>-11563</wp:posOffset>
                </wp:positionH>
                <wp:positionV relativeFrom="paragraph">
                  <wp:posOffset>240222</wp:posOffset>
                </wp:positionV>
                <wp:extent cx="45719" cy="3434110"/>
                <wp:effectExtent l="63500" t="25400" r="43815" b="7620"/>
                <wp:wrapNone/>
                <wp:docPr id="385923479" name="Straight Arrow Connector 1"/>
                <wp:cNvGraphicFramePr/>
                <a:graphic xmlns:a="http://schemas.openxmlformats.org/drawingml/2006/main">
                  <a:graphicData uri="http://schemas.microsoft.com/office/word/2010/wordprocessingShape">
                    <wps:wsp>
                      <wps:cNvCnPr/>
                      <wps:spPr>
                        <a:xfrm flipH="1" flipV="1">
                          <a:off x="0" y="0"/>
                          <a:ext cx="45719" cy="3434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6600BE" id="Straight Arrow Connector 1" o:spid="_x0000_s1026" type="#_x0000_t32" style="position:absolute;margin-left:-.9pt;margin-top:18.9pt;width:3.6pt;height:270.4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" strokecolor="#4472c4 [3204]" strokeweight=".5pt">
                <v:stroke endarrow="block" joinstyle="miter"/>
              </v:shape>
            </w:pict>
          </mc:Fallback>
        </mc:AlternateContent>
      </w:r>
      <w:r w:rsidRPr="00474E6C">
        <w:rPr>
          <w:rFonts w:ascii="Arial" w:hAnsi="Arial" w:cs="Arial"/>
          <w:noProof/>
          <w:color w:val="000000"/>
        </w:rPr>
        <w:drawing>
          <wp:inline distT="0" distB="0" distL="0" distR="0" wp14:anchorId="15562FA9" wp14:editId="266F32D3">
            <wp:extent cx="5901396" cy="3934046"/>
            <wp:effectExtent l="0" t="0" r="4445" b="3175"/>
            <wp:docPr id="13018294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29406" name="Picture 1301829406"/>
                    <pic:cNvPicPr/>
                  </pic:nvPicPr>
                  <pic:blipFill>
                    <a:blip r:embed="rId12">
                      <a:extLst>
                        <a:ext uri="{28A0092B-C50C-407E-A947-70E740481C1C}">
                          <a14:useLocalDpi xmlns:a14="http://schemas.microsoft.com/office/drawing/2010/main" val="0"/>
                        </a:ext>
                      </a:extLst>
                    </a:blip>
                    <a:stretch>
                      <a:fillRect/>
                    </a:stretch>
                  </pic:blipFill>
                  <pic:spPr>
                    <a:xfrm>
                      <a:off x="0" y="0"/>
                      <a:ext cx="5926735" cy="3950938"/>
                    </a:xfrm>
                    <a:prstGeom prst="rect">
                      <a:avLst/>
                    </a:prstGeom>
                  </pic:spPr>
                </pic:pic>
              </a:graphicData>
            </a:graphic>
          </wp:inline>
        </w:drawing>
      </w:r>
    </w:p>
    <w:p w:rsidR="00974BD5" w:rsidRPr="002D6299" w:rsidRDefault="00BC6F80" w:rsidP="002D6299">
      <w:pPr>
        <w:jc w:val="center"/>
        <w:rPr>
          <w:rFonts w:ascii="Arial" w:hAnsi="Arial" w:cs="Arial"/>
        </w:rPr>
      </w:pPr>
      <w:r w:rsidRPr="00474E6C">
        <w:rPr>
          <w:rFonts w:ascii="Arial" w:hAnsi="Arial" w:cs="Arial"/>
        </w:rPr>
        <w:t>Low</w:t>
      </w:r>
      <w:r w:rsidRPr="00474E6C">
        <w:rPr>
          <w:rFonts w:ascii="Arial" w:hAnsi="Arial" w:cs="Arial"/>
        </w:rPr>
        <w:tab/>
      </w:r>
      <w:r w:rsidR="00974BD5">
        <w:rPr>
          <w:rFonts w:ascii="Arial" w:hAnsi="Arial" w:cs="Arial"/>
        </w:rPr>
        <w:t xml:space="preserve">            </w:t>
      </w:r>
      <w:r w:rsidR="00901559">
        <w:rPr>
          <w:rFonts w:ascii="Arial" w:hAnsi="Arial" w:cs="Arial"/>
        </w:rPr>
        <w:tab/>
      </w:r>
      <w:r w:rsidR="00901559">
        <w:rPr>
          <w:rFonts w:ascii="Arial" w:hAnsi="Arial" w:cs="Arial"/>
        </w:rPr>
        <w:tab/>
      </w:r>
      <w:r w:rsidR="00901559">
        <w:rPr>
          <w:rFonts w:ascii="Arial" w:hAnsi="Arial" w:cs="Arial"/>
        </w:rPr>
        <w:tab/>
      </w:r>
      <w:r w:rsidR="00901559">
        <w:rPr>
          <w:rFonts w:ascii="Arial" w:hAnsi="Arial" w:cs="Arial"/>
        </w:rPr>
        <w:tab/>
      </w:r>
      <w:r w:rsidR="00901559">
        <w:rPr>
          <w:rFonts w:ascii="Arial" w:hAnsi="Arial" w:cs="Arial"/>
        </w:rPr>
        <w:tab/>
      </w:r>
      <w:r w:rsidR="00901559">
        <w:rPr>
          <w:rFonts w:ascii="Arial" w:hAnsi="Arial" w:cs="Arial"/>
        </w:rPr>
        <w:tab/>
      </w:r>
      <w:r w:rsidR="00901559">
        <w:rPr>
          <w:rFonts w:ascii="Arial" w:hAnsi="Arial" w:cs="Arial"/>
        </w:rPr>
        <w:tab/>
      </w:r>
      <w:r w:rsidR="00901559">
        <w:rPr>
          <w:rFonts w:ascii="Arial" w:hAnsi="Arial" w:cs="Arial"/>
        </w:rPr>
        <w:tab/>
      </w:r>
      <w:r w:rsidR="00901559">
        <w:rPr>
          <w:rFonts w:ascii="Arial" w:hAnsi="Arial" w:cs="Arial"/>
        </w:rPr>
        <w:tab/>
        <w:t>High</w:t>
      </w:r>
      <w:r w:rsidR="007C581B">
        <w:rPr>
          <w:rFonts w:ascii="Arial" w:hAnsi="Arial" w:cs="Arial"/>
        </w:rPr>
        <w:t xml:space="preserve"> </w:t>
      </w:r>
      <w:r w:rsidR="00974BD5" w:rsidRPr="00901559">
        <w:rPr>
          <w:rStyle w:val="Heading2Char"/>
          <w:rFonts w:asciiTheme="majorHAnsi" w:eastAsiaTheme="majorEastAsia" w:hAnsiTheme="majorHAnsi" w:cstheme="majorBidi"/>
          <w:b w:val="0"/>
          <w:bCs w:val="0"/>
          <w:kern w:val="2"/>
          <w:sz w:val="24"/>
          <w:szCs w:val="24"/>
          <w14:ligatures w14:val="standardContextual"/>
        </w:rPr>
        <w:t>Figure 2.</w:t>
      </w:r>
      <w:r w:rsidR="006E36E6">
        <w:rPr>
          <w:rStyle w:val="Heading2Char"/>
          <w:rFonts w:asciiTheme="majorHAnsi" w:eastAsiaTheme="majorEastAsia" w:hAnsiTheme="majorHAnsi" w:cstheme="majorBidi"/>
          <w:b w:val="0"/>
          <w:bCs w:val="0"/>
          <w:kern w:val="2"/>
          <w:sz w:val="24"/>
          <w:szCs w:val="24"/>
          <w14:ligatures w14:val="standardContextual"/>
        </w:rPr>
        <w:t xml:space="preserve">4 </w:t>
      </w:r>
      <w:r w:rsidR="00974BD5" w:rsidRPr="00901559">
        <w:rPr>
          <w:rStyle w:val="Heading2Char"/>
          <w:rFonts w:asciiTheme="majorHAnsi" w:eastAsiaTheme="majorEastAsia" w:hAnsiTheme="majorHAnsi" w:cstheme="majorBidi"/>
          <w:b w:val="0"/>
          <w:bCs w:val="0"/>
          <w:kern w:val="2"/>
          <w:sz w:val="24"/>
          <w:szCs w:val="24"/>
          <w14:ligatures w14:val="standardContextual"/>
        </w:rPr>
        <w:t>Research Gap Matrix</w:t>
      </w:r>
    </w:p>
    <w:p w:rsidR="003F4170" w:rsidRDefault="003F4170" w:rsidP="0025568D">
      <w:pPr>
        <w:jc w:val="both"/>
        <w:rPr>
          <w:rFonts w:ascii="Arial" w:hAnsi="Arial" w:cs="Arial"/>
          <w:color w:val="000000"/>
        </w:rPr>
      </w:pPr>
      <w:r w:rsidRPr="00474E6C">
        <w:rPr>
          <w:rFonts w:ascii="Arial" w:hAnsi="Arial" w:cs="Arial"/>
          <w:color w:val="000000"/>
        </w:rPr>
        <w:lastRenderedPageBreak/>
        <w:t>The extant literature is arranged according to its academic significance and practical relevance in the research gap matrix. According to the investigation, operational risk governance frameworks are still not effectively connected with the well-developed literature on digital banking and service recovery. Particularly, there is little theoretical and practical alignment because digital transaction disagreements are frequently handled as customer service problems rather than as operational risk occurrences. This makes it possible to investigate how governance measures can improve dispute resolution procedures, especially in developing financial environments like Nepal.</w:t>
      </w:r>
    </w:p>
    <w:p w:rsidR="00444835" w:rsidRDefault="00444835" w:rsidP="0025568D">
      <w:pPr>
        <w:jc w:val="both"/>
        <w:rPr>
          <w:rFonts w:ascii="Arial" w:hAnsi="Arial" w:cs="Arial"/>
          <w:color w:val="000000"/>
        </w:rPr>
      </w:pPr>
    </w:p>
    <w:p w:rsidR="00CE33D3" w:rsidRPr="002D6299" w:rsidRDefault="00444835" w:rsidP="002D6299">
      <w:pPr>
        <w:jc w:val="both"/>
        <w:rPr>
          <w:rFonts w:ascii="Arial" w:hAnsi="Arial" w:cs="Arial"/>
          <w:color w:val="000000"/>
        </w:rPr>
      </w:pPr>
      <w:r w:rsidRPr="00444835">
        <w:rPr>
          <w:rFonts w:ascii="Arial" w:hAnsi="Arial" w:cs="Arial"/>
          <w:color w:val="000000"/>
        </w:rPr>
        <w:t>The gap matrix identifies a crucial research opportunity to create an integrated framework that links digital systems, operational risk, and governance mechanisms in the context of digital payment dispute management, especially in developing banking environments like Nepal. This stance supports the claim that current literature, especially when it comes to elucidating dispute management within governance systems, lacks both theoretical integration and practical relevance.</w:t>
      </w:r>
    </w:p>
    <w:p w:rsidR="003F4170" w:rsidRPr="00974BD5" w:rsidRDefault="003F4170" w:rsidP="00974BD5">
      <w:pPr>
        <w:pStyle w:val="Heading2"/>
        <w:rPr>
          <w:rFonts w:asciiTheme="majorHAnsi" w:hAnsiTheme="majorHAnsi" w:cstheme="majorHAnsi"/>
          <w:sz w:val="28"/>
          <w:szCs w:val="28"/>
        </w:rPr>
      </w:pPr>
      <w:bookmarkStart w:id="28" w:name="_Toc227498328"/>
      <w:r w:rsidRPr="00974BD5">
        <w:rPr>
          <w:rFonts w:asciiTheme="majorHAnsi" w:hAnsiTheme="majorHAnsi" w:cstheme="majorHAnsi"/>
          <w:sz w:val="28"/>
          <w:szCs w:val="28"/>
        </w:rPr>
        <w:t>2.5 Timeframe Analysis</w:t>
      </w:r>
      <w:bookmarkEnd w:id="2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7"/>
        <w:gridCol w:w="2442"/>
        <w:gridCol w:w="3378"/>
      </w:tblGrid>
      <w:tr w:rsidR="003F4170" w:rsidRPr="00474E6C" w:rsidTr="00614626">
        <w:trPr>
          <w:tblHeader/>
          <w:tblCellSpacing w:w="15" w:type="dxa"/>
        </w:trPr>
        <w:tc>
          <w:tcPr>
            <w:tcW w:w="0" w:type="auto"/>
            <w:vAlign w:val="center"/>
            <w:hideMark/>
          </w:tcPr>
          <w:p w:rsidR="003F4170" w:rsidRPr="00474E6C" w:rsidRDefault="003F4170" w:rsidP="00614626">
            <w:pPr>
              <w:jc w:val="center"/>
              <w:rPr>
                <w:rFonts w:ascii="Arial" w:hAnsi="Arial" w:cs="Arial"/>
                <w:b/>
                <w:bCs/>
              </w:rPr>
            </w:pPr>
            <w:r w:rsidRPr="00474E6C">
              <w:rPr>
                <w:rFonts w:ascii="Arial" w:hAnsi="Arial" w:cs="Arial"/>
                <w:b/>
                <w:bCs/>
              </w:rPr>
              <w:t>Period</w:t>
            </w:r>
          </w:p>
        </w:tc>
        <w:tc>
          <w:tcPr>
            <w:tcW w:w="0" w:type="auto"/>
            <w:vAlign w:val="center"/>
            <w:hideMark/>
          </w:tcPr>
          <w:p w:rsidR="003F4170" w:rsidRPr="00474E6C" w:rsidRDefault="003F4170" w:rsidP="00614626">
            <w:pPr>
              <w:jc w:val="center"/>
              <w:rPr>
                <w:rFonts w:ascii="Arial" w:hAnsi="Arial" w:cs="Arial"/>
                <w:b/>
                <w:bCs/>
              </w:rPr>
            </w:pPr>
            <w:r w:rsidRPr="00474E6C">
              <w:rPr>
                <w:rFonts w:ascii="Arial" w:hAnsi="Arial" w:cs="Arial"/>
                <w:b/>
                <w:bCs/>
              </w:rPr>
              <w:t>Focus</w:t>
            </w:r>
          </w:p>
        </w:tc>
        <w:tc>
          <w:tcPr>
            <w:tcW w:w="0" w:type="auto"/>
            <w:vAlign w:val="center"/>
            <w:hideMark/>
          </w:tcPr>
          <w:p w:rsidR="003F4170" w:rsidRPr="00474E6C" w:rsidRDefault="003F4170" w:rsidP="00614626">
            <w:pPr>
              <w:jc w:val="center"/>
              <w:rPr>
                <w:rFonts w:ascii="Arial" w:hAnsi="Arial" w:cs="Arial"/>
                <w:b/>
                <w:bCs/>
              </w:rPr>
            </w:pPr>
            <w:r w:rsidRPr="00474E6C">
              <w:rPr>
                <w:rFonts w:ascii="Arial" w:hAnsi="Arial" w:cs="Arial"/>
                <w:b/>
                <w:bCs/>
              </w:rPr>
              <w:t>Limitation</w:t>
            </w:r>
          </w:p>
        </w:tc>
      </w:tr>
      <w:tr w:rsidR="003F4170" w:rsidRPr="00474E6C" w:rsidTr="00614626">
        <w:trPr>
          <w:tblCellSpacing w:w="15" w:type="dxa"/>
        </w:trPr>
        <w:tc>
          <w:tcPr>
            <w:tcW w:w="0" w:type="auto"/>
            <w:vAlign w:val="center"/>
            <w:hideMark/>
          </w:tcPr>
          <w:p w:rsidR="003F4170" w:rsidRPr="00474E6C" w:rsidRDefault="003F4170" w:rsidP="00614626">
            <w:pPr>
              <w:rPr>
                <w:rFonts w:ascii="Arial" w:hAnsi="Arial" w:cs="Arial"/>
              </w:rPr>
            </w:pPr>
            <w:r w:rsidRPr="00474E6C">
              <w:rPr>
                <w:rFonts w:ascii="Arial" w:hAnsi="Arial" w:cs="Arial"/>
              </w:rPr>
              <w:t>Pre-2010</w:t>
            </w:r>
          </w:p>
        </w:tc>
        <w:tc>
          <w:tcPr>
            <w:tcW w:w="0" w:type="auto"/>
            <w:vAlign w:val="center"/>
            <w:hideMark/>
          </w:tcPr>
          <w:p w:rsidR="003F4170" w:rsidRPr="00474E6C" w:rsidRDefault="003F4170" w:rsidP="00614626">
            <w:pPr>
              <w:rPr>
                <w:rFonts w:ascii="Arial" w:hAnsi="Arial" w:cs="Arial"/>
              </w:rPr>
            </w:pPr>
            <w:r w:rsidRPr="00474E6C">
              <w:rPr>
                <w:rFonts w:ascii="Arial" w:hAnsi="Arial" w:cs="Arial"/>
              </w:rPr>
              <w:t>Risk frameworks</w:t>
            </w:r>
          </w:p>
        </w:tc>
        <w:tc>
          <w:tcPr>
            <w:tcW w:w="0" w:type="auto"/>
            <w:vAlign w:val="center"/>
            <w:hideMark/>
          </w:tcPr>
          <w:p w:rsidR="003F4170" w:rsidRPr="00474E6C" w:rsidRDefault="003F4170" w:rsidP="00614626">
            <w:pPr>
              <w:rPr>
                <w:rFonts w:ascii="Arial" w:hAnsi="Arial" w:cs="Arial"/>
              </w:rPr>
            </w:pPr>
            <w:r w:rsidRPr="00474E6C">
              <w:rPr>
                <w:rFonts w:ascii="Arial" w:hAnsi="Arial" w:cs="Arial"/>
              </w:rPr>
              <w:t>No digital context</w:t>
            </w:r>
          </w:p>
        </w:tc>
      </w:tr>
      <w:tr w:rsidR="003F4170" w:rsidRPr="00474E6C" w:rsidTr="00614626">
        <w:trPr>
          <w:tblCellSpacing w:w="15" w:type="dxa"/>
        </w:trPr>
        <w:tc>
          <w:tcPr>
            <w:tcW w:w="0" w:type="auto"/>
            <w:vAlign w:val="center"/>
            <w:hideMark/>
          </w:tcPr>
          <w:p w:rsidR="003F4170" w:rsidRPr="00474E6C" w:rsidRDefault="003F4170" w:rsidP="00614626">
            <w:pPr>
              <w:rPr>
                <w:rFonts w:ascii="Arial" w:hAnsi="Arial" w:cs="Arial"/>
              </w:rPr>
            </w:pPr>
            <w:r w:rsidRPr="00474E6C">
              <w:rPr>
                <w:rFonts w:ascii="Arial" w:hAnsi="Arial" w:cs="Arial"/>
              </w:rPr>
              <w:t>2010–2020</w:t>
            </w:r>
          </w:p>
        </w:tc>
        <w:tc>
          <w:tcPr>
            <w:tcW w:w="0" w:type="auto"/>
            <w:vAlign w:val="center"/>
            <w:hideMark/>
          </w:tcPr>
          <w:p w:rsidR="003F4170" w:rsidRPr="00474E6C" w:rsidRDefault="003F4170" w:rsidP="00614626">
            <w:pPr>
              <w:rPr>
                <w:rFonts w:ascii="Arial" w:hAnsi="Arial" w:cs="Arial"/>
              </w:rPr>
            </w:pPr>
            <w:r w:rsidRPr="00474E6C">
              <w:rPr>
                <w:rFonts w:ascii="Arial" w:hAnsi="Arial" w:cs="Arial"/>
              </w:rPr>
              <w:t>Digital banking growth</w:t>
            </w:r>
          </w:p>
        </w:tc>
        <w:tc>
          <w:tcPr>
            <w:tcW w:w="0" w:type="auto"/>
            <w:vAlign w:val="center"/>
            <w:hideMark/>
          </w:tcPr>
          <w:p w:rsidR="003F4170" w:rsidRPr="00474E6C" w:rsidRDefault="003F4170" w:rsidP="00614626">
            <w:pPr>
              <w:rPr>
                <w:rFonts w:ascii="Arial" w:hAnsi="Arial" w:cs="Arial"/>
              </w:rPr>
            </w:pPr>
            <w:r w:rsidRPr="00474E6C">
              <w:rPr>
                <w:rFonts w:ascii="Arial" w:hAnsi="Arial" w:cs="Arial"/>
              </w:rPr>
              <w:t>Weak dispute focus</w:t>
            </w:r>
          </w:p>
        </w:tc>
      </w:tr>
      <w:tr w:rsidR="003F4170" w:rsidRPr="00474E6C" w:rsidTr="00614626">
        <w:trPr>
          <w:tblCellSpacing w:w="15" w:type="dxa"/>
        </w:trPr>
        <w:tc>
          <w:tcPr>
            <w:tcW w:w="0" w:type="auto"/>
            <w:vAlign w:val="center"/>
            <w:hideMark/>
          </w:tcPr>
          <w:p w:rsidR="003F4170" w:rsidRPr="00474E6C" w:rsidRDefault="003F4170" w:rsidP="00614626">
            <w:pPr>
              <w:rPr>
                <w:rFonts w:ascii="Arial" w:hAnsi="Arial" w:cs="Arial"/>
              </w:rPr>
            </w:pPr>
            <w:r w:rsidRPr="00474E6C">
              <w:rPr>
                <w:rFonts w:ascii="Arial" w:hAnsi="Arial" w:cs="Arial"/>
              </w:rPr>
              <w:t>2020–2026</w:t>
            </w:r>
          </w:p>
        </w:tc>
        <w:tc>
          <w:tcPr>
            <w:tcW w:w="0" w:type="auto"/>
            <w:vAlign w:val="center"/>
            <w:hideMark/>
          </w:tcPr>
          <w:p w:rsidR="003F4170" w:rsidRPr="00474E6C" w:rsidRDefault="003F4170" w:rsidP="00614626">
            <w:pPr>
              <w:rPr>
                <w:rFonts w:ascii="Arial" w:hAnsi="Arial" w:cs="Arial"/>
              </w:rPr>
            </w:pPr>
            <w:r w:rsidRPr="00474E6C">
              <w:rPr>
                <w:rFonts w:ascii="Arial" w:hAnsi="Arial" w:cs="Arial"/>
              </w:rPr>
              <w:t>Digital risk expansion</w:t>
            </w:r>
          </w:p>
        </w:tc>
        <w:tc>
          <w:tcPr>
            <w:tcW w:w="0" w:type="auto"/>
            <w:vAlign w:val="center"/>
            <w:hideMark/>
          </w:tcPr>
          <w:p w:rsidR="003F4170" w:rsidRPr="00474E6C" w:rsidRDefault="003F4170" w:rsidP="00614626">
            <w:pPr>
              <w:rPr>
                <w:rFonts w:ascii="Arial" w:hAnsi="Arial" w:cs="Arial"/>
              </w:rPr>
            </w:pPr>
            <w:r w:rsidRPr="00474E6C">
              <w:rPr>
                <w:rFonts w:ascii="Arial" w:hAnsi="Arial" w:cs="Arial"/>
              </w:rPr>
              <w:t>Lack of governance integration</w:t>
            </w:r>
          </w:p>
        </w:tc>
      </w:tr>
    </w:tbl>
    <w:p w:rsidR="003F4170" w:rsidRPr="00474E6C" w:rsidRDefault="003F4170" w:rsidP="00BC6F80">
      <w:pPr>
        <w:rPr>
          <w:rFonts w:ascii="Arial" w:hAnsi="Arial" w:cs="Arial"/>
        </w:rPr>
      </w:pPr>
    </w:p>
    <w:p w:rsidR="003F4170" w:rsidRPr="00474E6C" w:rsidRDefault="003F4170" w:rsidP="0025568D">
      <w:pPr>
        <w:jc w:val="both"/>
        <w:rPr>
          <w:rFonts w:ascii="Arial" w:hAnsi="Arial" w:cs="Arial"/>
          <w:color w:val="000000"/>
        </w:rPr>
      </w:pPr>
      <w:r w:rsidRPr="00474E6C">
        <w:rPr>
          <w:rFonts w:ascii="Arial" w:hAnsi="Arial" w:cs="Arial"/>
          <w:color w:val="000000"/>
        </w:rPr>
        <w:t xml:space="preserve">The timeframe analysis shows a distinct shift in the literature from conventional risk management frameworks to a focus on hazards associated with digital banking and fintech. Early research gave little thought to digital systems and instead concentrated on governance frameworks and control methods. The expansion of digital banking and its operational ramifications were studied later, although transaction disputes were not sufficiently investigated. Even though more recent research emphasizes the dangers of digital transformation, operational risk frameworks, governance procedures, and digital transaction conflicts are still not well integrated. This suggests that there are still major conceptual and practical gaps in the discipline despite notable advancements. This development implies that although the literature has changed in reaction to the digital revolution, it has not kept up with the governance implications of dispute resolution. Despite growing digital use, governance integration in digital dispute management is still weak, according to recent research conducted in Nepal (Neupane, 2024; </w:t>
      </w:r>
      <w:proofErr w:type="spellStart"/>
      <w:r w:rsidRPr="00474E6C">
        <w:rPr>
          <w:rFonts w:ascii="Arial" w:hAnsi="Arial" w:cs="Arial"/>
          <w:color w:val="000000"/>
        </w:rPr>
        <w:t>Sayaju</w:t>
      </w:r>
      <w:proofErr w:type="spellEnd"/>
      <w:r w:rsidRPr="00474E6C">
        <w:rPr>
          <w:rFonts w:ascii="Arial" w:hAnsi="Arial" w:cs="Arial"/>
          <w:color w:val="000000"/>
        </w:rPr>
        <w:t xml:space="preserve"> and </w:t>
      </w:r>
      <w:proofErr w:type="spellStart"/>
      <w:r w:rsidRPr="00474E6C">
        <w:rPr>
          <w:rFonts w:ascii="Arial" w:hAnsi="Arial" w:cs="Arial"/>
          <w:color w:val="000000"/>
        </w:rPr>
        <w:t>Dhakal</w:t>
      </w:r>
      <w:proofErr w:type="spellEnd"/>
      <w:r w:rsidRPr="00474E6C">
        <w:rPr>
          <w:rFonts w:ascii="Arial" w:hAnsi="Arial" w:cs="Arial"/>
          <w:color w:val="000000"/>
        </w:rPr>
        <w:t>, 2024).</w:t>
      </w:r>
    </w:p>
    <w:p w:rsidR="003F4170" w:rsidRPr="00474E6C" w:rsidRDefault="003F4170" w:rsidP="0025568D">
      <w:pPr>
        <w:jc w:val="both"/>
        <w:rPr>
          <w:rFonts w:ascii="Arial" w:hAnsi="Arial" w:cs="Arial"/>
          <w:color w:val="000000"/>
        </w:rPr>
      </w:pPr>
    </w:p>
    <w:p w:rsidR="003F4170" w:rsidRPr="00974BD5" w:rsidRDefault="003F4170" w:rsidP="00974BD5">
      <w:pPr>
        <w:pStyle w:val="Heading2"/>
        <w:rPr>
          <w:rFonts w:asciiTheme="majorHAnsi" w:hAnsiTheme="majorHAnsi" w:cstheme="majorHAnsi"/>
          <w:sz w:val="28"/>
          <w:szCs w:val="28"/>
        </w:rPr>
      </w:pPr>
      <w:bookmarkStart w:id="29" w:name="_Toc227498329"/>
      <w:r w:rsidRPr="00974BD5">
        <w:rPr>
          <w:rFonts w:asciiTheme="majorHAnsi" w:hAnsiTheme="majorHAnsi" w:cstheme="majorHAnsi"/>
          <w:sz w:val="28"/>
          <w:szCs w:val="28"/>
        </w:rPr>
        <w:t>2.6 Summary of the Information</w:t>
      </w:r>
      <w:bookmarkEnd w:id="29"/>
    </w:p>
    <w:p w:rsidR="003F4170" w:rsidRDefault="003F4170" w:rsidP="0025568D">
      <w:pPr>
        <w:jc w:val="both"/>
        <w:rPr>
          <w:rFonts w:ascii="Arial" w:hAnsi="Arial" w:cs="Arial"/>
          <w:color w:val="000000"/>
        </w:rPr>
      </w:pPr>
      <w:r w:rsidRPr="00474E6C">
        <w:rPr>
          <w:rFonts w:ascii="Arial" w:hAnsi="Arial" w:cs="Arial"/>
          <w:color w:val="000000"/>
        </w:rPr>
        <w:t xml:space="preserve">Digital banking, operational risk management, and service recovery are all significantly fragmented, according to the examined literature. While operational risk literature offers structured frameworks for managing risks related to systems, processes, and controls (BCBS, 2021; </w:t>
      </w:r>
      <w:proofErr w:type="spellStart"/>
      <w:r w:rsidRPr="00474E6C">
        <w:rPr>
          <w:rFonts w:ascii="Arial" w:hAnsi="Arial" w:cs="Arial"/>
          <w:color w:val="000000"/>
        </w:rPr>
        <w:t>Moosa</w:t>
      </w:r>
      <w:proofErr w:type="spellEnd"/>
      <w:r w:rsidRPr="00474E6C">
        <w:rPr>
          <w:rFonts w:ascii="Arial" w:hAnsi="Arial" w:cs="Arial"/>
          <w:color w:val="000000"/>
        </w:rPr>
        <w:t xml:space="preserve">, 2020), research on digital payment systems primarily focuses on technological innovation, efficiency, and financial inclusion (Vives, 2021; </w:t>
      </w:r>
      <w:proofErr w:type="spellStart"/>
      <w:r w:rsidRPr="00474E6C">
        <w:rPr>
          <w:rFonts w:ascii="Arial" w:hAnsi="Arial" w:cs="Arial"/>
          <w:color w:val="000000"/>
        </w:rPr>
        <w:t>Thakor</w:t>
      </w:r>
      <w:proofErr w:type="spellEnd"/>
      <w:r w:rsidRPr="00474E6C">
        <w:rPr>
          <w:rFonts w:ascii="Arial" w:hAnsi="Arial" w:cs="Arial"/>
          <w:color w:val="000000"/>
        </w:rPr>
        <w:t>, 2020). Studies on service recovery concurrently concentrate on systems for addressing complaints and consumer satisfaction (Lovelock and Wirtz, 2021).</w:t>
      </w:r>
    </w:p>
    <w:p w:rsidR="00974BD5" w:rsidRPr="00474E6C" w:rsidRDefault="00974BD5" w:rsidP="00BC6F80">
      <w:pPr>
        <w:rPr>
          <w:rFonts w:ascii="Arial" w:hAnsi="Arial" w:cs="Arial"/>
          <w:color w:val="000000"/>
        </w:rPr>
      </w:pPr>
    </w:p>
    <w:p w:rsidR="003F4170" w:rsidRPr="00474E6C" w:rsidRDefault="003F4170" w:rsidP="0025568D">
      <w:pPr>
        <w:jc w:val="both"/>
        <w:rPr>
          <w:rFonts w:ascii="Arial" w:hAnsi="Arial" w:cs="Arial"/>
          <w:color w:val="000000"/>
        </w:rPr>
      </w:pPr>
      <w:r w:rsidRPr="00474E6C">
        <w:rPr>
          <w:rFonts w:ascii="Arial" w:hAnsi="Arial" w:cs="Arial"/>
          <w:color w:val="000000"/>
        </w:rPr>
        <w:t xml:space="preserve">These domains are nonetheless conceptually disjointed in spite of these </w:t>
      </w:r>
    </w:p>
    <w:p w:rsidR="003F4170" w:rsidRPr="00474E6C" w:rsidRDefault="003F4170" w:rsidP="0025568D">
      <w:pPr>
        <w:jc w:val="both"/>
        <w:rPr>
          <w:rFonts w:ascii="Arial" w:hAnsi="Arial" w:cs="Arial"/>
          <w:color w:val="000000"/>
        </w:rPr>
      </w:pPr>
      <w:r w:rsidRPr="00474E6C">
        <w:rPr>
          <w:rFonts w:ascii="Arial" w:hAnsi="Arial" w:cs="Arial"/>
          <w:color w:val="000000"/>
        </w:rPr>
        <w:t>contributions. Specifically, rather than being seen as signs of operational risk events, digital transaction disagreements are primarily thought of as customer service problems. Because it hides the underlying systemic causes of disagreements and makes it more difficult to integrate them into governance and risk management systems, this misclassification is a significant drawback. Although accountability and control mechanisms are emphasized in governance literature (Power, 2021), it does not sufficiently explain how these concepts are operationalized within dispute management procedures.</w:t>
      </w:r>
    </w:p>
    <w:p w:rsidR="003F4170" w:rsidRPr="00474E6C" w:rsidRDefault="003F4170" w:rsidP="0025568D">
      <w:pPr>
        <w:jc w:val="both"/>
        <w:rPr>
          <w:rFonts w:ascii="Arial" w:hAnsi="Arial" w:cs="Arial"/>
          <w:color w:val="000000"/>
        </w:rPr>
      </w:pPr>
    </w:p>
    <w:p w:rsidR="003F4170" w:rsidRPr="00474E6C" w:rsidRDefault="003F4170" w:rsidP="0025568D">
      <w:pPr>
        <w:jc w:val="both"/>
        <w:rPr>
          <w:rFonts w:ascii="Arial" w:hAnsi="Arial" w:cs="Arial"/>
          <w:color w:val="000000"/>
        </w:rPr>
      </w:pPr>
      <w:r w:rsidRPr="00474E6C">
        <w:rPr>
          <w:rFonts w:ascii="Arial" w:hAnsi="Arial" w:cs="Arial"/>
          <w:color w:val="000000"/>
        </w:rPr>
        <w:t xml:space="preserve">The practical consequences of this fragmentation include inefficiencies like poor cooperation across organizational units, ambiguous accountability, and delayed resolution. These difficulties are especially noticeable in Nepalese banking, where the swift adoption of digital technology has not been accompanied by comparable advancements in operational procedures and governance frameworks (NRB, 2021; Shrestha, 2021; Neupane, 2024; </w:t>
      </w:r>
      <w:proofErr w:type="spellStart"/>
      <w:r w:rsidRPr="00474E6C">
        <w:rPr>
          <w:rFonts w:ascii="Arial" w:hAnsi="Arial" w:cs="Arial"/>
          <w:color w:val="000000"/>
        </w:rPr>
        <w:t>Sayaju</w:t>
      </w:r>
      <w:proofErr w:type="spellEnd"/>
      <w:r w:rsidRPr="00474E6C">
        <w:rPr>
          <w:rFonts w:ascii="Arial" w:hAnsi="Arial" w:cs="Arial"/>
          <w:color w:val="000000"/>
        </w:rPr>
        <w:t xml:space="preserve"> and </w:t>
      </w:r>
      <w:proofErr w:type="spellStart"/>
      <w:r w:rsidRPr="00474E6C">
        <w:rPr>
          <w:rFonts w:ascii="Arial" w:hAnsi="Arial" w:cs="Arial"/>
          <w:color w:val="000000"/>
        </w:rPr>
        <w:t>Dhakal</w:t>
      </w:r>
      <w:proofErr w:type="spellEnd"/>
      <w:r w:rsidRPr="00474E6C">
        <w:rPr>
          <w:rFonts w:ascii="Arial" w:hAnsi="Arial" w:cs="Arial"/>
          <w:color w:val="000000"/>
        </w:rPr>
        <w:t>, 2024).</w:t>
      </w:r>
    </w:p>
    <w:p w:rsidR="003F4170" w:rsidRPr="00474E6C" w:rsidRDefault="003F4170" w:rsidP="0025568D">
      <w:pPr>
        <w:jc w:val="both"/>
        <w:rPr>
          <w:rFonts w:ascii="Arial" w:hAnsi="Arial" w:cs="Arial"/>
          <w:color w:val="000000"/>
        </w:rPr>
      </w:pPr>
    </w:p>
    <w:p w:rsidR="003F4170" w:rsidRPr="00474E6C" w:rsidRDefault="003F4170" w:rsidP="0025568D">
      <w:pPr>
        <w:jc w:val="both"/>
        <w:rPr>
          <w:rFonts w:ascii="Arial" w:hAnsi="Arial" w:cs="Arial"/>
          <w:color w:val="000000"/>
        </w:rPr>
      </w:pPr>
      <w:r w:rsidRPr="00474E6C">
        <w:rPr>
          <w:rFonts w:ascii="Arial" w:hAnsi="Arial" w:cs="Arial"/>
          <w:color w:val="000000"/>
        </w:rPr>
        <w:t>The body of research shows that the connection between digital payment systems, operational risk, and governance is still poorly understood and not fully integrated. This offers a substantial research opportunity to reframe conflicts over digital transactions as operational risk events that are relevant to governance. In order to better understand how operational risk governance might improve the handling of disputes involving digital payment transactions, the suggested study takes an integrated approach. By doing this, it aims to improve professional practice by eliminating inefficiencies in banking institution dispute resolution as well as theoretical advancement by bridging disparate fields.</w:t>
      </w:r>
    </w:p>
    <w:p w:rsidR="003F4170" w:rsidRDefault="003F4170" w:rsidP="0025568D">
      <w:pPr>
        <w:jc w:val="both"/>
        <w:rPr>
          <w:rFonts w:ascii="Arial" w:hAnsi="Arial" w:cs="Arial"/>
          <w:color w:val="000000"/>
        </w:rPr>
      </w:pPr>
    </w:p>
    <w:p w:rsidR="00444835" w:rsidRPr="00444835" w:rsidRDefault="00444835" w:rsidP="0025568D">
      <w:pPr>
        <w:jc w:val="both"/>
        <w:rPr>
          <w:rFonts w:ascii="Arial" w:hAnsi="Arial" w:cs="Arial"/>
          <w:color w:val="000000"/>
        </w:rPr>
      </w:pPr>
      <w:r w:rsidRPr="00444835">
        <w:rPr>
          <w:rFonts w:ascii="Arial" w:hAnsi="Arial" w:cs="Arial"/>
          <w:color w:val="000000"/>
        </w:rPr>
        <w:t>From a critical approach, this fragmentation reveals a deeper theoretical weakness: the inability to conceptualize disputes involving digital transactions as operational risk events driven by governance. By creating an integrated framework that links digital systems, operational risk, and governance, this study overcomes this constraint and advances both theoretical knowledge and real-world implementation.</w:t>
      </w:r>
    </w:p>
    <w:p w:rsidR="003F4170" w:rsidRPr="00474E6C" w:rsidRDefault="003F4170" w:rsidP="0025568D">
      <w:pPr>
        <w:jc w:val="both"/>
        <w:rPr>
          <w:rFonts w:ascii="Arial" w:hAnsi="Arial" w:cs="Arial"/>
          <w:color w:val="000000"/>
        </w:rPr>
      </w:pPr>
    </w:p>
    <w:p w:rsidR="003F4170" w:rsidRPr="00474E6C" w:rsidRDefault="003F4170" w:rsidP="0025568D">
      <w:pPr>
        <w:jc w:val="both"/>
        <w:rPr>
          <w:rFonts w:ascii="Arial" w:hAnsi="Arial" w:cs="Arial"/>
          <w:color w:val="000000"/>
        </w:rPr>
      </w:pPr>
    </w:p>
    <w:p w:rsidR="003F4170" w:rsidRPr="00474E6C" w:rsidRDefault="003F4170" w:rsidP="0025568D">
      <w:pPr>
        <w:jc w:val="both"/>
        <w:rPr>
          <w:rFonts w:ascii="Arial" w:hAnsi="Arial" w:cs="Arial"/>
          <w:color w:val="000000"/>
        </w:rPr>
      </w:pPr>
    </w:p>
    <w:p w:rsidR="003F4170" w:rsidRPr="00474E6C" w:rsidRDefault="003F4170" w:rsidP="00BC6F80">
      <w:pPr>
        <w:rPr>
          <w:rFonts w:ascii="Arial" w:hAnsi="Arial" w:cs="Arial"/>
          <w:color w:val="000000"/>
        </w:rPr>
      </w:pPr>
    </w:p>
    <w:p w:rsidR="003F4170" w:rsidRPr="00474E6C" w:rsidRDefault="003F4170" w:rsidP="00BC6F80">
      <w:pPr>
        <w:rPr>
          <w:rFonts w:ascii="Arial" w:hAnsi="Arial" w:cs="Arial"/>
          <w:color w:val="000000"/>
        </w:rPr>
      </w:pPr>
    </w:p>
    <w:p w:rsidR="00974BD5" w:rsidRDefault="00974BD5" w:rsidP="00474E6C">
      <w:pPr>
        <w:pStyle w:val="Heading1"/>
        <w:rPr>
          <w:rStyle w:val="Strong"/>
        </w:rPr>
      </w:pPr>
    </w:p>
    <w:p w:rsidR="00FD08E0" w:rsidRDefault="00FD08E0" w:rsidP="00FD08E0"/>
    <w:p w:rsidR="00FD08E0" w:rsidRDefault="00FD08E0" w:rsidP="00FD08E0"/>
    <w:p w:rsidR="00CE33D3" w:rsidRDefault="00CE33D3" w:rsidP="00FD08E0"/>
    <w:p w:rsidR="00CE33D3" w:rsidRDefault="00CE33D3" w:rsidP="00FD08E0"/>
    <w:p w:rsidR="00CE33D3" w:rsidRDefault="00CE33D3" w:rsidP="00FD08E0"/>
    <w:p w:rsidR="00CE33D3" w:rsidRDefault="00CE33D3" w:rsidP="00FD08E0"/>
    <w:p w:rsidR="00CE33D3" w:rsidRDefault="00CE33D3" w:rsidP="00FD08E0"/>
    <w:p w:rsidR="00CE33D3" w:rsidRDefault="00CE33D3" w:rsidP="00FD08E0"/>
    <w:p w:rsidR="00FD08E0" w:rsidRDefault="00FD08E0" w:rsidP="00FD08E0"/>
    <w:p w:rsidR="00FD08E0" w:rsidRPr="00FD08E0" w:rsidRDefault="003F4170" w:rsidP="00FD08E0">
      <w:pPr>
        <w:pStyle w:val="Heading1"/>
        <w:rPr>
          <w:b/>
          <w:bCs/>
        </w:rPr>
      </w:pPr>
      <w:bookmarkStart w:id="30" w:name="_Toc227498330"/>
      <w:r w:rsidRPr="00474E6C">
        <w:rPr>
          <w:rStyle w:val="Strong"/>
        </w:rPr>
        <w:lastRenderedPageBreak/>
        <w:t>PART 3 – Preliminary Literature Review</w:t>
      </w:r>
      <w:bookmarkEnd w:id="30"/>
    </w:p>
    <w:p w:rsidR="003F4170" w:rsidRPr="00974BD5" w:rsidRDefault="003F4170" w:rsidP="00974BD5">
      <w:pPr>
        <w:pStyle w:val="Heading2"/>
        <w:rPr>
          <w:rFonts w:asciiTheme="majorHAnsi" w:hAnsiTheme="majorHAnsi" w:cstheme="majorHAnsi"/>
          <w:sz w:val="28"/>
          <w:szCs w:val="28"/>
        </w:rPr>
      </w:pPr>
      <w:bookmarkStart w:id="31" w:name="_Toc227498331"/>
      <w:r w:rsidRPr="00974BD5">
        <w:rPr>
          <w:rFonts w:asciiTheme="majorHAnsi" w:hAnsiTheme="majorHAnsi" w:cstheme="majorHAnsi"/>
          <w:sz w:val="28"/>
          <w:szCs w:val="28"/>
        </w:rPr>
        <w:t>3.1 Overview</w:t>
      </w:r>
      <w:bookmarkEnd w:id="31"/>
    </w:p>
    <w:p w:rsidR="003F4170" w:rsidRPr="00474E6C" w:rsidRDefault="003F4170" w:rsidP="0025568D">
      <w:pPr>
        <w:jc w:val="both"/>
        <w:rPr>
          <w:rFonts w:ascii="Arial" w:hAnsi="Arial" w:cs="Arial"/>
          <w:color w:val="000000"/>
        </w:rPr>
      </w:pPr>
      <w:r w:rsidRPr="00474E6C">
        <w:rPr>
          <w:rFonts w:ascii="Arial" w:hAnsi="Arial" w:cs="Arial"/>
          <w:color w:val="000000"/>
        </w:rPr>
        <w:t>The banking industry has completely changed as a result of the quick development of digital payment technologies, which allow for quicker transactions, better accessibility, and increased financial inclusion. In order to fulfill evolving client expectations and maintain their competitiveness in a technologically advanced environment, banks in both established and emerging economies have progressively embraced digital platforms, mobile banking, and electronic payment systems (</w:t>
      </w:r>
      <w:proofErr w:type="spellStart"/>
      <w:r w:rsidRPr="00474E6C">
        <w:rPr>
          <w:rFonts w:ascii="Arial" w:hAnsi="Arial" w:cs="Arial"/>
          <w:color w:val="000000"/>
        </w:rPr>
        <w:t>Feyen</w:t>
      </w:r>
      <w:proofErr w:type="spellEnd"/>
      <w:r w:rsidRPr="00474E6C">
        <w:rPr>
          <w:rFonts w:ascii="Arial" w:hAnsi="Arial" w:cs="Arial"/>
          <w:color w:val="000000"/>
        </w:rPr>
        <w:t xml:space="preserve"> et al., 2021; </w:t>
      </w:r>
      <w:proofErr w:type="spellStart"/>
      <w:r w:rsidRPr="00474E6C">
        <w:rPr>
          <w:rFonts w:ascii="Arial" w:hAnsi="Arial" w:cs="Arial"/>
          <w:color w:val="000000"/>
        </w:rPr>
        <w:t>Thakor</w:t>
      </w:r>
      <w:proofErr w:type="spellEnd"/>
      <w:r w:rsidRPr="00474E6C">
        <w:rPr>
          <w:rFonts w:ascii="Arial" w:hAnsi="Arial" w:cs="Arial"/>
          <w:color w:val="000000"/>
        </w:rPr>
        <w:t>, 2020). Alongside these advantages, digitalization has brought new operational risks and complexity, especially with regard to transaction failures, system mistakes, and unauthorized activity (Frost, 2020; Vives, 2021).</w:t>
      </w:r>
    </w:p>
    <w:p w:rsidR="003F4170" w:rsidRPr="00474E6C" w:rsidRDefault="003F4170" w:rsidP="0025568D">
      <w:pPr>
        <w:jc w:val="both"/>
        <w:rPr>
          <w:rFonts w:ascii="Arial" w:hAnsi="Arial" w:cs="Arial"/>
          <w:color w:val="000000"/>
        </w:rPr>
      </w:pPr>
    </w:p>
    <w:p w:rsidR="003F4170" w:rsidRPr="00474E6C" w:rsidRDefault="003F4170" w:rsidP="0025568D">
      <w:pPr>
        <w:jc w:val="both"/>
        <w:rPr>
          <w:rFonts w:ascii="Arial" w:hAnsi="Arial" w:cs="Arial"/>
          <w:color w:val="000000"/>
        </w:rPr>
      </w:pPr>
      <w:r w:rsidRPr="00474E6C">
        <w:rPr>
          <w:rFonts w:ascii="Arial" w:hAnsi="Arial" w:cs="Arial"/>
          <w:color w:val="000000"/>
        </w:rPr>
        <w:t xml:space="preserve">The rising number of conflicts over digital transactions is one of the most obvious signs of these risks. Banks face operational, reputational, and regulatory difficulties as a result of these conflicts, which occur when transactions are processed incorrectly, are delayed, or are disputed by clients. Digital transaction disputes are still understudied in the academic literature, especially when it comes to operational risk governance, despite their growing significance. A fragmented understanding of how disputes should be handled within financial institutions results from existing studies' tendency to concentrate either on customer service responses to complaints or on the technological features of digital banking (Lovelock and Wirtz, 2021; </w:t>
      </w:r>
      <w:proofErr w:type="spellStart"/>
      <w:r w:rsidRPr="00474E6C">
        <w:rPr>
          <w:rFonts w:ascii="Arial" w:hAnsi="Arial" w:cs="Arial"/>
          <w:color w:val="000000"/>
        </w:rPr>
        <w:t>Moosa</w:t>
      </w:r>
      <w:proofErr w:type="spellEnd"/>
      <w:r w:rsidRPr="00474E6C">
        <w:rPr>
          <w:rFonts w:ascii="Arial" w:hAnsi="Arial" w:cs="Arial"/>
          <w:color w:val="000000"/>
        </w:rPr>
        <w:t>, 2020).</w:t>
      </w:r>
    </w:p>
    <w:p w:rsidR="003F4170" w:rsidRPr="00474E6C" w:rsidRDefault="003F4170" w:rsidP="0025568D">
      <w:pPr>
        <w:jc w:val="both"/>
        <w:rPr>
          <w:rFonts w:ascii="Arial" w:hAnsi="Arial" w:cs="Arial"/>
          <w:color w:val="000000"/>
        </w:rPr>
      </w:pPr>
    </w:p>
    <w:p w:rsidR="003F4170" w:rsidRDefault="003F4170" w:rsidP="0025568D">
      <w:pPr>
        <w:jc w:val="both"/>
        <w:rPr>
          <w:rFonts w:ascii="Arial" w:hAnsi="Arial" w:cs="Arial"/>
          <w:color w:val="000000"/>
        </w:rPr>
      </w:pPr>
      <w:r w:rsidRPr="00474E6C">
        <w:rPr>
          <w:rFonts w:ascii="Arial" w:hAnsi="Arial" w:cs="Arial"/>
          <w:color w:val="000000"/>
        </w:rPr>
        <w:t>The primary areas pertinent to the subject, such as digital payment systems, transaction disputes, operational risk, and governance frameworks, are critically examined in this literature review. In Nepalese banks, where digital transformation is progressing quickly but governance structures are still changing, it aims to synthesize current knowledge, identify conceptual and empirical gaps, and create a research direction (NRB, 2021; Shrestha, 2021).</w:t>
      </w:r>
    </w:p>
    <w:p w:rsidR="00D153A7" w:rsidRDefault="00D153A7" w:rsidP="0025568D">
      <w:pPr>
        <w:jc w:val="both"/>
        <w:rPr>
          <w:rFonts w:ascii="Arial" w:hAnsi="Arial" w:cs="Arial"/>
          <w:color w:val="000000"/>
        </w:rPr>
      </w:pPr>
    </w:p>
    <w:p w:rsidR="00D153A7" w:rsidRDefault="00D153A7" w:rsidP="00BC6F80">
      <w:pPr>
        <w:rPr>
          <w:rFonts w:ascii="Arial" w:hAnsi="Arial" w:cs="Arial"/>
          <w:color w:val="000000"/>
        </w:rPr>
      </w:pPr>
    </w:p>
    <w:p w:rsidR="0025568D" w:rsidRDefault="00D153A7" w:rsidP="00BC6F80">
      <w:pPr>
        <w:rPr>
          <w:rStyle w:val="Heading2Char"/>
          <w:rFonts w:asciiTheme="majorHAnsi" w:eastAsiaTheme="minorHAnsi" w:hAnsiTheme="majorHAnsi" w:cstheme="majorHAnsi"/>
          <w:color w:val="000000" w:themeColor="text1"/>
          <w:sz w:val="28"/>
          <w:szCs w:val="28"/>
        </w:rPr>
      </w:pPr>
      <w:bookmarkStart w:id="32" w:name="_Toc227498332"/>
      <w:r w:rsidRPr="00D153A7">
        <w:rPr>
          <w:rStyle w:val="Heading2Char"/>
          <w:rFonts w:asciiTheme="majorHAnsi" w:eastAsiaTheme="minorHAnsi" w:hAnsiTheme="majorHAnsi" w:cstheme="majorHAnsi"/>
          <w:color w:val="000000" w:themeColor="text1"/>
          <w:sz w:val="28"/>
          <w:szCs w:val="28"/>
        </w:rPr>
        <w:t>3.2 Problematizing Existing Literature</w:t>
      </w:r>
      <w:bookmarkEnd w:id="32"/>
    </w:p>
    <w:p w:rsidR="0025568D" w:rsidRDefault="0025568D" w:rsidP="0025568D">
      <w:pPr>
        <w:jc w:val="both"/>
        <w:rPr>
          <w:rStyle w:val="Heading2Char"/>
          <w:rFonts w:asciiTheme="majorHAnsi" w:eastAsiaTheme="minorHAnsi" w:hAnsiTheme="majorHAnsi" w:cstheme="majorHAnsi"/>
          <w:color w:val="000000" w:themeColor="text1"/>
          <w:sz w:val="28"/>
          <w:szCs w:val="28"/>
        </w:rPr>
      </w:pPr>
    </w:p>
    <w:p w:rsidR="0025568D" w:rsidRPr="00F3291E" w:rsidRDefault="00D153A7" w:rsidP="00F3291E">
      <w:pPr>
        <w:jc w:val="both"/>
        <w:rPr>
          <w:rFonts w:ascii="Arial" w:hAnsi="Arial" w:cs="Arial"/>
          <w:color w:val="000000"/>
        </w:rPr>
      </w:pPr>
      <w:r w:rsidRPr="00D153A7">
        <w:rPr>
          <w:rFonts w:ascii="Arial" w:hAnsi="Arial" w:cs="Arial"/>
          <w:color w:val="000000"/>
        </w:rPr>
        <w:t xml:space="preserve">According to Lovelock and Wirtz (2021) and Van </w:t>
      </w:r>
      <w:proofErr w:type="spellStart"/>
      <w:r w:rsidRPr="00D153A7">
        <w:rPr>
          <w:rFonts w:ascii="Arial" w:hAnsi="Arial" w:cs="Arial"/>
          <w:color w:val="000000"/>
        </w:rPr>
        <w:t>Vaerenbergh</w:t>
      </w:r>
      <w:proofErr w:type="spellEnd"/>
      <w:r w:rsidRPr="00D153A7">
        <w:rPr>
          <w:rFonts w:ascii="Arial" w:hAnsi="Arial" w:cs="Arial"/>
          <w:color w:val="000000"/>
        </w:rPr>
        <w:t xml:space="preserve"> and </w:t>
      </w:r>
      <w:proofErr w:type="spellStart"/>
      <w:r w:rsidRPr="00D153A7">
        <w:rPr>
          <w:rFonts w:ascii="Arial" w:hAnsi="Arial" w:cs="Arial"/>
          <w:color w:val="000000"/>
        </w:rPr>
        <w:t>Orsingher</w:t>
      </w:r>
      <w:proofErr w:type="spellEnd"/>
      <w:r w:rsidRPr="00D153A7">
        <w:rPr>
          <w:rFonts w:ascii="Arial" w:hAnsi="Arial" w:cs="Arial"/>
          <w:color w:val="000000"/>
        </w:rPr>
        <w:t xml:space="preserve"> (2020), the majority of the material now in publication is based on the widely held belief that conflicts involving digital transactions are mainly service-related problems that are resolved through customer complaint management. This viewpoint is logically limited, though, because it ignores the practical and structural causes of conflicts, which often result from flaws in controls, procedures, and systems (</w:t>
      </w:r>
      <w:proofErr w:type="spellStart"/>
      <w:r w:rsidRPr="00D153A7">
        <w:rPr>
          <w:rFonts w:ascii="Arial" w:hAnsi="Arial" w:cs="Arial"/>
          <w:color w:val="000000"/>
        </w:rPr>
        <w:t>Moosa</w:t>
      </w:r>
      <w:proofErr w:type="spellEnd"/>
      <w:r w:rsidRPr="00D153A7">
        <w:rPr>
          <w:rFonts w:ascii="Arial" w:hAnsi="Arial" w:cs="Arial"/>
          <w:color w:val="000000"/>
        </w:rPr>
        <w:t>, 2020; BCBS, 2021). By redefining digital transaction conflicts as operational risk governance events, this study challenges this assumption using the problematization approach (Alvesson and Sandberg, 2020). This change allows for a more thorough knowledge of dispute management in banking organizations by reorienting the analytical focus from client outcomes to organizational processes, risk structures, and governance mechanisms.</w:t>
      </w:r>
    </w:p>
    <w:p w:rsidR="004E6D99" w:rsidRDefault="004E6D99" w:rsidP="00BB74BA">
      <w:pPr>
        <w:pStyle w:val="Heading2"/>
        <w:rPr>
          <w:rFonts w:asciiTheme="majorHAnsi" w:hAnsiTheme="majorHAnsi" w:cstheme="majorHAnsi"/>
          <w:sz w:val="28"/>
          <w:szCs w:val="28"/>
        </w:rPr>
      </w:pPr>
    </w:p>
    <w:p w:rsidR="001F6118" w:rsidRPr="00BD562D" w:rsidRDefault="001F6118" w:rsidP="001F6118">
      <w:pPr>
        <w:pStyle w:val="Heading3"/>
        <w:rPr>
          <w:rFonts w:cstheme="majorHAnsi"/>
          <w:b/>
          <w:bCs/>
          <w:color w:val="000000" w:themeColor="text1"/>
          <w:sz w:val="28"/>
          <w:szCs w:val="28"/>
        </w:rPr>
      </w:pPr>
      <w:bookmarkStart w:id="33" w:name="_Toc227498333"/>
      <w:r w:rsidRPr="00BD562D">
        <w:rPr>
          <w:rFonts w:cstheme="majorHAnsi"/>
          <w:b/>
          <w:bCs/>
          <w:color w:val="000000" w:themeColor="text1"/>
          <w:sz w:val="28"/>
          <w:szCs w:val="28"/>
        </w:rPr>
        <w:lastRenderedPageBreak/>
        <w:t>3.2.1 Problematization and Critical Engagement</w:t>
      </w:r>
      <w:bookmarkEnd w:id="33"/>
    </w:p>
    <w:p w:rsidR="001F6118" w:rsidRPr="00474E6C" w:rsidRDefault="001F6118" w:rsidP="001F6118">
      <w:pPr>
        <w:jc w:val="both"/>
        <w:rPr>
          <w:rFonts w:ascii="Arial" w:hAnsi="Arial" w:cs="Arial"/>
          <w:color w:val="000000"/>
        </w:rPr>
      </w:pPr>
      <w:r w:rsidRPr="00474E6C">
        <w:rPr>
          <w:rFonts w:ascii="Arial" w:hAnsi="Arial" w:cs="Arial"/>
          <w:color w:val="000000"/>
        </w:rPr>
        <w:br/>
        <w:t>The critical literature review's emphasis on critical interaction with current knowledge is one of its distinguishing characteristics. The predominance of "gap-spotting," which focuses on discovering understudied areas without challenging the underlying assumptions that define existing theories, has been contested in recent debates (Alvesson and Sandberg, 202</w:t>
      </w:r>
      <w:r>
        <w:rPr>
          <w:rFonts w:ascii="Arial" w:hAnsi="Arial" w:cs="Arial"/>
          <w:color w:val="000000"/>
        </w:rPr>
        <w:t>4</w:t>
      </w:r>
      <w:r w:rsidRPr="00474E6C">
        <w:rPr>
          <w:rFonts w:ascii="Arial" w:hAnsi="Arial" w:cs="Arial"/>
          <w:color w:val="000000"/>
        </w:rPr>
        <w:t>). Instead of producing significant theoretical development, these methods frequently produce small contributions that support dominant paradigms.</w:t>
      </w:r>
    </w:p>
    <w:p w:rsidR="001F6118" w:rsidRPr="00474E6C" w:rsidRDefault="001F6118" w:rsidP="001F6118">
      <w:pPr>
        <w:jc w:val="both"/>
        <w:rPr>
          <w:rFonts w:ascii="Arial" w:hAnsi="Arial" w:cs="Arial"/>
        </w:rPr>
      </w:pPr>
    </w:p>
    <w:p w:rsidR="001F6118" w:rsidRPr="00474E6C" w:rsidRDefault="001F6118" w:rsidP="001F6118">
      <w:pPr>
        <w:jc w:val="both"/>
        <w:rPr>
          <w:rFonts w:ascii="Arial" w:hAnsi="Arial" w:cs="Arial"/>
          <w:color w:val="000000"/>
        </w:rPr>
      </w:pPr>
      <w:r w:rsidRPr="00474E6C">
        <w:rPr>
          <w:rFonts w:ascii="Arial" w:hAnsi="Arial" w:cs="Arial"/>
          <w:color w:val="000000"/>
        </w:rPr>
        <w:t>By critically analyzing and questioning the presumptions included in the body of existing literature, problematization provides a more robust alternative. A large portion of the literature on digital payment dispute management implicitly implies that conflicts are mostly customer service-related, with a focus on addressing complaints and service recovery results. However, because it ignores the organizational and systemic causes of conflicts, this premise is still inadequate. Digital transaction conflicts are closely linked to operational risk in banking institutions, as they often result from system, process, and internal control problems (Basel Committee for Banking Supervision, 2021).</w:t>
      </w:r>
    </w:p>
    <w:p w:rsidR="001F6118" w:rsidRPr="00474E6C" w:rsidRDefault="001F6118" w:rsidP="001F6118">
      <w:pPr>
        <w:jc w:val="both"/>
        <w:rPr>
          <w:rFonts w:ascii="Arial" w:hAnsi="Arial" w:cs="Arial"/>
        </w:rPr>
      </w:pPr>
    </w:p>
    <w:p w:rsidR="001F6118" w:rsidRDefault="001F6118" w:rsidP="001F6118">
      <w:pPr>
        <w:jc w:val="both"/>
        <w:rPr>
          <w:rFonts w:ascii="Arial" w:hAnsi="Arial" w:cs="Arial"/>
          <w:color w:val="000000"/>
        </w:rPr>
      </w:pPr>
      <w:r w:rsidRPr="00474E6C">
        <w:rPr>
          <w:rFonts w:ascii="Arial" w:hAnsi="Arial" w:cs="Arial"/>
          <w:color w:val="000000"/>
        </w:rPr>
        <w:t>A critical literature review makes it possible to build alternative conceptualizations that reframe digital transaction disputes as governance-relevant operational risk events rather than discrete service failures by challenging these presumptions. In developing banking environments like Nepal, where dispute resolution procedures are still operationally dispersed and poorly regulated, this reframing is especially crucial (Neupane, 2024). In doctoral-level scholarship, this transition from description to critique is essential because it promotes deeper theoretical understanding and the creation of more significant and practice-focused research contributions.</w:t>
      </w:r>
    </w:p>
    <w:p w:rsidR="001F6118" w:rsidRDefault="001F6118" w:rsidP="001F6118">
      <w:pPr>
        <w:jc w:val="both"/>
        <w:rPr>
          <w:rFonts w:ascii="Arial" w:hAnsi="Arial" w:cs="Arial"/>
          <w:color w:val="000000"/>
        </w:rPr>
      </w:pPr>
    </w:p>
    <w:p w:rsidR="001F6118" w:rsidRPr="00BD562D" w:rsidRDefault="001F6118" w:rsidP="00BD562D">
      <w:pPr>
        <w:jc w:val="both"/>
        <w:rPr>
          <w:rFonts w:ascii="Arial" w:hAnsi="Arial" w:cs="Arial"/>
          <w:color w:val="000000"/>
        </w:rPr>
      </w:pPr>
      <w:r w:rsidRPr="00681A3A">
        <w:rPr>
          <w:rFonts w:ascii="Arial" w:hAnsi="Arial" w:cs="Arial"/>
          <w:color w:val="000000"/>
        </w:rPr>
        <w:t>The following is an explicit structure for this problematization. The prevailing presumption in the literature is that disagreements involving digital transactions are essentially customer service problems that are handled by complaint handling procedures. The recognition that many disagreements emerge from systemic breakdowns in processes, systems, and controls</w:t>
      </w:r>
      <w:r>
        <w:rPr>
          <w:rFonts w:ascii="Arial" w:hAnsi="Arial" w:cs="Arial"/>
          <w:color w:val="000000"/>
        </w:rPr>
        <w:t xml:space="preserve"> </w:t>
      </w:r>
      <w:r w:rsidRPr="00681A3A">
        <w:rPr>
          <w:rFonts w:ascii="Arial" w:hAnsi="Arial" w:cs="Arial"/>
          <w:color w:val="000000"/>
        </w:rPr>
        <w:t>all of which are major concerns of operational risk frameworks</w:t>
      </w:r>
      <w:r>
        <w:rPr>
          <w:rFonts w:ascii="Arial" w:hAnsi="Arial" w:cs="Arial"/>
          <w:color w:val="000000"/>
        </w:rPr>
        <w:t xml:space="preserve"> </w:t>
      </w:r>
      <w:r w:rsidRPr="00681A3A">
        <w:rPr>
          <w:rFonts w:ascii="Arial" w:hAnsi="Arial" w:cs="Arial"/>
          <w:color w:val="000000"/>
        </w:rPr>
        <w:t>challenges this premise (Basel Committee on Banking Supervision, 2021). A more thorough theoretical lens that encompasses the organizational roots of disagreements as well as their governance implications is offered by reframing them as operational risk governance events. The advancement of theory and practice in digital banking systems depends on this change.</w:t>
      </w:r>
    </w:p>
    <w:p w:rsidR="00BB74BA" w:rsidRPr="00BB74BA" w:rsidRDefault="00BB74BA" w:rsidP="00BB74BA">
      <w:pPr>
        <w:pStyle w:val="Heading2"/>
        <w:rPr>
          <w:rStyle w:val="apple-converted-space"/>
          <w:rFonts w:asciiTheme="majorHAnsi" w:hAnsiTheme="majorHAnsi" w:cstheme="majorHAnsi"/>
          <w:color w:val="000000"/>
          <w:sz w:val="28"/>
          <w:szCs w:val="28"/>
        </w:rPr>
      </w:pPr>
      <w:bookmarkStart w:id="34" w:name="_Toc227498334"/>
      <w:r w:rsidRPr="00BB74BA">
        <w:rPr>
          <w:rFonts w:asciiTheme="majorHAnsi" w:hAnsiTheme="majorHAnsi" w:cstheme="majorHAnsi"/>
          <w:sz w:val="28"/>
          <w:szCs w:val="28"/>
        </w:rPr>
        <w:t>3.3 Conceptual</w:t>
      </w:r>
      <w:r w:rsidRPr="00BB74BA">
        <w:rPr>
          <w:rStyle w:val="apple-converted-space"/>
          <w:rFonts w:asciiTheme="majorHAnsi" w:hAnsiTheme="majorHAnsi" w:cstheme="majorHAnsi"/>
          <w:color w:val="000000"/>
          <w:sz w:val="28"/>
          <w:szCs w:val="28"/>
        </w:rPr>
        <w:t> Framing</w:t>
      </w:r>
      <w:bookmarkEnd w:id="34"/>
    </w:p>
    <w:p w:rsidR="00BB74BA" w:rsidRPr="00BB74BA" w:rsidRDefault="00BB74BA" w:rsidP="0025568D">
      <w:pPr>
        <w:jc w:val="both"/>
        <w:rPr>
          <w:rFonts w:ascii="Arial" w:hAnsi="Arial" w:cs="Arial"/>
          <w:color w:val="000000"/>
        </w:rPr>
      </w:pPr>
      <w:r w:rsidRPr="00BB74BA">
        <w:rPr>
          <w:rFonts w:ascii="Arial" w:hAnsi="Arial" w:cs="Arial"/>
          <w:color w:val="000000"/>
        </w:rPr>
        <w:t>Digital payment systems, operational risk drivers, and governance mechanisms are the three main elements that form the framework of this study. Transaction complexity and interconnectedness increase with the use of digital payment systems (</w:t>
      </w:r>
      <w:proofErr w:type="spellStart"/>
      <w:r w:rsidRPr="00BB74BA">
        <w:rPr>
          <w:rFonts w:ascii="Arial" w:hAnsi="Arial" w:cs="Arial"/>
          <w:color w:val="000000"/>
        </w:rPr>
        <w:t>Feyen</w:t>
      </w:r>
      <w:proofErr w:type="spellEnd"/>
      <w:r w:rsidRPr="00BB74BA">
        <w:rPr>
          <w:rFonts w:ascii="Arial" w:hAnsi="Arial" w:cs="Arial"/>
          <w:color w:val="000000"/>
        </w:rPr>
        <w:t xml:space="preserve"> et al., 2021; Vives, 2021). Failures resulting from systems, procedures, human behavior, and outside circumstances are known as operational risk drivers (BCBS, 2021; </w:t>
      </w:r>
      <w:proofErr w:type="spellStart"/>
      <w:r w:rsidRPr="00BB74BA">
        <w:rPr>
          <w:rFonts w:ascii="Arial" w:hAnsi="Arial" w:cs="Arial"/>
          <w:color w:val="000000"/>
        </w:rPr>
        <w:t>Moosa</w:t>
      </w:r>
      <w:proofErr w:type="spellEnd"/>
      <w:r w:rsidRPr="00BB74BA">
        <w:rPr>
          <w:rFonts w:ascii="Arial" w:hAnsi="Arial" w:cs="Arial"/>
          <w:color w:val="000000"/>
        </w:rPr>
        <w:t>, 2020). The structures, controls, and accountability frameworks that determine how well these risks are recognized and handled are referred to as governance mechanisms (Power, 2021; COSO, 2020).</w:t>
      </w:r>
    </w:p>
    <w:p w:rsidR="006E2303" w:rsidRPr="00BD562D" w:rsidRDefault="00BB74BA" w:rsidP="00BD562D">
      <w:pPr>
        <w:jc w:val="both"/>
        <w:rPr>
          <w:rFonts w:ascii="Arial" w:hAnsi="Arial" w:cs="Arial"/>
          <w:color w:val="000000"/>
        </w:rPr>
      </w:pPr>
      <w:r w:rsidRPr="00BB74BA">
        <w:rPr>
          <w:rFonts w:ascii="Arial" w:hAnsi="Arial" w:cs="Arial"/>
          <w:color w:val="000000"/>
        </w:rPr>
        <w:lastRenderedPageBreak/>
        <w:br/>
        <w:t>The emergence, escalation, and resolution of disputes involving digital transactions are shaped by the interaction of these constructs. Nevertheless, the research now in publication frequently looks at these areas separately, leading to a disjointed comprehension of dispute resolution procedures. By combining these concepts into a single analytical viewpoint, this work overcomes this constraint.</w:t>
      </w:r>
    </w:p>
    <w:p w:rsidR="006E2303" w:rsidRPr="00BD562D" w:rsidRDefault="006E2303" w:rsidP="006E2303">
      <w:pPr>
        <w:pStyle w:val="Heading2"/>
        <w:rPr>
          <w:rFonts w:asciiTheme="majorHAnsi" w:hAnsiTheme="majorHAnsi" w:cstheme="majorHAnsi"/>
          <w:sz w:val="28"/>
          <w:szCs w:val="28"/>
        </w:rPr>
      </w:pPr>
      <w:bookmarkStart w:id="35" w:name="_Toc227498335"/>
      <w:r w:rsidRPr="00BD562D">
        <w:rPr>
          <w:rFonts w:asciiTheme="majorHAnsi" w:hAnsiTheme="majorHAnsi" w:cstheme="majorHAnsi"/>
          <w:sz w:val="28"/>
          <w:szCs w:val="28"/>
        </w:rPr>
        <w:t>3.4 Theme 1: Risks and Digital Payment Systems</w:t>
      </w:r>
      <w:bookmarkEnd w:id="35"/>
    </w:p>
    <w:p w:rsidR="006E2303" w:rsidRDefault="006E2303" w:rsidP="007478BA">
      <w:pPr>
        <w:rPr>
          <w:rFonts w:ascii="Arial" w:hAnsi="Arial" w:cs="Arial"/>
          <w:b/>
          <w:bCs/>
        </w:rPr>
      </w:pPr>
      <w:r w:rsidRPr="007478BA">
        <w:rPr>
          <w:rFonts w:ascii="Arial" w:hAnsi="Arial" w:cs="Arial"/>
          <w:b/>
          <w:bCs/>
        </w:rPr>
        <w:t>(a) Foundational concepts</w:t>
      </w:r>
    </w:p>
    <w:p w:rsidR="007478BA" w:rsidRPr="007478BA" w:rsidRDefault="007478BA" w:rsidP="007478BA">
      <w:pPr>
        <w:rPr>
          <w:rFonts w:ascii="Arial" w:hAnsi="Arial" w:cs="Arial"/>
          <w:b/>
          <w:bCs/>
        </w:rPr>
      </w:pPr>
    </w:p>
    <w:p w:rsidR="006E2303" w:rsidRDefault="006E2303" w:rsidP="00BD562D">
      <w:pPr>
        <w:jc w:val="both"/>
        <w:rPr>
          <w:rFonts w:ascii="Arial" w:hAnsi="Arial" w:cs="Arial"/>
        </w:rPr>
      </w:pPr>
      <w:r w:rsidRPr="00BD562D">
        <w:rPr>
          <w:rFonts w:ascii="Arial" w:hAnsi="Arial" w:cs="Arial"/>
        </w:rPr>
        <w:t>Because they facilitate real-time transactions, lessen the need for physical banking infrastructure, and increase financial inclusion, digital payment systems have become a crucial component of modern financial intermediation (</w:t>
      </w:r>
      <w:proofErr w:type="spellStart"/>
      <w:r w:rsidRPr="00BD562D">
        <w:rPr>
          <w:rFonts w:ascii="Arial" w:hAnsi="Arial" w:cs="Arial"/>
        </w:rPr>
        <w:t>Feyen</w:t>
      </w:r>
      <w:proofErr w:type="spellEnd"/>
      <w:r w:rsidRPr="00BD562D">
        <w:rPr>
          <w:rFonts w:ascii="Arial" w:hAnsi="Arial" w:cs="Arial"/>
        </w:rPr>
        <w:t xml:space="preserve"> et al., 2021; </w:t>
      </w:r>
      <w:proofErr w:type="spellStart"/>
      <w:r w:rsidRPr="00BD562D">
        <w:rPr>
          <w:rFonts w:ascii="Arial" w:hAnsi="Arial" w:cs="Arial"/>
        </w:rPr>
        <w:t>Ozili</w:t>
      </w:r>
      <w:proofErr w:type="spellEnd"/>
      <w:r w:rsidRPr="00BD562D">
        <w:rPr>
          <w:rFonts w:ascii="Arial" w:hAnsi="Arial" w:cs="Arial"/>
        </w:rPr>
        <w:t>, 2020). It highlights a fundamental trade-off between risk and efficiency: while digitalization increases productivity and customer happiness, it also makes systems more interdependent and prone to operational failures (Vives, 2021). Fintech developments create complex transaction settings where multiple systems interact, increasing the possibility of errors and disruptions (</w:t>
      </w:r>
      <w:proofErr w:type="spellStart"/>
      <w:r w:rsidRPr="00BD562D">
        <w:rPr>
          <w:rFonts w:ascii="Arial" w:hAnsi="Arial" w:cs="Arial"/>
        </w:rPr>
        <w:t>Thakor</w:t>
      </w:r>
      <w:proofErr w:type="spellEnd"/>
      <w:r w:rsidRPr="00BD562D">
        <w:rPr>
          <w:rFonts w:ascii="Arial" w:hAnsi="Arial" w:cs="Arial"/>
        </w:rPr>
        <w:t>, 2020).</w:t>
      </w:r>
    </w:p>
    <w:p w:rsidR="0005675A" w:rsidRPr="00BD562D" w:rsidRDefault="0005675A" w:rsidP="00BD562D">
      <w:pPr>
        <w:jc w:val="both"/>
        <w:rPr>
          <w:rFonts w:ascii="Arial" w:hAnsi="Arial" w:cs="Arial"/>
        </w:rPr>
      </w:pPr>
    </w:p>
    <w:p w:rsidR="006E2303" w:rsidRDefault="006E2303" w:rsidP="0005675A">
      <w:pPr>
        <w:jc w:val="both"/>
        <w:rPr>
          <w:rStyle w:val="apple-converted-space"/>
          <w:rFonts w:ascii="Arial" w:hAnsi="Arial" w:cs="Arial"/>
          <w:b/>
          <w:bCs/>
          <w:color w:val="000000"/>
        </w:rPr>
      </w:pPr>
      <w:r w:rsidRPr="0005675A">
        <w:rPr>
          <w:rFonts w:ascii="Arial" w:hAnsi="Arial" w:cs="Arial"/>
          <w:b/>
          <w:bCs/>
        </w:rPr>
        <w:t>(b) Empirical evidence</w:t>
      </w:r>
      <w:r w:rsidRPr="0005675A">
        <w:rPr>
          <w:rStyle w:val="apple-converted-space"/>
          <w:rFonts w:ascii="Arial" w:hAnsi="Arial" w:cs="Arial"/>
          <w:b/>
          <w:bCs/>
          <w:color w:val="000000"/>
        </w:rPr>
        <w:t> </w:t>
      </w:r>
    </w:p>
    <w:p w:rsidR="0005675A" w:rsidRPr="0005675A" w:rsidRDefault="0005675A" w:rsidP="0005675A">
      <w:pPr>
        <w:jc w:val="both"/>
        <w:rPr>
          <w:rStyle w:val="apple-converted-space"/>
          <w:rFonts w:ascii="Arial" w:hAnsi="Arial" w:cs="Arial"/>
          <w:b/>
          <w:bCs/>
          <w:color w:val="000000"/>
        </w:rPr>
      </w:pPr>
    </w:p>
    <w:p w:rsidR="006E2303" w:rsidRDefault="006E2303" w:rsidP="0005675A">
      <w:pPr>
        <w:jc w:val="both"/>
        <w:rPr>
          <w:rFonts w:ascii="Arial" w:hAnsi="Arial" w:cs="Arial"/>
        </w:rPr>
      </w:pPr>
      <w:r w:rsidRPr="0005675A">
        <w:rPr>
          <w:rFonts w:ascii="Arial" w:hAnsi="Arial" w:cs="Arial"/>
        </w:rPr>
        <w:t>Digital payment systems improve transaction speed, financial inclusion, and system dependency, according to numerous studies (</w:t>
      </w:r>
      <w:proofErr w:type="spellStart"/>
      <w:r w:rsidRPr="0005675A">
        <w:rPr>
          <w:rFonts w:ascii="Arial" w:hAnsi="Arial" w:cs="Arial"/>
        </w:rPr>
        <w:t>Feyen</w:t>
      </w:r>
      <w:proofErr w:type="spellEnd"/>
      <w:r w:rsidRPr="0005675A">
        <w:rPr>
          <w:rFonts w:ascii="Arial" w:hAnsi="Arial" w:cs="Arial"/>
        </w:rPr>
        <w:t xml:space="preserve"> et al., 2021; </w:t>
      </w:r>
      <w:proofErr w:type="spellStart"/>
      <w:r w:rsidRPr="0005675A">
        <w:rPr>
          <w:rFonts w:ascii="Arial" w:hAnsi="Arial" w:cs="Arial"/>
        </w:rPr>
        <w:t>Thakor</w:t>
      </w:r>
      <w:proofErr w:type="spellEnd"/>
      <w:r w:rsidRPr="0005675A">
        <w:rPr>
          <w:rFonts w:ascii="Arial" w:hAnsi="Arial" w:cs="Arial"/>
        </w:rPr>
        <w:t xml:space="preserve">, 2020). There is broad empirical agreement that this dependency creates new operational vulnerabilities, such as cybersecurity threats, processing errors, and system breakdowns (Frost, 2020; Bolt &amp; van </w:t>
      </w:r>
      <w:proofErr w:type="spellStart"/>
      <w:r w:rsidRPr="0005675A">
        <w:rPr>
          <w:rFonts w:ascii="Arial" w:hAnsi="Arial" w:cs="Arial"/>
        </w:rPr>
        <w:t>Oordt</w:t>
      </w:r>
      <w:proofErr w:type="spellEnd"/>
      <w:r w:rsidRPr="0005675A">
        <w:rPr>
          <w:rFonts w:ascii="Arial" w:hAnsi="Arial" w:cs="Arial"/>
        </w:rPr>
        <w:t>, 2020; BIS, 2021). These risks are further increased in payment systems due to high transaction volumes and real-time processing requirements (Kahn et al., 2022).</w:t>
      </w:r>
    </w:p>
    <w:p w:rsidR="0005675A" w:rsidRPr="0005675A" w:rsidRDefault="0005675A" w:rsidP="0005675A">
      <w:pPr>
        <w:jc w:val="both"/>
        <w:rPr>
          <w:rFonts w:ascii="Arial" w:hAnsi="Arial" w:cs="Arial"/>
        </w:rPr>
      </w:pPr>
    </w:p>
    <w:p w:rsidR="006E2303" w:rsidRPr="0005675A" w:rsidRDefault="006E2303" w:rsidP="0005675A">
      <w:pPr>
        <w:jc w:val="both"/>
        <w:rPr>
          <w:rFonts w:ascii="Arial" w:hAnsi="Arial" w:cs="Arial"/>
          <w:b/>
          <w:bCs/>
        </w:rPr>
      </w:pPr>
      <w:r w:rsidRPr="0005675A">
        <w:rPr>
          <w:rFonts w:ascii="Arial" w:hAnsi="Arial" w:cs="Arial"/>
          <w:b/>
          <w:bCs/>
        </w:rPr>
        <w:t>(c) Contradiction</w:t>
      </w:r>
    </w:p>
    <w:p w:rsidR="0005675A" w:rsidRDefault="0005675A" w:rsidP="0005675A">
      <w:pPr>
        <w:jc w:val="both"/>
        <w:rPr>
          <w:rFonts w:ascii="Arial" w:hAnsi="Arial" w:cs="Arial"/>
        </w:rPr>
      </w:pPr>
    </w:p>
    <w:p w:rsidR="006E2303" w:rsidRDefault="006E2303" w:rsidP="0005675A">
      <w:pPr>
        <w:jc w:val="both"/>
        <w:rPr>
          <w:rFonts w:ascii="Arial" w:hAnsi="Arial" w:cs="Arial"/>
        </w:rPr>
      </w:pPr>
      <w:r w:rsidRPr="0005675A">
        <w:rPr>
          <w:rFonts w:ascii="Arial" w:hAnsi="Arial" w:cs="Arial"/>
        </w:rPr>
        <w:t xml:space="preserve">Macro-level policy studies (e.g., BIS, 2021; World Bank, 2021), which emphasize systemic resilience and presume that technical solutions lower risk, clearly differ from micro-level banking studies (e.g., KC, 2024; Nepal </w:t>
      </w:r>
      <w:proofErr w:type="spellStart"/>
      <w:r w:rsidRPr="0005675A">
        <w:rPr>
          <w:rFonts w:ascii="Arial" w:hAnsi="Arial" w:cs="Arial"/>
        </w:rPr>
        <w:t>Rastra</w:t>
      </w:r>
      <w:proofErr w:type="spellEnd"/>
      <w:r w:rsidRPr="0005675A">
        <w:rPr>
          <w:rFonts w:ascii="Arial" w:hAnsi="Arial" w:cs="Arial"/>
        </w:rPr>
        <w:t xml:space="preserve"> Bank, 2022), which demonstrate that technical solutions are ineffective in preventing disputes in the absence of governance integration. While the latter emphasizes local implementation flaws, the former places more emphasis on system efficiency. As a result, the techno-centric orientation of the literature, which puts system efficiency ahead of organizational repercussions, limits its analytical potential.</w:t>
      </w:r>
    </w:p>
    <w:p w:rsidR="0005675A" w:rsidRPr="0005675A" w:rsidRDefault="0005675A" w:rsidP="0005675A">
      <w:pPr>
        <w:jc w:val="both"/>
        <w:rPr>
          <w:rFonts w:ascii="Arial" w:hAnsi="Arial" w:cs="Arial"/>
        </w:rPr>
      </w:pPr>
    </w:p>
    <w:p w:rsidR="006E2303" w:rsidRPr="0005675A" w:rsidRDefault="00BD562D" w:rsidP="0005675A">
      <w:pPr>
        <w:jc w:val="both"/>
        <w:rPr>
          <w:rStyle w:val="apple-converted-space"/>
          <w:rFonts w:ascii="Arial" w:hAnsi="Arial" w:cs="Arial"/>
          <w:b/>
          <w:bCs/>
          <w:color w:val="000000"/>
        </w:rPr>
      </w:pPr>
      <w:r w:rsidRPr="0005675A">
        <w:rPr>
          <w:rFonts w:ascii="Arial" w:hAnsi="Arial" w:cs="Arial"/>
          <w:b/>
          <w:bCs/>
        </w:rPr>
        <w:t>(</w:t>
      </w:r>
      <w:r w:rsidR="006E2303" w:rsidRPr="0005675A">
        <w:rPr>
          <w:rFonts w:ascii="Arial" w:hAnsi="Arial" w:cs="Arial"/>
          <w:b/>
          <w:bCs/>
        </w:rPr>
        <w:t>d) Variation in context (Nepal concentration)</w:t>
      </w:r>
      <w:r w:rsidR="006E2303" w:rsidRPr="0005675A">
        <w:rPr>
          <w:rStyle w:val="apple-converted-space"/>
          <w:rFonts w:ascii="Arial" w:hAnsi="Arial" w:cs="Arial"/>
          <w:b/>
          <w:bCs/>
          <w:color w:val="000000"/>
        </w:rPr>
        <w:t> </w:t>
      </w:r>
    </w:p>
    <w:p w:rsidR="0005675A" w:rsidRDefault="0005675A" w:rsidP="0005675A">
      <w:pPr>
        <w:jc w:val="both"/>
        <w:rPr>
          <w:rFonts w:ascii="Arial" w:hAnsi="Arial" w:cs="Arial"/>
        </w:rPr>
      </w:pPr>
    </w:p>
    <w:p w:rsidR="006E2303" w:rsidRPr="0005675A" w:rsidRDefault="006E2303" w:rsidP="0005675A">
      <w:pPr>
        <w:jc w:val="both"/>
        <w:rPr>
          <w:rFonts w:ascii="Arial" w:hAnsi="Arial" w:cs="Arial"/>
        </w:rPr>
      </w:pPr>
      <w:r w:rsidRPr="0005675A">
        <w:rPr>
          <w:rFonts w:ascii="Arial" w:hAnsi="Arial" w:cs="Arial"/>
        </w:rPr>
        <w:t xml:space="preserve">Digital payment acceptance is growing quickly in </w:t>
      </w:r>
      <w:proofErr w:type="gramStart"/>
      <w:r w:rsidRPr="0005675A">
        <w:rPr>
          <w:rFonts w:ascii="Arial" w:hAnsi="Arial" w:cs="Arial"/>
        </w:rPr>
        <w:t>Nepal,</w:t>
      </w:r>
      <w:proofErr w:type="gramEnd"/>
      <w:r w:rsidRPr="0005675A">
        <w:rPr>
          <w:rFonts w:ascii="Arial" w:hAnsi="Arial" w:cs="Arial"/>
        </w:rPr>
        <w:t xml:space="preserve"> however it is surpassing the infrastructure for operations and oversight (NRB, 2021; Shrestha, 2021). KC (2024) identifies a lack of integration with operational dispute procedures while highlighting governance concerns resulting from digital payment systems. The Nepal </w:t>
      </w:r>
      <w:proofErr w:type="spellStart"/>
      <w:r w:rsidRPr="0005675A">
        <w:rPr>
          <w:rFonts w:ascii="Arial" w:hAnsi="Arial" w:cs="Arial"/>
        </w:rPr>
        <w:t>Rastra</w:t>
      </w:r>
      <w:proofErr w:type="spellEnd"/>
      <w:r w:rsidRPr="0005675A">
        <w:rPr>
          <w:rFonts w:ascii="Arial" w:hAnsi="Arial" w:cs="Arial"/>
        </w:rPr>
        <w:t xml:space="preserve"> Bank (2021, 2022) offers regulatory frameworks and institutional </w:t>
      </w:r>
      <w:proofErr w:type="gramStart"/>
      <w:r w:rsidRPr="0005675A">
        <w:rPr>
          <w:rFonts w:ascii="Arial" w:hAnsi="Arial" w:cs="Arial"/>
        </w:rPr>
        <w:t>structure,</w:t>
      </w:r>
      <w:proofErr w:type="gramEnd"/>
      <w:r w:rsidRPr="0005675A">
        <w:rPr>
          <w:rFonts w:ascii="Arial" w:hAnsi="Arial" w:cs="Arial"/>
        </w:rPr>
        <w:t xml:space="preserve"> however it is unclear how disputes are governed. Because of this contextual gap, there is still a lack </w:t>
      </w:r>
      <w:r w:rsidRPr="0005675A">
        <w:rPr>
          <w:rFonts w:ascii="Arial" w:hAnsi="Arial" w:cs="Arial"/>
        </w:rPr>
        <w:lastRenderedPageBreak/>
        <w:t>of research on how technology malfunctions might turn into disputes in Nepalese banking.</w:t>
      </w:r>
    </w:p>
    <w:p w:rsidR="006E2303" w:rsidRPr="00BD562D" w:rsidRDefault="006E2303" w:rsidP="006E2303">
      <w:pPr>
        <w:pStyle w:val="Heading2"/>
        <w:rPr>
          <w:rStyle w:val="apple-converted-space"/>
          <w:rFonts w:asciiTheme="majorHAnsi" w:hAnsiTheme="majorHAnsi" w:cstheme="majorHAnsi"/>
          <w:sz w:val="28"/>
          <w:szCs w:val="28"/>
        </w:rPr>
      </w:pPr>
      <w:bookmarkStart w:id="36" w:name="_Toc227498336"/>
      <w:r w:rsidRPr="00BD562D">
        <w:rPr>
          <w:rFonts w:asciiTheme="majorHAnsi" w:hAnsiTheme="majorHAnsi" w:cstheme="majorHAnsi"/>
          <w:sz w:val="28"/>
          <w:szCs w:val="28"/>
        </w:rPr>
        <w:t>3.5 Theme 2: Service Failure and Digital Transaction Disputes</w:t>
      </w:r>
      <w:bookmarkEnd w:id="36"/>
      <w:r w:rsidRPr="00BD562D">
        <w:rPr>
          <w:rStyle w:val="apple-converted-space"/>
          <w:rFonts w:asciiTheme="majorHAnsi" w:hAnsiTheme="majorHAnsi" w:cstheme="majorHAnsi"/>
          <w:sz w:val="28"/>
          <w:szCs w:val="28"/>
        </w:rPr>
        <w:t> </w:t>
      </w:r>
    </w:p>
    <w:p w:rsidR="006E2303" w:rsidRDefault="006E2303" w:rsidP="0005675A">
      <w:pPr>
        <w:jc w:val="both"/>
        <w:rPr>
          <w:rFonts w:ascii="Arial" w:hAnsi="Arial" w:cs="Arial"/>
        </w:rPr>
      </w:pPr>
      <w:r w:rsidRPr="0005675A">
        <w:rPr>
          <w:rFonts w:ascii="Arial" w:hAnsi="Arial" w:cs="Arial"/>
        </w:rPr>
        <w:t>(</w:t>
      </w:r>
      <w:r w:rsidRPr="0005675A">
        <w:rPr>
          <w:rFonts w:ascii="Arial" w:hAnsi="Arial" w:cs="Arial"/>
          <w:b/>
          <w:bCs/>
        </w:rPr>
        <w:t>a) Foundational concepts</w:t>
      </w:r>
    </w:p>
    <w:p w:rsidR="0005675A" w:rsidRPr="0005675A" w:rsidRDefault="0005675A" w:rsidP="0005675A">
      <w:pPr>
        <w:jc w:val="both"/>
        <w:rPr>
          <w:rFonts w:ascii="Arial" w:hAnsi="Arial" w:cs="Arial"/>
        </w:rPr>
      </w:pPr>
    </w:p>
    <w:p w:rsidR="006E2303" w:rsidRDefault="006E2303" w:rsidP="0005675A">
      <w:pPr>
        <w:jc w:val="both"/>
        <w:rPr>
          <w:rFonts w:ascii="Arial" w:hAnsi="Arial" w:cs="Arial"/>
        </w:rPr>
      </w:pPr>
      <w:r w:rsidRPr="0005675A">
        <w:rPr>
          <w:rFonts w:ascii="Arial" w:hAnsi="Arial" w:cs="Arial"/>
        </w:rPr>
        <w:t>Unauthorized transactions, duplicate debits, delayed settlements, and failing transactions are some of the issues that lead to conflicts over digital transactions (</w:t>
      </w:r>
      <w:proofErr w:type="spellStart"/>
      <w:r w:rsidRPr="0005675A">
        <w:rPr>
          <w:rFonts w:ascii="Arial" w:hAnsi="Arial" w:cs="Arial"/>
        </w:rPr>
        <w:t>Ozili</w:t>
      </w:r>
      <w:proofErr w:type="spellEnd"/>
      <w:r w:rsidRPr="0005675A">
        <w:rPr>
          <w:rFonts w:ascii="Arial" w:hAnsi="Arial" w:cs="Arial"/>
        </w:rPr>
        <w:t xml:space="preserve">, 2020). Based on service recovery theory, which emphasizes customer satisfaction outcomes but provides little insight into underlying operational procedures and systemic causes, the dominant perspective conceptualizes disagreements in terms of customer complaint handling and service recovery (Lovelock &amp; Wirtz, 2021; Van </w:t>
      </w:r>
      <w:proofErr w:type="spellStart"/>
      <w:r w:rsidRPr="0005675A">
        <w:rPr>
          <w:rFonts w:ascii="Arial" w:hAnsi="Arial" w:cs="Arial"/>
        </w:rPr>
        <w:t>Vaerenbergh</w:t>
      </w:r>
      <w:proofErr w:type="spellEnd"/>
      <w:r w:rsidRPr="0005675A">
        <w:rPr>
          <w:rFonts w:ascii="Arial" w:hAnsi="Arial" w:cs="Arial"/>
        </w:rPr>
        <w:t xml:space="preserve"> &amp; </w:t>
      </w:r>
      <w:proofErr w:type="spellStart"/>
      <w:r w:rsidRPr="0005675A">
        <w:rPr>
          <w:rFonts w:ascii="Arial" w:hAnsi="Arial" w:cs="Arial"/>
        </w:rPr>
        <w:t>Orsingher</w:t>
      </w:r>
      <w:proofErr w:type="spellEnd"/>
      <w:r w:rsidRPr="0005675A">
        <w:rPr>
          <w:rFonts w:ascii="Arial" w:hAnsi="Arial" w:cs="Arial"/>
        </w:rPr>
        <w:t>, 2020).</w:t>
      </w:r>
    </w:p>
    <w:p w:rsidR="0005675A" w:rsidRPr="0005675A" w:rsidRDefault="0005675A" w:rsidP="0005675A">
      <w:pPr>
        <w:jc w:val="both"/>
        <w:rPr>
          <w:rFonts w:ascii="Arial" w:hAnsi="Arial" w:cs="Arial"/>
        </w:rPr>
      </w:pPr>
    </w:p>
    <w:p w:rsidR="006E2303" w:rsidRPr="0005675A" w:rsidRDefault="006E2303" w:rsidP="0005675A">
      <w:pPr>
        <w:jc w:val="both"/>
        <w:rPr>
          <w:rStyle w:val="apple-converted-space"/>
          <w:rFonts w:ascii="Arial" w:hAnsi="Arial" w:cs="Arial"/>
          <w:b/>
          <w:bCs/>
          <w:color w:val="000000"/>
        </w:rPr>
      </w:pPr>
      <w:r w:rsidRPr="0005675A">
        <w:rPr>
          <w:rFonts w:ascii="Arial" w:hAnsi="Arial" w:cs="Arial"/>
          <w:b/>
          <w:bCs/>
        </w:rPr>
        <w:t>(b) Empirical evidence</w:t>
      </w:r>
      <w:r w:rsidRPr="0005675A">
        <w:rPr>
          <w:rStyle w:val="apple-converted-space"/>
          <w:rFonts w:ascii="Arial" w:hAnsi="Arial" w:cs="Arial"/>
          <w:b/>
          <w:bCs/>
          <w:color w:val="000000"/>
        </w:rPr>
        <w:t> </w:t>
      </w:r>
    </w:p>
    <w:p w:rsidR="0005675A" w:rsidRDefault="0005675A" w:rsidP="0005675A">
      <w:pPr>
        <w:jc w:val="both"/>
        <w:rPr>
          <w:rFonts w:ascii="Arial" w:hAnsi="Arial" w:cs="Arial"/>
        </w:rPr>
      </w:pPr>
    </w:p>
    <w:p w:rsidR="006E2303" w:rsidRDefault="00440E55" w:rsidP="0005675A">
      <w:pPr>
        <w:jc w:val="both"/>
        <w:rPr>
          <w:rFonts w:ascii="Arial" w:hAnsi="Arial" w:cs="Arial"/>
        </w:rPr>
      </w:pPr>
      <w:r w:rsidRPr="0005675A">
        <w:rPr>
          <w:rFonts w:ascii="Arial" w:hAnsi="Arial" w:cs="Arial"/>
        </w:rPr>
        <w:t xml:space="preserve">Effective complaint handling increases customer satisfaction and loyalty, according to service recovery literature (Lovelock &amp; Wirtz, 2021; Van </w:t>
      </w:r>
      <w:proofErr w:type="spellStart"/>
      <w:r w:rsidRPr="0005675A">
        <w:rPr>
          <w:rFonts w:ascii="Arial" w:hAnsi="Arial" w:cs="Arial"/>
        </w:rPr>
        <w:t>Vaerenbergh</w:t>
      </w:r>
      <w:proofErr w:type="spellEnd"/>
      <w:r w:rsidRPr="0005675A">
        <w:rPr>
          <w:rFonts w:ascii="Arial" w:hAnsi="Arial" w:cs="Arial"/>
        </w:rPr>
        <w:t xml:space="preserve"> &amp; </w:t>
      </w:r>
      <w:proofErr w:type="spellStart"/>
      <w:r w:rsidRPr="0005675A">
        <w:rPr>
          <w:rFonts w:ascii="Arial" w:hAnsi="Arial" w:cs="Arial"/>
        </w:rPr>
        <w:t>Orsingher</w:t>
      </w:r>
      <w:proofErr w:type="spellEnd"/>
      <w:r w:rsidRPr="0005675A">
        <w:rPr>
          <w:rFonts w:ascii="Arial" w:hAnsi="Arial" w:cs="Arial"/>
        </w:rPr>
        <w:t xml:space="preserve">, 2020). Customers' opinions of fairness and service quality are significantly impacted by recovery strategies (Van </w:t>
      </w:r>
      <w:proofErr w:type="spellStart"/>
      <w:r w:rsidRPr="0005675A">
        <w:rPr>
          <w:rFonts w:ascii="Arial" w:hAnsi="Arial" w:cs="Arial"/>
        </w:rPr>
        <w:t>Vaerenbergh</w:t>
      </w:r>
      <w:proofErr w:type="spellEnd"/>
      <w:r w:rsidRPr="0005675A">
        <w:rPr>
          <w:rFonts w:ascii="Arial" w:hAnsi="Arial" w:cs="Arial"/>
        </w:rPr>
        <w:t xml:space="preserve"> &amp; </w:t>
      </w:r>
      <w:proofErr w:type="spellStart"/>
      <w:r w:rsidRPr="0005675A">
        <w:rPr>
          <w:rFonts w:ascii="Arial" w:hAnsi="Arial" w:cs="Arial"/>
        </w:rPr>
        <w:t>Orsingher</w:t>
      </w:r>
      <w:proofErr w:type="spellEnd"/>
      <w:r w:rsidRPr="0005675A">
        <w:rPr>
          <w:rFonts w:ascii="Arial" w:hAnsi="Arial" w:cs="Arial"/>
        </w:rPr>
        <w:t xml:space="preserve">, 2020). Customer results are worsened by delays and inadequate communication (Tax et al., 2021; </w:t>
      </w:r>
      <w:proofErr w:type="spellStart"/>
      <w:r w:rsidRPr="0005675A">
        <w:rPr>
          <w:rFonts w:ascii="Arial" w:hAnsi="Arial" w:cs="Arial"/>
        </w:rPr>
        <w:t>Gelbrich</w:t>
      </w:r>
      <w:proofErr w:type="spellEnd"/>
      <w:r w:rsidRPr="0005675A">
        <w:rPr>
          <w:rFonts w:ascii="Arial" w:hAnsi="Arial" w:cs="Arial"/>
        </w:rPr>
        <w:t xml:space="preserve"> et al., 2020). However, many studies ignore the underlying organizational procedures and systemic flaws that lead to conflicts in favor of focusing on outcomes (consumer responses).</w:t>
      </w:r>
    </w:p>
    <w:p w:rsidR="0005675A" w:rsidRPr="0005675A" w:rsidRDefault="0005675A" w:rsidP="0005675A">
      <w:pPr>
        <w:jc w:val="both"/>
        <w:rPr>
          <w:rFonts w:ascii="Arial" w:hAnsi="Arial" w:cs="Arial"/>
        </w:rPr>
      </w:pPr>
    </w:p>
    <w:p w:rsidR="006E2303" w:rsidRPr="0005675A" w:rsidRDefault="006E2303" w:rsidP="0005675A">
      <w:pPr>
        <w:jc w:val="both"/>
        <w:rPr>
          <w:rFonts w:ascii="Arial" w:hAnsi="Arial" w:cs="Arial"/>
          <w:b/>
          <w:bCs/>
        </w:rPr>
      </w:pPr>
      <w:r w:rsidRPr="0005675A">
        <w:rPr>
          <w:rFonts w:ascii="Arial" w:hAnsi="Arial" w:cs="Arial"/>
          <w:b/>
          <w:bCs/>
        </w:rPr>
        <w:t>(c) Contradiction</w:t>
      </w:r>
    </w:p>
    <w:p w:rsidR="0005675A" w:rsidRDefault="0005675A" w:rsidP="0005675A">
      <w:pPr>
        <w:jc w:val="both"/>
        <w:rPr>
          <w:rFonts w:ascii="Arial" w:hAnsi="Arial" w:cs="Arial"/>
        </w:rPr>
      </w:pPr>
    </w:p>
    <w:p w:rsidR="006E2303" w:rsidRDefault="00440E55" w:rsidP="0005675A">
      <w:pPr>
        <w:jc w:val="both"/>
        <w:rPr>
          <w:rFonts w:ascii="Arial" w:hAnsi="Arial" w:cs="Arial"/>
        </w:rPr>
      </w:pPr>
      <w:r w:rsidRPr="0005675A">
        <w:rPr>
          <w:rFonts w:ascii="Arial" w:hAnsi="Arial" w:cs="Arial"/>
        </w:rPr>
        <w:t xml:space="preserve">There is a fundamental contradiction: operational risk scholars (BCBS, 2021; </w:t>
      </w:r>
      <w:proofErr w:type="spellStart"/>
      <w:r w:rsidRPr="0005675A">
        <w:rPr>
          <w:rFonts w:ascii="Arial" w:hAnsi="Arial" w:cs="Arial"/>
        </w:rPr>
        <w:t>Moosa</w:t>
      </w:r>
      <w:proofErr w:type="spellEnd"/>
      <w:r w:rsidRPr="0005675A">
        <w:rPr>
          <w:rFonts w:ascii="Arial" w:hAnsi="Arial" w:cs="Arial"/>
        </w:rPr>
        <w:t>, 2020) see identical failures as systematic process breakdowns, while service researchers treat conflicts as individual customer-facing incidents. There is no way to reconcile these two viewpoints. The customer-centric bias of the prevalent service recovery viewpoint, which reduces disagreements to matters of satisfaction and complaint processing, theoretically limits it. As a result, disputes are incorrectly categorized, making it impossible to incorporate them into risk and governance frameworks.</w:t>
      </w:r>
    </w:p>
    <w:p w:rsidR="0005675A" w:rsidRPr="0005675A" w:rsidRDefault="0005675A" w:rsidP="0005675A">
      <w:pPr>
        <w:jc w:val="both"/>
        <w:rPr>
          <w:rFonts w:ascii="Arial" w:hAnsi="Arial" w:cs="Arial"/>
        </w:rPr>
      </w:pPr>
    </w:p>
    <w:p w:rsidR="006E2303" w:rsidRPr="0005675A" w:rsidRDefault="00BD562D" w:rsidP="0005675A">
      <w:pPr>
        <w:jc w:val="both"/>
        <w:rPr>
          <w:rStyle w:val="apple-converted-space"/>
          <w:rFonts w:ascii="Arial" w:hAnsi="Arial" w:cs="Arial"/>
          <w:b/>
          <w:bCs/>
          <w:color w:val="000000"/>
        </w:rPr>
      </w:pPr>
      <w:r w:rsidRPr="0005675A">
        <w:rPr>
          <w:rFonts w:ascii="Arial" w:hAnsi="Arial" w:cs="Arial"/>
          <w:b/>
          <w:bCs/>
        </w:rPr>
        <w:t>(</w:t>
      </w:r>
      <w:r w:rsidR="006E2303" w:rsidRPr="0005675A">
        <w:rPr>
          <w:rFonts w:ascii="Arial" w:hAnsi="Arial" w:cs="Arial"/>
          <w:b/>
          <w:bCs/>
        </w:rPr>
        <w:t>d) Variation in context (Nepal concentration)</w:t>
      </w:r>
      <w:r w:rsidR="006E2303" w:rsidRPr="0005675A">
        <w:rPr>
          <w:rStyle w:val="apple-converted-space"/>
          <w:rFonts w:ascii="Arial" w:hAnsi="Arial" w:cs="Arial"/>
          <w:b/>
          <w:bCs/>
          <w:color w:val="000000"/>
        </w:rPr>
        <w:t> </w:t>
      </w:r>
    </w:p>
    <w:p w:rsidR="0005675A" w:rsidRDefault="0005675A" w:rsidP="0005675A">
      <w:pPr>
        <w:jc w:val="both"/>
        <w:rPr>
          <w:rFonts w:ascii="Arial" w:hAnsi="Arial" w:cs="Arial"/>
        </w:rPr>
      </w:pPr>
    </w:p>
    <w:p w:rsidR="00440E55" w:rsidRPr="0005675A" w:rsidRDefault="00440E55" w:rsidP="0005675A">
      <w:pPr>
        <w:jc w:val="both"/>
        <w:rPr>
          <w:rStyle w:val="apple-converted-space"/>
          <w:rFonts w:ascii="Arial" w:hAnsi="Arial" w:cs="Arial"/>
          <w:color w:val="000000"/>
        </w:rPr>
      </w:pPr>
      <w:r w:rsidRPr="0005675A">
        <w:rPr>
          <w:rFonts w:ascii="Arial" w:hAnsi="Arial" w:cs="Arial"/>
        </w:rPr>
        <w:t>Neupane (2024) notes operational inefficiencies and governance shortcomings in dispute resolution procedures in the Nepalese context, but she continues the contradiction by framing them through the perspective of service recovery. Although Tamang (2022) looks at customer complaint trends, disputes are not considered operational risk occurrences. In Nepal, there is no empirical study that illustrates how governance mechanisms such as responsibility, control, and escalation actually influence the results of conflict resolution.</w:t>
      </w:r>
    </w:p>
    <w:p w:rsidR="0005675A" w:rsidRDefault="0005675A" w:rsidP="00FC5880">
      <w:pPr>
        <w:pStyle w:val="Heading2"/>
        <w:rPr>
          <w:rFonts w:asciiTheme="majorHAnsi" w:hAnsiTheme="majorHAnsi" w:cstheme="majorHAnsi"/>
          <w:color w:val="000000"/>
          <w:sz w:val="28"/>
          <w:szCs w:val="28"/>
        </w:rPr>
      </w:pPr>
    </w:p>
    <w:p w:rsidR="00440E55" w:rsidRPr="00BD562D" w:rsidRDefault="00440E55" w:rsidP="00FC5880">
      <w:pPr>
        <w:pStyle w:val="Heading2"/>
        <w:rPr>
          <w:rFonts w:asciiTheme="majorHAnsi" w:hAnsiTheme="majorHAnsi" w:cstheme="majorHAnsi"/>
          <w:color w:val="000000"/>
          <w:sz w:val="28"/>
          <w:szCs w:val="28"/>
        </w:rPr>
      </w:pPr>
      <w:bookmarkStart w:id="37" w:name="_Toc227498337"/>
      <w:r w:rsidRPr="00BD562D">
        <w:rPr>
          <w:rFonts w:asciiTheme="majorHAnsi" w:hAnsiTheme="majorHAnsi" w:cstheme="majorHAnsi"/>
          <w:color w:val="000000"/>
          <w:sz w:val="28"/>
          <w:szCs w:val="28"/>
        </w:rPr>
        <w:lastRenderedPageBreak/>
        <w:t>3.6 Theme 3: Banking Operational Risk</w:t>
      </w:r>
      <w:bookmarkEnd w:id="37"/>
      <w:r w:rsidRPr="00BD562D">
        <w:rPr>
          <w:rFonts w:asciiTheme="majorHAnsi" w:hAnsiTheme="majorHAnsi" w:cstheme="majorHAnsi"/>
          <w:color w:val="000000"/>
          <w:sz w:val="28"/>
          <w:szCs w:val="28"/>
        </w:rPr>
        <w:t xml:space="preserve"> </w:t>
      </w:r>
    </w:p>
    <w:p w:rsidR="00440E55" w:rsidRPr="0005675A" w:rsidRDefault="00440E55" w:rsidP="0005675A">
      <w:pPr>
        <w:jc w:val="both"/>
        <w:rPr>
          <w:rFonts w:ascii="Arial" w:hAnsi="Arial" w:cs="Arial"/>
          <w:b/>
          <w:bCs/>
        </w:rPr>
      </w:pPr>
      <w:r w:rsidRPr="0005675A">
        <w:rPr>
          <w:rFonts w:ascii="Arial" w:hAnsi="Arial" w:cs="Arial"/>
          <w:b/>
          <w:bCs/>
        </w:rPr>
        <w:t>(a) Foundational Concepts</w:t>
      </w:r>
    </w:p>
    <w:p w:rsidR="0005675A" w:rsidRPr="0005675A" w:rsidRDefault="0005675A" w:rsidP="0005675A">
      <w:pPr>
        <w:jc w:val="both"/>
        <w:rPr>
          <w:rFonts w:ascii="Arial" w:hAnsi="Arial" w:cs="Arial"/>
        </w:rPr>
      </w:pPr>
    </w:p>
    <w:p w:rsidR="00440E55" w:rsidRDefault="00440E55" w:rsidP="0005675A">
      <w:pPr>
        <w:jc w:val="both"/>
        <w:rPr>
          <w:rFonts w:ascii="Arial" w:hAnsi="Arial" w:cs="Arial"/>
        </w:rPr>
      </w:pPr>
      <w:r w:rsidRPr="0005675A">
        <w:rPr>
          <w:rFonts w:ascii="Arial" w:hAnsi="Arial" w:cs="Arial"/>
        </w:rPr>
        <w:t>Operational risk is defined by the Basel Committee on Banking Supervision as the potential for a loss due to inadequate or ineffective internal processes, staff, systems, or external events (BCBS, 2011). This is consistent with operational risk theory, which sees control, process, and system failures as the main sources of organizational risk. There are comprehensive frameworks, including risk assessment, internal controls, and monitoring systems, for risk identification, measurement, and control (</w:t>
      </w:r>
      <w:proofErr w:type="spellStart"/>
      <w:r w:rsidRPr="0005675A">
        <w:rPr>
          <w:rFonts w:ascii="Arial" w:hAnsi="Arial" w:cs="Arial"/>
        </w:rPr>
        <w:t>Moosa</w:t>
      </w:r>
      <w:proofErr w:type="spellEnd"/>
      <w:r w:rsidRPr="0005675A">
        <w:rPr>
          <w:rFonts w:ascii="Arial" w:hAnsi="Arial" w:cs="Arial"/>
        </w:rPr>
        <w:t xml:space="preserve">, 2020; </w:t>
      </w:r>
      <w:proofErr w:type="spellStart"/>
      <w:r w:rsidRPr="0005675A">
        <w:rPr>
          <w:rFonts w:ascii="Arial" w:hAnsi="Arial" w:cs="Arial"/>
        </w:rPr>
        <w:t>Bessis</w:t>
      </w:r>
      <w:proofErr w:type="spellEnd"/>
      <w:r w:rsidRPr="0005675A">
        <w:rPr>
          <w:rFonts w:ascii="Arial" w:hAnsi="Arial" w:cs="Arial"/>
        </w:rPr>
        <w:t>, 2020).</w:t>
      </w:r>
    </w:p>
    <w:p w:rsidR="0005675A" w:rsidRPr="0005675A" w:rsidRDefault="0005675A" w:rsidP="0005675A">
      <w:pPr>
        <w:jc w:val="both"/>
        <w:rPr>
          <w:rFonts w:ascii="Arial" w:hAnsi="Arial" w:cs="Arial"/>
        </w:rPr>
      </w:pPr>
    </w:p>
    <w:p w:rsidR="00440E55" w:rsidRPr="0005675A" w:rsidRDefault="00440E55" w:rsidP="0005675A">
      <w:pPr>
        <w:jc w:val="both"/>
        <w:rPr>
          <w:rStyle w:val="apple-converted-space"/>
          <w:rFonts w:ascii="Arial" w:hAnsi="Arial" w:cs="Arial"/>
          <w:b/>
          <w:bCs/>
          <w:color w:val="000000"/>
        </w:rPr>
      </w:pPr>
      <w:r w:rsidRPr="0005675A">
        <w:rPr>
          <w:rFonts w:ascii="Arial" w:hAnsi="Arial" w:cs="Arial"/>
          <w:b/>
          <w:bCs/>
        </w:rPr>
        <w:t>(b) Empirical evidence</w:t>
      </w:r>
      <w:r w:rsidRPr="0005675A">
        <w:rPr>
          <w:rStyle w:val="apple-converted-space"/>
          <w:rFonts w:ascii="Arial" w:hAnsi="Arial" w:cs="Arial"/>
          <w:b/>
          <w:bCs/>
          <w:color w:val="000000"/>
        </w:rPr>
        <w:t> </w:t>
      </w:r>
    </w:p>
    <w:p w:rsidR="0005675A" w:rsidRDefault="0005675A" w:rsidP="0005675A">
      <w:pPr>
        <w:jc w:val="both"/>
        <w:rPr>
          <w:rFonts w:ascii="Arial" w:hAnsi="Arial" w:cs="Arial"/>
        </w:rPr>
      </w:pPr>
    </w:p>
    <w:p w:rsidR="00440E55" w:rsidRDefault="00440E55" w:rsidP="0005675A">
      <w:pPr>
        <w:jc w:val="both"/>
        <w:rPr>
          <w:rFonts w:ascii="Arial" w:hAnsi="Arial" w:cs="Arial"/>
        </w:rPr>
      </w:pPr>
      <w:r w:rsidRPr="0005675A">
        <w:rPr>
          <w:rFonts w:ascii="Arial" w:hAnsi="Arial" w:cs="Arial"/>
        </w:rPr>
        <w:t xml:space="preserve">The definition of operational risk failures in people, systems, processes, or external events is widely accepted empirically (BCBS, 2021; </w:t>
      </w:r>
      <w:proofErr w:type="spellStart"/>
      <w:r w:rsidRPr="0005675A">
        <w:rPr>
          <w:rFonts w:ascii="Arial" w:hAnsi="Arial" w:cs="Arial"/>
        </w:rPr>
        <w:t>Moosa</w:t>
      </w:r>
      <w:proofErr w:type="spellEnd"/>
      <w:r w:rsidRPr="0005675A">
        <w:rPr>
          <w:rFonts w:ascii="Arial" w:hAnsi="Arial" w:cs="Arial"/>
        </w:rPr>
        <w:t xml:space="preserve">, 2020). Internal controls and monitoring are crucial for mitigation, according to all major frameworks (COSO, 2020; </w:t>
      </w:r>
      <w:proofErr w:type="spellStart"/>
      <w:r w:rsidRPr="0005675A">
        <w:rPr>
          <w:rFonts w:ascii="Arial" w:hAnsi="Arial" w:cs="Arial"/>
        </w:rPr>
        <w:t>Bessis</w:t>
      </w:r>
      <w:proofErr w:type="spellEnd"/>
      <w:r w:rsidRPr="0005675A">
        <w:rPr>
          <w:rFonts w:ascii="Arial" w:hAnsi="Arial" w:cs="Arial"/>
        </w:rPr>
        <w:t>, 2020). Resilience, accountability, and governance are highlighted in regulatory frameworks (BCBS, 2021; FSB, 2021). However, when it comes to digital conflicts, operational loss data and risk events are frequently improperly categorized or analyzed (</w:t>
      </w:r>
      <w:proofErr w:type="spellStart"/>
      <w:r w:rsidRPr="0005675A">
        <w:rPr>
          <w:rFonts w:ascii="Arial" w:hAnsi="Arial" w:cs="Arial"/>
        </w:rPr>
        <w:t>Chernobai</w:t>
      </w:r>
      <w:proofErr w:type="spellEnd"/>
      <w:r w:rsidRPr="0005675A">
        <w:rPr>
          <w:rFonts w:ascii="Arial" w:hAnsi="Arial" w:cs="Arial"/>
        </w:rPr>
        <w:t xml:space="preserve"> et al., 2020; ORX, 2022).</w:t>
      </w:r>
    </w:p>
    <w:p w:rsidR="0005675A" w:rsidRPr="0005675A" w:rsidRDefault="0005675A" w:rsidP="0005675A">
      <w:pPr>
        <w:jc w:val="both"/>
        <w:rPr>
          <w:rFonts w:ascii="Arial" w:hAnsi="Arial" w:cs="Arial"/>
        </w:rPr>
      </w:pPr>
    </w:p>
    <w:p w:rsidR="00440E55" w:rsidRPr="0005675A" w:rsidRDefault="00440E55" w:rsidP="0005675A">
      <w:pPr>
        <w:jc w:val="both"/>
        <w:rPr>
          <w:rFonts w:ascii="Arial" w:hAnsi="Arial" w:cs="Arial"/>
          <w:b/>
          <w:bCs/>
        </w:rPr>
      </w:pPr>
      <w:r w:rsidRPr="0005675A">
        <w:rPr>
          <w:rFonts w:ascii="Arial" w:hAnsi="Arial" w:cs="Arial"/>
          <w:b/>
          <w:bCs/>
        </w:rPr>
        <w:t>(c) Contradiction</w:t>
      </w:r>
    </w:p>
    <w:p w:rsidR="0005675A" w:rsidRDefault="0005675A" w:rsidP="0005675A">
      <w:pPr>
        <w:jc w:val="both"/>
        <w:rPr>
          <w:rFonts w:ascii="Arial" w:hAnsi="Arial" w:cs="Arial"/>
        </w:rPr>
      </w:pPr>
    </w:p>
    <w:p w:rsidR="00440E55" w:rsidRDefault="00440E55" w:rsidP="0005675A">
      <w:pPr>
        <w:jc w:val="both"/>
        <w:rPr>
          <w:rFonts w:ascii="Arial" w:hAnsi="Arial" w:cs="Arial"/>
        </w:rPr>
      </w:pPr>
      <w:r w:rsidRPr="0005675A">
        <w:rPr>
          <w:rFonts w:ascii="Arial" w:hAnsi="Arial" w:cs="Arial"/>
        </w:rPr>
        <w:t>There is a significant discrepancy between empirical banking research (</w:t>
      </w:r>
      <w:proofErr w:type="spellStart"/>
      <w:r w:rsidRPr="0005675A">
        <w:rPr>
          <w:rFonts w:ascii="Arial" w:hAnsi="Arial" w:cs="Arial"/>
        </w:rPr>
        <w:t>Sayaju</w:t>
      </w:r>
      <w:proofErr w:type="spellEnd"/>
      <w:r w:rsidRPr="0005675A">
        <w:rPr>
          <w:rFonts w:ascii="Arial" w:hAnsi="Arial" w:cs="Arial"/>
        </w:rPr>
        <w:t xml:space="preserve"> &amp; </w:t>
      </w:r>
      <w:proofErr w:type="spellStart"/>
      <w:r w:rsidRPr="0005675A">
        <w:rPr>
          <w:rFonts w:ascii="Arial" w:hAnsi="Arial" w:cs="Arial"/>
        </w:rPr>
        <w:t>Dhakal</w:t>
      </w:r>
      <w:proofErr w:type="spellEnd"/>
      <w:r w:rsidRPr="0005675A">
        <w:rPr>
          <w:rFonts w:ascii="Arial" w:hAnsi="Arial" w:cs="Arial"/>
        </w:rPr>
        <w:t>, 2024; Bhandari, 2022) and regulatory frameworks (BCBS, 2021; FSB, 2021). Empirical data from Nepal demonstrates that operational risk frameworks are not effectively implemented and integrated, despite regulatory guidance's assumption to the contrary. Furthermore, although quantitative risk models are widely used, they are unable to account for the dynamics of disputes at the process level. No framework incorporates "dispute occurrence" as a key risk indicator (KRI), and disputes involving digital transactions are not acknowledged as an operational risk event category.</w:t>
      </w:r>
    </w:p>
    <w:p w:rsidR="0005675A" w:rsidRPr="0005675A" w:rsidRDefault="0005675A" w:rsidP="0005675A">
      <w:pPr>
        <w:jc w:val="both"/>
        <w:rPr>
          <w:rFonts w:ascii="Arial" w:hAnsi="Arial" w:cs="Arial"/>
        </w:rPr>
      </w:pPr>
    </w:p>
    <w:p w:rsidR="00440E55" w:rsidRPr="0005675A" w:rsidRDefault="00440E55" w:rsidP="0005675A">
      <w:pPr>
        <w:jc w:val="both"/>
        <w:rPr>
          <w:rStyle w:val="apple-converted-space"/>
          <w:rFonts w:ascii="Arial" w:hAnsi="Arial" w:cs="Arial"/>
          <w:b/>
          <w:bCs/>
          <w:color w:val="000000"/>
        </w:rPr>
      </w:pPr>
      <w:r w:rsidRPr="0005675A">
        <w:rPr>
          <w:rFonts w:ascii="Arial" w:hAnsi="Arial" w:cs="Arial"/>
          <w:b/>
          <w:bCs/>
        </w:rPr>
        <w:t>(d) Variation in context (Nepal concentration)</w:t>
      </w:r>
      <w:r w:rsidRPr="0005675A">
        <w:rPr>
          <w:rStyle w:val="apple-converted-space"/>
          <w:rFonts w:ascii="Arial" w:hAnsi="Arial" w:cs="Arial"/>
          <w:b/>
          <w:bCs/>
          <w:color w:val="000000"/>
        </w:rPr>
        <w:t> </w:t>
      </w:r>
    </w:p>
    <w:p w:rsidR="0005675A" w:rsidRDefault="0005675A" w:rsidP="0005675A">
      <w:pPr>
        <w:jc w:val="both"/>
        <w:rPr>
          <w:rFonts w:ascii="Arial" w:hAnsi="Arial" w:cs="Arial"/>
        </w:rPr>
      </w:pPr>
    </w:p>
    <w:p w:rsidR="0005675A" w:rsidRDefault="00440E55" w:rsidP="0005675A">
      <w:pPr>
        <w:jc w:val="both"/>
        <w:rPr>
          <w:rFonts w:ascii="Arial" w:hAnsi="Arial" w:cs="Arial"/>
        </w:rPr>
      </w:pPr>
      <w:proofErr w:type="spellStart"/>
      <w:r w:rsidRPr="0005675A">
        <w:rPr>
          <w:rFonts w:ascii="Arial" w:hAnsi="Arial" w:cs="Arial"/>
        </w:rPr>
        <w:t>Sayaju</w:t>
      </w:r>
      <w:proofErr w:type="spellEnd"/>
      <w:r w:rsidRPr="0005675A">
        <w:rPr>
          <w:rFonts w:ascii="Arial" w:hAnsi="Arial" w:cs="Arial"/>
        </w:rPr>
        <w:t xml:space="preserve"> and </w:t>
      </w:r>
      <w:proofErr w:type="spellStart"/>
      <w:r w:rsidRPr="0005675A">
        <w:rPr>
          <w:rFonts w:ascii="Arial" w:hAnsi="Arial" w:cs="Arial"/>
        </w:rPr>
        <w:t>Dhakal</w:t>
      </w:r>
      <w:proofErr w:type="spellEnd"/>
      <w:r w:rsidRPr="0005675A">
        <w:rPr>
          <w:rFonts w:ascii="Arial" w:hAnsi="Arial" w:cs="Arial"/>
        </w:rPr>
        <w:t xml:space="preserve"> (2024) find implementation gaps in operational risk measures in Nepal, however they do not incorporate digital dispute procedures. Without making any connection to conflict governance, Bhandari (2022) concentrates on the dangers of digital fraud. According to empirical data, Nepal's digital transaction procedures do not effectively integrate operational risk frameworks (</w:t>
      </w:r>
      <w:proofErr w:type="spellStart"/>
      <w:r w:rsidRPr="0005675A">
        <w:rPr>
          <w:rFonts w:ascii="Arial" w:hAnsi="Arial" w:cs="Arial"/>
        </w:rPr>
        <w:t>Sayaju</w:t>
      </w:r>
      <w:proofErr w:type="spellEnd"/>
      <w:r w:rsidRPr="0005675A">
        <w:rPr>
          <w:rFonts w:ascii="Arial" w:hAnsi="Arial" w:cs="Arial"/>
        </w:rPr>
        <w:t xml:space="preserve"> &amp; </w:t>
      </w:r>
      <w:proofErr w:type="spellStart"/>
      <w:r w:rsidRPr="0005675A">
        <w:rPr>
          <w:rFonts w:ascii="Arial" w:hAnsi="Arial" w:cs="Arial"/>
        </w:rPr>
        <w:t>Dhakal</w:t>
      </w:r>
      <w:proofErr w:type="spellEnd"/>
      <w:r w:rsidRPr="0005675A">
        <w:rPr>
          <w:rFonts w:ascii="Arial" w:hAnsi="Arial" w:cs="Arial"/>
        </w:rPr>
        <w:t>, 2024). As a result, there are no organized systems in place to record, escalate, or learn from disagreements as instances of operational loss.</w:t>
      </w:r>
      <w:r w:rsidRPr="0005675A">
        <w:rPr>
          <w:rFonts w:ascii="Arial" w:hAnsi="Arial" w:cs="Arial"/>
        </w:rPr>
        <w:br/>
      </w:r>
    </w:p>
    <w:p w:rsidR="0005675A" w:rsidRDefault="00440E55" w:rsidP="0005675A">
      <w:pPr>
        <w:jc w:val="both"/>
        <w:rPr>
          <w:rFonts w:asciiTheme="majorHAnsi" w:hAnsiTheme="majorHAnsi" w:cstheme="majorHAnsi"/>
          <w:b/>
          <w:bCs/>
          <w:sz w:val="28"/>
          <w:szCs w:val="28"/>
        </w:rPr>
      </w:pPr>
      <w:r w:rsidRPr="0005675A">
        <w:rPr>
          <w:rFonts w:ascii="Arial" w:hAnsi="Arial" w:cs="Arial"/>
        </w:rPr>
        <w:br/>
      </w:r>
    </w:p>
    <w:p w:rsidR="0005675A" w:rsidRDefault="0005675A" w:rsidP="0005675A">
      <w:pPr>
        <w:jc w:val="both"/>
        <w:rPr>
          <w:rFonts w:asciiTheme="majorHAnsi" w:hAnsiTheme="majorHAnsi" w:cstheme="majorHAnsi"/>
          <w:b/>
          <w:bCs/>
          <w:sz w:val="28"/>
          <w:szCs w:val="28"/>
        </w:rPr>
      </w:pPr>
    </w:p>
    <w:p w:rsidR="0005675A" w:rsidRDefault="0005675A" w:rsidP="0005675A">
      <w:pPr>
        <w:jc w:val="both"/>
        <w:rPr>
          <w:rFonts w:asciiTheme="majorHAnsi" w:hAnsiTheme="majorHAnsi" w:cstheme="majorHAnsi"/>
          <w:b/>
          <w:bCs/>
          <w:sz w:val="28"/>
          <w:szCs w:val="28"/>
        </w:rPr>
      </w:pPr>
    </w:p>
    <w:p w:rsidR="0005675A" w:rsidRDefault="0005675A" w:rsidP="0005675A">
      <w:pPr>
        <w:jc w:val="both"/>
        <w:rPr>
          <w:rFonts w:asciiTheme="majorHAnsi" w:hAnsiTheme="majorHAnsi" w:cstheme="majorHAnsi"/>
          <w:b/>
          <w:bCs/>
          <w:sz w:val="28"/>
          <w:szCs w:val="28"/>
        </w:rPr>
      </w:pPr>
    </w:p>
    <w:p w:rsidR="0005675A" w:rsidRDefault="0005675A" w:rsidP="0005675A">
      <w:pPr>
        <w:jc w:val="both"/>
        <w:rPr>
          <w:rFonts w:asciiTheme="majorHAnsi" w:hAnsiTheme="majorHAnsi" w:cstheme="majorHAnsi"/>
          <w:b/>
          <w:bCs/>
          <w:sz w:val="28"/>
          <w:szCs w:val="28"/>
        </w:rPr>
      </w:pPr>
    </w:p>
    <w:p w:rsidR="0005675A" w:rsidRPr="00C73CC7" w:rsidRDefault="00440E55" w:rsidP="00C73CC7">
      <w:pPr>
        <w:pStyle w:val="Heading2"/>
        <w:rPr>
          <w:rFonts w:asciiTheme="majorHAnsi" w:hAnsiTheme="majorHAnsi" w:cstheme="majorHAnsi"/>
          <w:sz w:val="28"/>
          <w:szCs w:val="28"/>
        </w:rPr>
      </w:pPr>
      <w:bookmarkStart w:id="38" w:name="_Toc227498338"/>
      <w:r w:rsidRPr="00C73CC7">
        <w:rPr>
          <w:rFonts w:asciiTheme="majorHAnsi" w:hAnsiTheme="majorHAnsi" w:cstheme="majorHAnsi"/>
          <w:sz w:val="28"/>
          <w:szCs w:val="28"/>
        </w:rPr>
        <w:lastRenderedPageBreak/>
        <w:t>3.7 Theme 4: Frameworks for Risk Governance and Control</w:t>
      </w:r>
      <w:bookmarkEnd w:id="38"/>
    </w:p>
    <w:p w:rsidR="00440E55" w:rsidRPr="0005675A" w:rsidRDefault="00440E55" w:rsidP="0005675A">
      <w:pPr>
        <w:jc w:val="both"/>
        <w:rPr>
          <w:rFonts w:ascii="Arial" w:hAnsi="Arial" w:cs="Arial"/>
          <w:b/>
          <w:bCs/>
        </w:rPr>
      </w:pPr>
      <w:r w:rsidRPr="0005675A">
        <w:rPr>
          <w:rFonts w:ascii="Arial" w:hAnsi="Arial" w:cs="Arial"/>
          <w:b/>
          <w:bCs/>
        </w:rPr>
        <w:t>(a) Foundational Concepts</w:t>
      </w:r>
    </w:p>
    <w:p w:rsidR="0005675A" w:rsidRPr="0005675A" w:rsidRDefault="0005675A" w:rsidP="0005675A">
      <w:pPr>
        <w:jc w:val="both"/>
        <w:rPr>
          <w:rFonts w:ascii="Arial" w:hAnsi="Arial" w:cs="Arial"/>
          <w:b/>
          <w:bCs/>
        </w:rPr>
      </w:pPr>
    </w:p>
    <w:p w:rsidR="00440E55" w:rsidRDefault="00440E55" w:rsidP="0005675A">
      <w:pPr>
        <w:jc w:val="both"/>
        <w:rPr>
          <w:rFonts w:ascii="Arial" w:hAnsi="Arial" w:cs="Arial"/>
        </w:rPr>
      </w:pPr>
      <w:r w:rsidRPr="0005675A">
        <w:rPr>
          <w:rFonts w:ascii="Arial" w:hAnsi="Arial" w:cs="Arial"/>
        </w:rPr>
        <w:t>The systems, practices, and techniques used to integrate risk management into organizational oversight and decision-making are referred to as risk governance (Power, 2021). Effective governance requires well-defined responsibilities, robust monitoring systems, and clear responsibility. Well-known standards like ISO 31000 (2021) and COSO (2020) place a strong emphasis on integration, transparency, and alignment with organizational goals. They also emphasize the need for governance to be integrated into operational processes rather than being viewed as a distinct compliance function.</w:t>
      </w:r>
    </w:p>
    <w:p w:rsidR="0005675A" w:rsidRPr="0005675A" w:rsidRDefault="0005675A" w:rsidP="0005675A">
      <w:pPr>
        <w:jc w:val="both"/>
        <w:rPr>
          <w:rFonts w:ascii="Arial" w:hAnsi="Arial" w:cs="Arial"/>
        </w:rPr>
      </w:pPr>
    </w:p>
    <w:p w:rsidR="00440E55" w:rsidRPr="0005675A" w:rsidRDefault="00440E55" w:rsidP="0005675A">
      <w:pPr>
        <w:jc w:val="both"/>
        <w:rPr>
          <w:rStyle w:val="apple-converted-space"/>
          <w:rFonts w:ascii="Arial" w:hAnsi="Arial" w:cs="Arial"/>
          <w:b/>
          <w:bCs/>
          <w:color w:val="000000"/>
        </w:rPr>
      </w:pPr>
      <w:r w:rsidRPr="0005675A">
        <w:rPr>
          <w:rFonts w:ascii="Arial" w:hAnsi="Arial" w:cs="Arial"/>
          <w:b/>
          <w:bCs/>
        </w:rPr>
        <w:t>(b) Empirical evidence</w:t>
      </w:r>
      <w:r w:rsidRPr="0005675A">
        <w:rPr>
          <w:rStyle w:val="apple-converted-space"/>
          <w:rFonts w:ascii="Arial" w:hAnsi="Arial" w:cs="Arial"/>
          <w:b/>
          <w:bCs/>
          <w:color w:val="000000"/>
        </w:rPr>
        <w:t> </w:t>
      </w:r>
    </w:p>
    <w:p w:rsidR="0005675A" w:rsidRDefault="0005675A" w:rsidP="0005675A">
      <w:pPr>
        <w:jc w:val="both"/>
        <w:rPr>
          <w:rFonts w:ascii="Arial" w:hAnsi="Arial" w:cs="Arial"/>
        </w:rPr>
      </w:pPr>
    </w:p>
    <w:p w:rsidR="00440E55" w:rsidRDefault="00440E55" w:rsidP="0005675A">
      <w:pPr>
        <w:jc w:val="both"/>
        <w:rPr>
          <w:rFonts w:ascii="Arial" w:hAnsi="Arial" w:cs="Arial"/>
        </w:rPr>
      </w:pPr>
      <w:r w:rsidRPr="0005675A">
        <w:rPr>
          <w:rFonts w:ascii="Arial" w:hAnsi="Arial" w:cs="Arial"/>
        </w:rPr>
        <w:t>Effective risk management requires responsibility, control systems, and board monitoring, according to governance literature (Power, 2021; COSO, 2020). Research by Mikes (2020) and Arena et al. (2020) demonstrates that, particularly in complex and dynamic contexts, organizations frequently fail to convert governance concepts into successful practices. According to Kaplan and Mikes (2020), new dangers associated with digital transformation may not be sufficiently taken into consideration by present risk classification methods.</w:t>
      </w:r>
    </w:p>
    <w:p w:rsidR="0005675A" w:rsidRPr="0005675A" w:rsidRDefault="0005675A" w:rsidP="0005675A">
      <w:pPr>
        <w:jc w:val="both"/>
        <w:rPr>
          <w:rFonts w:ascii="Arial" w:hAnsi="Arial" w:cs="Arial"/>
        </w:rPr>
      </w:pPr>
    </w:p>
    <w:p w:rsidR="00440E55" w:rsidRPr="0005675A" w:rsidRDefault="00440E55" w:rsidP="0005675A">
      <w:pPr>
        <w:jc w:val="both"/>
        <w:rPr>
          <w:rFonts w:ascii="Arial" w:hAnsi="Arial" w:cs="Arial"/>
          <w:b/>
          <w:bCs/>
        </w:rPr>
      </w:pPr>
      <w:r w:rsidRPr="0005675A">
        <w:rPr>
          <w:rFonts w:ascii="Arial" w:hAnsi="Arial" w:cs="Arial"/>
          <w:b/>
          <w:bCs/>
        </w:rPr>
        <w:t>(c) Contradiction</w:t>
      </w:r>
    </w:p>
    <w:p w:rsidR="0005675A" w:rsidRDefault="0005675A" w:rsidP="0005675A">
      <w:pPr>
        <w:jc w:val="both"/>
        <w:rPr>
          <w:rFonts w:ascii="Arial" w:hAnsi="Arial" w:cs="Arial"/>
        </w:rPr>
      </w:pPr>
    </w:p>
    <w:p w:rsidR="00440E55" w:rsidRPr="0005675A" w:rsidRDefault="00440E55" w:rsidP="0005675A">
      <w:pPr>
        <w:jc w:val="both"/>
        <w:rPr>
          <w:rFonts w:ascii="Arial" w:hAnsi="Arial" w:cs="Arial"/>
        </w:rPr>
      </w:pPr>
      <w:r w:rsidRPr="0005675A">
        <w:rPr>
          <w:rFonts w:ascii="Arial" w:hAnsi="Arial" w:cs="Arial"/>
        </w:rPr>
        <w:t>Strategic governance recommendations (OECD, 2020; Lam, 2021) and their operational reality are clearly at odds. While empirical research (Bhatt et al., 2024; Pandey, 2022) reveals fragmented responsibility, inadequate coordination, and weak escalation pathways particularly in emerging markets strategic frameworks presuppose linear control. Control and accountability ideas are not specifically applied to the resolution of disputes involving digital payments in any governance study. The impact of governance on the resolution of disputes is still not well understood.</w:t>
      </w:r>
    </w:p>
    <w:p w:rsidR="0005675A" w:rsidRDefault="0005675A" w:rsidP="0005675A">
      <w:pPr>
        <w:jc w:val="both"/>
        <w:rPr>
          <w:rFonts w:ascii="Arial" w:hAnsi="Arial" w:cs="Arial"/>
        </w:rPr>
      </w:pPr>
    </w:p>
    <w:p w:rsidR="00440E55" w:rsidRPr="0005675A" w:rsidRDefault="00BD562D" w:rsidP="0005675A">
      <w:pPr>
        <w:jc w:val="both"/>
        <w:rPr>
          <w:rStyle w:val="apple-converted-space"/>
          <w:rFonts w:ascii="Arial" w:hAnsi="Arial" w:cs="Arial"/>
          <w:b/>
          <w:bCs/>
          <w:color w:val="000000"/>
        </w:rPr>
      </w:pPr>
      <w:r w:rsidRPr="0005675A">
        <w:rPr>
          <w:rFonts w:ascii="Arial" w:hAnsi="Arial" w:cs="Arial"/>
          <w:b/>
          <w:bCs/>
        </w:rPr>
        <w:t>(</w:t>
      </w:r>
      <w:r w:rsidR="00440E55" w:rsidRPr="0005675A">
        <w:rPr>
          <w:rFonts w:ascii="Arial" w:hAnsi="Arial" w:cs="Arial"/>
          <w:b/>
          <w:bCs/>
        </w:rPr>
        <w:t>d) Variation in context (Nepal concentration)</w:t>
      </w:r>
      <w:r w:rsidR="00440E55" w:rsidRPr="0005675A">
        <w:rPr>
          <w:rStyle w:val="apple-converted-space"/>
          <w:rFonts w:ascii="Arial" w:hAnsi="Arial" w:cs="Arial"/>
          <w:b/>
          <w:bCs/>
          <w:color w:val="000000"/>
        </w:rPr>
        <w:t> </w:t>
      </w:r>
    </w:p>
    <w:p w:rsidR="0005675A" w:rsidRPr="0005675A" w:rsidRDefault="0005675A" w:rsidP="0005675A">
      <w:pPr>
        <w:jc w:val="both"/>
        <w:rPr>
          <w:rFonts w:ascii="Arial" w:hAnsi="Arial" w:cs="Arial"/>
          <w:b/>
          <w:bCs/>
        </w:rPr>
      </w:pPr>
    </w:p>
    <w:p w:rsidR="006E2303" w:rsidRPr="0005675A" w:rsidRDefault="0057594D" w:rsidP="0005675A">
      <w:pPr>
        <w:jc w:val="both"/>
        <w:rPr>
          <w:rFonts w:ascii="Arial" w:hAnsi="Arial" w:cs="Arial"/>
        </w:rPr>
      </w:pPr>
      <w:r w:rsidRPr="0005675A">
        <w:rPr>
          <w:rFonts w:ascii="Arial" w:hAnsi="Arial" w:cs="Arial"/>
        </w:rPr>
        <w:t>According to Bhatt et al. (2024), there are governance frameworks in Nepal, but they are not applied to practical procedures like dispute resolution. ICT infrastructure issues are highlighted by Pandey (2022</w:t>
      </w:r>
      <w:proofErr w:type="gramStart"/>
      <w:r w:rsidRPr="0005675A">
        <w:rPr>
          <w:rFonts w:ascii="Arial" w:hAnsi="Arial" w:cs="Arial"/>
        </w:rPr>
        <w:t>),</w:t>
      </w:r>
      <w:proofErr w:type="gramEnd"/>
      <w:r w:rsidRPr="0005675A">
        <w:rPr>
          <w:rFonts w:ascii="Arial" w:hAnsi="Arial" w:cs="Arial"/>
        </w:rPr>
        <w:t xml:space="preserve"> however conflict resolution procedures are neglected. Research on Nepalese banking that is now available emphasizes practical difficulties and digital adoption, but it lacks a theoretically sound grasp of dispute governance. As a result, actual inefficiencies (such as unclear accountability, inadequate coordination, and slow escalation) are seen but not conceptually explained.</w:t>
      </w:r>
    </w:p>
    <w:p w:rsidR="00FC5880" w:rsidRPr="00FC5880" w:rsidRDefault="00FC5880" w:rsidP="00FC5880">
      <w:pPr>
        <w:pStyle w:val="Heading2"/>
        <w:rPr>
          <w:rFonts w:asciiTheme="majorHAnsi" w:hAnsiTheme="majorHAnsi" w:cstheme="majorHAnsi"/>
          <w:sz w:val="28"/>
          <w:szCs w:val="28"/>
        </w:rPr>
      </w:pPr>
      <w:bookmarkStart w:id="39" w:name="_Toc227498339"/>
      <w:r w:rsidRPr="00FC5880">
        <w:rPr>
          <w:rFonts w:asciiTheme="majorHAnsi" w:hAnsiTheme="majorHAnsi" w:cstheme="majorHAnsi"/>
          <w:sz w:val="28"/>
          <w:szCs w:val="28"/>
        </w:rPr>
        <w:t>3.8 Literature Synthesis</w:t>
      </w:r>
      <w:bookmarkEnd w:id="39"/>
    </w:p>
    <w:p w:rsidR="005B2CBC" w:rsidRPr="004E263B" w:rsidRDefault="005B2CBC" w:rsidP="004E263B">
      <w:pPr>
        <w:jc w:val="both"/>
        <w:rPr>
          <w:rFonts w:ascii="Arial" w:hAnsi="Arial" w:cs="Arial"/>
        </w:rPr>
      </w:pPr>
      <w:r w:rsidRPr="004E263B">
        <w:rPr>
          <w:rFonts w:ascii="Arial" w:hAnsi="Arial" w:cs="Arial"/>
        </w:rPr>
        <w:t xml:space="preserve">A structurally spread body of knowledge covering three major domains digital banking systems, service recovery, and operational risk governance is revealed by the studied literature. Although each domain offers insightful information, their analytical </w:t>
      </w:r>
      <w:r w:rsidRPr="004E263B">
        <w:rPr>
          <w:rFonts w:ascii="Arial" w:hAnsi="Arial" w:cs="Arial"/>
        </w:rPr>
        <w:lastRenderedPageBreak/>
        <w:t>disconnection limits their combined capacity to explain the emergence, development, and handling of digital transaction conflicts in banking institutions.</w:t>
      </w:r>
    </w:p>
    <w:p w:rsidR="005B2CBC" w:rsidRDefault="005B2CBC" w:rsidP="004E263B">
      <w:pPr>
        <w:jc w:val="both"/>
        <w:rPr>
          <w:rFonts w:ascii="Arial" w:hAnsi="Arial" w:cs="Arial"/>
        </w:rPr>
      </w:pPr>
      <w:r w:rsidRPr="004E263B">
        <w:rPr>
          <w:rFonts w:ascii="Arial" w:hAnsi="Arial" w:cs="Arial"/>
        </w:rPr>
        <w:br/>
        <w:t>First, technology development, efficiency improvements, and growing system interdependence are highlighted in the literature on digital payment systems (</w:t>
      </w:r>
      <w:proofErr w:type="spellStart"/>
      <w:r w:rsidRPr="004E263B">
        <w:rPr>
          <w:rFonts w:ascii="Arial" w:hAnsi="Arial" w:cs="Arial"/>
        </w:rPr>
        <w:t>Feyen</w:t>
      </w:r>
      <w:proofErr w:type="spellEnd"/>
      <w:r w:rsidRPr="004E263B">
        <w:rPr>
          <w:rFonts w:ascii="Arial" w:hAnsi="Arial" w:cs="Arial"/>
        </w:rPr>
        <w:t xml:space="preserve"> et al., 2021; Vives, 2021). Nevertheless, this stream mostly takes a macro or system-level viewpoint, providing little understanding of how technological disruptions result in organizational failures and conflict incidents. Because of this, nothing is known about the operational effects of digital transaction failures.</w:t>
      </w:r>
    </w:p>
    <w:p w:rsidR="004E263B" w:rsidRPr="004E263B" w:rsidRDefault="004E263B" w:rsidP="004E263B">
      <w:pPr>
        <w:jc w:val="both"/>
        <w:rPr>
          <w:rFonts w:ascii="Arial" w:hAnsi="Arial" w:cs="Arial"/>
        </w:rPr>
      </w:pPr>
    </w:p>
    <w:p w:rsidR="005B2CBC" w:rsidRDefault="005B2CBC" w:rsidP="004E263B">
      <w:pPr>
        <w:jc w:val="both"/>
        <w:rPr>
          <w:rFonts w:ascii="Arial" w:hAnsi="Arial" w:cs="Arial"/>
        </w:rPr>
      </w:pPr>
      <w:r w:rsidRPr="004E263B">
        <w:rPr>
          <w:rFonts w:ascii="Arial" w:hAnsi="Arial" w:cs="Arial"/>
        </w:rPr>
        <w:t xml:space="preserve">Second, according to service recovery literature (Lovelock and Wirtz, 2021; Van </w:t>
      </w:r>
      <w:proofErr w:type="spellStart"/>
      <w:r w:rsidRPr="004E263B">
        <w:rPr>
          <w:rFonts w:ascii="Arial" w:hAnsi="Arial" w:cs="Arial"/>
        </w:rPr>
        <w:t>Vaerenbergh</w:t>
      </w:r>
      <w:proofErr w:type="spellEnd"/>
      <w:r w:rsidRPr="004E263B">
        <w:rPr>
          <w:rFonts w:ascii="Arial" w:hAnsi="Arial" w:cs="Arial"/>
        </w:rPr>
        <w:t xml:space="preserve"> and </w:t>
      </w:r>
      <w:proofErr w:type="spellStart"/>
      <w:r w:rsidRPr="004E263B">
        <w:rPr>
          <w:rFonts w:ascii="Arial" w:hAnsi="Arial" w:cs="Arial"/>
        </w:rPr>
        <w:t>Orsingher</w:t>
      </w:r>
      <w:proofErr w:type="spellEnd"/>
      <w:r w:rsidRPr="004E263B">
        <w:rPr>
          <w:rFonts w:ascii="Arial" w:hAnsi="Arial" w:cs="Arial"/>
        </w:rPr>
        <w:t>, 2020), disagreements are mostly conceptualized as customer service failures, with an emphasis on satisfaction, perceived fairness, and complaint handling results. This viewpoint is logically limited by its outcome-oriented bias, although offering valuable insights into the consumer experience. It provides an insufficient explanation of dispute phenomena in digital banking environments by essentially ignoring the underlying systemic, process-driven, and governance-related causes of disputes.</w:t>
      </w:r>
    </w:p>
    <w:p w:rsidR="004E263B" w:rsidRPr="004E263B" w:rsidRDefault="004E263B" w:rsidP="004E263B">
      <w:pPr>
        <w:jc w:val="both"/>
        <w:rPr>
          <w:rFonts w:ascii="Arial" w:hAnsi="Arial" w:cs="Arial"/>
        </w:rPr>
      </w:pPr>
    </w:p>
    <w:p w:rsidR="005B2CBC" w:rsidRDefault="005B2CBC" w:rsidP="004E263B">
      <w:pPr>
        <w:jc w:val="both"/>
        <w:rPr>
          <w:rFonts w:ascii="Arial" w:hAnsi="Arial" w:cs="Arial"/>
        </w:rPr>
      </w:pPr>
      <w:r w:rsidRPr="004E263B">
        <w:rPr>
          <w:rFonts w:ascii="Arial" w:hAnsi="Arial" w:cs="Arial"/>
        </w:rPr>
        <w:t xml:space="preserve">Third, a solid theoretical basis for comprehending failures resulting from systems, procedures, human behavior, and outside circumstances is offered by operational risk literature (BCBS, 2021; </w:t>
      </w:r>
      <w:proofErr w:type="spellStart"/>
      <w:r w:rsidRPr="004E263B">
        <w:rPr>
          <w:rFonts w:ascii="Arial" w:hAnsi="Arial" w:cs="Arial"/>
        </w:rPr>
        <w:t>Moosa</w:t>
      </w:r>
      <w:proofErr w:type="spellEnd"/>
      <w:r w:rsidRPr="004E263B">
        <w:rPr>
          <w:rFonts w:ascii="Arial" w:hAnsi="Arial" w:cs="Arial"/>
        </w:rPr>
        <w:t>, 2020). Governance frameworks also highlight accountability, control, and monitoring as key components of risk management (Power, 2021; COSO, 2020). However, these frameworks rarely address process-level issues like dispute handling, escalation, and resolution in real-time digital environments; instead, they are mostly used at a strategic or compliance level.</w:t>
      </w:r>
    </w:p>
    <w:p w:rsidR="004E263B" w:rsidRPr="004E263B" w:rsidRDefault="004E263B" w:rsidP="004E263B">
      <w:pPr>
        <w:jc w:val="both"/>
        <w:rPr>
          <w:rFonts w:ascii="Arial" w:hAnsi="Arial" w:cs="Arial"/>
        </w:rPr>
      </w:pPr>
    </w:p>
    <w:p w:rsidR="005B2CBC" w:rsidRDefault="005B2CBC" w:rsidP="004E263B">
      <w:pPr>
        <w:jc w:val="both"/>
        <w:rPr>
          <w:rFonts w:ascii="Arial" w:hAnsi="Arial" w:cs="Arial"/>
        </w:rPr>
      </w:pPr>
      <w:r w:rsidRPr="004E263B">
        <w:rPr>
          <w:rFonts w:ascii="Arial" w:hAnsi="Arial" w:cs="Arial"/>
        </w:rPr>
        <w:t>When combined, these threads reveal a crucial conceptual gap. Digital transaction disputes arise at the nexus of operational procedures, technology systems, and governance structures; yet, the literature currently in publication does not incorporate these aspects into a cohesive framework for explanation. Instead of viewing disagreements as interrelated organizational phenomena, this fragmentation leads to a narrow understanding of them as either technical malfunctions, service problems, or abstract risk events.</w:t>
      </w:r>
    </w:p>
    <w:p w:rsidR="004E263B" w:rsidRPr="004E263B" w:rsidRDefault="004E263B" w:rsidP="004E263B">
      <w:pPr>
        <w:jc w:val="both"/>
        <w:rPr>
          <w:rFonts w:ascii="Arial" w:hAnsi="Arial" w:cs="Arial"/>
        </w:rPr>
      </w:pPr>
    </w:p>
    <w:p w:rsidR="005B2CBC" w:rsidRPr="004E263B" w:rsidRDefault="005B2CBC" w:rsidP="004E263B">
      <w:pPr>
        <w:jc w:val="both"/>
        <w:rPr>
          <w:rFonts w:ascii="Arial" w:hAnsi="Arial" w:cs="Arial"/>
        </w:rPr>
      </w:pPr>
      <w:r w:rsidRPr="004E263B">
        <w:rPr>
          <w:rFonts w:ascii="Arial" w:hAnsi="Arial" w:cs="Arial"/>
        </w:rPr>
        <w:t>The lack of an integrated viewpoint that explains how operational risk drivers incorporated into digital systems translate into dispute processes and how governance structures influence their resolution is a major theoretical weakness that this analysis highlights. A change from domain-specific analysis to a more comprehensive, process-oriented, and governance-informed knowledge is necessary to address this restriction.</w:t>
      </w:r>
    </w:p>
    <w:p w:rsidR="005B2CBC" w:rsidRPr="004E6D99" w:rsidRDefault="005B2CBC" w:rsidP="004E6D99">
      <w:pPr>
        <w:jc w:val="both"/>
        <w:rPr>
          <w:rFonts w:ascii="Arial" w:hAnsi="Arial" w:cs="Arial"/>
        </w:rPr>
      </w:pPr>
      <w:r w:rsidRPr="004E263B">
        <w:rPr>
          <w:rFonts w:ascii="Arial" w:hAnsi="Arial" w:cs="Arial"/>
        </w:rPr>
        <w:t>In response, this work presents digital transaction conflicts as operational risk governance events, advancing an integrated conceptualization. Within a single analytical framework, this viewpoint links institutional controls (governance mechanisms), organizational procedures (conflict management), and system-level failures (risk drivers). By doing this, it offers a more thorough explanation of dispute management and lays the groundwork for the conceptual framework that is created in the section that follows.</w:t>
      </w:r>
    </w:p>
    <w:p w:rsidR="00297885" w:rsidRDefault="00297885" w:rsidP="00974BD5">
      <w:pPr>
        <w:pStyle w:val="Heading2"/>
        <w:rPr>
          <w:rFonts w:asciiTheme="majorHAnsi" w:hAnsiTheme="majorHAnsi" w:cstheme="majorHAnsi"/>
          <w:sz w:val="28"/>
          <w:szCs w:val="28"/>
        </w:rPr>
      </w:pPr>
    </w:p>
    <w:p w:rsidR="00F563C8" w:rsidRPr="00974BD5" w:rsidRDefault="00F563C8" w:rsidP="00974BD5">
      <w:pPr>
        <w:pStyle w:val="Heading2"/>
        <w:rPr>
          <w:rFonts w:asciiTheme="majorHAnsi" w:hAnsiTheme="majorHAnsi" w:cstheme="majorHAnsi"/>
          <w:sz w:val="28"/>
          <w:szCs w:val="28"/>
        </w:rPr>
      </w:pPr>
      <w:bookmarkStart w:id="40" w:name="_Toc227498340"/>
      <w:r w:rsidRPr="00974BD5">
        <w:rPr>
          <w:rFonts w:asciiTheme="majorHAnsi" w:hAnsiTheme="majorHAnsi" w:cstheme="majorHAnsi"/>
          <w:sz w:val="28"/>
          <w:szCs w:val="28"/>
        </w:rPr>
        <w:lastRenderedPageBreak/>
        <w:t>3.</w:t>
      </w:r>
      <w:r w:rsidR="00FC5880">
        <w:rPr>
          <w:rFonts w:asciiTheme="majorHAnsi" w:hAnsiTheme="majorHAnsi" w:cstheme="majorHAnsi"/>
          <w:sz w:val="28"/>
          <w:szCs w:val="28"/>
        </w:rPr>
        <w:t>9</w:t>
      </w:r>
      <w:r w:rsidR="00BB74BA">
        <w:rPr>
          <w:rFonts w:asciiTheme="majorHAnsi" w:hAnsiTheme="majorHAnsi" w:cstheme="majorHAnsi"/>
          <w:sz w:val="28"/>
          <w:szCs w:val="28"/>
        </w:rPr>
        <w:t xml:space="preserve"> </w:t>
      </w:r>
      <w:r w:rsidRPr="00974BD5">
        <w:rPr>
          <w:rFonts w:asciiTheme="majorHAnsi" w:hAnsiTheme="majorHAnsi" w:cstheme="majorHAnsi"/>
          <w:sz w:val="28"/>
          <w:szCs w:val="28"/>
        </w:rPr>
        <w:t>Development of Conceptual Frameworks</w:t>
      </w:r>
      <w:bookmarkEnd w:id="40"/>
    </w:p>
    <w:p w:rsidR="006B3E0E" w:rsidRPr="00032D7E" w:rsidRDefault="006B3E0E" w:rsidP="00032D7E">
      <w:pPr>
        <w:jc w:val="both"/>
        <w:rPr>
          <w:rFonts w:ascii="Arial" w:hAnsi="Arial" w:cs="Arial"/>
          <w:color w:val="000000"/>
        </w:rPr>
      </w:pPr>
      <w:r w:rsidRPr="00032D7E">
        <w:rPr>
          <w:rFonts w:ascii="Arial" w:hAnsi="Arial" w:cs="Arial"/>
          <w:color w:val="000000"/>
        </w:rPr>
        <w:t>In this study, operational risk theory, risk governance theory, and service process views are integrated to provide a conceptual framework (BCBS, 2021; Power, 2021; Lovelock and Wirtz, 2021). The paradigm, which builds on the previous problematization, rethinks digital transaction disputes as operational risk events that are embedded in organizational systems and controlled by institutional procedures rather than as separate service failures.</w:t>
      </w:r>
    </w:p>
    <w:p w:rsidR="006B3E0E" w:rsidRPr="00032D7E" w:rsidRDefault="006B3E0E" w:rsidP="00032D7E">
      <w:pPr>
        <w:jc w:val="both"/>
        <w:rPr>
          <w:rFonts w:ascii="Arial" w:hAnsi="Arial" w:cs="Arial"/>
          <w:color w:val="000000"/>
        </w:rPr>
      </w:pPr>
    </w:p>
    <w:p w:rsidR="006B3E0E" w:rsidRPr="00032D7E" w:rsidRDefault="006B3E0E" w:rsidP="00032D7E">
      <w:pPr>
        <w:jc w:val="both"/>
        <w:rPr>
          <w:rFonts w:ascii="Arial" w:hAnsi="Arial" w:cs="Arial"/>
          <w:color w:val="000000"/>
        </w:rPr>
      </w:pPr>
      <w:r w:rsidRPr="00032D7E">
        <w:rPr>
          <w:rFonts w:ascii="Arial" w:hAnsi="Arial" w:cs="Arial"/>
          <w:color w:val="000000"/>
        </w:rPr>
        <w:t>Operational risk drivers, conflict management procedures, process efficiency, governance mechanisms, and dispute resolution efficiency are the five interconnected elements that make up the framework. To explain how conflicts arise, develop, and are settled inside banking institutions, these concepts are methodically connected.</w:t>
      </w:r>
    </w:p>
    <w:p w:rsidR="006B3E0E" w:rsidRPr="00032D7E" w:rsidRDefault="006B3E0E" w:rsidP="00032D7E">
      <w:pPr>
        <w:jc w:val="both"/>
        <w:rPr>
          <w:rFonts w:ascii="Arial" w:hAnsi="Arial" w:cs="Arial"/>
          <w:color w:val="000000"/>
        </w:rPr>
      </w:pPr>
      <w:r w:rsidRPr="00032D7E">
        <w:rPr>
          <w:rFonts w:ascii="Arial" w:hAnsi="Arial" w:cs="Arial"/>
          <w:color w:val="000000"/>
        </w:rPr>
        <w:br/>
        <w:t xml:space="preserve">The main causes of disruption in digital payment settings are operational risk drivers, which result from flaws in systems, procedures, human behavior, and outside circumstances (BCBS, 2021; </w:t>
      </w:r>
      <w:proofErr w:type="spellStart"/>
      <w:r w:rsidRPr="00032D7E">
        <w:rPr>
          <w:rFonts w:ascii="Arial" w:hAnsi="Arial" w:cs="Arial"/>
          <w:color w:val="000000"/>
        </w:rPr>
        <w:t>Moosa</w:t>
      </w:r>
      <w:proofErr w:type="spellEnd"/>
      <w:r w:rsidRPr="00032D7E">
        <w:rPr>
          <w:rFonts w:ascii="Arial" w:hAnsi="Arial" w:cs="Arial"/>
          <w:color w:val="000000"/>
        </w:rPr>
        <w:t>, 2020). Through the dispute management process, which documents the organized series of actions including transaction anomaly identification, verification, escalation, and resolution, these interruptions manifest as observable organizational issues.</w:t>
      </w:r>
    </w:p>
    <w:p w:rsidR="005B2CBC" w:rsidRPr="00032D7E" w:rsidRDefault="005B2CBC" w:rsidP="00032D7E">
      <w:pPr>
        <w:jc w:val="both"/>
        <w:rPr>
          <w:rFonts w:ascii="Arial" w:hAnsi="Arial" w:cs="Arial"/>
          <w:color w:val="000000"/>
        </w:rPr>
      </w:pPr>
    </w:p>
    <w:p w:rsidR="006B3E0E" w:rsidRPr="00032D7E" w:rsidRDefault="006B3E0E" w:rsidP="00032D7E">
      <w:pPr>
        <w:jc w:val="both"/>
        <w:rPr>
          <w:rFonts w:ascii="Arial" w:hAnsi="Arial" w:cs="Arial"/>
          <w:color w:val="000000"/>
        </w:rPr>
      </w:pPr>
      <w:r w:rsidRPr="00032D7E">
        <w:rPr>
          <w:rFonts w:ascii="Arial" w:hAnsi="Arial" w:cs="Arial"/>
          <w:color w:val="000000"/>
        </w:rPr>
        <w:t>However, there is no clear correlation between dispute procedures and results. Process efficiency, which measures the efficiency of internal workflows in terms of speed, coordination, transparency, and procedural clarity, acts as a mediator. Organizations can improve dispute resolution efficiency, which is measured in terms of timeliness, accuracy, and perceived fairness of resolution, by translating dispute handling activities into successful outcomes through high levels of process efficiency (Bitner et al., 2021).</w:t>
      </w:r>
    </w:p>
    <w:p w:rsidR="005B2CBC" w:rsidRPr="00032D7E" w:rsidRDefault="006B3E0E" w:rsidP="00032D7E">
      <w:pPr>
        <w:jc w:val="both"/>
        <w:rPr>
          <w:rFonts w:ascii="Arial" w:hAnsi="Arial" w:cs="Arial"/>
          <w:color w:val="000000"/>
        </w:rPr>
      </w:pPr>
      <w:r w:rsidRPr="00032D7E">
        <w:rPr>
          <w:rFonts w:ascii="Arial" w:hAnsi="Arial" w:cs="Arial"/>
          <w:color w:val="000000"/>
        </w:rPr>
        <w:br/>
        <w:t>Higher up, the model is moderated by governance mechanisms, such as regulatory compliance frameworks, control systems, monitoring structures, and accountability arrangements (Power, 2021; COSO, 2020). Instead of producing results directly, governance influences how well interactions work within the system. In particular, governance processes have an impact</w:t>
      </w:r>
    </w:p>
    <w:p w:rsidR="005B2CBC" w:rsidRPr="00032D7E" w:rsidRDefault="005B2CBC" w:rsidP="00032D7E">
      <w:pPr>
        <w:jc w:val="both"/>
        <w:rPr>
          <w:rFonts w:ascii="Arial" w:hAnsi="Arial" w:cs="Arial"/>
          <w:color w:val="000000"/>
        </w:rPr>
      </w:pPr>
    </w:p>
    <w:p w:rsidR="006B3E0E" w:rsidRPr="00032D7E" w:rsidRDefault="006B3E0E" w:rsidP="00032D7E">
      <w:pPr>
        <w:pStyle w:val="ListParagraph"/>
        <w:numPr>
          <w:ilvl w:val="0"/>
          <w:numId w:val="1"/>
        </w:numPr>
        <w:jc w:val="both"/>
        <w:rPr>
          <w:rFonts w:ascii="Arial" w:hAnsi="Arial" w:cs="Arial"/>
          <w:color w:val="000000"/>
        </w:rPr>
      </w:pPr>
      <w:r w:rsidRPr="00032D7E">
        <w:rPr>
          <w:rFonts w:ascii="Arial" w:hAnsi="Arial" w:cs="Arial"/>
          <w:color w:val="000000"/>
        </w:rPr>
        <w:t xml:space="preserve">the degree to which operational risk factors are successfully identified and directed into dispute resolution procedures; and </w:t>
      </w:r>
    </w:p>
    <w:p w:rsidR="006B3E0E" w:rsidRPr="00032D7E" w:rsidRDefault="006B3E0E" w:rsidP="00032D7E">
      <w:pPr>
        <w:pStyle w:val="ListParagraph"/>
        <w:numPr>
          <w:ilvl w:val="0"/>
          <w:numId w:val="1"/>
        </w:numPr>
        <w:jc w:val="both"/>
        <w:rPr>
          <w:rFonts w:ascii="Arial" w:hAnsi="Arial" w:cs="Arial"/>
          <w:color w:val="000000"/>
        </w:rPr>
      </w:pPr>
      <w:r w:rsidRPr="00032D7E">
        <w:rPr>
          <w:rFonts w:ascii="Arial" w:hAnsi="Arial" w:cs="Arial"/>
          <w:color w:val="000000"/>
        </w:rPr>
        <w:t>the extent to which these procedures result in effective and reliable resolution outcomes.</w:t>
      </w:r>
    </w:p>
    <w:p w:rsidR="006B3E0E" w:rsidRPr="00032D7E" w:rsidRDefault="006B3E0E" w:rsidP="00032D7E">
      <w:pPr>
        <w:jc w:val="both"/>
        <w:rPr>
          <w:rFonts w:ascii="Arial" w:hAnsi="Arial" w:cs="Arial"/>
          <w:color w:val="000000"/>
        </w:rPr>
      </w:pPr>
      <w:r w:rsidRPr="00032D7E">
        <w:rPr>
          <w:rFonts w:ascii="Arial" w:hAnsi="Arial" w:cs="Arial"/>
          <w:color w:val="000000"/>
        </w:rPr>
        <w:br/>
        <w:t>This perspective illustrates how governance functions as a conditioning and enabling framework that improves coordination, upholds responsibility, and lessens organizational process inefficiencies.</w:t>
      </w:r>
      <w:r w:rsidRPr="00032D7E">
        <w:rPr>
          <w:rFonts w:ascii="Arial" w:hAnsi="Arial" w:cs="Arial"/>
          <w:color w:val="000000"/>
        </w:rPr>
        <w:br/>
        <w:t>As a result, the framework offers a multi-level analytical structure that captures:</w:t>
      </w:r>
    </w:p>
    <w:p w:rsidR="006B3E0E" w:rsidRPr="00032D7E" w:rsidRDefault="006B3E0E" w:rsidP="00032D7E">
      <w:pPr>
        <w:jc w:val="both"/>
        <w:rPr>
          <w:rFonts w:ascii="Arial" w:hAnsi="Arial" w:cs="Arial"/>
          <w:color w:val="000000"/>
        </w:rPr>
      </w:pPr>
    </w:p>
    <w:p w:rsidR="006B3E0E" w:rsidRPr="00032D7E" w:rsidRDefault="006B3E0E" w:rsidP="00032D7E">
      <w:pPr>
        <w:jc w:val="both"/>
        <w:rPr>
          <w:rFonts w:ascii="Arial" w:hAnsi="Arial" w:cs="Arial"/>
          <w:color w:val="000000"/>
        </w:rPr>
      </w:pPr>
      <w:r w:rsidRPr="00032D7E">
        <w:rPr>
          <w:rFonts w:ascii="Arial" w:hAnsi="Arial" w:cs="Arial"/>
          <w:color w:val="000000"/>
        </w:rPr>
        <w:t xml:space="preserve">• Risk level: conflict incidents are caused by operational failures. </w:t>
      </w:r>
    </w:p>
    <w:p w:rsidR="006B3E0E" w:rsidRPr="00032D7E" w:rsidRDefault="006B3E0E" w:rsidP="00032D7E">
      <w:pPr>
        <w:jc w:val="both"/>
        <w:rPr>
          <w:rFonts w:ascii="Arial" w:hAnsi="Arial" w:cs="Arial"/>
          <w:color w:val="000000"/>
        </w:rPr>
      </w:pPr>
      <w:r w:rsidRPr="00032D7E">
        <w:rPr>
          <w:rFonts w:ascii="Arial" w:hAnsi="Arial" w:cs="Arial"/>
          <w:color w:val="000000"/>
        </w:rPr>
        <w:t xml:space="preserve">• Process level: organizational workflows are used to handle disputes. </w:t>
      </w:r>
    </w:p>
    <w:p w:rsidR="006B3E0E" w:rsidRPr="00032D7E" w:rsidRDefault="006B3E0E" w:rsidP="00032D7E">
      <w:pPr>
        <w:jc w:val="both"/>
        <w:rPr>
          <w:rFonts w:ascii="Arial" w:hAnsi="Arial" w:cs="Arial"/>
          <w:color w:val="000000"/>
        </w:rPr>
      </w:pPr>
      <w:r w:rsidRPr="00032D7E">
        <w:rPr>
          <w:rFonts w:ascii="Arial" w:hAnsi="Arial" w:cs="Arial"/>
          <w:color w:val="000000"/>
        </w:rPr>
        <w:t xml:space="preserve">• Performance level: process efficiency determines results </w:t>
      </w:r>
    </w:p>
    <w:p w:rsidR="005B2CBC" w:rsidRPr="00032D7E" w:rsidRDefault="006B3E0E" w:rsidP="00032D7E">
      <w:pPr>
        <w:jc w:val="both"/>
        <w:rPr>
          <w:rFonts w:ascii="Arial" w:hAnsi="Arial" w:cs="Arial"/>
          <w:color w:val="000000"/>
        </w:rPr>
      </w:pPr>
      <w:r w:rsidRPr="00032D7E">
        <w:rPr>
          <w:rFonts w:ascii="Arial" w:hAnsi="Arial" w:cs="Arial"/>
          <w:color w:val="000000"/>
        </w:rPr>
        <w:t>• Governance level: systems of responsibility and control determine effectiveness.</w:t>
      </w:r>
    </w:p>
    <w:p w:rsidR="005B2CBC" w:rsidRPr="00032D7E" w:rsidRDefault="005B2CBC" w:rsidP="00032D7E">
      <w:pPr>
        <w:jc w:val="both"/>
        <w:rPr>
          <w:rFonts w:ascii="Arial" w:hAnsi="Arial" w:cs="Arial"/>
          <w:color w:val="000000"/>
        </w:rPr>
      </w:pPr>
    </w:p>
    <w:p w:rsidR="006B3E0E" w:rsidRPr="00032D7E" w:rsidRDefault="006B3E0E" w:rsidP="00032D7E">
      <w:pPr>
        <w:jc w:val="both"/>
        <w:rPr>
          <w:rFonts w:ascii="Arial" w:hAnsi="Arial" w:cs="Arial"/>
          <w:color w:val="000000"/>
        </w:rPr>
      </w:pPr>
      <w:r w:rsidRPr="00032D7E">
        <w:rPr>
          <w:rFonts w:ascii="Arial" w:hAnsi="Arial" w:cs="Arial"/>
          <w:color w:val="000000"/>
        </w:rPr>
        <w:lastRenderedPageBreak/>
        <w:t>By combining these layers, the framework overcomes a significant gap in the literature, which usually looks at governance mechanisms, operational risk, and digital banking systems separately (</w:t>
      </w:r>
      <w:proofErr w:type="spellStart"/>
      <w:r w:rsidRPr="00032D7E">
        <w:rPr>
          <w:rFonts w:ascii="Arial" w:hAnsi="Arial" w:cs="Arial"/>
          <w:color w:val="000000"/>
        </w:rPr>
        <w:t>Feyen</w:t>
      </w:r>
      <w:proofErr w:type="spellEnd"/>
      <w:r w:rsidRPr="00032D7E">
        <w:rPr>
          <w:rFonts w:ascii="Arial" w:hAnsi="Arial" w:cs="Arial"/>
          <w:color w:val="000000"/>
        </w:rPr>
        <w:t xml:space="preserve"> et al., 2021; Vives, 2021). In addition to offering a practice-oriented lens for evaluating the efficacy of governance in banking institutions, the suggested model provides a logical and theoretically sound explanation of how conflicts involving digital transactions are created and handled.</w:t>
      </w:r>
      <w:r w:rsidRPr="00032D7E">
        <w:rPr>
          <w:rFonts w:ascii="Arial" w:hAnsi="Arial" w:cs="Arial"/>
          <w:color w:val="000000"/>
        </w:rPr>
        <w:br/>
        <w:t>Crucially, this framework is especially pertinent in developing banking environments like Nepal, where strong governance and operational frameworks have not kept up with the speed of digitalization, exacerbating inefficiencies in the dispute resolution process.</w:t>
      </w:r>
    </w:p>
    <w:p w:rsidR="005B2CBC" w:rsidRPr="00FC5880" w:rsidRDefault="005B2CBC" w:rsidP="00FC5880">
      <w:pPr>
        <w:rPr>
          <w:rStyle w:val="Strong"/>
          <w:rFonts w:ascii="Arial" w:hAnsi="Arial" w:cs="Arial"/>
          <w:b w:val="0"/>
          <w:bCs w:val="0"/>
          <w:color w:val="000000"/>
        </w:rPr>
      </w:pPr>
    </w:p>
    <w:p w:rsidR="00F563C8" w:rsidRPr="00901559" w:rsidRDefault="00F563C8" w:rsidP="00901559">
      <w:pPr>
        <w:pStyle w:val="Heading3"/>
      </w:pPr>
      <w:bookmarkStart w:id="41" w:name="_Toc227498341"/>
      <w:r w:rsidRPr="00901559">
        <w:rPr>
          <w:rStyle w:val="Strong"/>
          <w:b w:val="0"/>
          <w:bCs w:val="0"/>
        </w:rPr>
        <w:t>Figure 3.</w:t>
      </w:r>
      <w:r w:rsidR="0057594D">
        <w:rPr>
          <w:rStyle w:val="Strong"/>
          <w:b w:val="0"/>
          <w:bCs w:val="0"/>
        </w:rPr>
        <w:t>9</w:t>
      </w:r>
      <w:r w:rsidRPr="00901559">
        <w:rPr>
          <w:rStyle w:val="Strong"/>
          <w:b w:val="0"/>
          <w:bCs w:val="0"/>
        </w:rPr>
        <w:t>: Conceptual Framework for Operational Risk Governance in Digital Payment Dispute Management in Nepalese Banks</w:t>
      </w:r>
      <w:bookmarkEnd w:id="41"/>
    </w:p>
    <w:p w:rsidR="00F563C8" w:rsidRDefault="006B3E0E" w:rsidP="00BC6F80">
      <w:pPr>
        <w:rPr>
          <w:rFonts w:ascii="Arial" w:hAnsi="Arial" w:cs="Arial"/>
        </w:rPr>
      </w:pPr>
      <w:r w:rsidRPr="008C389B">
        <w:rPr>
          <w:noProof/>
          <w:highlight w:val="lightGray"/>
        </w:rPr>
        <w:drawing>
          <wp:inline distT="0" distB="0" distL="0" distR="0" wp14:anchorId="22A2743C" wp14:editId="4D51F8A3">
            <wp:extent cx="5727700" cy="3818255"/>
            <wp:effectExtent l="0" t="0" r="0" b="4445"/>
            <wp:docPr id="218861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61420" name="Picture 21886142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rsidR="006B3E0E" w:rsidRDefault="006B3E0E" w:rsidP="00BC6F80">
      <w:pPr>
        <w:rPr>
          <w:rFonts w:ascii="Arial" w:hAnsi="Arial" w:cs="Arial"/>
        </w:rPr>
      </w:pPr>
    </w:p>
    <w:p w:rsidR="006B3E0E" w:rsidRPr="0057594D" w:rsidRDefault="006B3E0E" w:rsidP="00BC6F80">
      <w:pPr>
        <w:rPr>
          <w:rFonts w:ascii="Arial" w:hAnsi="Arial" w:cs="Arial"/>
          <w:b/>
          <w:bCs/>
          <w:color w:val="000000"/>
        </w:rPr>
      </w:pPr>
      <w:r w:rsidRPr="0057594D">
        <w:rPr>
          <w:rFonts w:ascii="Arial" w:hAnsi="Arial" w:cs="Arial"/>
          <w:b/>
          <w:bCs/>
          <w:color w:val="000000"/>
        </w:rPr>
        <w:t xml:space="preserve">Construct Definitions </w:t>
      </w:r>
    </w:p>
    <w:p w:rsidR="006B3E0E" w:rsidRPr="00032D7E" w:rsidRDefault="006B3E0E" w:rsidP="00BC6F80">
      <w:pPr>
        <w:rPr>
          <w:rFonts w:ascii="Arial" w:hAnsi="Arial" w:cs="Arial"/>
          <w:color w:val="000000"/>
        </w:rPr>
      </w:pPr>
    </w:p>
    <w:p w:rsidR="006B3E0E" w:rsidRPr="00032D7E" w:rsidRDefault="006B3E0E" w:rsidP="00032D7E">
      <w:pPr>
        <w:rPr>
          <w:rFonts w:ascii="Arial" w:hAnsi="Arial" w:cs="Arial"/>
          <w:color w:val="000000"/>
        </w:rPr>
      </w:pPr>
      <w:r w:rsidRPr="00032D7E">
        <w:rPr>
          <w:rFonts w:ascii="Arial" w:hAnsi="Arial" w:cs="Arial"/>
          <w:color w:val="000000"/>
        </w:rPr>
        <w:t>• Drivers of Operational Risk</w:t>
      </w:r>
      <w:r w:rsidRPr="00032D7E">
        <w:rPr>
          <w:rFonts w:ascii="Arial" w:hAnsi="Arial" w:cs="Arial"/>
          <w:color w:val="000000"/>
        </w:rPr>
        <w:br/>
        <w:t xml:space="preserve">systems, procedures, human behavior, and outside circumstances that interfere with digital payment transactions and cause conflicts (BCBS, 2021; </w:t>
      </w:r>
      <w:proofErr w:type="spellStart"/>
      <w:r w:rsidRPr="00032D7E">
        <w:rPr>
          <w:rFonts w:ascii="Arial" w:hAnsi="Arial" w:cs="Arial"/>
          <w:color w:val="000000"/>
        </w:rPr>
        <w:t>Moosa</w:t>
      </w:r>
      <w:proofErr w:type="spellEnd"/>
      <w:r w:rsidRPr="00032D7E">
        <w:rPr>
          <w:rFonts w:ascii="Arial" w:hAnsi="Arial" w:cs="Arial"/>
          <w:color w:val="000000"/>
        </w:rPr>
        <w:t xml:space="preserve">, 2020). </w:t>
      </w:r>
    </w:p>
    <w:p w:rsidR="006B3E0E" w:rsidRPr="00032D7E" w:rsidRDefault="006B3E0E" w:rsidP="00BC6F80">
      <w:pPr>
        <w:rPr>
          <w:rFonts w:ascii="Arial" w:hAnsi="Arial" w:cs="Arial"/>
          <w:color w:val="000000"/>
        </w:rPr>
      </w:pPr>
    </w:p>
    <w:p w:rsidR="006B3E0E" w:rsidRPr="00032D7E" w:rsidRDefault="006B3E0E" w:rsidP="00BC6F80">
      <w:pPr>
        <w:rPr>
          <w:rFonts w:ascii="Arial" w:hAnsi="Arial" w:cs="Arial"/>
          <w:color w:val="000000"/>
        </w:rPr>
      </w:pPr>
      <w:r w:rsidRPr="00032D7E">
        <w:rPr>
          <w:rFonts w:ascii="Arial" w:hAnsi="Arial" w:cs="Arial"/>
          <w:color w:val="000000"/>
        </w:rPr>
        <w:t>• The Process of Dispute Management</w:t>
      </w:r>
      <w:r w:rsidRPr="00032D7E">
        <w:rPr>
          <w:rFonts w:ascii="Arial" w:hAnsi="Arial" w:cs="Arial"/>
          <w:color w:val="000000"/>
        </w:rPr>
        <w:br/>
        <w:t xml:space="preserve">organizational processes that banks use to recognize, look into, escalate, and settle transaction disputes. </w:t>
      </w:r>
    </w:p>
    <w:p w:rsidR="006B3E0E" w:rsidRPr="00032D7E" w:rsidRDefault="006B3E0E" w:rsidP="00BC6F80">
      <w:pPr>
        <w:rPr>
          <w:rFonts w:ascii="Arial" w:hAnsi="Arial" w:cs="Arial"/>
          <w:color w:val="000000"/>
        </w:rPr>
      </w:pPr>
    </w:p>
    <w:p w:rsidR="006B3E0E" w:rsidRPr="00032D7E" w:rsidRDefault="006B3E0E" w:rsidP="00BC6F80">
      <w:pPr>
        <w:rPr>
          <w:rFonts w:ascii="Arial" w:hAnsi="Arial" w:cs="Arial"/>
          <w:color w:val="000000"/>
        </w:rPr>
      </w:pPr>
      <w:r w:rsidRPr="00032D7E">
        <w:rPr>
          <w:rFonts w:ascii="Arial" w:hAnsi="Arial" w:cs="Arial"/>
          <w:color w:val="000000"/>
        </w:rPr>
        <w:t>• Efficiency of Process (Mediator)</w:t>
      </w:r>
      <w:r w:rsidRPr="00032D7E">
        <w:rPr>
          <w:rFonts w:ascii="Arial" w:hAnsi="Arial" w:cs="Arial"/>
          <w:color w:val="000000"/>
        </w:rPr>
        <w:br/>
        <w:t xml:space="preserve">The effectiveness, transparency, cooperation, and speed of conflict resolution procedures that affect the results. </w:t>
      </w:r>
    </w:p>
    <w:p w:rsidR="006B3E0E" w:rsidRPr="00032D7E" w:rsidRDefault="006B3E0E" w:rsidP="00BC6F80">
      <w:pPr>
        <w:rPr>
          <w:rFonts w:ascii="Arial" w:hAnsi="Arial" w:cs="Arial"/>
          <w:color w:val="000000"/>
        </w:rPr>
      </w:pPr>
    </w:p>
    <w:p w:rsidR="006B3E0E" w:rsidRPr="00032D7E" w:rsidRDefault="006B3E0E" w:rsidP="00BC6F80">
      <w:pPr>
        <w:rPr>
          <w:rFonts w:ascii="Arial" w:hAnsi="Arial" w:cs="Arial"/>
          <w:color w:val="000000"/>
        </w:rPr>
      </w:pPr>
      <w:r w:rsidRPr="00032D7E">
        <w:rPr>
          <w:rFonts w:ascii="Arial" w:hAnsi="Arial" w:cs="Arial"/>
          <w:color w:val="000000"/>
        </w:rPr>
        <w:lastRenderedPageBreak/>
        <w:t>• Moderator-based governance mechanisms</w:t>
      </w:r>
      <w:r w:rsidRPr="00032D7E">
        <w:rPr>
          <w:rFonts w:ascii="Arial" w:hAnsi="Arial" w:cs="Arial"/>
          <w:color w:val="000000"/>
        </w:rPr>
        <w:br/>
        <w:t xml:space="preserve">The effectiveness of dispute management is influenced by regulatory compliance methods, accountability frameworks, control systems, and monitoring structures (Power, 2021; COSO, 2020). </w:t>
      </w:r>
    </w:p>
    <w:p w:rsidR="006B3E0E" w:rsidRPr="00032D7E" w:rsidRDefault="006B3E0E" w:rsidP="00BC6F80">
      <w:pPr>
        <w:rPr>
          <w:rFonts w:ascii="Arial" w:hAnsi="Arial" w:cs="Arial"/>
          <w:color w:val="000000"/>
        </w:rPr>
      </w:pPr>
    </w:p>
    <w:p w:rsidR="006B3E0E" w:rsidRPr="00032D7E" w:rsidRDefault="006B3E0E" w:rsidP="00BC6F80">
      <w:pPr>
        <w:rPr>
          <w:rFonts w:ascii="Arial" w:hAnsi="Arial" w:cs="Arial"/>
        </w:rPr>
      </w:pPr>
      <w:r w:rsidRPr="00032D7E">
        <w:rPr>
          <w:rFonts w:ascii="Arial" w:hAnsi="Arial" w:cs="Arial"/>
          <w:color w:val="000000"/>
        </w:rPr>
        <w:t>• Effectiveness of Dispute Resolution (Result)</w:t>
      </w:r>
      <w:r w:rsidRPr="00032D7E">
        <w:rPr>
          <w:rFonts w:ascii="Arial" w:hAnsi="Arial" w:cs="Arial"/>
          <w:color w:val="000000"/>
        </w:rPr>
        <w:br/>
        <w:t>the efficiency of dispute resolution in terms of promptness, precision, equity, and client satisfaction.</w:t>
      </w:r>
    </w:p>
    <w:p w:rsidR="004E6D99" w:rsidRDefault="004E6D99" w:rsidP="004E263B">
      <w:pPr>
        <w:jc w:val="both"/>
        <w:rPr>
          <w:rFonts w:ascii="Arial" w:hAnsi="Arial" w:cs="Arial"/>
        </w:rPr>
      </w:pPr>
    </w:p>
    <w:p w:rsidR="004E6D99" w:rsidRDefault="004E6D99" w:rsidP="004E263B">
      <w:pPr>
        <w:jc w:val="both"/>
        <w:rPr>
          <w:rFonts w:ascii="Arial" w:hAnsi="Arial" w:cs="Arial"/>
        </w:rPr>
      </w:pPr>
    </w:p>
    <w:p w:rsidR="006B3E0E" w:rsidRDefault="006B3E0E" w:rsidP="004E263B">
      <w:pPr>
        <w:jc w:val="both"/>
        <w:rPr>
          <w:rFonts w:ascii="Arial" w:hAnsi="Arial" w:cs="Arial"/>
        </w:rPr>
      </w:pPr>
      <w:r w:rsidRPr="004E263B">
        <w:rPr>
          <w:rFonts w:ascii="Arial" w:hAnsi="Arial" w:cs="Arial"/>
        </w:rPr>
        <w:t>Moderating and Mediating Impacts</w:t>
      </w:r>
    </w:p>
    <w:p w:rsidR="004E6D99" w:rsidRPr="004E263B" w:rsidRDefault="004E6D99" w:rsidP="004E263B">
      <w:pPr>
        <w:jc w:val="both"/>
        <w:rPr>
          <w:rFonts w:ascii="Arial" w:hAnsi="Arial" w:cs="Arial"/>
        </w:rPr>
      </w:pPr>
    </w:p>
    <w:p w:rsidR="006B3E0E" w:rsidRDefault="006B3E0E" w:rsidP="004E263B">
      <w:pPr>
        <w:jc w:val="both"/>
        <w:rPr>
          <w:rFonts w:ascii="Arial" w:hAnsi="Arial" w:cs="Arial"/>
        </w:rPr>
      </w:pPr>
      <w:r w:rsidRPr="004E263B">
        <w:rPr>
          <w:rFonts w:ascii="Arial" w:hAnsi="Arial" w:cs="Arial"/>
        </w:rPr>
        <w:t>By explaining how organizational procedures result in successful outcomes, process efficiency mediates the relationship between dispute management methods and dispute resolution efficiency. Effective procedures enhance resolution performance by lowering delays and improving coordination.</w:t>
      </w:r>
    </w:p>
    <w:p w:rsidR="004E263B" w:rsidRPr="004E263B" w:rsidRDefault="004E263B" w:rsidP="004E263B">
      <w:pPr>
        <w:jc w:val="both"/>
        <w:rPr>
          <w:rFonts w:ascii="Arial" w:hAnsi="Arial" w:cs="Arial"/>
        </w:rPr>
      </w:pPr>
    </w:p>
    <w:p w:rsidR="006B3E0E" w:rsidRDefault="006B3E0E" w:rsidP="004E263B">
      <w:pPr>
        <w:jc w:val="both"/>
        <w:rPr>
          <w:rFonts w:ascii="Arial" w:hAnsi="Arial" w:cs="Arial"/>
        </w:rPr>
      </w:pPr>
      <w:r w:rsidRPr="004E263B">
        <w:rPr>
          <w:rFonts w:ascii="Arial" w:hAnsi="Arial" w:cs="Arial"/>
        </w:rPr>
        <w:t>By affecting how well operations are carried out and hazards are controlled, governance mechanisms moderate the connections within the framework. Strong governance improves control and accountability, which lowers inefficiencies and improves resolution results.</w:t>
      </w:r>
    </w:p>
    <w:p w:rsidR="004E263B" w:rsidRPr="004E263B" w:rsidRDefault="004E263B" w:rsidP="004E263B">
      <w:pPr>
        <w:jc w:val="both"/>
        <w:rPr>
          <w:rFonts w:ascii="Arial" w:hAnsi="Arial" w:cs="Arial"/>
        </w:rPr>
      </w:pPr>
    </w:p>
    <w:p w:rsidR="004E263B" w:rsidRDefault="00032D7E" w:rsidP="004E263B">
      <w:pPr>
        <w:rPr>
          <w:rFonts w:ascii="Arial" w:hAnsi="Arial" w:cs="Arial"/>
        </w:rPr>
      </w:pPr>
      <w:r w:rsidRPr="004E263B">
        <w:rPr>
          <w:rFonts w:ascii="Arial" w:hAnsi="Arial" w:cs="Arial"/>
        </w:rPr>
        <w:t>Proto-Theories</w:t>
      </w:r>
    </w:p>
    <w:p w:rsidR="00032D7E" w:rsidRPr="004E263B" w:rsidRDefault="00032D7E" w:rsidP="004E263B">
      <w:pPr>
        <w:rPr>
          <w:rFonts w:ascii="Arial" w:hAnsi="Arial" w:cs="Arial"/>
        </w:rPr>
      </w:pPr>
      <w:r w:rsidRPr="004E263B">
        <w:rPr>
          <w:rFonts w:ascii="Arial" w:hAnsi="Arial" w:cs="Arial"/>
        </w:rPr>
        <w:t xml:space="preserve"> </w:t>
      </w:r>
    </w:p>
    <w:p w:rsidR="00032D7E" w:rsidRDefault="00032D7E" w:rsidP="004E263B">
      <w:pPr>
        <w:jc w:val="both"/>
        <w:rPr>
          <w:rFonts w:ascii="Arial" w:hAnsi="Arial" w:cs="Arial"/>
        </w:rPr>
      </w:pPr>
      <w:r w:rsidRPr="004E263B">
        <w:rPr>
          <w:rFonts w:ascii="Arial" w:hAnsi="Arial" w:cs="Arial"/>
        </w:rPr>
        <w:t xml:space="preserve">• H1: Digital transaction conflicts are positively influenced by operational risk drivers. </w:t>
      </w:r>
    </w:p>
    <w:p w:rsidR="004E263B" w:rsidRPr="004E263B" w:rsidRDefault="004E263B" w:rsidP="004E263B">
      <w:pPr>
        <w:jc w:val="both"/>
        <w:rPr>
          <w:rFonts w:ascii="Arial" w:hAnsi="Arial" w:cs="Arial"/>
        </w:rPr>
      </w:pPr>
    </w:p>
    <w:p w:rsidR="00032D7E" w:rsidRDefault="00032D7E" w:rsidP="004E263B">
      <w:pPr>
        <w:jc w:val="both"/>
        <w:rPr>
          <w:rFonts w:ascii="Arial" w:hAnsi="Arial" w:cs="Arial"/>
        </w:rPr>
      </w:pPr>
      <w:r w:rsidRPr="004E263B">
        <w:rPr>
          <w:rFonts w:ascii="Arial" w:hAnsi="Arial" w:cs="Arial"/>
        </w:rPr>
        <w:t xml:space="preserve">•H2: The efficiency of dispute resolution is positively impacted by dispute management procedures. </w:t>
      </w:r>
    </w:p>
    <w:p w:rsidR="004E263B" w:rsidRPr="004E263B" w:rsidRDefault="004E263B" w:rsidP="004E263B">
      <w:pPr>
        <w:jc w:val="both"/>
        <w:rPr>
          <w:rFonts w:ascii="Arial" w:hAnsi="Arial" w:cs="Arial"/>
        </w:rPr>
      </w:pPr>
    </w:p>
    <w:p w:rsidR="00032D7E" w:rsidRDefault="00032D7E" w:rsidP="004E263B">
      <w:pPr>
        <w:jc w:val="both"/>
        <w:rPr>
          <w:rFonts w:ascii="Arial" w:hAnsi="Arial" w:cs="Arial"/>
        </w:rPr>
      </w:pPr>
      <w:r w:rsidRPr="004E263B">
        <w:rPr>
          <w:rFonts w:ascii="Arial" w:hAnsi="Arial" w:cs="Arial"/>
        </w:rPr>
        <w:t xml:space="preserve">• H3: The relationship between dispute resolution efficiency and dispute management procedures is mediated by process efficiency. </w:t>
      </w:r>
    </w:p>
    <w:p w:rsidR="004E263B" w:rsidRPr="004E263B" w:rsidRDefault="004E263B" w:rsidP="004E263B">
      <w:pPr>
        <w:jc w:val="both"/>
        <w:rPr>
          <w:rFonts w:ascii="Arial" w:hAnsi="Arial" w:cs="Arial"/>
        </w:rPr>
      </w:pPr>
    </w:p>
    <w:p w:rsidR="00032D7E" w:rsidRDefault="00032D7E" w:rsidP="004E263B">
      <w:pPr>
        <w:jc w:val="both"/>
        <w:rPr>
          <w:rFonts w:ascii="Arial" w:hAnsi="Arial" w:cs="Arial"/>
        </w:rPr>
      </w:pPr>
      <w:r w:rsidRPr="004E263B">
        <w:rPr>
          <w:rFonts w:ascii="Arial" w:hAnsi="Arial" w:cs="Arial"/>
        </w:rPr>
        <w:t xml:space="preserve">•H4: The connection between operational risk factors and conflict resolution procedures is moderated by governance structures. </w:t>
      </w:r>
    </w:p>
    <w:p w:rsidR="004E263B" w:rsidRPr="004E263B" w:rsidRDefault="004E263B" w:rsidP="004E263B">
      <w:pPr>
        <w:jc w:val="both"/>
        <w:rPr>
          <w:rFonts w:ascii="Arial" w:hAnsi="Arial" w:cs="Arial"/>
        </w:rPr>
      </w:pPr>
    </w:p>
    <w:p w:rsidR="006B3E0E" w:rsidRPr="00032D7E" w:rsidRDefault="00032D7E" w:rsidP="004E263B">
      <w:pPr>
        <w:jc w:val="both"/>
      </w:pPr>
      <w:r w:rsidRPr="004E263B">
        <w:rPr>
          <w:rFonts w:ascii="Arial" w:hAnsi="Arial" w:cs="Arial"/>
        </w:rPr>
        <w:t>• H5: The association between dispute management procedures and the effectiveness of dispute resolution is moderated by governance systems</w:t>
      </w:r>
      <w:r w:rsidRPr="00032D7E">
        <w:t>.</w:t>
      </w:r>
    </w:p>
    <w:p w:rsidR="00F563C8" w:rsidRPr="00974BD5" w:rsidRDefault="00F563C8" w:rsidP="00974BD5">
      <w:pPr>
        <w:pStyle w:val="Heading2"/>
        <w:rPr>
          <w:rFonts w:asciiTheme="majorHAnsi" w:hAnsiTheme="majorHAnsi" w:cstheme="majorHAnsi"/>
          <w:sz w:val="28"/>
          <w:szCs w:val="28"/>
        </w:rPr>
      </w:pPr>
      <w:bookmarkStart w:id="42" w:name="_Toc227498342"/>
      <w:r w:rsidRPr="00974BD5">
        <w:rPr>
          <w:rFonts w:asciiTheme="majorHAnsi" w:hAnsiTheme="majorHAnsi" w:cstheme="majorHAnsi"/>
          <w:sz w:val="28"/>
          <w:szCs w:val="28"/>
        </w:rPr>
        <w:t>3.</w:t>
      </w:r>
      <w:r w:rsidR="00FC5880">
        <w:rPr>
          <w:rFonts w:asciiTheme="majorHAnsi" w:hAnsiTheme="majorHAnsi" w:cstheme="majorHAnsi"/>
          <w:sz w:val="28"/>
          <w:szCs w:val="28"/>
        </w:rPr>
        <w:t xml:space="preserve">10 </w:t>
      </w:r>
      <w:r w:rsidRPr="00974BD5">
        <w:rPr>
          <w:rFonts w:asciiTheme="majorHAnsi" w:hAnsiTheme="majorHAnsi" w:cstheme="majorHAnsi"/>
          <w:sz w:val="28"/>
          <w:szCs w:val="28"/>
        </w:rPr>
        <w:t>Emerging Market Context: Banking Sector in Nepal</w:t>
      </w:r>
      <w:bookmarkEnd w:id="42"/>
    </w:p>
    <w:p w:rsidR="00974BD5" w:rsidRDefault="00F563C8" w:rsidP="0025568D">
      <w:pPr>
        <w:jc w:val="both"/>
        <w:rPr>
          <w:rFonts w:ascii="Arial" w:hAnsi="Arial" w:cs="Arial"/>
          <w:color w:val="000000"/>
        </w:rPr>
      </w:pPr>
      <w:r w:rsidRPr="00474E6C">
        <w:rPr>
          <w:rFonts w:ascii="Arial" w:hAnsi="Arial" w:cs="Arial"/>
          <w:color w:val="000000"/>
        </w:rPr>
        <w:t xml:space="preserve">The usage of digital payments in Nepal's banking industry has grown significantly thanks to consumer demand and regulatory initiatives. To advance digital financial services and improve payment system infrastructure, the Nepal </w:t>
      </w:r>
      <w:proofErr w:type="spellStart"/>
      <w:r w:rsidRPr="00474E6C">
        <w:rPr>
          <w:rFonts w:ascii="Arial" w:hAnsi="Arial" w:cs="Arial"/>
          <w:color w:val="000000"/>
        </w:rPr>
        <w:t>Rastra</w:t>
      </w:r>
      <w:proofErr w:type="spellEnd"/>
      <w:r w:rsidRPr="00474E6C">
        <w:rPr>
          <w:rFonts w:ascii="Arial" w:hAnsi="Arial" w:cs="Arial"/>
          <w:color w:val="000000"/>
        </w:rPr>
        <w:t xml:space="preserve"> Bank has implemented regulations and guidelines (NRB, 2021; NRB, 2022). Consequently, electronic payment platforms, online transactions, and mobile banking have grown in popularity.</w:t>
      </w:r>
    </w:p>
    <w:p w:rsidR="00F563C8" w:rsidRPr="00474E6C" w:rsidRDefault="00F563C8" w:rsidP="0025568D">
      <w:pPr>
        <w:jc w:val="both"/>
        <w:rPr>
          <w:rFonts w:ascii="Arial" w:hAnsi="Arial" w:cs="Arial"/>
          <w:color w:val="000000"/>
        </w:rPr>
      </w:pPr>
      <w:r w:rsidRPr="00474E6C">
        <w:rPr>
          <w:rFonts w:ascii="Arial" w:hAnsi="Arial" w:cs="Arial"/>
          <w:color w:val="000000"/>
        </w:rPr>
        <w:br/>
        <w:t xml:space="preserve">But banking institutions have also faced difficulties as a result of the quick speed of digitalization. Research by Shrestha (2021) and Sharma (2022) emphasizes problems with infrastructure constraints, system dependability, and ineffective service delivery. </w:t>
      </w:r>
      <w:r w:rsidRPr="00474E6C">
        <w:rPr>
          <w:rFonts w:ascii="Arial" w:hAnsi="Arial" w:cs="Arial"/>
          <w:color w:val="000000"/>
        </w:rPr>
        <w:lastRenderedPageBreak/>
        <w:t>According to Bhattarai (2022), delays in transaction processing and complaint handling frequently result in customer discontent.</w:t>
      </w:r>
    </w:p>
    <w:p w:rsidR="00F563C8" w:rsidRPr="00474E6C" w:rsidRDefault="00F563C8" w:rsidP="0025568D">
      <w:pPr>
        <w:jc w:val="both"/>
        <w:rPr>
          <w:rFonts w:ascii="Arial" w:hAnsi="Arial" w:cs="Arial"/>
          <w:color w:val="000000"/>
        </w:rPr>
      </w:pPr>
    </w:p>
    <w:p w:rsidR="00F563C8" w:rsidRPr="00474E6C" w:rsidRDefault="00F563C8" w:rsidP="0025568D">
      <w:pPr>
        <w:jc w:val="both"/>
        <w:rPr>
          <w:rFonts w:ascii="Arial" w:hAnsi="Arial" w:cs="Arial"/>
          <w:color w:val="000000"/>
        </w:rPr>
      </w:pPr>
      <w:r w:rsidRPr="00474E6C">
        <w:rPr>
          <w:rFonts w:ascii="Arial" w:hAnsi="Arial" w:cs="Arial"/>
          <w:color w:val="000000"/>
        </w:rPr>
        <w:t>There is still little research on Nepalese banks' dispute resolution procedures. Neupane (2024) offers some insights into dispute resolution, pointing out that procedures are frequently cumbersome, disjointed, and devoid of distinct governance frameworks. The study does not, however, thoroughly examine the connection between operational risk governance and conflict management.</w:t>
      </w:r>
      <w:r w:rsidRPr="00474E6C">
        <w:rPr>
          <w:rFonts w:ascii="Arial" w:hAnsi="Arial" w:cs="Arial"/>
          <w:color w:val="000000"/>
        </w:rPr>
        <w:br/>
        <w:t>All things considered, the literature on banking in Nepal emphasizes the necessity for context-specific studies that take into account the particular difficulties of digital transformation in developing nations. Specifically, there is a dearth of empirical data about the impact of governance systems on dispute resolution procedures, which presents a significant potential for more research.</w:t>
      </w:r>
    </w:p>
    <w:p w:rsidR="00F563C8" w:rsidRPr="00474E6C" w:rsidRDefault="00F563C8" w:rsidP="0025568D">
      <w:pPr>
        <w:jc w:val="both"/>
        <w:rPr>
          <w:rFonts w:ascii="Arial" w:hAnsi="Arial" w:cs="Arial"/>
          <w:color w:val="000000"/>
        </w:rPr>
      </w:pPr>
      <w:r w:rsidRPr="00474E6C">
        <w:rPr>
          <w:rFonts w:ascii="Arial" w:hAnsi="Arial" w:cs="Arial"/>
          <w:color w:val="000000"/>
        </w:rPr>
        <w:br/>
        <w:t>This implies that the creation of governance and operational frameworks necessary to handle new risks, especially those related to transaction disputes, has lagged behind the digital transformation of Nepalese banking.</w:t>
      </w:r>
    </w:p>
    <w:p w:rsidR="00F563C8" w:rsidRPr="00474E6C" w:rsidRDefault="00F563C8" w:rsidP="0025568D">
      <w:pPr>
        <w:jc w:val="both"/>
        <w:rPr>
          <w:rFonts w:ascii="Arial" w:hAnsi="Arial" w:cs="Arial"/>
          <w:color w:val="000000"/>
        </w:rPr>
      </w:pPr>
    </w:p>
    <w:p w:rsidR="00F563C8" w:rsidRDefault="00F563C8" w:rsidP="0025568D">
      <w:pPr>
        <w:jc w:val="both"/>
        <w:rPr>
          <w:rFonts w:ascii="Arial" w:hAnsi="Arial" w:cs="Arial"/>
          <w:color w:val="000000"/>
        </w:rPr>
      </w:pPr>
      <w:r w:rsidRPr="00474E6C">
        <w:rPr>
          <w:rFonts w:ascii="Arial" w:hAnsi="Arial" w:cs="Arial"/>
          <w:color w:val="000000"/>
        </w:rPr>
        <w:t>More broadly, research indicates that disagreements over digital transactions are a crucial point where operational risk, service procedures, and governance frameworks converge. These domains are still not fully connected, though, especially in developing financial environments like Nepal where institutional and infrastructural limitations make dispute resolution procedures even more difficult.</w:t>
      </w:r>
      <w:r w:rsidRPr="00474E6C">
        <w:rPr>
          <w:rFonts w:ascii="Arial" w:hAnsi="Arial" w:cs="Arial"/>
          <w:color w:val="000000"/>
        </w:rPr>
        <w:br/>
      </w:r>
    </w:p>
    <w:p w:rsidR="00FC5880" w:rsidRPr="00FC5880" w:rsidRDefault="00FC5880" w:rsidP="0025568D">
      <w:pPr>
        <w:jc w:val="both"/>
        <w:rPr>
          <w:rFonts w:ascii="Arial" w:hAnsi="Arial" w:cs="Arial"/>
          <w:color w:val="000000"/>
        </w:rPr>
      </w:pPr>
      <w:r w:rsidRPr="00FC5880">
        <w:rPr>
          <w:rFonts w:ascii="Arial" w:hAnsi="Arial" w:cs="Arial"/>
          <w:color w:val="000000"/>
        </w:rPr>
        <w:t>Research on Nepalese banking that is now available emphasizes practical difficulties and digital adoption, but it lacks a theoretically sound grasp of dispute governance. As a result, actual inefficiencies are seen but not conceptually explained. This paper offers a more cogent explanation of these difficulties in developing banking settings by placing dispute management within an operational risk governance framework.</w:t>
      </w:r>
    </w:p>
    <w:p w:rsidR="00F563C8" w:rsidRPr="00974BD5" w:rsidRDefault="00F563C8" w:rsidP="00974BD5">
      <w:pPr>
        <w:pStyle w:val="Heading2"/>
        <w:rPr>
          <w:rFonts w:ascii="Calibri" w:hAnsi="Calibri" w:cs="Calibri"/>
          <w:sz w:val="28"/>
          <w:szCs w:val="28"/>
        </w:rPr>
      </w:pPr>
      <w:bookmarkStart w:id="43" w:name="_Toc227498343"/>
      <w:r w:rsidRPr="00974BD5">
        <w:rPr>
          <w:rFonts w:ascii="Calibri" w:hAnsi="Calibri" w:cs="Calibri"/>
          <w:sz w:val="28"/>
          <w:szCs w:val="28"/>
        </w:rPr>
        <w:t>3.</w:t>
      </w:r>
      <w:r w:rsidR="00BB74BA">
        <w:rPr>
          <w:rFonts w:ascii="Calibri" w:hAnsi="Calibri" w:cs="Calibri"/>
          <w:sz w:val="28"/>
          <w:szCs w:val="28"/>
        </w:rPr>
        <w:t>1</w:t>
      </w:r>
      <w:r w:rsidR="00FC5880">
        <w:rPr>
          <w:rFonts w:ascii="Calibri" w:hAnsi="Calibri" w:cs="Calibri"/>
          <w:sz w:val="28"/>
          <w:szCs w:val="28"/>
        </w:rPr>
        <w:t>1</w:t>
      </w:r>
      <w:r w:rsidR="00BB74BA">
        <w:rPr>
          <w:rFonts w:ascii="Calibri" w:hAnsi="Calibri" w:cs="Calibri"/>
          <w:sz w:val="28"/>
          <w:szCs w:val="28"/>
        </w:rPr>
        <w:t xml:space="preserve"> </w:t>
      </w:r>
      <w:r w:rsidRPr="00974BD5">
        <w:rPr>
          <w:rFonts w:ascii="Calibri" w:hAnsi="Calibri" w:cs="Calibri"/>
          <w:sz w:val="28"/>
          <w:szCs w:val="28"/>
        </w:rPr>
        <w:t>Research Gap</w:t>
      </w:r>
      <w:bookmarkEnd w:id="43"/>
    </w:p>
    <w:p w:rsidR="00EA5913" w:rsidRPr="00E87CF9" w:rsidRDefault="00836737" w:rsidP="0025568D">
      <w:pPr>
        <w:jc w:val="both"/>
        <w:rPr>
          <w:rFonts w:ascii="Arial" w:hAnsi="Arial" w:cs="Arial"/>
          <w:color w:val="000000"/>
        </w:rPr>
      </w:pPr>
      <w:r w:rsidRPr="00E87CF9">
        <w:rPr>
          <w:rFonts w:ascii="Arial" w:hAnsi="Arial" w:cs="Arial"/>
          <w:color w:val="000000"/>
        </w:rPr>
        <w:t>The development of a coherent knowledge of digital payment dispute management in banking is restricted by a number of interrelated conceptual, theoretical, empirical, and contextual gaps that are shown by the critical assessment of the literature.</w:t>
      </w:r>
    </w:p>
    <w:p w:rsidR="00836737" w:rsidRPr="00E87CF9" w:rsidRDefault="00836737" w:rsidP="0025568D">
      <w:pPr>
        <w:jc w:val="both"/>
        <w:rPr>
          <w:rFonts w:ascii="Arial" w:hAnsi="Arial" w:cs="Arial"/>
          <w:color w:val="000000"/>
        </w:rPr>
      </w:pPr>
    </w:p>
    <w:p w:rsidR="00836737" w:rsidRPr="00E87CF9" w:rsidRDefault="00836737" w:rsidP="0025568D">
      <w:pPr>
        <w:jc w:val="both"/>
        <w:rPr>
          <w:rFonts w:ascii="Arial" w:hAnsi="Arial" w:cs="Arial"/>
          <w:color w:val="000000"/>
        </w:rPr>
      </w:pPr>
      <w:r w:rsidRPr="00E87CF9">
        <w:rPr>
          <w:rFonts w:ascii="Arial" w:hAnsi="Arial" w:cs="Arial"/>
          <w:color w:val="000000"/>
        </w:rPr>
        <w:t>First, the separate approach to digital banking, operational risk, and governance reveals a conceptual divide. Despite the substantial development of each of these categories separately, nothing is known about how they relate to one another. While operational risk literature concentrates on system, process, and control failures (</w:t>
      </w:r>
      <w:proofErr w:type="spellStart"/>
      <w:r w:rsidRPr="00E87CF9">
        <w:rPr>
          <w:rFonts w:ascii="Arial" w:hAnsi="Arial" w:cs="Arial"/>
          <w:color w:val="000000"/>
        </w:rPr>
        <w:t>Moosa</w:t>
      </w:r>
      <w:proofErr w:type="spellEnd"/>
      <w:r w:rsidRPr="00E87CF9">
        <w:rPr>
          <w:rFonts w:ascii="Arial" w:hAnsi="Arial" w:cs="Arial"/>
          <w:color w:val="000000"/>
        </w:rPr>
        <w:t>, 2007; BCBS, 2021), current research on digital banking emphasizes technical innovation and efficiency (</w:t>
      </w:r>
      <w:proofErr w:type="spellStart"/>
      <w:r w:rsidRPr="00E87CF9">
        <w:rPr>
          <w:rFonts w:ascii="Arial" w:hAnsi="Arial" w:cs="Arial"/>
          <w:color w:val="000000"/>
        </w:rPr>
        <w:t>Feyen</w:t>
      </w:r>
      <w:proofErr w:type="spellEnd"/>
      <w:r w:rsidRPr="00E87CF9">
        <w:rPr>
          <w:rFonts w:ascii="Arial" w:hAnsi="Arial" w:cs="Arial"/>
          <w:color w:val="000000"/>
        </w:rPr>
        <w:t xml:space="preserve"> et al., 2021; </w:t>
      </w:r>
      <w:proofErr w:type="spellStart"/>
      <w:r w:rsidRPr="00E87CF9">
        <w:rPr>
          <w:rFonts w:ascii="Arial" w:hAnsi="Arial" w:cs="Arial"/>
          <w:color w:val="000000"/>
        </w:rPr>
        <w:t>Thakor</w:t>
      </w:r>
      <w:proofErr w:type="spellEnd"/>
      <w:r w:rsidRPr="00E87CF9">
        <w:rPr>
          <w:rFonts w:ascii="Arial" w:hAnsi="Arial" w:cs="Arial"/>
          <w:color w:val="000000"/>
        </w:rPr>
        <w:t>, 2020). Accountability and control systems are highlighted by governance studies (Power, 2007). Nevertheless, these viewpoints are rarely combined to describe how disagreements involving digital transactions arise and are handled by organizational structures. A conceptual blind hole is created by this fragmentation, which makes it difficult to describe dispute processes as the results of interrelated technological, operational, and governance dynamics.</w:t>
      </w:r>
    </w:p>
    <w:p w:rsidR="00836737" w:rsidRPr="00E87CF9" w:rsidRDefault="00836737" w:rsidP="0025568D">
      <w:pPr>
        <w:jc w:val="both"/>
        <w:rPr>
          <w:rFonts w:ascii="Arial" w:hAnsi="Arial" w:cs="Arial"/>
          <w:color w:val="000000"/>
        </w:rPr>
      </w:pPr>
    </w:p>
    <w:p w:rsidR="00836737" w:rsidRPr="00E87CF9" w:rsidRDefault="00836737" w:rsidP="00E87CF9">
      <w:pPr>
        <w:jc w:val="both"/>
        <w:rPr>
          <w:rFonts w:ascii="Arial" w:hAnsi="Arial" w:cs="Arial"/>
          <w:color w:val="000000"/>
        </w:rPr>
      </w:pPr>
      <w:r w:rsidRPr="00E87CF9">
        <w:rPr>
          <w:rFonts w:ascii="Arial" w:hAnsi="Arial" w:cs="Arial"/>
          <w:color w:val="000000"/>
        </w:rPr>
        <w:lastRenderedPageBreak/>
        <w:t xml:space="preserve">Second, the common framing of digital transaction conflicts as customer service issues creates a substantial theoretical gap. A large portion of the current research is based on service recovery theory, which places a high priority on addressing complaints and ensuring customer satisfaction (Lovelock and Wirtz, 2016; Van </w:t>
      </w:r>
      <w:proofErr w:type="spellStart"/>
      <w:r w:rsidRPr="00E87CF9">
        <w:rPr>
          <w:rFonts w:ascii="Arial" w:hAnsi="Arial" w:cs="Arial"/>
          <w:color w:val="000000"/>
        </w:rPr>
        <w:t>Vaerenbergh</w:t>
      </w:r>
      <w:proofErr w:type="spellEnd"/>
      <w:r w:rsidRPr="00E87CF9">
        <w:rPr>
          <w:rFonts w:ascii="Arial" w:hAnsi="Arial" w:cs="Arial"/>
          <w:color w:val="000000"/>
        </w:rPr>
        <w:t xml:space="preserve"> and </w:t>
      </w:r>
      <w:proofErr w:type="spellStart"/>
      <w:r w:rsidRPr="00E87CF9">
        <w:rPr>
          <w:rFonts w:ascii="Arial" w:hAnsi="Arial" w:cs="Arial"/>
          <w:color w:val="000000"/>
        </w:rPr>
        <w:t>Orsingher</w:t>
      </w:r>
      <w:proofErr w:type="spellEnd"/>
      <w:r w:rsidRPr="00E87CF9">
        <w:rPr>
          <w:rFonts w:ascii="Arial" w:hAnsi="Arial" w:cs="Arial"/>
          <w:color w:val="000000"/>
        </w:rPr>
        <w:t>, 2016). Although this viewpoint offers insightful information on consumer reactions, it is logically inadequate to explain the systemic causes of conflicts. Specifically, it ignores the importance of organizational procedures, system malfunctions, and control flaws that are fundamental to operational risk frameworks. According to the Basel Committee on Banking Supervision (BCBS, 2021), operational risk results from mistakes in internal systems, procedures, and human behavior exactly the circumstances that give rise to a large number of conflicts involving digital transactions. When these views are not connected, disputes are misclassified, hiding their underlying risk and governance consequences.</w:t>
      </w:r>
      <w:r w:rsidRPr="00E87CF9">
        <w:rPr>
          <w:rFonts w:ascii="Arial" w:hAnsi="Arial" w:cs="Arial"/>
          <w:color w:val="000000"/>
        </w:rPr>
        <w:br/>
      </w:r>
    </w:p>
    <w:p w:rsidR="00836737" w:rsidRPr="00E87CF9" w:rsidRDefault="00836737" w:rsidP="0025568D">
      <w:pPr>
        <w:jc w:val="both"/>
        <w:rPr>
          <w:rFonts w:ascii="Arial" w:hAnsi="Arial" w:cs="Arial"/>
          <w:color w:val="000000"/>
        </w:rPr>
      </w:pPr>
      <w:r w:rsidRPr="00E87CF9">
        <w:rPr>
          <w:rFonts w:ascii="Arial" w:hAnsi="Arial" w:cs="Arial"/>
          <w:color w:val="000000"/>
        </w:rPr>
        <w:t>Third, the literature has a glaring empirical gap. There is a lot of research on risk management and digital banking, but little empirical study has been done on how banking organizations really handle disputes. Specifically, there is still a lack of research on process-level insights into the initiation, escalation, and settlement of disputes. High-level considerations of risk and governance are provided by existing research, but there is no proof of how these are operationalized in real-time dispute management situations (</w:t>
      </w:r>
      <w:proofErr w:type="spellStart"/>
      <w:r w:rsidRPr="00E87CF9">
        <w:rPr>
          <w:rFonts w:ascii="Arial" w:hAnsi="Arial" w:cs="Arial"/>
          <w:color w:val="000000"/>
        </w:rPr>
        <w:t>Feyen</w:t>
      </w:r>
      <w:proofErr w:type="spellEnd"/>
      <w:r w:rsidRPr="00E87CF9">
        <w:rPr>
          <w:rFonts w:ascii="Arial" w:hAnsi="Arial" w:cs="Arial"/>
          <w:color w:val="000000"/>
        </w:rPr>
        <w:t xml:space="preserve"> et al., 2021; Sheedy, 2021). The capacity to create workable, evidence-based enhancements to dispute resolution procedures is hampered by this lack of empirical depth.</w:t>
      </w:r>
    </w:p>
    <w:p w:rsidR="00836737" w:rsidRPr="00E87CF9" w:rsidRDefault="00836737" w:rsidP="0025568D">
      <w:pPr>
        <w:jc w:val="both"/>
        <w:rPr>
          <w:rFonts w:ascii="Arial" w:hAnsi="Arial" w:cs="Arial"/>
          <w:color w:val="000000"/>
        </w:rPr>
      </w:pPr>
    </w:p>
    <w:p w:rsidR="00836737" w:rsidRPr="00E87CF9" w:rsidRDefault="00836737" w:rsidP="0025568D">
      <w:pPr>
        <w:jc w:val="both"/>
        <w:rPr>
          <w:rFonts w:ascii="Arial" w:hAnsi="Arial" w:cs="Arial"/>
          <w:color w:val="000000"/>
        </w:rPr>
      </w:pPr>
      <w:r w:rsidRPr="00E87CF9">
        <w:rPr>
          <w:rFonts w:ascii="Arial" w:hAnsi="Arial" w:cs="Arial"/>
          <w:color w:val="000000"/>
        </w:rPr>
        <w:t>Fourth, a lack of focus given to emerging economies, especially Nepal, reveals a contextual vacuum. Digital payment systems are expanding quickly, but little is known about the governance and operational effects of this change. The research that is now available emphasizes service inefficiencies and infrastructural problems (NRB, 2021; Shrestha, 2021), but it offers little understanding of how governance systems affect dispute resolution procedures. Studies that do exist (e.g., Neupane, 2024) point out operational flaws including poor coordination and delays, but they do not incorporate these conclusions into a more comprehensive theoretical framework of operational risk governance.</w:t>
      </w:r>
    </w:p>
    <w:p w:rsidR="00836737" w:rsidRPr="00E87CF9" w:rsidRDefault="00836737" w:rsidP="0025568D">
      <w:pPr>
        <w:jc w:val="both"/>
        <w:rPr>
          <w:rFonts w:ascii="Arial" w:hAnsi="Arial" w:cs="Arial"/>
          <w:color w:val="000000"/>
        </w:rPr>
      </w:pPr>
    </w:p>
    <w:p w:rsidR="00E87CF9" w:rsidRPr="00E87CF9" w:rsidRDefault="00E87CF9" w:rsidP="0025568D">
      <w:pPr>
        <w:jc w:val="both"/>
        <w:rPr>
          <w:rFonts w:ascii="Arial" w:hAnsi="Arial" w:cs="Arial"/>
          <w:color w:val="000000"/>
        </w:rPr>
      </w:pPr>
      <w:r w:rsidRPr="00E87CF9">
        <w:rPr>
          <w:rFonts w:ascii="Arial" w:hAnsi="Arial" w:cs="Arial"/>
          <w:color w:val="000000"/>
        </w:rPr>
        <w:t>When combined, these deficiencies point to a broader structural restriction in the literature: disagreements involving digital transactions are not sufficiently conceptualized as operational risk events that are relevant to governance. Rather than being linked to the systems, procedures, and control mechanisms that cause them, they are handled as discrete service failures. Both theoretical advancement and real-world application are therefore constrained.</w:t>
      </w:r>
      <w:r w:rsidRPr="00E87CF9">
        <w:rPr>
          <w:rFonts w:ascii="Arial" w:hAnsi="Arial" w:cs="Arial"/>
          <w:color w:val="000000"/>
        </w:rPr>
        <w:br/>
      </w:r>
    </w:p>
    <w:p w:rsidR="00836737" w:rsidRPr="00E87CF9" w:rsidRDefault="00E87CF9" w:rsidP="0025568D">
      <w:pPr>
        <w:jc w:val="both"/>
        <w:rPr>
          <w:rFonts w:ascii="Arial" w:hAnsi="Arial" w:cs="Arial"/>
          <w:color w:val="000000"/>
        </w:rPr>
      </w:pPr>
      <w:r w:rsidRPr="00E87CF9">
        <w:rPr>
          <w:rFonts w:ascii="Arial" w:hAnsi="Arial" w:cs="Arial"/>
          <w:color w:val="000000"/>
        </w:rPr>
        <w:t>This work uses an integrated method to overcome these restrictions by rethinking digital transaction conflicts as the result of interrelated operational risk factors, dispute procedures, and governance systems. By doing this, it seeks to unite disparate fields of study and offer a more thorough and useful framework for comprehending and handling conflicts in digital banking settings, especially in developing nations like Nepal.</w:t>
      </w:r>
    </w:p>
    <w:p w:rsidR="00297885" w:rsidRDefault="00297885" w:rsidP="00974BD5">
      <w:pPr>
        <w:pStyle w:val="Heading2"/>
        <w:rPr>
          <w:rFonts w:asciiTheme="majorHAnsi" w:hAnsiTheme="majorHAnsi" w:cstheme="majorHAnsi"/>
          <w:sz w:val="28"/>
          <w:szCs w:val="28"/>
        </w:rPr>
      </w:pPr>
    </w:p>
    <w:p w:rsidR="00EA5913" w:rsidRPr="00974BD5" w:rsidRDefault="00EA5913" w:rsidP="00974BD5">
      <w:pPr>
        <w:pStyle w:val="Heading2"/>
        <w:rPr>
          <w:rStyle w:val="apple-converted-space"/>
          <w:rFonts w:asciiTheme="majorHAnsi" w:hAnsiTheme="majorHAnsi" w:cstheme="majorHAnsi"/>
          <w:color w:val="000000"/>
          <w:sz w:val="28"/>
          <w:szCs w:val="28"/>
        </w:rPr>
      </w:pPr>
      <w:bookmarkStart w:id="44" w:name="_Toc227498344"/>
      <w:r w:rsidRPr="00974BD5">
        <w:rPr>
          <w:rFonts w:asciiTheme="majorHAnsi" w:hAnsiTheme="majorHAnsi" w:cstheme="majorHAnsi"/>
          <w:sz w:val="28"/>
          <w:szCs w:val="28"/>
        </w:rPr>
        <w:lastRenderedPageBreak/>
        <w:t>3.</w:t>
      </w:r>
      <w:r w:rsidR="00BB74BA">
        <w:rPr>
          <w:rFonts w:asciiTheme="majorHAnsi" w:hAnsiTheme="majorHAnsi" w:cstheme="majorHAnsi"/>
          <w:sz w:val="28"/>
          <w:szCs w:val="28"/>
        </w:rPr>
        <w:t>1</w:t>
      </w:r>
      <w:r w:rsidR="00FC5880">
        <w:rPr>
          <w:rFonts w:asciiTheme="majorHAnsi" w:hAnsiTheme="majorHAnsi" w:cstheme="majorHAnsi"/>
          <w:sz w:val="28"/>
          <w:szCs w:val="28"/>
        </w:rPr>
        <w:t xml:space="preserve">2 </w:t>
      </w:r>
      <w:r w:rsidRPr="00974BD5">
        <w:rPr>
          <w:rFonts w:asciiTheme="majorHAnsi" w:hAnsiTheme="majorHAnsi" w:cstheme="majorHAnsi"/>
          <w:sz w:val="28"/>
          <w:szCs w:val="28"/>
        </w:rPr>
        <w:t>Research Questions</w:t>
      </w:r>
      <w:bookmarkEnd w:id="44"/>
      <w:r w:rsidRPr="00974BD5">
        <w:rPr>
          <w:rStyle w:val="apple-converted-space"/>
          <w:rFonts w:asciiTheme="majorHAnsi" w:hAnsiTheme="majorHAnsi" w:cstheme="majorHAnsi"/>
          <w:color w:val="000000"/>
          <w:sz w:val="28"/>
          <w:szCs w:val="28"/>
        </w:rPr>
        <w:t> </w:t>
      </w:r>
    </w:p>
    <w:p w:rsidR="00EA5913" w:rsidRPr="00474E6C" w:rsidRDefault="00EA5913" w:rsidP="0025568D">
      <w:pPr>
        <w:jc w:val="both"/>
        <w:rPr>
          <w:rFonts w:ascii="Arial" w:hAnsi="Arial" w:cs="Arial"/>
          <w:color w:val="000000"/>
        </w:rPr>
      </w:pPr>
      <w:r w:rsidRPr="00474E6C">
        <w:rPr>
          <w:rFonts w:ascii="Arial" w:hAnsi="Arial" w:cs="Arial"/>
          <w:color w:val="000000"/>
        </w:rPr>
        <w:t>This study is to investigate the function of operational risk governance in digital payment dispute management among Nepalese banks in order to address the deficiencies that have been identified. The main inquiry for the study is:</w:t>
      </w:r>
    </w:p>
    <w:p w:rsidR="00EA5913" w:rsidRPr="00474E6C" w:rsidRDefault="00EA5913" w:rsidP="00EA5913">
      <w:pPr>
        <w:pStyle w:val="NormalWeb"/>
        <w:rPr>
          <w:rFonts w:ascii="Arial" w:hAnsi="Arial" w:cs="Arial"/>
          <w:color w:val="000000"/>
        </w:rPr>
      </w:pPr>
      <w:r w:rsidRPr="00474E6C">
        <w:rPr>
          <w:rStyle w:val="Strong"/>
          <w:rFonts w:ascii="Arial" w:hAnsi="Arial" w:cs="Arial"/>
          <w:color w:val="000000"/>
        </w:rPr>
        <w:t>How does operational risk governance influence the management of digital payment transaction disputes in Nepalese banks?</w:t>
      </w:r>
    </w:p>
    <w:p w:rsidR="00EA5913" w:rsidRPr="00474E6C" w:rsidRDefault="00EA5913" w:rsidP="0025568D">
      <w:pPr>
        <w:jc w:val="both"/>
        <w:rPr>
          <w:rFonts w:ascii="Arial" w:hAnsi="Arial" w:cs="Arial"/>
          <w:color w:val="000000"/>
        </w:rPr>
      </w:pPr>
      <w:r w:rsidRPr="00474E6C">
        <w:rPr>
          <w:rFonts w:ascii="Arial" w:hAnsi="Arial" w:cs="Arial"/>
          <w:color w:val="000000"/>
        </w:rPr>
        <w:br/>
        <w:t xml:space="preserve">There are multiple sub-questions that support this question. With an emphasis on operational risk factors such system failures, process inefficiencies, and human error, the study initially aims to determine the primary causes of digital transaction disputes (BCBS, 2011; </w:t>
      </w:r>
      <w:proofErr w:type="spellStart"/>
      <w:r w:rsidRPr="00474E6C">
        <w:rPr>
          <w:rFonts w:ascii="Arial" w:hAnsi="Arial" w:cs="Arial"/>
          <w:color w:val="000000"/>
        </w:rPr>
        <w:t>Moosa</w:t>
      </w:r>
      <w:proofErr w:type="spellEnd"/>
      <w:r w:rsidRPr="00474E6C">
        <w:rPr>
          <w:rFonts w:ascii="Arial" w:hAnsi="Arial" w:cs="Arial"/>
          <w:color w:val="000000"/>
        </w:rPr>
        <w:t>, 2020). After that, it looks at the elements that cause delays in resolving disputes, such as poor governance, difficulties with coordination, and procedural restrictions (Power, 2021; Lam, 2021).</w:t>
      </w:r>
    </w:p>
    <w:p w:rsidR="00EA5913" w:rsidRPr="00474E6C" w:rsidRDefault="00EA5913" w:rsidP="0025568D">
      <w:pPr>
        <w:jc w:val="both"/>
        <w:rPr>
          <w:rFonts w:ascii="Arial" w:hAnsi="Arial" w:cs="Arial"/>
          <w:color w:val="000000"/>
        </w:rPr>
      </w:pPr>
    </w:p>
    <w:p w:rsidR="00EA5913" w:rsidRPr="00474E6C" w:rsidRDefault="00EA5913" w:rsidP="0025568D">
      <w:pPr>
        <w:jc w:val="both"/>
        <w:rPr>
          <w:rFonts w:ascii="Arial" w:hAnsi="Arial" w:cs="Arial"/>
          <w:color w:val="000000"/>
        </w:rPr>
      </w:pPr>
      <w:r w:rsidRPr="00474E6C">
        <w:rPr>
          <w:rFonts w:ascii="Arial" w:hAnsi="Arial" w:cs="Arial"/>
          <w:color w:val="000000"/>
        </w:rPr>
        <w:t>The study also examines the procedures, roles, and duties that are currently involved in the management of disputes in banking organizations. It also investigates the governance mechanisms in place to manage operational risks, such as policies, controls, and monitoring systems (COSO, 2020; ISO, 2021). Lastly, the study seeks to pinpoint possible governance framework enhancements that could boost the efficacy and efficiency of conflict resolution procedures.</w:t>
      </w:r>
    </w:p>
    <w:p w:rsidR="00FC5880" w:rsidRPr="00FC5880" w:rsidRDefault="00FC5880" w:rsidP="00FC5880">
      <w:pPr>
        <w:pStyle w:val="Heading2"/>
        <w:rPr>
          <w:rFonts w:asciiTheme="majorHAnsi" w:hAnsiTheme="majorHAnsi" w:cstheme="majorHAnsi"/>
          <w:sz w:val="28"/>
          <w:szCs w:val="28"/>
        </w:rPr>
      </w:pPr>
      <w:bookmarkStart w:id="45" w:name="_Toc227498345"/>
      <w:r w:rsidRPr="00FC5880">
        <w:rPr>
          <w:rFonts w:asciiTheme="majorHAnsi" w:hAnsiTheme="majorHAnsi" w:cstheme="majorHAnsi"/>
          <w:sz w:val="28"/>
          <w:szCs w:val="28"/>
        </w:rPr>
        <w:t>3.13 Theoretical Contribution</w:t>
      </w:r>
      <w:bookmarkEnd w:id="45"/>
    </w:p>
    <w:p w:rsidR="00EA5913" w:rsidRPr="00FC5880" w:rsidRDefault="00FC5880" w:rsidP="0025568D">
      <w:pPr>
        <w:jc w:val="both"/>
        <w:rPr>
          <w:rFonts w:ascii="Arial" w:hAnsi="Arial" w:cs="Arial"/>
          <w:color w:val="000000"/>
        </w:rPr>
      </w:pPr>
      <w:r w:rsidRPr="00FC5880">
        <w:rPr>
          <w:rFonts w:ascii="Arial" w:hAnsi="Arial" w:cs="Arial"/>
          <w:color w:val="000000"/>
        </w:rPr>
        <w:t>This study adds to the body of literature in a number of ways. By redefining digital transaction conflicts as operational risk events rather than as service-related problems, it first makes a conceptual contribution (</w:t>
      </w:r>
      <w:proofErr w:type="spellStart"/>
      <w:r w:rsidRPr="00FC5880">
        <w:rPr>
          <w:rFonts w:ascii="Arial" w:hAnsi="Arial" w:cs="Arial"/>
          <w:color w:val="000000"/>
        </w:rPr>
        <w:t>Moosa</w:t>
      </w:r>
      <w:proofErr w:type="spellEnd"/>
      <w:r w:rsidRPr="00FC5880">
        <w:rPr>
          <w:rFonts w:ascii="Arial" w:hAnsi="Arial" w:cs="Arial"/>
          <w:color w:val="000000"/>
        </w:rPr>
        <w:t>, 2020; Lovelock and Wirtz, 2021). By combining three previously disparate fields</w:t>
      </w:r>
      <w:r w:rsidR="0025568D">
        <w:rPr>
          <w:rFonts w:ascii="Arial" w:hAnsi="Arial" w:cs="Arial"/>
          <w:color w:val="000000"/>
        </w:rPr>
        <w:t xml:space="preserve"> </w:t>
      </w:r>
      <w:r w:rsidRPr="00FC5880">
        <w:rPr>
          <w:rFonts w:ascii="Arial" w:hAnsi="Arial" w:cs="Arial"/>
          <w:color w:val="000000"/>
        </w:rPr>
        <w:t>digital banking, operational risk, and governance</w:t>
      </w:r>
      <w:r w:rsidR="0025568D">
        <w:rPr>
          <w:rFonts w:ascii="Arial" w:hAnsi="Arial" w:cs="Arial"/>
          <w:color w:val="000000"/>
        </w:rPr>
        <w:t xml:space="preserve"> </w:t>
      </w:r>
      <w:r w:rsidRPr="00FC5880">
        <w:rPr>
          <w:rFonts w:ascii="Arial" w:hAnsi="Arial" w:cs="Arial"/>
          <w:color w:val="000000"/>
        </w:rPr>
        <w:t>into a single analytical framework, it also makes a theoretical contribution (</w:t>
      </w:r>
      <w:proofErr w:type="spellStart"/>
      <w:r w:rsidRPr="00FC5880">
        <w:rPr>
          <w:rFonts w:ascii="Arial" w:hAnsi="Arial" w:cs="Arial"/>
          <w:color w:val="000000"/>
        </w:rPr>
        <w:t>Feyen</w:t>
      </w:r>
      <w:proofErr w:type="spellEnd"/>
      <w:r w:rsidRPr="00FC5880">
        <w:rPr>
          <w:rFonts w:ascii="Arial" w:hAnsi="Arial" w:cs="Arial"/>
          <w:color w:val="000000"/>
        </w:rPr>
        <w:t xml:space="preserve"> et al., 2021; Power, 2021). Third, it makes a methodological contribution by using an integrative critical literature review that is backed by analytical tools like the gap matrix and literature matrix (</w:t>
      </w:r>
      <w:proofErr w:type="spellStart"/>
      <w:r w:rsidRPr="00FC5880">
        <w:rPr>
          <w:rFonts w:ascii="Arial" w:hAnsi="Arial" w:cs="Arial"/>
          <w:color w:val="000000"/>
        </w:rPr>
        <w:t>Torraco</w:t>
      </w:r>
      <w:proofErr w:type="spellEnd"/>
      <w:r w:rsidRPr="00FC5880">
        <w:rPr>
          <w:rFonts w:ascii="Arial" w:hAnsi="Arial" w:cs="Arial"/>
          <w:color w:val="000000"/>
        </w:rPr>
        <w:t>, 2020).</w:t>
      </w:r>
    </w:p>
    <w:p w:rsidR="00FC5880" w:rsidRPr="00FC5880" w:rsidRDefault="00FC5880" w:rsidP="0025568D">
      <w:pPr>
        <w:jc w:val="both"/>
        <w:rPr>
          <w:rFonts w:ascii="Arial" w:hAnsi="Arial" w:cs="Arial"/>
          <w:color w:val="000000"/>
        </w:rPr>
      </w:pPr>
    </w:p>
    <w:p w:rsidR="00FC5880" w:rsidRDefault="00FC5880" w:rsidP="0025568D">
      <w:pPr>
        <w:jc w:val="both"/>
        <w:rPr>
          <w:rFonts w:ascii="Arial" w:hAnsi="Arial" w:cs="Arial"/>
          <w:color w:val="000000"/>
        </w:rPr>
      </w:pPr>
      <w:r w:rsidRPr="00FC5880">
        <w:rPr>
          <w:rFonts w:ascii="Arial" w:hAnsi="Arial" w:cs="Arial"/>
          <w:color w:val="000000"/>
        </w:rPr>
        <w:t>Last but not least, the study advances practice by pointing out governance-related inefficiencies in dispute resolution and suggesting a more structured method for handling disputes involving digital transactions in banking institutions, especially in developing nations like Nepal (NRB, 2021; Shrestha, 2021). When taken as a whole, these contributions transform dispute resolution from an incidental service issue to a crucial part of operational risk governance in digital banking.</w:t>
      </w:r>
    </w:p>
    <w:p w:rsidR="0057594D" w:rsidRDefault="0057594D" w:rsidP="0025568D">
      <w:pPr>
        <w:jc w:val="both"/>
        <w:rPr>
          <w:rFonts w:ascii="Arial" w:hAnsi="Arial" w:cs="Arial"/>
          <w:color w:val="000000"/>
        </w:rPr>
      </w:pPr>
    </w:p>
    <w:p w:rsidR="0057594D" w:rsidRDefault="0057594D" w:rsidP="0025568D">
      <w:pPr>
        <w:jc w:val="both"/>
        <w:rPr>
          <w:rFonts w:ascii="Arial" w:hAnsi="Arial" w:cs="Arial"/>
          <w:color w:val="000000"/>
        </w:rPr>
      </w:pPr>
    </w:p>
    <w:p w:rsidR="0057594D" w:rsidRPr="00B82628" w:rsidRDefault="0057594D" w:rsidP="0057594D">
      <w:pPr>
        <w:rPr>
          <w:rStyle w:val="apple-converted-space"/>
          <w:rFonts w:ascii="Arial" w:hAnsi="Arial" w:cs="Arial"/>
          <w:color w:val="000000"/>
        </w:rPr>
      </w:pPr>
      <w:r w:rsidRPr="00B82628">
        <w:rPr>
          <w:rFonts w:ascii="Arial" w:hAnsi="Arial" w:cs="Arial"/>
          <w:color w:val="000000"/>
        </w:rPr>
        <w:t>This Review's Theoretical Contribution</w:t>
      </w:r>
      <w:r w:rsidRPr="00B82628">
        <w:rPr>
          <w:rStyle w:val="apple-converted-space"/>
          <w:rFonts w:ascii="Arial" w:hAnsi="Arial" w:cs="Arial"/>
          <w:color w:val="000000"/>
        </w:rPr>
        <w:t> </w:t>
      </w:r>
    </w:p>
    <w:p w:rsidR="0057594D" w:rsidRPr="00B82628" w:rsidRDefault="0057594D" w:rsidP="00B82628">
      <w:pPr>
        <w:jc w:val="both"/>
        <w:rPr>
          <w:rFonts w:ascii="Arial" w:hAnsi="Arial" w:cs="Arial"/>
          <w:color w:val="000000"/>
        </w:rPr>
      </w:pPr>
      <w:r w:rsidRPr="00B82628">
        <w:rPr>
          <w:rFonts w:ascii="Arial" w:hAnsi="Arial" w:cs="Arial"/>
          <w:color w:val="000000"/>
        </w:rPr>
        <w:br/>
        <w:t>At the PhD level, this critical literature evaluation makes a number of unique contributions.</w:t>
      </w:r>
    </w:p>
    <w:p w:rsidR="0057594D" w:rsidRPr="00B82628" w:rsidRDefault="0057594D" w:rsidP="00B82628">
      <w:pPr>
        <w:jc w:val="both"/>
        <w:rPr>
          <w:rFonts w:ascii="Arial" w:hAnsi="Arial" w:cs="Arial"/>
          <w:color w:val="000000"/>
        </w:rPr>
      </w:pPr>
    </w:p>
    <w:p w:rsidR="0057594D" w:rsidRPr="00B82628" w:rsidRDefault="0057594D" w:rsidP="00B82628">
      <w:pPr>
        <w:jc w:val="both"/>
        <w:rPr>
          <w:rFonts w:ascii="Arial" w:hAnsi="Arial" w:cs="Arial"/>
          <w:color w:val="000000"/>
        </w:rPr>
      </w:pPr>
      <w:r w:rsidRPr="00B82628">
        <w:rPr>
          <w:rFonts w:ascii="Arial" w:hAnsi="Arial" w:cs="Arial"/>
          <w:color w:val="000000"/>
        </w:rPr>
        <w:t xml:space="preserve"> • Conceptual Contribution: Instead of viewing conflicts over digital transactions as discrete service failures, it reframes them as operational risk governance events. </w:t>
      </w:r>
    </w:p>
    <w:p w:rsidR="0057594D" w:rsidRPr="00B82628" w:rsidRDefault="0057594D" w:rsidP="00B82628">
      <w:pPr>
        <w:jc w:val="both"/>
        <w:rPr>
          <w:rFonts w:ascii="Arial" w:hAnsi="Arial" w:cs="Arial"/>
          <w:color w:val="000000"/>
        </w:rPr>
      </w:pPr>
    </w:p>
    <w:p w:rsidR="0057594D" w:rsidRPr="00B82628" w:rsidRDefault="0057594D" w:rsidP="00B82628">
      <w:pPr>
        <w:jc w:val="both"/>
        <w:rPr>
          <w:rFonts w:ascii="Arial" w:hAnsi="Arial" w:cs="Arial"/>
          <w:color w:val="000000"/>
        </w:rPr>
      </w:pPr>
      <w:r w:rsidRPr="00B82628">
        <w:rPr>
          <w:rFonts w:ascii="Arial" w:hAnsi="Arial" w:cs="Arial"/>
          <w:color w:val="000000"/>
        </w:rPr>
        <w:t>• Theoretical Contribution: It unifies three disparate bodies of literature governance, operational risk, and digital banking into a single analytical framework.</w:t>
      </w:r>
    </w:p>
    <w:p w:rsidR="0057594D" w:rsidRPr="00B82628" w:rsidRDefault="0057594D" w:rsidP="00B82628">
      <w:pPr>
        <w:jc w:val="both"/>
        <w:rPr>
          <w:rFonts w:ascii="Arial" w:hAnsi="Arial" w:cs="Arial"/>
          <w:color w:val="000000"/>
        </w:rPr>
      </w:pPr>
    </w:p>
    <w:p w:rsidR="0057594D" w:rsidRPr="00B82628" w:rsidRDefault="0057594D" w:rsidP="00B82628">
      <w:pPr>
        <w:jc w:val="both"/>
        <w:rPr>
          <w:rFonts w:ascii="Arial" w:hAnsi="Arial" w:cs="Arial"/>
          <w:color w:val="000000"/>
        </w:rPr>
      </w:pPr>
      <w:r w:rsidRPr="00B82628">
        <w:rPr>
          <w:rFonts w:ascii="Arial" w:hAnsi="Arial" w:cs="Arial"/>
          <w:color w:val="000000"/>
        </w:rPr>
        <w:t xml:space="preserve">• Methodological Contribution: It highlights the importance of an integrative critical literature evaluation backed by instruments like gap analysis and literature matrices. </w:t>
      </w:r>
    </w:p>
    <w:p w:rsidR="00B82628" w:rsidRDefault="00B82628" w:rsidP="00B82628">
      <w:pPr>
        <w:jc w:val="both"/>
        <w:rPr>
          <w:rFonts w:ascii="Arial" w:hAnsi="Arial" w:cs="Arial"/>
          <w:color w:val="000000"/>
        </w:rPr>
      </w:pPr>
    </w:p>
    <w:p w:rsidR="0057594D" w:rsidRPr="00B82628" w:rsidRDefault="0057594D" w:rsidP="00B82628">
      <w:pPr>
        <w:jc w:val="both"/>
        <w:rPr>
          <w:rFonts w:ascii="Arial" w:hAnsi="Arial" w:cs="Arial"/>
          <w:color w:val="000000"/>
        </w:rPr>
      </w:pPr>
      <w:r w:rsidRPr="00B82628">
        <w:rPr>
          <w:rFonts w:ascii="Arial" w:hAnsi="Arial" w:cs="Arial"/>
          <w:color w:val="000000"/>
        </w:rPr>
        <w:t>• Useful Contribution: It offers a framework for rethinking dispute resolution procedures in financial organizations using governance mechanisms.</w:t>
      </w:r>
      <w:r w:rsidRPr="00B82628">
        <w:rPr>
          <w:rFonts w:ascii="Arial" w:hAnsi="Arial" w:cs="Arial"/>
          <w:color w:val="000000"/>
        </w:rPr>
        <w:br/>
        <w:t>When taken as a whole, these contributions go beyond simple gap-filling to a more comprehensive rethinking of dispute resolution in digital banking settings.</w:t>
      </w:r>
    </w:p>
    <w:p w:rsidR="0057594D" w:rsidRPr="00FC5880" w:rsidRDefault="0057594D" w:rsidP="0025568D">
      <w:pPr>
        <w:jc w:val="both"/>
        <w:rPr>
          <w:rFonts w:ascii="Arial" w:hAnsi="Arial" w:cs="Arial"/>
          <w:color w:val="000000"/>
        </w:rPr>
      </w:pPr>
    </w:p>
    <w:p w:rsidR="00FC5880" w:rsidRPr="00BD562D" w:rsidRDefault="00FC5880" w:rsidP="00B82628">
      <w:pPr>
        <w:pStyle w:val="Heading2"/>
        <w:rPr>
          <w:rFonts w:asciiTheme="majorHAnsi" w:hAnsiTheme="majorHAnsi" w:cstheme="majorHAnsi"/>
          <w:sz w:val="28"/>
          <w:szCs w:val="28"/>
        </w:rPr>
      </w:pPr>
      <w:bookmarkStart w:id="46" w:name="_Toc227498346"/>
      <w:r w:rsidRPr="00BD562D">
        <w:rPr>
          <w:rFonts w:asciiTheme="majorHAnsi" w:hAnsiTheme="majorHAnsi" w:cstheme="majorHAnsi"/>
          <w:sz w:val="28"/>
          <w:szCs w:val="28"/>
        </w:rPr>
        <w:t>3.14 Implications for Management</w:t>
      </w:r>
      <w:bookmarkEnd w:id="46"/>
    </w:p>
    <w:p w:rsidR="0057594D" w:rsidRPr="00B82628" w:rsidRDefault="0057594D" w:rsidP="00B82628">
      <w:pPr>
        <w:jc w:val="both"/>
        <w:rPr>
          <w:rFonts w:ascii="Arial" w:hAnsi="Arial" w:cs="Arial"/>
          <w:color w:val="000000"/>
        </w:rPr>
      </w:pPr>
      <w:r w:rsidRPr="00B82628">
        <w:rPr>
          <w:rFonts w:ascii="Arial" w:hAnsi="Arial" w:cs="Arial"/>
          <w:color w:val="000000"/>
        </w:rPr>
        <w:t>The following real-world implications for financial institutions, especially in Nepal, are revealed by the critical literature analysis and conceptual framework.</w:t>
      </w:r>
    </w:p>
    <w:p w:rsidR="0057594D" w:rsidRPr="00B82628" w:rsidRDefault="0057594D" w:rsidP="00BC6F80">
      <w:pPr>
        <w:rPr>
          <w:rFonts w:ascii="Arial" w:hAnsi="Arial" w:cs="Arial"/>
          <w:color w:val="000000"/>
        </w:rPr>
      </w:pPr>
      <w:r w:rsidRPr="00B82628">
        <w:rPr>
          <w:rFonts w:ascii="Arial" w:hAnsi="Arial" w:cs="Arial"/>
          <w:color w:val="000000"/>
        </w:rPr>
        <w:br/>
      </w:r>
      <w:r w:rsidRPr="00B82628">
        <w:rPr>
          <w:rFonts w:ascii="Arial" w:hAnsi="Arial" w:cs="Arial"/>
          <w:b/>
          <w:bCs/>
          <w:color w:val="000000"/>
        </w:rPr>
        <w:t>1</w:t>
      </w:r>
      <w:r w:rsidRPr="00B82628">
        <w:rPr>
          <w:rFonts w:ascii="Arial" w:hAnsi="Arial" w:cs="Arial"/>
          <w:color w:val="000000"/>
        </w:rPr>
        <w:t xml:space="preserve">. </w:t>
      </w:r>
      <w:r w:rsidRPr="00B82628">
        <w:rPr>
          <w:rFonts w:ascii="Arial" w:hAnsi="Arial" w:cs="Arial"/>
          <w:b/>
          <w:bCs/>
          <w:color w:val="000000"/>
        </w:rPr>
        <w:t>Recast disagreements as occurrences related to operational risk governance. Owner:</w:t>
      </w:r>
      <w:r w:rsidRPr="00B82628">
        <w:rPr>
          <w:rFonts w:ascii="Arial" w:hAnsi="Arial" w:cs="Arial"/>
          <w:color w:val="000000"/>
        </w:rPr>
        <w:t xml:space="preserve"> (</w:t>
      </w:r>
      <w:r w:rsidR="00A93512" w:rsidRPr="00B82628">
        <w:rPr>
          <w:rFonts w:ascii="Arial" w:hAnsi="Arial" w:cs="Arial"/>
          <w:color w:val="000000"/>
        </w:rPr>
        <w:t>Owner C</w:t>
      </w:r>
      <w:r w:rsidRPr="00B82628">
        <w:rPr>
          <w:rFonts w:ascii="Arial" w:hAnsi="Arial" w:cs="Arial"/>
          <w:color w:val="000000"/>
        </w:rPr>
        <w:t>hief risk officer</w:t>
      </w:r>
      <w:r w:rsidR="00A93512" w:rsidRPr="00B82628">
        <w:rPr>
          <w:rFonts w:ascii="Arial" w:hAnsi="Arial" w:cs="Arial"/>
          <w:color w:val="000000"/>
        </w:rPr>
        <w:t>, three months</w:t>
      </w:r>
      <w:r w:rsidRPr="00B82628">
        <w:rPr>
          <w:rFonts w:ascii="Arial" w:hAnsi="Arial" w:cs="Arial"/>
          <w:color w:val="000000"/>
        </w:rPr>
        <w:t>).</w:t>
      </w:r>
    </w:p>
    <w:p w:rsidR="0057594D" w:rsidRPr="00B82628" w:rsidRDefault="0057594D" w:rsidP="00B82628">
      <w:pPr>
        <w:jc w:val="both"/>
        <w:rPr>
          <w:rFonts w:ascii="Arial" w:hAnsi="Arial" w:cs="Arial"/>
          <w:color w:val="000000"/>
        </w:rPr>
      </w:pPr>
      <w:r w:rsidRPr="00B82628">
        <w:rPr>
          <w:rFonts w:ascii="Arial" w:hAnsi="Arial" w:cs="Arial"/>
          <w:color w:val="000000"/>
        </w:rPr>
        <w:br/>
        <w:t>Under Basel-aligned regulations, banks are required to formally categorize disputes involving digital transactions as operational risk occurrences. This entails submitting disagreement data to operational risk committees in addition to customer service departments and including "dispute occurrence" as a key risk indicator (KRI).</w:t>
      </w:r>
    </w:p>
    <w:p w:rsidR="00B82628" w:rsidRDefault="0057594D" w:rsidP="00B82628">
      <w:pPr>
        <w:jc w:val="both"/>
        <w:rPr>
          <w:rFonts w:ascii="Arial" w:hAnsi="Arial" w:cs="Arial"/>
          <w:color w:val="000000"/>
        </w:rPr>
      </w:pPr>
      <w:r w:rsidRPr="00B82628">
        <w:rPr>
          <w:rFonts w:ascii="Arial" w:hAnsi="Arial" w:cs="Arial"/>
          <w:color w:val="000000"/>
        </w:rPr>
        <w:br/>
      </w:r>
      <w:r w:rsidRPr="00B82628">
        <w:rPr>
          <w:rFonts w:ascii="Arial" w:hAnsi="Arial" w:cs="Arial"/>
          <w:b/>
          <w:bCs/>
          <w:color w:val="000000"/>
        </w:rPr>
        <w:t>2. Clearly define escalation and accountability procedures</w:t>
      </w:r>
      <w:r w:rsidRPr="00B82628">
        <w:rPr>
          <w:rFonts w:ascii="Arial" w:hAnsi="Arial" w:cs="Arial"/>
          <w:color w:val="000000"/>
        </w:rPr>
        <w:t>. (Owner: CEO, one month).</w:t>
      </w:r>
    </w:p>
    <w:p w:rsidR="00FC5880" w:rsidRDefault="0057594D" w:rsidP="00B82628">
      <w:pPr>
        <w:jc w:val="both"/>
        <w:rPr>
          <w:rFonts w:ascii="Arial" w:hAnsi="Arial" w:cs="Arial"/>
          <w:color w:val="000000"/>
        </w:rPr>
      </w:pPr>
      <w:r w:rsidRPr="00B82628">
        <w:rPr>
          <w:rFonts w:ascii="Arial" w:hAnsi="Arial" w:cs="Arial"/>
          <w:color w:val="000000"/>
        </w:rPr>
        <w:br/>
        <w:t>At the moment, managing disputes includes several departments without a single owner. Banks should appoint a Dispute Governance Owner (such as the Head of Operational Risk) with the power to impose escalation thresholds (such as the requirement that unresolved disputes automatically escalate after five days) and mandate process modifications.</w:t>
      </w:r>
    </w:p>
    <w:p w:rsidR="008B3490" w:rsidRPr="00B82628" w:rsidRDefault="008B3490" w:rsidP="00B82628">
      <w:pPr>
        <w:jc w:val="both"/>
        <w:rPr>
          <w:rFonts w:ascii="Arial" w:hAnsi="Arial" w:cs="Arial"/>
        </w:rPr>
      </w:pPr>
    </w:p>
    <w:p w:rsidR="00A93512" w:rsidRDefault="00A93512" w:rsidP="008B3490">
      <w:pPr>
        <w:jc w:val="both"/>
        <w:rPr>
          <w:rFonts w:ascii="Arial" w:hAnsi="Arial" w:cs="Arial"/>
        </w:rPr>
      </w:pPr>
      <w:r w:rsidRPr="008B3490">
        <w:rPr>
          <w:rFonts w:ascii="Arial" w:hAnsi="Arial" w:cs="Arial"/>
          <w:b/>
          <w:bCs/>
        </w:rPr>
        <w:t>3. Involve dispute triggers in the monitoring process in real time.</w:t>
      </w:r>
      <w:r w:rsidRPr="008B3490">
        <w:rPr>
          <w:rFonts w:ascii="Arial" w:hAnsi="Arial" w:cs="Arial"/>
        </w:rPr>
        <w:t xml:space="preserve"> (Owner Chief Technology Officer, six months).</w:t>
      </w:r>
    </w:p>
    <w:p w:rsidR="008B3490" w:rsidRPr="008B3490" w:rsidRDefault="008B3490" w:rsidP="008B3490">
      <w:pPr>
        <w:jc w:val="both"/>
        <w:rPr>
          <w:rFonts w:ascii="Arial" w:hAnsi="Arial" w:cs="Arial"/>
        </w:rPr>
      </w:pPr>
    </w:p>
    <w:p w:rsidR="00A93512" w:rsidRPr="008B3490" w:rsidRDefault="00A93512" w:rsidP="008B3490">
      <w:pPr>
        <w:jc w:val="both"/>
        <w:rPr>
          <w:rFonts w:ascii="Arial" w:hAnsi="Arial" w:cs="Arial"/>
        </w:rPr>
      </w:pPr>
      <w:r w:rsidRPr="008B3490">
        <w:rPr>
          <w:rFonts w:ascii="Arial" w:hAnsi="Arial" w:cs="Arial"/>
        </w:rPr>
        <w:t>Banks should monitor pre-dispute signals (transaction anomalies, settlement delays, system logs) and input them into operational risk dashboards for proactive intervention rather than responding to complaints.</w:t>
      </w:r>
    </w:p>
    <w:p w:rsidR="008B3490" w:rsidRDefault="008B3490" w:rsidP="008B3490">
      <w:pPr>
        <w:jc w:val="both"/>
        <w:rPr>
          <w:rFonts w:ascii="Arial" w:hAnsi="Arial" w:cs="Arial"/>
        </w:rPr>
      </w:pPr>
    </w:p>
    <w:p w:rsidR="00A93512" w:rsidRPr="008B3490" w:rsidRDefault="00A93512" w:rsidP="008B3490">
      <w:pPr>
        <w:jc w:val="both"/>
        <w:rPr>
          <w:rFonts w:ascii="Arial" w:hAnsi="Arial" w:cs="Arial"/>
        </w:rPr>
      </w:pPr>
      <w:r w:rsidRPr="008B3490">
        <w:rPr>
          <w:rFonts w:ascii="Arial" w:hAnsi="Arial" w:cs="Arial"/>
          <w:b/>
          <w:bCs/>
        </w:rPr>
        <w:t xml:space="preserve">4. Use governance ideas to rethink dispute procedures </w:t>
      </w:r>
      <w:r w:rsidRPr="008B3490">
        <w:rPr>
          <w:rFonts w:ascii="Arial" w:hAnsi="Arial" w:cs="Arial"/>
        </w:rPr>
        <w:t>(Owner Operations Head, six months).</w:t>
      </w:r>
    </w:p>
    <w:p w:rsidR="008B3490" w:rsidRDefault="008B3490" w:rsidP="008B3490">
      <w:pPr>
        <w:jc w:val="both"/>
        <w:rPr>
          <w:rFonts w:ascii="Arial" w:hAnsi="Arial" w:cs="Arial"/>
        </w:rPr>
      </w:pPr>
    </w:p>
    <w:p w:rsidR="004E6D99" w:rsidRPr="008B3490" w:rsidRDefault="00A93512" w:rsidP="008B3490">
      <w:pPr>
        <w:jc w:val="both"/>
        <w:rPr>
          <w:rFonts w:ascii="Arial" w:hAnsi="Arial" w:cs="Arial"/>
        </w:rPr>
      </w:pPr>
      <w:r w:rsidRPr="008B3490">
        <w:rPr>
          <w:rFonts w:ascii="Arial" w:hAnsi="Arial" w:cs="Arial"/>
        </w:rPr>
        <w:t>Four governance-driven stages should be included in dispute procedures, according to the conceptual framework: detection (automatic flagging), verification (single point of contact), escalation (required by risk management), and resolution with root-cause analysis documented in the operational risk system.</w:t>
      </w:r>
    </w:p>
    <w:p w:rsidR="00A93512" w:rsidRPr="008B3490" w:rsidRDefault="00A93512" w:rsidP="008B3490">
      <w:pPr>
        <w:jc w:val="both"/>
        <w:rPr>
          <w:rFonts w:ascii="Arial" w:hAnsi="Arial" w:cs="Arial"/>
        </w:rPr>
      </w:pPr>
      <w:r w:rsidRPr="008B3490">
        <w:rPr>
          <w:rFonts w:ascii="Arial" w:hAnsi="Arial" w:cs="Arial"/>
          <w:b/>
          <w:bCs/>
        </w:rPr>
        <w:lastRenderedPageBreak/>
        <w:t xml:space="preserve">5. Enhance conformity with Nepal </w:t>
      </w:r>
      <w:proofErr w:type="spellStart"/>
      <w:r w:rsidRPr="008B3490">
        <w:rPr>
          <w:rFonts w:ascii="Arial" w:hAnsi="Arial" w:cs="Arial"/>
          <w:b/>
          <w:bCs/>
        </w:rPr>
        <w:t>Rastra</w:t>
      </w:r>
      <w:proofErr w:type="spellEnd"/>
      <w:r w:rsidRPr="008B3490">
        <w:rPr>
          <w:rFonts w:ascii="Arial" w:hAnsi="Arial" w:cs="Arial"/>
          <w:b/>
          <w:bCs/>
        </w:rPr>
        <w:t xml:space="preserve"> Bank regulations</w:t>
      </w:r>
      <w:r w:rsidRPr="008B3490">
        <w:rPr>
          <w:rFonts w:ascii="Arial" w:hAnsi="Arial" w:cs="Arial"/>
        </w:rPr>
        <w:t xml:space="preserve"> (Owner Risk Committee, four months).</w:t>
      </w:r>
    </w:p>
    <w:p w:rsidR="008B3490" w:rsidRDefault="008B3490" w:rsidP="008B3490">
      <w:pPr>
        <w:jc w:val="both"/>
        <w:rPr>
          <w:rFonts w:ascii="Arial" w:hAnsi="Arial" w:cs="Arial"/>
        </w:rPr>
      </w:pPr>
    </w:p>
    <w:p w:rsidR="00A93512" w:rsidRPr="008B3490" w:rsidRDefault="00A93512" w:rsidP="008B3490">
      <w:pPr>
        <w:jc w:val="both"/>
        <w:rPr>
          <w:rFonts w:ascii="Arial" w:hAnsi="Arial" w:cs="Arial"/>
        </w:rPr>
      </w:pPr>
      <w:r w:rsidRPr="008B3490">
        <w:rPr>
          <w:rFonts w:ascii="Arial" w:hAnsi="Arial" w:cs="Arial"/>
        </w:rPr>
        <w:t>Banks should proactively create internal Dispute Governance Policies that include quarterly external audits, mandatory root-cause reporting to board risk committees, and resolution deadlines. This strengthens regulatory resilience and goes beyond and beyond current NRB requirements.</w:t>
      </w:r>
    </w:p>
    <w:p w:rsidR="00A93512" w:rsidRPr="008B3490" w:rsidRDefault="00A93512" w:rsidP="008B3490">
      <w:pPr>
        <w:jc w:val="both"/>
        <w:rPr>
          <w:rFonts w:ascii="Arial" w:hAnsi="Arial" w:cs="Arial"/>
        </w:rPr>
      </w:pPr>
      <w:r w:rsidRPr="008B3490">
        <w:rPr>
          <w:rFonts w:ascii="Arial" w:hAnsi="Arial" w:cs="Arial"/>
        </w:rPr>
        <w:br/>
      </w:r>
      <w:r w:rsidRPr="008B3490">
        <w:rPr>
          <w:rFonts w:ascii="Arial" w:hAnsi="Arial" w:cs="Arial"/>
          <w:b/>
          <w:bCs/>
        </w:rPr>
        <w:t>6. Educate employees on the connections between operational risk and disputes.</w:t>
      </w:r>
      <w:r w:rsidRPr="008B3490">
        <w:rPr>
          <w:rFonts w:ascii="Arial" w:hAnsi="Arial" w:cs="Arial"/>
        </w:rPr>
        <w:t xml:space="preserve"> (Owner: HR, six months).</w:t>
      </w:r>
    </w:p>
    <w:p w:rsidR="008B3490" w:rsidRDefault="008B3490" w:rsidP="008B3490">
      <w:pPr>
        <w:jc w:val="both"/>
        <w:rPr>
          <w:rFonts w:ascii="Arial" w:hAnsi="Arial" w:cs="Arial"/>
        </w:rPr>
      </w:pPr>
    </w:p>
    <w:p w:rsidR="00A93512" w:rsidRPr="008B3490" w:rsidRDefault="00A93512" w:rsidP="008B3490">
      <w:pPr>
        <w:jc w:val="both"/>
        <w:rPr>
          <w:rFonts w:ascii="Arial" w:hAnsi="Arial" w:cs="Arial"/>
        </w:rPr>
      </w:pPr>
      <w:r w:rsidRPr="008B3490">
        <w:rPr>
          <w:rFonts w:ascii="Arial" w:hAnsi="Arial" w:cs="Arial"/>
        </w:rPr>
        <w:t>Cross-functional training should address how disagreements are caused by human, systemic, and procedural errors as well as the function of governance in averting recurrence. Customer service, branch operations, IT, and risk personnel must comply.</w:t>
      </w:r>
    </w:p>
    <w:p w:rsidR="00A93512" w:rsidRPr="002D6299" w:rsidRDefault="00A93512" w:rsidP="002D6299">
      <w:pPr>
        <w:jc w:val="both"/>
        <w:rPr>
          <w:rFonts w:ascii="Arial" w:hAnsi="Arial" w:cs="Arial"/>
        </w:rPr>
      </w:pPr>
      <w:r w:rsidRPr="008B3490">
        <w:rPr>
          <w:rFonts w:ascii="Arial" w:hAnsi="Arial" w:cs="Arial"/>
        </w:rPr>
        <w:t>By putting these improvements into practice, dispute management would become a strategic, governance-driven capability a hallmark of established digital banking operations rather than a reactive, customer-service role.</w:t>
      </w:r>
    </w:p>
    <w:p w:rsidR="00EA5913" w:rsidRPr="00974BD5" w:rsidRDefault="00EA5913" w:rsidP="00974BD5">
      <w:pPr>
        <w:pStyle w:val="Heading2"/>
        <w:rPr>
          <w:rFonts w:asciiTheme="majorHAnsi" w:hAnsiTheme="majorHAnsi" w:cstheme="majorHAnsi"/>
          <w:sz w:val="28"/>
          <w:szCs w:val="28"/>
        </w:rPr>
      </w:pPr>
      <w:bookmarkStart w:id="47" w:name="_Toc227498347"/>
      <w:r w:rsidRPr="00974BD5">
        <w:rPr>
          <w:rFonts w:asciiTheme="majorHAnsi" w:hAnsiTheme="majorHAnsi" w:cstheme="majorHAnsi"/>
          <w:sz w:val="28"/>
          <w:szCs w:val="28"/>
        </w:rPr>
        <w:t>3.1</w:t>
      </w:r>
      <w:r w:rsidR="00FC5880">
        <w:rPr>
          <w:rFonts w:asciiTheme="majorHAnsi" w:hAnsiTheme="majorHAnsi" w:cstheme="majorHAnsi"/>
          <w:sz w:val="28"/>
          <w:szCs w:val="28"/>
        </w:rPr>
        <w:t>5</w:t>
      </w:r>
      <w:r w:rsidR="00BB74BA">
        <w:rPr>
          <w:rFonts w:asciiTheme="majorHAnsi" w:hAnsiTheme="majorHAnsi" w:cstheme="majorHAnsi"/>
          <w:sz w:val="28"/>
          <w:szCs w:val="28"/>
        </w:rPr>
        <w:t xml:space="preserve"> </w:t>
      </w:r>
      <w:r w:rsidRPr="00974BD5">
        <w:rPr>
          <w:rFonts w:asciiTheme="majorHAnsi" w:hAnsiTheme="majorHAnsi" w:cstheme="majorHAnsi"/>
          <w:sz w:val="28"/>
          <w:szCs w:val="28"/>
        </w:rPr>
        <w:t>Conclusion</w:t>
      </w:r>
      <w:bookmarkEnd w:id="47"/>
    </w:p>
    <w:p w:rsidR="00EA5913" w:rsidRPr="00474E6C" w:rsidRDefault="00EA5913" w:rsidP="0025568D">
      <w:pPr>
        <w:jc w:val="both"/>
        <w:rPr>
          <w:rFonts w:ascii="Arial" w:hAnsi="Arial" w:cs="Arial"/>
          <w:color w:val="000000"/>
        </w:rPr>
      </w:pPr>
      <w:r w:rsidRPr="00474E6C">
        <w:rPr>
          <w:rFonts w:ascii="Arial" w:hAnsi="Arial" w:cs="Arial"/>
          <w:color w:val="000000"/>
        </w:rPr>
        <w:t>The primary areas pertinent to digital payment dispute resolution, such as digital banking systems, service recovery, operational risk, and governance frameworks, have been looked at in this initial literature assessment. The literature is still dispersed and has little integration across different domains, despite the fact that each one offers insightful information.</w:t>
      </w:r>
    </w:p>
    <w:p w:rsidR="00EA5913" w:rsidRPr="00474E6C" w:rsidRDefault="00EA5913" w:rsidP="0025568D">
      <w:pPr>
        <w:jc w:val="both"/>
        <w:rPr>
          <w:rFonts w:ascii="Arial" w:hAnsi="Arial" w:cs="Arial"/>
          <w:color w:val="000000"/>
        </w:rPr>
      </w:pPr>
      <w:r w:rsidRPr="00474E6C">
        <w:rPr>
          <w:rFonts w:ascii="Arial" w:hAnsi="Arial" w:cs="Arial"/>
          <w:color w:val="000000"/>
        </w:rPr>
        <w:br/>
        <w:t>Particularly with regard to the administration of digital transaction disputes in developing banking settings like Nepal, significant conceptual, theoretical, empirical, and contextual gaps have been found. Improving customer happiness, increasing operational efficiency, and bolstering regulatory compliance all depend on closing these gaps.</w:t>
      </w:r>
    </w:p>
    <w:p w:rsidR="00EA5913" w:rsidRPr="00474E6C" w:rsidRDefault="00EA5913" w:rsidP="0025568D">
      <w:pPr>
        <w:jc w:val="both"/>
        <w:rPr>
          <w:rFonts w:ascii="Arial" w:hAnsi="Arial" w:cs="Arial"/>
          <w:color w:val="000000"/>
        </w:rPr>
      </w:pPr>
    </w:p>
    <w:p w:rsidR="00974BD5" w:rsidRDefault="00EA5913" w:rsidP="0025568D">
      <w:pPr>
        <w:jc w:val="both"/>
        <w:rPr>
          <w:rFonts w:ascii="Arial" w:hAnsi="Arial" w:cs="Arial"/>
          <w:color w:val="000000"/>
        </w:rPr>
      </w:pPr>
      <w:r w:rsidRPr="00474E6C">
        <w:rPr>
          <w:rFonts w:ascii="Arial" w:hAnsi="Arial" w:cs="Arial"/>
          <w:color w:val="000000"/>
        </w:rPr>
        <w:t>Therefore, by creating a more comprehensive knowledge of digital transaction conflicts, presenting them as operational risk events nested inside governance frameworks, and offering useful insights for banking institutions, this study aims to contribute to the literature.</w:t>
      </w:r>
    </w:p>
    <w:p w:rsidR="007819C1" w:rsidRDefault="007819C1" w:rsidP="00974BD5">
      <w:pPr>
        <w:pStyle w:val="Heading1"/>
        <w:rPr>
          <w:rStyle w:val="Strong"/>
          <w:b w:val="0"/>
          <w:bCs w:val="0"/>
        </w:rPr>
      </w:pPr>
    </w:p>
    <w:p w:rsidR="007819C1" w:rsidRDefault="007819C1" w:rsidP="00974BD5">
      <w:pPr>
        <w:pStyle w:val="Heading1"/>
        <w:rPr>
          <w:rStyle w:val="Strong"/>
          <w:b w:val="0"/>
          <w:bCs w:val="0"/>
        </w:rPr>
      </w:pPr>
    </w:p>
    <w:p w:rsidR="0040010F" w:rsidRDefault="0040010F" w:rsidP="0040010F"/>
    <w:p w:rsidR="0040010F" w:rsidRDefault="0040010F" w:rsidP="0040010F"/>
    <w:p w:rsidR="0040010F" w:rsidRDefault="0040010F" w:rsidP="0040010F"/>
    <w:p w:rsidR="0040010F" w:rsidRDefault="0040010F" w:rsidP="0040010F"/>
    <w:p w:rsidR="0040010F" w:rsidRDefault="0040010F" w:rsidP="0040010F"/>
    <w:p w:rsidR="0040010F" w:rsidRDefault="0040010F" w:rsidP="0040010F"/>
    <w:p w:rsidR="0040010F" w:rsidRDefault="0040010F" w:rsidP="0040010F"/>
    <w:p w:rsidR="0040010F" w:rsidRDefault="0040010F" w:rsidP="0040010F"/>
    <w:p w:rsidR="0040010F" w:rsidRDefault="0040010F" w:rsidP="0040010F"/>
    <w:p w:rsidR="00EA5913" w:rsidRPr="00CE33D3" w:rsidRDefault="00EA5913" w:rsidP="00CE33D3">
      <w:pPr>
        <w:pStyle w:val="Heading1"/>
        <w:jc w:val="center"/>
        <w:rPr>
          <w:color w:val="000000" w:themeColor="text1"/>
        </w:rPr>
      </w:pPr>
      <w:bookmarkStart w:id="48" w:name="_Toc227498348"/>
      <w:r w:rsidRPr="00CE33D3">
        <w:rPr>
          <w:rStyle w:val="Strong"/>
          <w:color w:val="000000" w:themeColor="text1"/>
        </w:rPr>
        <w:lastRenderedPageBreak/>
        <w:t>Reference</w:t>
      </w:r>
      <w:r w:rsidR="00974BD5" w:rsidRPr="00CE33D3">
        <w:rPr>
          <w:rStyle w:val="Strong"/>
          <w:color w:val="000000" w:themeColor="text1"/>
        </w:rPr>
        <w:t>s</w:t>
      </w:r>
      <w:bookmarkEnd w:id="48"/>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222222"/>
          <w:shd w:val="clear" w:color="auto" w:fill="FFFFFF"/>
        </w:rPr>
        <w:t>Agnese, P. and Capuano, P., 2021. The culture of risk governance in financial institutions.</w:t>
      </w:r>
      <w:r w:rsidRPr="00756B4A">
        <w:rPr>
          <w:rStyle w:val="apple-converted-space"/>
          <w:rFonts w:ascii="Arial" w:hAnsi="Arial" w:cs="Arial"/>
          <w:color w:val="222222"/>
          <w:shd w:val="clear" w:color="auto" w:fill="FFFFFF"/>
        </w:rPr>
        <w:t> </w:t>
      </w:r>
      <w:r w:rsidRPr="00756B4A">
        <w:rPr>
          <w:rFonts w:ascii="Arial" w:hAnsi="Arial" w:cs="Arial"/>
          <w:i/>
          <w:iCs/>
          <w:color w:val="222222"/>
        </w:rPr>
        <w:t>Journal of Risk Management in Financial Institutions</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14</w:t>
      </w:r>
      <w:r w:rsidRPr="00756B4A">
        <w:rPr>
          <w:rFonts w:ascii="Arial" w:hAnsi="Arial" w:cs="Arial"/>
          <w:color w:val="222222"/>
          <w:shd w:val="clear" w:color="auto" w:fill="FFFFFF"/>
        </w:rPr>
        <w:t>(3), pp.301-313.</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Alvesson, M. and Sandberg, J., 2024. Constructing research questions: Doing interesting research.</w:t>
      </w:r>
    </w:p>
    <w:p w:rsidR="00756B4A" w:rsidRPr="00756B4A" w:rsidRDefault="00756B4A" w:rsidP="00756B4A">
      <w:pPr>
        <w:spacing w:before="100" w:beforeAutospacing="1" w:after="100" w:afterAutospacing="1"/>
        <w:jc w:val="both"/>
        <w:rPr>
          <w:rFonts w:ascii="Arial" w:hAnsi="Arial" w:cs="Arial"/>
          <w:color w:val="000000"/>
        </w:rPr>
      </w:pPr>
      <w:r w:rsidRPr="00756B4A">
        <w:rPr>
          <w:rStyle w:val="Strong"/>
          <w:rFonts w:ascii="Arial" w:hAnsi="Arial" w:cs="Arial"/>
          <w:b w:val="0"/>
          <w:bCs w:val="0"/>
          <w:color w:val="000000"/>
        </w:rPr>
        <w:t>Asian Development Bank (2022)</w:t>
      </w:r>
      <w:r w:rsidRPr="00756B4A">
        <w:rPr>
          <w:rStyle w:val="apple-converted-space"/>
          <w:rFonts w:ascii="Arial" w:hAnsi="Arial" w:cs="Arial"/>
          <w:color w:val="000000"/>
        </w:rPr>
        <w:t> </w:t>
      </w:r>
      <w:r w:rsidRPr="00756B4A">
        <w:rPr>
          <w:rStyle w:val="Emphasis"/>
          <w:rFonts w:ascii="Arial" w:hAnsi="Arial" w:cs="Arial"/>
          <w:color w:val="000000"/>
        </w:rPr>
        <w:t>Asian economic integration report 2022: Advancing digital services trade in Asia and the Pacific</w:t>
      </w:r>
      <w:r w:rsidRPr="00756B4A">
        <w:rPr>
          <w:rFonts w:ascii="Arial" w:hAnsi="Arial" w:cs="Arial"/>
          <w:color w:val="000000"/>
        </w:rPr>
        <w:t>. Manila: Asian Development Bank.</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222222"/>
          <w:shd w:val="clear" w:color="auto" w:fill="FFFFFF"/>
        </w:rPr>
        <w:t xml:space="preserve">Auer, R., </w:t>
      </w:r>
      <w:proofErr w:type="spellStart"/>
      <w:r w:rsidRPr="00756B4A">
        <w:rPr>
          <w:rFonts w:ascii="Arial" w:hAnsi="Arial" w:cs="Arial"/>
          <w:color w:val="222222"/>
          <w:shd w:val="clear" w:color="auto" w:fill="FFFFFF"/>
        </w:rPr>
        <w:t>Cornelli</w:t>
      </w:r>
      <w:proofErr w:type="spellEnd"/>
      <w:r w:rsidRPr="00756B4A">
        <w:rPr>
          <w:rFonts w:ascii="Arial" w:hAnsi="Arial" w:cs="Arial"/>
          <w:color w:val="222222"/>
          <w:shd w:val="clear" w:color="auto" w:fill="FFFFFF"/>
        </w:rPr>
        <w:t>, G. and Frost, J., 2020. Rise of the central bank digital currencies: drivers, approaches and technologies.</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000000"/>
        </w:rPr>
        <w:t>Basel Committee on Banking Supervision (2021) Principles for operational resilience. Basel: Bank for International Settlements.</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Bessis</w:t>
      </w:r>
      <w:proofErr w:type="spellEnd"/>
      <w:r w:rsidRPr="00756B4A">
        <w:rPr>
          <w:rFonts w:ascii="Arial" w:hAnsi="Arial" w:cs="Arial"/>
          <w:color w:val="222222"/>
          <w:shd w:val="clear" w:color="auto" w:fill="FFFFFF"/>
        </w:rPr>
        <w:t>, J., 2011.</w:t>
      </w:r>
      <w:r w:rsidRPr="00756B4A">
        <w:rPr>
          <w:rStyle w:val="apple-converted-space"/>
          <w:rFonts w:ascii="Arial" w:hAnsi="Arial" w:cs="Arial"/>
          <w:color w:val="222222"/>
          <w:shd w:val="clear" w:color="auto" w:fill="FFFFFF"/>
        </w:rPr>
        <w:t> </w:t>
      </w:r>
      <w:r w:rsidRPr="00756B4A">
        <w:rPr>
          <w:rFonts w:ascii="Arial" w:hAnsi="Arial" w:cs="Arial"/>
          <w:i/>
          <w:iCs/>
          <w:color w:val="222222"/>
        </w:rPr>
        <w:t>Risk management in banking</w:t>
      </w:r>
      <w:r w:rsidRPr="00756B4A">
        <w:rPr>
          <w:rFonts w:ascii="Arial" w:hAnsi="Arial" w:cs="Arial"/>
          <w:color w:val="222222"/>
          <w:shd w:val="clear" w:color="auto" w:fill="FFFFFF"/>
        </w:rPr>
        <w:t>. John Wiley &amp; Sons.</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Bhatt, P., Sharma, R. and Adhikari, S. (2024) ‘Corporate governance practices in Nepalese banking sector’, </w:t>
      </w:r>
      <w:r w:rsidRPr="00756B4A">
        <w:rPr>
          <w:rFonts w:ascii="Arial" w:hAnsi="Arial" w:cs="Arial"/>
          <w:i/>
          <w:iCs/>
          <w:color w:val="000000"/>
        </w:rPr>
        <w:t>Journal of Business and Management</w:t>
      </w:r>
      <w:r w:rsidRPr="00756B4A">
        <w:rPr>
          <w:rFonts w:ascii="Arial" w:hAnsi="Arial" w:cs="Arial"/>
          <w:color w:val="000000"/>
        </w:rPr>
        <w:t>, 12(2), pp. 45–60.</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Bhattarai, K. (2022) ‘Customer satisfaction in Nepalese banking services’, </w:t>
      </w:r>
      <w:r w:rsidRPr="00756B4A">
        <w:rPr>
          <w:rFonts w:ascii="Arial" w:hAnsi="Arial" w:cs="Arial"/>
          <w:i/>
          <w:iCs/>
          <w:color w:val="000000"/>
        </w:rPr>
        <w:t>Nepalese Journal of Business Studies</w:t>
      </w:r>
      <w:r w:rsidRPr="00756B4A">
        <w:rPr>
          <w:rFonts w:ascii="Arial" w:hAnsi="Arial" w:cs="Arial"/>
          <w:color w:val="000000"/>
        </w:rPr>
        <w:t>, 15(1), pp. 88–102.</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Bhandari, R. (2022) ‘Digital fraud and financial risks in Nepal’, </w:t>
      </w:r>
      <w:r w:rsidRPr="00756B4A">
        <w:rPr>
          <w:rFonts w:ascii="Arial" w:hAnsi="Arial" w:cs="Arial"/>
          <w:i/>
          <w:iCs/>
          <w:color w:val="000000"/>
        </w:rPr>
        <w:t>Journal of Finance and Risk Perspectives</w:t>
      </w:r>
      <w:r w:rsidRPr="00756B4A">
        <w:rPr>
          <w:rFonts w:ascii="Arial" w:hAnsi="Arial" w:cs="Arial"/>
          <w:color w:val="000000"/>
        </w:rPr>
        <w:t>, 10(3), pp. 55–70.</w:t>
      </w:r>
    </w:p>
    <w:p w:rsidR="00756B4A" w:rsidRPr="00756B4A" w:rsidRDefault="00756B4A" w:rsidP="00756B4A">
      <w:pPr>
        <w:spacing w:before="100" w:beforeAutospacing="1" w:after="100" w:afterAutospacing="1"/>
        <w:jc w:val="both"/>
        <w:rPr>
          <w:rFonts w:ascii="Arial" w:hAnsi="Arial" w:cs="Arial"/>
          <w:color w:val="000000"/>
        </w:rPr>
      </w:pPr>
      <w:r w:rsidRPr="00756B4A">
        <w:rPr>
          <w:rStyle w:val="Strong"/>
          <w:rFonts w:ascii="Arial" w:hAnsi="Arial" w:cs="Arial"/>
          <w:b w:val="0"/>
          <w:bCs w:val="0"/>
          <w:color w:val="000000"/>
        </w:rPr>
        <w:t>Bank for International Settlements (2021</w:t>
      </w:r>
      <w:r w:rsidRPr="00756B4A">
        <w:rPr>
          <w:rStyle w:val="Strong"/>
          <w:rFonts w:ascii="Arial" w:hAnsi="Arial" w:cs="Arial"/>
          <w:color w:val="000000"/>
        </w:rPr>
        <w:t>)</w:t>
      </w:r>
      <w:r w:rsidRPr="00756B4A">
        <w:rPr>
          <w:rStyle w:val="apple-converted-space"/>
          <w:rFonts w:ascii="Arial" w:hAnsi="Arial" w:cs="Arial"/>
          <w:color w:val="000000"/>
        </w:rPr>
        <w:t> </w:t>
      </w:r>
      <w:r w:rsidRPr="00756B4A">
        <w:rPr>
          <w:rStyle w:val="Emphasis"/>
          <w:rFonts w:ascii="Arial" w:hAnsi="Arial" w:cs="Arial"/>
          <w:color w:val="000000"/>
        </w:rPr>
        <w:t>Annual economic report 2021</w:t>
      </w:r>
      <w:r w:rsidRPr="00756B4A">
        <w:rPr>
          <w:rFonts w:ascii="Arial" w:hAnsi="Arial" w:cs="Arial"/>
          <w:color w:val="000000"/>
        </w:rPr>
        <w:t>. Basel: Bank for International Settlements</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222222"/>
          <w:shd w:val="clear" w:color="auto" w:fill="FFFFFF"/>
        </w:rPr>
        <w:t>Board, F.S., 2020. Enhancing cross-border payments. Stage 3 roadmap.</w:t>
      </w:r>
      <w:r w:rsidRPr="00756B4A">
        <w:rPr>
          <w:rStyle w:val="apple-converted-space"/>
          <w:rFonts w:ascii="Arial" w:hAnsi="Arial" w:cs="Arial"/>
          <w:color w:val="222222"/>
          <w:shd w:val="clear" w:color="auto" w:fill="FFFFFF"/>
        </w:rPr>
        <w:t> </w:t>
      </w:r>
      <w:r w:rsidRPr="00756B4A">
        <w:rPr>
          <w:rFonts w:ascii="Arial" w:hAnsi="Arial" w:cs="Arial"/>
          <w:i/>
          <w:iCs/>
          <w:color w:val="222222"/>
        </w:rPr>
        <w:t xml:space="preserve">Basel. https://www. </w:t>
      </w:r>
      <w:proofErr w:type="spellStart"/>
      <w:r w:rsidRPr="00756B4A">
        <w:rPr>
          <w:rFonts w:ascii="Arial" w:hAnsi="Arial" w:cs="Arial"/>
          <w:i/>
          <w:iCs/>
          <w:color w:val="222222"/>
        </w:rPr>
        <w:t>fsb</w:t>
      </w:r>
      <w:proofErr w:type="spellEnd"/>
      <w:r w:rsidRPr="00756B4A">
        <w:rPr>
          <w:rFonts w:ascii="Arial" w:hAnsi="Arial" w:cs="Arial"/>
          <w:i/>
          <w:iCs/>
          <w:color w:val="222222"/>
        </w:rPr>
        <w:t>. org/wp-content/uploads/P131020-1. pdf</w:t>
      </w:r>
      <w:r w:rsidRPr="00756B4A">
        <w:rPr>
          <w:rFonts w:ascii="Arial" w:hAnsi="Arial" w:cs="Arial"/>
          <w:color w:val="222222"/>
          <w:shd w:val="clear" w:color="auto" w:fill="FFFFFF"/>
        </w:rPr>
        <w:t>.</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 xml:space="preserve">Bolt, W. and Van </w:t>
      </w:r>
      <w:proofErr w:type="spellStart"/>
      <w:r w:rsidRPr="00756B4A">
        <w:rPr>
          <w:rFonts w:ascii="Arial" w:hAnsi="Arial" w:cs="Arial"/>
          <w:color w:val="222222"/>
          <w:shd w:val="clear" w:color="auto" w:fill="FFFFFF"/>
        </w:rPr>
        <w:t>Oordt</w:t>
      </w:r>
      <w:proofErr w:type="spellEnd"/>
      <w:r w:rsidRPr="00756B4A">
        <w:rPr>
          <w:rFonts w:ascii="Arial" w:hAnsi="Arial" w:cs="Arial"/>
          <w:color w:val="222222"/>
          <w:shd w:val="clear" w:color="auto" w:fill="FFFFFF"/>
        </w:rPr>
        <w:t>, M.R., 2020. On the value of virtual currencies.</w:t>
      </w:r>
      <w:r w:rsidRPr="00756B4A">
        <w:rPr>
          <w:rStyle w:val="apple-converted-space"/>
          <w:rFonts w:ascii="Arial" w:hAnsi="Arial" w:cs="Arial"/>
          <w:color w:val="222222"/>
          <w:shd w:val="clear" w:color="auto" w:fill="FFFFFF"/>
        </w:rPr>
        <w:t> </w:t>
      </w:r>
      <w:r w:rsidRPr="00756B4A">
        <w:rPr>
          <w:rFonts w:ascii="Arial" w:hAnsi="Arial" w:cs="Arial"/>
          <w:i/>
          <w:iCs/>
          <w:color w:val="222222"/>
        </w:rPr>
        <w:t>Journal of Money, Credit and Banking</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52</w:t>
      </w:r>
      <w:r w:rsidRPr="00756B4A">
        <w:rPr>
          <w:rFonts w:ascii="Arial" w:hAnsi="Arial" w:cs="Arial"/>
          <w:color w:val="222222"/>
          <w:shd w:val="clear" w:color="auto" w:fill="FFFFFF"/>
        </w:rPr>
        <w:t>(4), pp.835-862.</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 xml:space="preserve">Bromiley, P., McShane, M., Nair, A. and </w:t>
      </w:r>
      <w:proofErr w:type="spellStart"/>
      <w:r w:rsidRPr="00756B4A">
        <w:rPr>
          <w:rFonts w:ascii="Arial" w:hAnsi="Arial" w:cs="Arial"/>
          <w:color w:val="222222"/>
          <w:shd w:val="clear" w:color="auto" w:fill="FFFFFF"/>
        </w:rPr>
        <w:t>Rustambekov</w:t>
      </w:r>
      <w:proofErr w:type="spellEnd"/>
      <w:r w:rsidRPr="00756B4A">
        <w:rPr>
          <w:rFonts w:ascii="Arial" w:hAnsi="Arial" w:cs="Arial"/>
          <w:color w:val="222222"/>
          <w:shd w:val="clear" w:color="auto" w:fill="FFFFFF"/>
        </w:rPr>
        <w:t>, E., 2015. Enterprise risk management: Review, critique, and research directions.</w:t>
      </w:r>
      <w:r w:rsidRPr="00756B4A">
        <w:rPr>
          <w:rStyle w:val="apple-converted-space"/>
          <w:rFonts w:ascii="Arial" w:hAnsi="Arial" w:cs="Arial"/>
          <w:color w:val="222222"/>
          <w:shd w:val="clear" w:color="auto" w:fill="FFFFFF"/>
        </w:rPr>
        <w:t> </w:t>
      </w:r>
      <w:r w:rsidRPr="00756B4A">
        <w:rPr>
          <w:rFonts w:ascii="Arial" w:hAnsi="Arial" w:cs="Arial"/>
          <w:i/>
          <w:iCs/>
          <w:color w:val="222222"/>
        </w:rPr>
        <w:t>Long range planning</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48</w:t>
      </w:r>
      <w:r w:rsidRPr="00756B4A">
        <w:rPr>
          <w:rFonts w:ascii="Arial" w:hAnsi="Arial" w:cs="Arial"/>
          <w:color w:val="222222"/>
          <w:shd w:val="clear" w:color="auto" w:fill="FFFFFF"/>
        </w:rPr>
        <w:t>(4), pp.265-276.</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Carstens, A., 2019. The future of money and payments.</w:t>
      </w:r>
      <w:r w:rsidRPr="00756B4A">
        <w:rPr>
          <w:rStyle w:val="apple-converted-space"/>
          <w:rFonts w:ascii="Arial" w:hAnsi="Arial" w:cs="Arial"/>
          <w:color w:val="222222"/>
          <w:shd w:val="clear" w:color="auto" w:fill="FFFFFF"/>
        </w:rPr>
        <w:t> </w:t>
      </w:r>
      <w:r w:rsidRPr="00756B4A">
        <w:rPr>
          <w:rFonts w:ascii="Arial" w:hAnsi="Arial" w:cs="Arial"/>
          <w:i/>
          <w:iCs/>
          <w:color w:val="222222"/>
        </w:rPr>
        <w:t>Speech held in Dublin</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22</w:t>
      </w:r>
      <w:r w:rsidRPr="00756B4A">
        <w:rPr>
          <w:rFonts w:ascii="Arial" w:hAnsi="Arial" w:cs="Arial"/>
          <w:color w:val="222222"/>
          <w:shd w:val="clear" w:color="auto" w:fill="FFFFFF"/>
        </w:rPr>
        <w:t>.</w:t>
      </w:r>
    </w:p>
    <w:p w:rsidR="00756B4A" w:rsidRPr="00756B4A" w:rsidRDefault="00756B4A" w:rsidP="00756B4A">
      <w:pPr>
        <w:spacing w:before="100" w:beforeAutospacing="1" w:after="100" w:afterAutospacing="1"/>
        <w:jc w:val="both"/>
        <w:rPr>
          <w:rFonts w:ascii="Arial" w:hAnsi="Arial" w:cs="Arial"/>
          <w:color w:val="000000"/>
        </w:rPr>
      </w:pPr>
      <w:proofErr w:type="spellStart"/>
      <w:r w:rsidRPr="00756B4A">
        <w:rPr>
          <w:rFonts w:ascii="Arial" w:hAnsi="Arial" w:cs="Arial"/>
          <w:color w:val="222222"/>
          <w:shd w:val="clear" w:color="auto" w:fill="FFFFFF"/>
        </w:rPr>
        <w:t>Chernobai</w:t>
      </w:r>
      <w:proofErr w:type="spellEnd"/>
      <w:r w:rsidRPr="00756B4A">
        <w:rPr>
          <w:rFonts w:ascii="Arial" w:hAnsi="Arial" w:cs="Arial"/>
          <w:color w:val="222222"/>
          <w:shd w:val="clear" w:color="auto" w:fill="FFFFFF"/>
        </w:rPr>
        <w:t xml:space="preserve">, A.S., </w:t>
      </w:r>
      <w:proofErr w:type="spellStart"/>
      <w:r w:rsidRPr="00756B4A">
        <w:rPr>
          <w:rFonts w:ascii="Arial" w:hAnsi="Arial" w:cs="Arial"/>
          <w:color w:val="222222"/>
          <w:shd w:val="clear" w:color="auto" w:fill="FFFFFF"/>
        </w:rPr>
        <w:t>Rachev</w:t>
      </w:r>
      <w:proofErr w:type="spellEnd"/>
      <w:r w:rsidRPr="00756B4A">
        <w:rPr>
          <w:rFonts w:ascii="Arial" w:hAnsi="Arial" w:cs="Arial"/>
          <w:color w:val="222222"/>
          <w:shd w:val="clear" w:color="auto" w:fill="FFFFFF"/>
        </w:rPr>
        <w:t xml:space="preserve">, S.T. and </w:t>
      </w:r>
      <w:proofErr w:type="spellStart"/>
      <w:r w:rsidRPr="00756B4A">
        <w:rPr>
          <w:rFonts w:ascii="Arial" w:hAnsi="Arial" w:cs="Arial"/>
          <w:color w:val="222222"/>
          <w:shd w:val="clear" w:color="auto" w:fill="FFFFFF"/>
        </w:rPr>
        <w:t>Fabozzi</w:t>
      </w:r>
      <w:proofErr w:type="spellEnd"/>
      <w:r w:rsidRPr="00756B4A">
        <w:rPr>
          <w:rFonts w:ascii="Arial" w:hAnsi="Arial" w:cs="Arial"/>
          <w:color w:val="222222"/>
          <w:shd w:val="clear" w:color="auto" w:fill="FFFFFF"/>
        </w:rPr>
        <w:t>, F.J., 2008.</w:t>
      </w:r>
      <w:r w:rsidRPr="00756B4A">
        <w:rPr>
          <w:rStyle w:val="apple-converted-space"/>
          <w:rFonts w:ascii="Arial" w:hAnsi="Arial" w:cs="Arial"/>
          <w:color w:val="222222"/>
          <w:shd w:val="clear" w:color="auto" w:fill="FFFFFF"/>
        </w:rPr>
        <w:t> </w:t>
      </w:r>
      <w:r w:rsidRPr="00756B4A">
        <w:rPr>
          <w:rFonts w:ascii="Arial" w:hAnsi="Arial" w:cs="Arial"/>
          <w:i/>
          <w:iCs/>
          <w:color w:val="222222"/>
        </w:rPr>
        <w:t>Operational risk: a guide to Basel II capital requirements, models, and analysis</w:t>
      </w:r>
      <w:r w:rsidRPr="00756B4A">
        <w:rPr>
          <w:rFonts w:ascii="Arial" w:hAnsi="Arial" w:cs="Arial"/>
          <w:color w:val="222222"/>
          <w:shd w:val="clear" w:color="auto" w:fill="FFFFFF"/>
        </w:rPr>
        <w:t>. John Wiley &amp; Sons</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Damali, U., Secchi, E., Tax, S.S. and McCutcheon, D., 2021. Customer participation risk management: conceptual model and managerial assessment tool.</w:t>
      </w:r>
      <w:r w:rsidRPr="00756B4A">
        <w:rPr>
          <w:rStyle w:val="apple-converted-space"/>
          <w:rFonts w:ascii="Arial" w:hAnsi="Arial" w:cs="Arial"/>
          <w:color w:val="222222"/>
          <w:shd w:val="clear" w:color="auto" w:fill="FFFFFF"/>
        </w:rPr>
        <w:t> </w:t>
      </w:r>
      <w:r w:rsidRPr="00756B4A">
        <w:rPr>
          <w:rFonts w:ascii="Arial" w:hAnsi="Arial" w:cs="Arial"/>
          <w:i/>
          <w:iCs/>
          <w:color w:val="222222"/>
        </w:rPr>
        <w:t>Journal of Service Management</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32</w:t>
      </w:r>
      <w:r w:rsidRPr="00756B4A">
        <w:rPr>
          <w:rFonts w:ascii="Arial" w:hAnsi="Arial" w:cs="Arial"/>
          <w:color w:val="222222"/>
          <w:shd w:val="clear" w:color="auto" w:fill="FFFFFF"/>
        </w:rPr>
        <w:t>(1), pp.27-51.</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lastRenderedPageBreak/>
        <w:t>Dangol</w:t>
      </w:r>
      <w:proofErr w:type="spellEnd"/>
      <w:r w:rsidRPr="00756B4A">
        <w:rPr>
          <w:rFonts w:ascii="Arial" w:hAnsi="Arial" w:cs="Arial"/>
          <w:color w:val="222222"/>
          <w:shd w:val="clear" w:color="auto" w:fill="FFFFFF"/>
        </w:rPr>
        <w:t xml:space="preserve">, S. and </w:t>
      </w:r>
      <w:proofErr w:type="spellStart"/>
      <w:r w:rsidRPr="00756B4A">
        <w:rPr>
          <w:rFonts w:ascii="Arial" w:hAnsi="Arial" w:cs="Arial"/>
          <w:color w:val="222222"/>
          <w:shd w:val="clear" w:color="auto" w:fill="FFFFFF"/>
        </w:rPr>
        <w:t>Kautish</w:t>
      </w:r>
      <w:proofErr w:type="spellEnd"/>
      <w:r w:rsidRPr="00756B4A">
        <w:rPr>
          <w:rFonts w:ascii="Arial" w:hAnsi="Arial" w:cs="Arial"/>
          <w:color w:val="222222"/>
          <w:shd w:val="clear" w:color="auto" w:fill="FFFFFF"/>
        </w:rPr>
        <w:t>, S., 2019. IT security related issues and challenges in electronic payment system in Nepal: A study from customer's perspective.</w:t>
      </w:r>
      <w:r w:rsidRPr="00756B4A">
        <w:rPr>
          <w:rStyle w:val="apple-converted-space"/>
          <w:rFonts w:ascii="Arial" w:hAnsi="Arial" w:cs="Arial"/>
          <w:color w:val="222222"/>
          <w:shd w:val="clear" w:color="auto" w:fill="FFFFFF"/>
        </w:rPr>
        <w:t> </w:t>
      </w:r>
      <w:r w:rsidRPr="00756B4A">
        <w:rPr>
          <w:rFonts w:ascii="Arial" w:hAnsi="Arial" w:cs="Arial"/>
          <w:i/>
          <w:iCs/>
          <w:color w:val="222222"/>
        </w:rPr>
        <w:t>LBEF Research Journal of Science, Technology and Management</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1</w:t>
      </w:r>
      <w:r w:rsidRPr="00756B4A">
        <w:rPr>
          <w:rFonts w:ascii="Arial" w:hAnsi="Arial" w:cs="Arial"/>
          <w:color w:val="222222"/>
          <w:shd w:val="clear" w:color="auto" w:fill="FFFFFF"/>
        </w:rPr>
        <w:t>(2), pp.85-103.</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 xml:space="preserve">Del </w:t>
      </w:r>
      <w:proofErr w:type="spellStart"/>
      <w:r w:rsidRPr="00756B4A">
        <w:rPr>
          <w:rFonts w:ascii="Arial" w:hAnsi="Arial" w:cs="Arial"/>
          <w:color w:val="222222"/>
          <w:shd w:val="clear" w:color="auto" w:fill="FFFFFF"/>
        </w:rPr>
        <w:t>Sarto</w:t>
      </w:r>
      <w:proofErr w:type="spellEnd"/>
      <w:r w:rsidRPr="00756B4A">
        <w:rPr>
          <w:rFonts w:ascii="Arial" w:hAnsi="Arial" w:cs="Arial"/>
          <w:color w:val="222222"/>
          <w:shd w:val="clear" w:color="auto" w:fill="FFFFFF"/>
        </w:rPr>
        <w:t xml:space="preserve">, N. and </w:t>
      </w:r>
      <w:proofErr w:type="spellStart"/>
      <w:r w:rsidRPr="00756B4A">
        <w:rPr>
          <w:rFonts w:ascii="Arial" w:hAnsi="Arial" w:cs="Arial"/>
          <w:color w:val="222222"/>
          <w:shd w:val="clear" w:color="auto" w:fill="FFFFFF"/>
        </w:rPr>
        <w:t>Ozili</w:t>
      </w:r>
      <w:proofErr w:type="spellEnd"/>
      <w:r w:rsidRPr="00756B4A">
        <w:rPr>
          <w:rFonts w:ascii="Arial" w:hAnsi="Arial" w:cs="Arial"/>
          <w:color w:val="222222"/>
          <w:shd w:val="clear" w:color="auto" w:fill="FFFFFF"/>
        </w:rPr>
        <w:t>, P.K., 2025. FinTech and financial inclusion in emerging markets: a bibliometric analysis and future research agenda.</w:t>
      </w:r>
      <w:r w:rsidRPr="00756B4A">
        <w:rPr>
          <w:rStyle w:val="apple-converted-space"/>
          <w:rFonts w:ascii="Arial" w:hAnsi="Arial" w:cs="Arial"/>
          <w:color w:val="222222"/>
          <w:shd w:val="clear" w:color="auto" w:fill="FFFFFF"/>
        </w:rPr>
        <w:t> </w:t>
      </w:r>
      <w:r w:rsidRPr="00756B4A">
        <w:rPr>
          <w:rFonts w:ascii="Arial" w:hAnsi="Arial" w:cs="Arial"/>
          <w:i/>
          <w:iCs/>
          <w:color w:val="222222"/>
        </w:rPr>
        <w:t>International Journal of Emerging Markets</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20</w:t>
      </w:r>
      <w:r w:rsidRPr="00756B4A">
        <w:rPr>
          <w:rFonts w:ascii="Arial" w:hAnsi="Arial" w:cs="Arial"/>
          <w:color w:val="222222"/>
          <w:shd w:val="clear" w:color="auto" w:fill="FFFFFF"/>
        </w:rPr>
        <w:t>(13), pp.270-290.</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Dhakal</w:t>
      </w:r>
      <w:proofErr w:type="spellEnd"/>
      <w:r w:rsidRPr="00756B4A">
        <w:rPr>
          <w:rFonts w:ascii="Arial" w:hAnsi="Arial" w:cs="Arial"/>
          <w:color w:val="222222"/>
          <w:shd w:val="clear" w:color="auto" w:fill="FFFFFF"/>
        </w:rPr>
        <w:t>, P. and Acharya, S.L., 2025. The Impact of Digital Transformation on Banking Services and Customer Experience: a study of the Nepalese banking sector.</w:t>
      </w:r>
    </w:p>
    <w:p w:rsidR="00756B4A" w:rsidRPr="00756B4A" w:rsidRDefault="00756B4A" w:rsidP="00756B4A">
      <w:pPr>
        <w:jc w:val="both"/>
        <w:rPr>
          <w:rFonts w:ascii="Arial" w:hAnsi="Arial" w:cs="Arial"/>
        </w:rPr>
      </w:pPr>
      <w:r w:rsidRPr="00756B4A">
        <w:rPr>
          <w:rFonts w:ascii="Arial" w:hAnsi="Arial" w:cs="Arial"/>
          <w:color w:val="000000"/>
        </w:rPr>
        <w:t>Ernst &amp; Young (EY) (2022) Global banking outlook 2022. London: EY.</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Feyen</w:t>
      </w:r>
      <w:proofErr w:type="spellEnd"/>
      <w:r w:rsidRPr="00756B4A">
        <w:rPr>
          <w:rFonts w:ascii="Arial" w:hAnsi="Arial" w:cs="Arial"/>
          <w:color w:val="222222"/>
          <w:shd w:val="clear" w:color="auto" w:fill="FFFFFF"/>
        </w:rPr>
        <w:t xml:space="preserve">, E., Frost, J., </w:t>
      </w:r>
      <w:proofErr w:type="spellStart"/>
      <w:r w:rsidRPr="00756B4A">
        <w:rPr>
          <w:rFonts w:ascii="Arial" w:hAnsi="Arial" w:cs="Arial"/>
          <w:color w:val="222222"/>
          <w:shd w:val="clear" w:color="auto" w:fill="FFFFFF"/>
        </w:rPr>
        <w:t>Gambacorta</w:t>
      </w:r>
      <w:proofErr w:type="spellEnd"/>
      <w:r w:rsidRPr="00756B4A">
        <w:rPr>
          <w:rFonts w:ascii="Arial" w:hAnsi="Arial" w:cs="Arial"/>
          <w:color w:val="222222"/>
          <w:shd w:val="clear" w:color="auto" w:fill="FFFFFF"/>
        </w:rPr>
        <w:t>, L., Natarajan, H. and Saal, M., 2021. Fintech and the digital transformation of financial services: implications for market structure and public policy.</w:t>
      </w:r>
      <w:r w:rsidRPr="00756B4A">
        <w:rPr>
          <w:rStyle w:val="apple-converted-space"/>
          <w:rFonts w:ascii="Arial" w:hAnsi="Arial" w:cs="Arial"/>
          <w:color w:val="222222"/>
          <w:shd w:val="clear" w:color="auto" w:fill="FFFFFF"/>
        </w:rPr>
        <w:t> </w:t>
      </w:r>
      <w:r w:rsidRPr="00756B4A">
        <w:rPr>
          <w:rFonts w:ascii="Arial" w:hAnsi="Arial" w:cs="Arial"/>
          <w:i/>
          <w:iCs/>
          <w:color w:val="222222"/>
        </w:rPr>
        <w:t>BIS papers</w:t>
      </w:r>
      <w:r w:rsidRPr="00756B4A">
        <w:rPr>
          <w:rFonts w:ascii="Arial" w:hAnsi="Arial" w:cs="Arial"/>
          <w:color w:val="222222"/>
          <w:shd w:val="clear" w:color="auto" w:fill="FFFFFF"/>
        </w:rPr>
        <w:t>.</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Frost, J., 2020. The economic forces driving fintech adoption across countries.</w:t>
      </w:r>
      <w:r w:rsidRPr="00756B4A">
        <w:rPr>
          <w:rStyle w:val="apple-converted-space"/>
          <w:rFonts w:ascii="Arial" w:hAnsi="Arial" w:cs="Arial"/>
          <w:color w:val="222222"/>
          <w:shd w:val="clear" w:color="auto" w:fill="FFFFFF"/>
        </w:rPr>
        <w:t> </w:t>
      </w:r>
      <w:r w:rsidRPr="00756B4A">
        <w:rPr>
          <w:rFonts w:ascii="Arial" w:hAnsi="Arial" w:cs="Arial"/>
          <w:i/>
          <w:iCs/>
          <w:color w:val="222222"/>
        </w:rPr>
        <w:t xml:space="preserve">The technological revolution in financial services: how banks, </w:t>
      </w:r>
      <w:proofErr w:type="spellStart"/>
      <w:r w:rsidRPr="00756B4A">
        <w:rPr>
          <w:rFonts w:ascii="Arial" w:hAnsi="Arial" w:cs="Arial"/>
          <w:i/>
          <w:iCs/>
          <w:color w:val="222222"/>
        </w:rPr>
        <w:t>fintechs</w:t>
      </w:r>
      <w:proofErr w:type="spellEnd"/>
      <w:r w:rsidRPr="00756B4A">
        <w:rPr>
          <w:rFonts w:ascii="Arial" w:hAnsi="Arial" w:cs="Arial"/>
          <w:i/>
          <w:iCs/>
          <w:color w:val="222222"/>
        </w:rPr>
        <w:t>, and customers win together</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838</w:t>
      </w:r>
      <w:r w:rsidRPr="00756B4A">
        <w:rPr>
          <w:rFonts w:ascii="Arial" w:hAnsi="Arial" w:cs="Arial"/>
          <w:color w:val="222222"/>
          <w:shd w:val="clear" w:color="auto" w:fill="FFFFFF"/>
        </w:rPr>
        <w:t>(II), pp.70-89.</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Gomber</w:t>
      </w:r>
      <w:proofErr w:type="spellEnd"/>
      <w:r w:rsidRPr="00756B4A">
        <w:rPr>
          <w:rFonts w:ascii="Arial" w:hAnsi="Arial" w:cs="Arial"/>
          <w:color w:val="222222"/>
          <w:shd w:val="clear" w:color="auto" w:fill="FFFFFF"/>
        </w:rPr>
        <w:t xml:space="preserve">, P., Koch, J.A. and </w:t>
      </w:r>
      <w:proofErr w:type="spellStart"/>
      <w:r w:rsidRPr="00756B4A">
        <w:rPr>
          <w:rFonts w:ascii="Arial" w:hAnsi="Arial" w:cs="Arial"/>
          <w:color w:val="222222"/>
          <w:shd w:val="clear" w:color="auto" w:fill="FFFFFF"/>
        </w:rPr>
        <w:t>Siering</w:t>
      </w:r>
      <w:proofErr w:type="spellEnd"/>
      <w:r w:rsidRPr="00756B4A">
        <w:rPr>
          <w:rFonts w:ascii="Arial" w:hAnsi="Arial" w:cs="Arial"/>
          <w:color w:val="222222"/>
          <w:shd w:val="clear" w:color="auto" w:fill="FFFFFF"/>
        </w:rPr>
        <w:t>, M., 2017. Digital Finance and FinTech: current research and future research directions.</w:t>
      </w:r>
      <w:r w:rsidRPr="00756B4A">
        <w:rPr>
          <w:rStyle w:val="apple-converted-space"/>
          <w:rFonts w:ascii="Arial" w:hAnsi="Arial" w:cs="Arial"/>
          <w:color w:val="222222"/>
          <w:shd w:val="clear" w:color="auto" w:fill="FFFFFF"/>
        </w:rPr>
        <w:t> </w:t>
      </w:r>
      <w:r w:rsidRPr="00756B4A">
        <w:rPr>
          <w:rFonts w:ascii="Arial" w:hAnsi="Arial" w:cs="Arial"/>
          <w:i/>
          <w:iCs/>
          <w:color w:val="222222"/>
        </w:rPr>
        <w:t>Journal of business economics</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87</w:t>
      </w:r>
      <w:r w:rsidRPr="00756B4A">
        <w:rPr>
          <w:rFonts w:ascii="Arial" w:hAnsi="Arial" w:cs="Arial"/>
          <w:color w:val="222222"/>
          <w:shd w:val="clear" w:color="auto" w:fill="FFFFFF"/>
        </w:rPr>
        <w:t>(5), pp.537-580.</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Huang, M.H. and Rust, R.T., 2018. Artificial intelligence in service.</w:t>
      </w:r>
      <w:r w:rsidRPr="00756B4A">
        <w:rPr>
          <w:rStyle w:val="apple-converted-space"/>
          <w:rFonts w:ascii="Arial" w:hAnsi="Arial" w:cs="Arial"/>
          <w:color w:val="222222"/>
          <w:shd w:val="clear" w:color="auto" w:fill="FFFFFF"/>
        </w:rPr>
        <w:t> </w:t>
      </w:r>
      <w:r w:rsidRPr="00756B4A">
        <w:rPr>
          <w:rFonts w:ascii="Arial" w:hAnsi="Arial" w:cs="Arial"/>
          <w:i/>
          <w:iCs/>
          <w:color w:val="222222"/>
        </w:rPr>
        <w:t>Journal of service research</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21</w:t>
      </w:r>
      <w:r w:rsidRPr="00756B4A">
        <w:rPr>
          <w:rFonts w:ascii="Arial" w:hAnsi="Arial" w:cs="Arial"/>
          <w:color w:val="222222"/>
          <w:shd w:val="clear" w:color="auto" w:fill="FFFFFF"/>
        </w:rPr>
        <w:t>(2), pp.155-172.</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222222"/>
          <w:shd w:val="clear" w:color="auto" w:fill="FFFFFF"/>
        </w:rPr>
        <w:t>International Organization for Standardization, 2018.</w:t>
      </w:r>
      <w:r w:rsidRPr="00756B4A">
        <w:rPr>
          <w:rStyle w:val="apple-converted-space"/>
          <w:rFonts w:ascii="Arial" w:hAnsi="Arial" w:cs="Arial"/>
          <w:color w:val="222222"/>
          <w:shd w:val="clear" w:color="auto" w:fill="FFFFFF"/>
        </w:rPr>
        <w:t> </w:t>
      </w:r>
      <w:r w:rsidRPr="00756B4A">
        <w:rPr>
          <w:rFonts w:ascii="Arial" w:hAnsi="Arial" w:cs="Arial"/>
          <w:i/>
          <w:iCs/>
          <w:color w:val="222222"/>
        </w:rPr>
        <w:t>Risk Management: Guidelines</w:t>
      </w:r>
      <w:r w:rsidRPr="00756B4A">
        <w:rPr>
          <w:rFonts w:ascii="Arial" w:hAnsi="Arial" w:cs="Arial"/>
          <w:color w:val="222222"/>
          <w:shd w:val="clear" w:color="auto" w:fill="FFFFFF"/>
        </w:rPr>
        <w:t>. International Standards Organization.</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 xml:space="preserve">Kahn, C.M., McAndrews, J. and </w:t>
      </w:r>
      <w:proofErr w:type="spellStart"/>
      <w:r w:rsidRPr="00756B4A">
        <w:rPr>
          <w:rFonts w:ascii="Arial" w:hAnsi="Arial" w:cs="Arial"/>
          <w:color w:val="222222"/>
          <w:shd w:val="clear" w:color="auto" w:fill="FFFFFF"/>
        </w:rPr>
        <w:t>Roberds</w:t>
      </w:r>
      <w:proofErr w:type="spellEnd"/>
      <w:r w:rsidRPr="00756B4A">
        <w:rPr>
          <w:rFonts w:ascii="Arial" w:hAnsi="Arial" w:cs="Arial"/>
          <w:color w:val="222222"/>
          <w:shd w:val="clear" w:color="auto" w:fill="FFFFFF"/>
        </w:rPr>
        <w:t>, W., 2005. Money is privacy.</w:t>
      </w:r>
      <w:r w:rsidRPr="00756B4A">
        <w:rPr>
          <w:rStyle w:val="apple-converted-space"/>
          <w:rFonts w:ascii="Arial" w:hAnsi="Arial" w:cs="Arial"/>
          <w:color w:val="222222"/>
          <w:shd w:val="clear" w:color="auto" w:fill="FFFFFF"/>
        </w:rPr>
        <w:t> </w:t>
      </w:r>
      <w:r w:rsidRPr="00756B4A">
        <w:rPr>
          <w:rFonts w:ascii="Arial" w:hAnsi="Arial" w:cs="Arial"/>
          <w:i/>
          <w:iCs/>
          <w:color w:val="222222"/>
        </w:rPr>
        <w:t>International Economic Review</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46</w:t>
      </w:r>
      <w:r w:rsidRPr="00756B4A">
        <w:rPr>
          <w:rFonts w:ascii="Arial" w:hAnsi="Arial" w:cs="Arial"/>
          <w:color w:val="222222"/>
          <w:shd w:val="clear" w:color="auto" w:fill="FFFFFF"/>
        </w:rPr>
        <w:t>(2), pp.377-399.</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Kandel, B.P., 2024.</w:t>
      </w:r>
      <w:r w:rsidRPr="00756B4A">
        <w:rPr>
          <w:rStyle w:val="apple-converted-space"/>
          <w:rFonts w:ascii="Arial" w:hAnsi="Arial" w:cs="Arial"/>
          <w:color w:val="222222"/>
          <w:shd w:val="clear" w:color="auto" w:fill="FFFFFF"/>
        </w:rPr>
        <w:t> </w:t>
      </w:r>
      <w:r w:rsidRPr="00756B4A">
        <w:rPr>
          <w:rFonts w:ascii="Arial" w:hAnsi="Arial" w:cs="Arial"/>
          <w:i/>
          <w:iCs/>
          <w:color w:val="222222"/>
        </w:rPr>
        <w:t>FINANCIAL TECHNOLOGY AND PAYMENT SYSTEMS IN NEPAL</w:t>
      </w:r>
      <w:r w:rsidRPr="00756B4A">
        <w:rPr>
          <w:rStyle w:val="apple-converted-space"/>
          <w:rFonts w:ascii="Arial" w:hAnsi="Arial" w:cs="Arial"/>
          <w:color w:val="222222"/>
          <w:shd w:val="clear" w:color="auto" w:fill="FFFFFF"/>
        </w:rPr>
        <w:t> </w:t>
      </w:r>
      <w:r w:rsidRPr="00756B4A">
        <w:rPr>
          <w:rFonts w:ascii="Arial" w:hAnsi="Arial" w:cs="Arial"/>
          <w:color w:val="222222"/>
          <w:shd w:val="clear" w:color="auto" w:fill="FFFFFF"/>
        </w:rPr>
        <w:t>(Doctoral dissertation, Shanker Dev Campus).</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222222"/>
          <w:shd w:val="clear" w:color="auto" w:fill="FFFFFF"/>
        </w:rPr>
        <w:t>Kaplan, Robert S., and Anette Mikes. "Managing risks: A new framework." (2020).</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shd w:val="clear" w:color="auto" w:fill="FFFFFF"/>
        </w:rPr>
        <w:t>KC, N., &amp; KC, A. (2024). Raising Good Governance through Digital Payment Systems: Insights from Nepal and India’s UPI.</w:t>
      </w:r>
      <w:r w:rsidRPr="00756B4A">
        <w:rPr>
          <w:rStyle w:val="apple-converted-space"/>
          <w:rFonts w:ascii="Arial" w:hAnsi="Arial" w:cs="Arial"/>
          <w:shd w:val="clear" w:color="auto" w:fill="FFFFFF"/>
        </w:rPr>
        <w:t> </w:t>
      </w:r>
      <w:r w:rsidRPr="00756B4A">
        <w:rPr>
          <w:rFonts w:ascii="Arial" w:hAnsi="Arial" w:cs="Arial"/>
          <w:i/>
          <w:iCs/>
        </w:rPr>
        <w:t>Butwal Campus Journal</w:t>
      </w:r>
      <w:r w:rsidRPr="00756B4A">
        <w:rPr>
          <w:rFonts w:ascii="Arial" w:hAnsi="Arial" w:cs="Arial"/>
          <w:shd w:val="clear" w:color="auto" w:fill="FFFFFF"/>
        </w:rPr>
        <w:t>,</w:t>
      </w:r>
      <w:r w:rsidRPr="00756B4A">
        <w:rPr>
          <w:rStyle w:val="apple-converted-space"/>
          <w:rFonts w:ascii="Arial" w:hAnsi="Arial" w:cs="Arial"/>
          <w:shd w:val="clear" w:color="auto" w:fill="FFFFFF"/>
        </w:rPr>
        <w:t> </w:t>
      </w:r>
      <w:r w:rsidRPr="00756B4A">
        <w:rPr>
          <w:rFonts w:ascii="Arial" w:hAnsi="Arial" w:cs="Arial"/>
          <w:i/>
          <w:iCs/>
        </w:rPr>
        <w:t>7</w:t>
      </w:r>
      <w:r w:rsidRPr="00756B4A">
        <w:rPr>
          <w:rFonts w:ascii="Arial" w:hAnsi="Arial" w:cs="Arial"/>
          <w:shd w:val="clear" w:color="auto" w:fill="FFFFFF"/>
        </w:rPr>
        <w:t>(2), 1–14.</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Lam, J., 2014.</w:t>
      </w:r>
      <w:r w:rsidRPr="00756B4A">
        <w:rPr>
          <w:rStyle w:val="apple-converted-space"/>
          <w:rFonts w:ascii="Arial" w:hAnsi="Arial" w:cs="Arial"/>
          <w:color w:val="222222"/>
          <w:shd w:val="clear" w:color="auto" w:fill="FFFFFF"/>
        </w:rPr>
        <w:t> </w:t>
      </w:r>
      <w:r w:rsidRPr="00756B4A">
        <w:rPr>
          <w:rFonts w:ascii="Arial" w:hAnsi="Arial" w:cs="Arial"/>
          <w:i/>
          <w:iCs/>
          <w:color w:val="222222"/>
        </w:rPr>
        <w:t>Enterprise risk management: from incentives to controls</w:t>
      </w:r>
      <w:r w:rsidRPr="00756B4A">
        <w:rPr>
          <w:rFonts w:ascii="Arial" w:hAnsi="Arial" w:cs="Arial"/>
          <w:color w:val="222222"/>
          <w:shd w:val="clear" w:color="auto" w:fill="FFFFFF"/>
        </w:rPr>
        <w:t>. John Wiley &amp; Sons.</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Lovelock, C. and Wirtz, J. (2021) </w:t>
      </w:r>
      <w:r w:rsidRPr="00756B4A">
        <w:rPr>
          <w:rFonts w:ascii="Arial" w:hAnsi="Arial" w:cs="Arial"/>
          <w:i/>
          <w:iCs/>
          <w:color w:val="000000"/>
        </w:rPr>
        <w:t>Services marketing: People, technology, strategy</w:t>
      </w:r>
      <w:r w:rsidRPr="00756B4A">
        <w:rPr>
          <w:rFonts w:ascii="Arial" w:hAnsi="Arial" w:cs="Arial"/>
          <w:color w:val="000000"/>
        </w:rPr>
        <w:t xml:space="preserve">. 9th </w:t>
      </w:r>
      <w:proofErr w:type="spellStart"/>
      <w:r w:rsidRPr="00756B4A">
        <w:rPr>
          <w:rFonts w:ascii="Arial" w:hAnsi="Arial" w:cs="Arial"/>
          <w:color w:val="000000"/>
        </w:rPr>
        <w:t>edn</w:t>
      </w:r>
      <w:proofErr w:type="spellEnd"/>
      <w:r w:rsidRPr="00756B4A">
        <w:rPr>
          <w:rFonts w:ascii="Arial" w:hAnsi="Arial" w:cs="Arial"/>
          <w:color w:val="000000"/>
        </w:rPr>
        <w:t>. Singapore: World Scientific.</w:t>
      </w:r>
    </w:p>
    <w:p w:rsidR="00756B4A" w:rsidRPr="00756B4A" w:rsidRDefault="00756B4A" w:rsidP="00756B4A">
      <w:pPr>
        <w:spacing w:before="100" w:beforeAutospacing="1" w:after="100" w:afterAutospacing="1"/>
        <w:jc w:val="both"/>
        <w:rPr>
          <w:rFonts w:ascii="Arial" w:hAnsi="Arial" w:cs="Arial"/>
          <w:color w:val="000000"/>
        </w:rPr>
      </w:pPr>
      <w:proofErr w:type="spellStart"/>
      <w:r w:rsidRPr="00756B4A">
        <w:rPr>
          <w:rFonts w:ascii="Arial" w:hAnsi="Arial" w:cs="Arial"/>
          <w:color w:val="222222"/>
          <w:shd w:val="clear" w:color="auto" w:fill="FFFFFF"/>
        </w:rPr>
        <w:lastRenderedPageBreak/>
        <w:t>Mahato</w:t>
      </w:r>
      <w:proofErr w:type="spellEnd"/>
      <w:r w:rsidRPr="00756B4A">
        <w:rPr>
          <w:rFonts w:ascii="Arial" w:hAnsi="Arial" w:cs="Arial"/>
          <w:color w:val="222222"/>
          <w:shd w:val="clear" w:color="auto" w:fill="FFFFFF"/>
        </w:rPr>
        <w:t>, S., Nayak, R.K., Raut, A.D. and Yadav, J., 2024. Electronic Fraud (Cyber Fraud) Risk in the Banking Industry of Nepal.</w:t>
      </w:r>
      <w:r w:rsidRPr="00756B4A">
        <w:rPr>
          <w:rStyle w:val="apple-converted-space"/>
          <w:rFonts w:ascii="Arial" w:hAnsi="Arial" w:cs="Arial"/>
          <w:color w:val="222222"/>
          <w:shd w:val="clear" w:color="auto" w:fill="FFFFFF"/>
        </w:rPr>
        <w:t> </w:t>
      </w:r>
      <w:r w:rsidRPr="00756B4A">
        <w:rPr>
          <w:rFonts w:ascii="Arial" w:hAnsi="Arial" w:cs="Arial"/>
          <w:i/>
          <w:iCs/>
          <w:color w:val="222222"/>
        </w:rPr>
        <w:t>International Journal of Scientific Research in Engineering and Management</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8</w:t>
      </w:r>
      <w:r w:rsidRPr="00756B4A">
        <w:rPr>
          <w:rFonts w:ascii="Arial" w:hAnsi="Arial" w:cs="Arial"/>
          <w:color w:val="222222"/>
          <w:shd w:val="clear" w:color="auto" w:fill="FFFFFF"/>
        </w:rPr>
        <w:t>, p.12</w:t>
      </w:r>
    </w:p>
    <w:p w:rsidR="00756B4A" w:rsidRPr="00756B4A" w:rsidRDefault="00756B4A" w:rsidP="00756B4A">
      <w:pPr>
        <w:spacing w:before="100" w:beforeAutospacing="1" w:after="100" w:afterAutospacing="1"/>
        <w:jc w:val="both"/>
        <w:rPr>
          <w:rFonts w:ascii="Arial" w:hAnsi="Arial" w:cs="Arial"/>
          <w:color w:val="000000"/>
        </w:rPr>
      </w:pPr>
      <w:proofErr w:type="spellStart"/>
      <w:r w:rsidRPr="00756B4A">
        <w:rPr>
          <w:rFonts w:ascii="Arial" w:hAnsi="Arial" w:cs="Arial"/>
          <w:color w:val="000000"/>
        </w:rPr>
        <w:t>Maxham</w:t>
      </w:r>
      <w:proofErr w:type="spellEnd"/>
      <w:r w:rsidRPr="00756B4A">
        <w:rPr>
          <w:rFonts w:ascii="Arial" w:hAnsi="Arial" w:cs="Arial"/>
          <w:color w:val="000000"/>
        </w:rPr>
        <w:t>, J. (2020) ‘Service recovery’s influence on consumer satisfaction’, </w:t>
      </w:r>
      <w:r w:rsidRPr="00756B4A">
        <w:rPr>
          <w:rFonts w:ascii="Arial" w:hAnsi="Arial" w:cs="Arial"/>
          <w:i/>
          <w:iCs/>
          <w:color w:val="000000"/>
        </w:rPr>
        <w:t>Journal of Business Research</w:t>
      </w:r>
      <w:r w:rsidRPr="00756B4A">
        <w:rPr>
          <w:rFonts w:ascii="Arial" w:hAnsi="Arial" w:cs="Arial"/>
          <w:color w:val="000000"/>
        </w:rPr>
        <w:t>, 113, pp. 1–10.</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McColl-Kennedy, J., Cheung, L. and Ferrier, E. (2020) ‘Customer journey mapping’, </w:t>
      </w:r>
      <w:r w:rsidRPr="00756B4A">
        <w:rPr>
          <w:rFonts w:ascii="Arial" w:hAnsi="Arial" w:cs="Arial"/>
          <w:i/>
          <w:iCs/>
          <w:color w:val="000000"/>
        </w:rPr>
        <w:t>Journal of Service Research</w:t>
      </w:r>
      <w:r w:rsidRPr="00756B4A">
        <w:rPr>
          <w:rFonts w:ascii="Arial" w:hAnsi="Arial" w:cs="Arial"/>
          <w:color w:val="000000"/>
        </w:rPr>
        <w:t>, 23(2), pp. 1–20.</w:t>
      </w:r>
    </w:p>
    <w:p w:rsidR="00756B4A" w:rsidRPr="00756B4A" w:rsidRDefault="00756B4A" w:rsidP="00756B4A">
      <w:pPr>
        <w:spacing w:before="100" w:beforeAutospacing="1" w:after="100" w:afterAutospacing="1"/>
        <w:jc w:val="both"/>
        <w:rPr>
          <w:rFonts w:ascii="Arial" w:hAnsi="Arial" w:cs="Arial"/>
          <w:color w:val="000000" w:themeColor="text1"/>
        </w:rPr>
      </w:pPr>
      <w:r w:rsidRPr="00756B4A">
        <w:rPr>
          <w:rFonts w:ascii="Arial" w:hAnsi="Arial" w:cs="Arial"/>
          <w:color w:val="000000" w:themeColor="text1"/>
        </w:rPr>
        <w:t xml:space="preserve">Mikes, A. (2020) ‘Risk management practices in </w:t>
      </w:r>
      <w:proofErr w:type="spellStart"/>
      <w:r w:rsidRPr="00756B4A">
        <w:rPr>
          <w:rFonts w:ascii="Arial" w:hAnsi="Arial" w:cs="Arial"/>
          <w:color w:val="000000" w:themeColor="text1"/>
        </w:rPr>
        <w:t>organisations</w:t>
      </w:r>
      <w:proofErr w:type="spellEnd"/>
      <w:r w:rsidRPr="00756B4A">
        <w:rPr>
          <w:rFonts w:ascii="Arial" w:hAnsi="Arial" w:cs="Arial"/>
          <w:color w:val="000000" w:themeColor="text1"/>
        </w:rPr>
        <w:t>’, </w:t>
      </w:r>
      <w:r w:rsidRPr="00756B4A">
        <w:rPr>
          <w:rFonts w:ascii="Arial" w:hAnsi="Arial" w:cs="Arial"/>
          <w:i/>
          <w:iCs/>
          <w:color w:val="000000" w:themeColor="text1"/>
        </w:rPr>
        <w:t>Management Accounting Research</w:t>
      </w:r>
      <w:r w:rsidRPr="00756B4A">
        <w:rPr>
          <w:rFonts w:ascii="Arial" w:hAnsi="Arial" w:cs="Arial"/>
          <w:color w:val="000000" w:themeColor="text1"/>
        </w:rPr>
        <w:t>, 47, pp. 1–15.</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Moosa</w:t>
      </w:r>
      <w:proofErr w:type="spellEnd"/>
      <w:r w:rsidRPr="00756B4A">
        <w:rPr>
          <w:rFonts w:ascii="Arial" w:hAnsi="Arial" w:cs="Arial"/>
          <w:color w:val="222222"/>
          <w:shd w:val="clear" w:color="auto" w:fill="FFFFFF"/>
        </w:rPr>
        <w:t>, I.A., 2007.</w:t>
      </w:r>
      <w:r w:rsidRPr="00756B4A">
        <w:rPr>
          <w:rStyle w:val="apple-converted-space"/>
          <w:rFonts w:ascii="Arial" w:hAnsi="Arial" w:cs="Arial"/>
          <w:color w:val="222222"/>
          <w:shd w:val="clear" w:color="auto" w:fill="FFFFFF"/>
        </w:rPr>
        <w:t> </w:t>
      </w:r>
      <w:r w:rsidRPr="00756B4A">
        <w:rPr>
          <w:rFonts w:ascii="Arial" w:hAnsi="Arial" w:cs="Arial"/>
          <w:i/>
          <w:iCs/>
          <w:color w:val="222222"/>
        </w:rPr>
        <w:t>Operational risk management</w:t>
      </w:r>
      <w:r w:rsidRPr="00756B4A">
        <w:rPr>
          <w:rFonts w:ascii="Arial" w:hAnsi="Arial" w:cs="Arial"/>
          <w:color w:val="222222"/>
          <w:shd w:val="clear" w:color="auto" w:fill="FFFFFF"/>
        </w:rPr>
        <w:t>. New York: Palgrave Macmillan.</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NRB (2021) </w:t>
      </w:r>
      <w:r w:rsidRPr="00756B4A">
        <w:rPr>
          <w:rFonts w:ascii="Arial" w:hAnsi="Arial" w:cs="Arial"/>
          <w:i/>
          <w:iCs/>
          <w:color w:val="000000"/>
        </w:rPr>
        <w:t>Payment systems development strategy</w:t>
      </w:r>
      <w:r w:rsidRPr="00756B4A">
        <w:rPr>
          <w:rFonts w:ascii="Arial" w:hAnsi="Arial" w:cs="Arial"/>
          <w:color w:val="000000"/>
        </w:rPr>
        <w:t xml:space="preserve">. Kathmandu: Nepal </w:t>
      </w:r>
      <w:proofErr w:type="spellStart"/>
      <w:r w:rsidRPr="00756B4A">
        <w:rPr>
          <w:rFonts w:ascii="Arial" w:hAnsi="Arial" w:cs="Arial"/>
          <w:color w:val="000000"/>
        </w:rPr>
        <w:t>Rastra</w:t>
      </w:r>
      <w:proofErr w:type="spellEnd"/>
      <w:r w:rsidRPr="00756B4A">
        <w:rPr>
          <w:rFonts w:ascii="Arial" w:hAnsi="Arial" w:cs="Arial"/>
          <w:color w:val="000000"/>
        </w:rPr>
        <w:t xml:space="preserve"> Bank.</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Neupane, S., 2024. Dispute Resolution Practices in Private and Public Banks of Nepal: A Comparative Study.</w:t>
      </w:r>
      <w:r w:rsidRPr="00756B4A">
        <w:rPr>
          <w:rStyle w:val="apple-converted-space"/>
          <w:rFonts w:ascii="Arial" w:hAnsi="Arial" w:cs="Arial"/>
          <w:color w:val="222222"/>
          <w:shd w:val="clear" w:color="auto" w:fill="FFFFFF"/>
        </w:rPr>
        <w:t> </w:t>
      </w:r>
      <w:r w:rsidRPr="00756B4A">
        <w:rPr>
          <w:rFonts w:ascii="Arial" w:hAnsi="Arial" w:cs="Arial"/>
          <w:i/>
          <w:iCs/>
          <w:color w:val="222222"/>
        </w:rPr>
        <w:t>Nepalese Journal of Development and Rural Studies</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21</w:t>
      </w:r>
      <w:r w:rsidRPr="00756B4A">
        <w:rPr>
          <w:rFonts w:ascii="Arial" w:hAnsi="Arial" w:cs="Arial"/>
          <w:color w:val="222222"/>
          <w:shd w:val="clear" w:color="auto" w:fill="FFFFFF"/>
        </w:rPr>
        <w:t>(01), pp.49-56.</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NRB (2022) </w:t>
      </w:r>
      <w:r w:rsidRPr="00756B4A">
        <w:rPr>
          <w:rFonts w:ascii="Arial" w:hAnsi="Arial" w:cs="Arial"/>
          <w:i/>
          <w:iCs/>
          <w:color w:val="000000"/>
        </w:rPr>
        <w:t>Annual report</w:t>
      </w:r>
      <w:r w:rsidRPr="00756B4A">
        <w:rPr>
          <w:rFonts w:ascii="Arial" w:hAnsi="Arial" w:cs="Arial"/>
          <w:color w:val="000000"/>
        </w:rPr>
        <w:t xml:space="preserve">. Kathmandu: Nepal </w:t>
      </w:r>
      <w:proofErr w:type="spellStart"/>
      <w:r w:rsidRPr="00756B4A">
        <w:rPr>
          <w:rFonts w:ascii="Arial" w:hAnsi="Arial" w:cs="Arial"/>
          <w:color w:val="000000"/>
        </w:rPr>
        <w:t>Rastra</w:t>
      </w:r>
      <w:proofErr w:type="spellEnd"/>
      <w:r w:rsidRPr="00756B4A">
        <w:rPr>
          <w:rFonts w:ascii="Arial" w:hAnsi="Arial" w:cs="Arial"/>
          <w:color w:val="000000"/>
        </w:rPr>
        <w:t xml:space="preserve"> Bank.</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Lie, L., 2023. OECD principles of corporate governance. In</w:t>
      </w:r>
      <w:r w:rsidRPr="00756B4A">
        <w:rPr>
          <w:rStyle w:val="apple-converted-space"/>
          <w:rFonts w:ascii="Arial" w:hAnsi="Arial" w:cs="Arial"/>
          <w:color w:val="222222"/>
          <w:shd w:val="clear" w:color="auto" w:fill="FFFFFF"/>
        </w:rPr>
        <w:t> </w:t>
      </w:r>
      <w:r w:rsidRPr="00756B4A">
        <w:rPr>
          <w:rFonts w:ascii="Arial" w:hAnsi="Arial" w:cs="Arial"/>
          <w:i/>
          <w:iCs/>
          <w:color w:val="222222"/>
        </w:rPr>
        <w:t>Encyclopedia of Sustainable Management</w:t>
      </w:r>
      <w:r w:rsidRPr="00756B4A">
        <w:rPr>
          <w:rStyle w:val="apple-converted-space"/>
          <w:rFonts w:ascii="Arial" w:hAnsi="Arial" w:cs="Arial"/>
          <w:color w:val="222222"/>
          <w:shd w:val="clear" w:color="auto" w:fill="FFFFFF"/>
        </w:rPr>
        <w:t> </w:t>
      </w:r>
      <w:r w:rsidRPr="00756B4A">
        <w:rPr>
          <w:rFonts w:ascii="Arial" w:hAnsi="Arial" w:cs="Arial"/>
          <w:color w:val="222222"/>
          <w:shd w:val="clear" w:color="auto" w:fill="FFFFFF"/>
        </w:rPr>
        <w:t>(pp. 2497-2500). Cham: Springer International Publishing.</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Ozili</w:t>
      </w:r>
      <w:proofErr w:type="spellEnd"/>
      <w:r w:rsidRPr="00756B4A">
        <w:rPr>
          <w:rFonts w:ascii="Arial" w:hAnsi="Arial" w:cs="Arial"/>
          <w:color w:val="222222"/>
          <w:shd w:val="clear" w:color="auto" w:fill="FFFFFF"/>
        </w:rPr>
        <w:t>, P.K., 2020. Theories of financial inclusion.</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Pandey, R. (2022) ‘ICT infrastructure challenges in Nepalese banking’, </w:t>
      </w:r>
      <w:r w:rsidRPr="00756B4A">
        <w:rPr>
          <w:rFonts w:ascii="Arial" w:hAnsi="Arial" w:cs="Arial"/>
          <w:i/>
          <w:iCs/>
          <w:color w:val="000000"/>
        </w:rPr>
        <w:t>Journal of Information Systems</w:t>
      </w:r>
      <w:r w:rsidRPr="00756B4A">
        <w:rPr>
          <w:rFonts w:ascii="Arial" w:hAnsi="Arial" w:cs="Arial"/>
          <w:color w:val="000000"/>
        </w:rPr>
        <w:t>, 18(2), pp. 34–50.</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proofErr w:type="spellStart"/>
      <w:r w:rsidRPr="00756B4A">
        <w:rPr>
          <w:rFonts w:ascii="Arial" w:hAnsi="Arial" w:cs="Arial"/>
          <w:color w:val="222222"/>
          <w:shd w:val="clear" w:color="auto" w:fill="FFFFFF"/>
        </w:rPr>
        <w:t>Papaioannou</w:t>
      </w:r>
      <w:proofErr w:type="spellEnd"/>
      <w:r w:rsidRPr="00756B4A">
        <w:rPr>
          <w:rFonts w:ascii="Arial" w:hAnsi="Arial" w:cs="Arial"/>
          <w:color w:val="222222"/>
          <w:shd w:val="clear" w:color="auto" w:fill="FFFFFF"/>
        </w:rPr>
        <w:t>, D., Sutton, A. and Booth, A., 2016. Systematic approaches to a successful literature review.</w:t>
      </w:r>
      <w:r w:rsidRPr="00756B4A">
        <w:rPr>
          <w:rStyle w:val="apple-converted-space"/>
          <w:rFonts w:ascii="Arial" w:hAnsi="Arial" w:cs="Arial"/>
          <w:color w:val="222222"/>
          <w:shd w:val="clear" w:color="auto" w:fill="FFFFFF"/>
        </w:rPr>
        <w:t> </w:t>
      </w:r>
      <w:r w:rsidRPr="00756B4A">
        <w:rPr>
          <w:rFonts w:ascii="Arial" w:hAnsi="Arial" w:cs="Arial"/>
          <w:i/>
          <w:iCs/>
          <w:color w:val="222222"/>
        </w:rPr>
        <w:t>Systematic approaches to a successful literature review</w:t>
      </w:r>
      <w:r w:rsidRPr="00756B4A">
        <w:rPr>
          <w:rFonts w:ascii="Arial" w:hAnsi="Arial" w:cs="Arial"/>
          <w:color w:val="222222"/>
          <w:shd w:val="clear" w:color="auto" w:fill="FFFFFF"/>
        </w:rPr>
        <w:t>, pp.1-336.</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Paudel</w:t>
      </w:r>
      <w:proofErr w:type="spellEnd"/>
      <w:r w:rsidRPr="00756B4A">
        <w:rPr>
          <w:rFonts w:ascii="Arial" w:hAnsi="Arial" w:cs="Arial"/>
          <w:color w:val="222222"/>
          <w:shd w:val="clear" w:color="auto" w:fill="FFFFFF"/>
        </w:rPr>
        <w:t>, R.C. and Acharya, C.P., 2020. Financial development and economic growth: Evidence from Nepal.</w:t>
      </w:r>
      <w:r w:rsidRPr="00756B4A">
        <w:rPr>
          <w:rStyle w:val="apple-converted-space"/>
          <w:rFonts w:ascii="Arial" w:hAnsi="Arial" w:cs="Arial"/>
          <w:color w:val="222222"/>
          <w:shd w:val="clear" w:color="auto" w:fill="FFFFFF"/>
        </w:rPr>
        <w:t> </w:t>
      </w:r>
      <w:r w:rsidRPr="00756B4A">
        <w:rPr>
          <w:rFonts w:ascii="Arial" w:hAnsi="Arial" w:cs="Arial"/>
          <w:i/>
          <w:iCs/>
          <w:color w:val="222222"/>
        </w:rPr>
        <w:t>NRB Economic Review</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32</w:t>
      </w:r>
      <w:r w:rsidRPr="00756B4A">
        <w:rPr>
          <w:rFonts w:ascii="Arial" w:hAnsi="Arial" w:cs="Arial"/>
          <w:color w:val="222222"/>
          <w:shd w:val="clear" w:color="auto" w:fill="FFFFFF"/>
        </w:rPr>
        <w:t>(1), pp.15-36.</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 xml:space="preserve">Paul, J. and </w:t>
      </w:r>
      <w:proofErr w:type="spellStart"/>
      <w:r w:rsidRPr="00756B4A">
        <w:rPr>
          <w:rFonts w:ascii="Arial" w:hAnsi="Arial" w:cs="Arial"/>
          <w:color w:val="222222"/>
          <w:shd w:val="clear" w:color="auto" w:fill="FFFFFF"/>
        </w:rPr>
        <w:t>Criado</w:t>
      </w:r>
      <w:proofErr w:type="spellEnd"/>
      <w:r w:rsidRPr="00756B4A">
        <w:rPr>
          <w:rFonts w:ascii="Arial" w:hAnsi="Arial" w:cs="Arial"/>
          <w:color w:val="222222"/>
          <w:shd w:val="clear" w:color="auto" w:fill="FFFFFF"/>
        </w:rPr>
        <w:t xml:space="preserve">, A.R., 2020. The art of writing literature review: what do we know and what do we need to </w:t>
      </w:r>
      <w:proofErr w:type="gramStart"/>
      <w:r w:rsidRPr="00756B4A">
        <w:rPr>
          <w:rFonts w:ascii="Arial" w:hAnsi="Arial" w:cs="Arial"/>
          <w:color w:val="222222"/>
          <w:shd w:val="clear" w:color="auto" w:fill="FFFFFF"/>
        </w:rPr>
        <w:t>know?.</w:t>
      </w:r>
      <w:proofErr w:type="gramEnd"/>
      <w:r w:rsidRPr="00756B4A">
        <w:rPr>
          <w:rStyle w:val="apple-converted-space"/>
          <w:rFonts w:ascii="Arial" w:hAnsi="Arial" w:cs="Arial"/>
          <w:color w:val="222222"/>
          <w:shd w:val="clear" w:color="auto" w:fill="FFFFFF"/>
        </w:rPr>
        <w:t> </w:t>
      </w:r>
      <w:r w:rsidRPr="00756B4A">
        <w:rPr>
          <w:rFonts w:ascii="Arial" w:hAnsi="Arial" w:cs="Arial"/>
          <w:i/>
          <w:iCs/>
          <w:color w:val="222222"/>
        </w:rPr>
        <w:t>International business review</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29</w:t>
      </w:r>
      <w:r w:rsidRPr="00756B4A">
        <w:rPr>
          <w:rFonts w:ascii="Arial" w:hAnsi="Arial" w:cs="Arial"/>
          <w:color w:val="222222"/>
          <w:shd w:val="clear" w:color="auto" w:fill="FFFFFF"/>
        </w:rPr>
        <w:t>(4), p.101717.</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222222"/>
          <w:shd w:val="clear" w:color="auto" w:fill="FFFFFF"/>
        </w:rPr>
        <w:t>Power, M., 2007.</w:t>
      </w:r>
      <w:r w:rsidRPr="00756B4A">
        <w:rPr>
          <w:rStyle w:val="apple-converted-space"/>
          <w:rFonts w:ascii="Arial" w:hAnsi="Arial" w:cs="Arial"/>
          <w:color w:val="222222"/>
          <w:shd w:val="clear" w:color="auto" w:fill="FFFFFF"/>
        </w:rPr>
        <w:t> </w:t>
      </w:r>
      <w:r w:rsidRPr="00756B4A">
        <w:rPr>
          <w:rFonts w:ascii="Arial" w:hAnsi="Arial" w:cs="Arial"/>
          <w:i/>
          <w:iCs/>
          <w:color w:val="222222"/>
        </w:rPr>
        <w:t>Organized uncertainty: Designing a world of risk management</w:t>
      </w:r>
      <w:r w:rsidRPr="00756B4A">
        <w:rPr>
          <w:rFonts w:ascii="Arial" w:hAnsi="Arial" w:cs="Arial"/>
          <w:color w:val="222222"/>
          <w:shd w:val="clear" w:color="auto" w:fill="FFFFFF"/>
        </w:rPr>
        <w:t>. Oxford University Press.</w:t>
      </w:r>
    </w:p>
    <w:p w:rsidR="00756B4A" w:rsidRPr="00756B4A" w:rsidRDefault="00756B4A" w:rsidP="00756B4A">
      <w:pPr>
        <w:spacing w:before="100" w:beforeAutospacing="1" w:after="100" w:afterAutospacing="1"/>
        <w:jc w:val="both"/>
        <w:rPr>
          <w:rFonts w:ascii="Arial" w:hAnsi="Arial" w:cs="Arial"/>
          <w:color w:val="000000"/>
          <w:highlight w:val="lightGray"/>
        </w:rPr>
      </w:pPr>
      <w:r w:rsidRPr="00756B4A">
        <w:rPr>
          <w:rFonts w:ascii="Arial" w:hAnsi="Arial" w:cs="Arial"/>
          <w:color w:val="222222"/>
          <w:shd w:val="clear" w:color="auto" w:fill="FFFFFF"/>
        </w:rPr>
        <w:t>PricewaterhouseCoopers, L.L.P., Committee of Sponsoring Organizations of the Treadway Commission (COSO</w:t>
      </w:r>
      <w:proofErr w:type="gramStart"/>
      <w:r w:rsidRPr="00756B4A">
        <w:rPr>
          <w:rFonts w:ascii="Arial" w:hAnsi="Arial" w:cs="Arial"/>
          <w:color w:val="222222"/>
          <w:shd w:val="clear" w:color="auto" w:fill="FFFFFF"/>
        </w:rPr>
        <w:t>).(</w:t>
      </w:r>
      <w:proofErr w:type="gramEnd"/>
      <w:r w:rsidRPr="00756B4A">
        <w:rPr>
          <w:rFonts w:ascii="Arial" w:hAnsi="Arial" w:cs="Arial"/>
          <w:color w:val="222222"/>
          <w:shd w:val="clear" w:color="auto" w:fill="FFFFFF"/>
        </w:rPr>
        <w:t>2017) Enterprise Risk Management: Integrating with Strategy and Performance.</w:t>
      </w:r>
      <w:r w:rsidRPr="00756B4A">
        <w:rPr>
          <w:rStyle w:val="apple-converted-space"/>
          <w:rFonts w:ascii="Arial" w:hAnsi="Arial" w:cs="Arial"/>
          <w:color w:val="222222"/>
          <w:shd w:val="clear" w:color="auto" w:fill="FFFFFF"/>
        </w:rPr>
        <w:t> </w:t>
      </w:r>
      <w:r w:rsidRPr="00756B4A">
        <w:rPr>
          <w:rFonts w:ascii="Arial" w:hAnsi="Arial" w:cs="Arial"/>
          <w:i/>
          <w:iCs/>
          <w:color w:val="222222"/>
        </w:rPr>
        <w:t>New York: COSO</w:t>
      </w:r>
      <w:r w:rsidRPr="00756B4A">
        <w:rPr>
          <w:rFonts w:ascii="Arial" w:hAnsi="Arial" w:cs="Arial"/>
          <w:color w:val="222222"/>
          <w:shd w:val="clear" w:color="auto" w:fill="FFFFFF"/>
        </w:rPr>
        <w:t>, pp.69-74.</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PwC (2021) </w:t>
      </w:r>
      <w:r w:rsidRPr="00756B4A">
        <w:rPr>
          <w:rFonts w:ascii="Arial" w:hAnsi="Arial" w:cs="Arial"/>
          <w:i/>
          <w:iCs/>
          <w:color w:val="000000"/>
        </w:rPr>
        <w:t>Risk in review study</w:t>
      </w:r>
      <w:r w:rsidRPr="00756B4A">
        <w:rPr>
          <w:rFonts w:ascii="Arial" w:hAnsi="Arial" w:cs="Arial"/>
          <w:color w:val="000000"/>
        </w:rPr>
        <w:t>. London: PricewaterhouseCoopers.</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lastRenderedPageBreak/>
        <w:t>Sayaju</w:t>
      </w:r>
      <w:proofErr w:type="spellEnd"/>
      <w:r w:rsidRPr="00756B4A">
        <w:rPr>
          <w:rFonts w:ascii="Arial" w:hAnsi="Arial" w:cs="Arial"/>
          <w:color w:val="222222"/>
          <w:shd w:val="clear" w:color="auto" w:fill="FFFFFF"/>
        </w:rPr>
        <w:t xml:space="preserve">, A. and </w:t>
      </w:r>
      <w:proofErr w:type="spellStart"/>
      <w:r w:rsidRPr="00756B4A">
        <w:rPr>
          <w:rFonts w:ascii="Arial" w:hAnsi="Arial" w:cs="Arial"/>
          <w:color w:val="222222"/>
          <w:shd w:val="clear" w:color="auto" w:fill="FFFFFF"/>
        </w:rPr>
        <w:t>Dhakal</w:t>
      </w:r>
      <w:proofErr w:type="spellEnd"/>
      <w:r w:rsidRPr="00756B4A">
        <w:rPr>
          <w:rFonts w:ascii="Arial" w:hAnsi="Arial" w:cs="Arial"/>
          <w:color w:val="222222"/>
          <w:shd w:val="clear" w:color="auto" w:fill="FFFFFF"/>
        </w:rPr>
        <w:t>, K., 2024. Operational Risk Management and Its Impact on the Banking Sector in Nepal.</w:t>
      </w:r>
      <w:r w:rsidRPr="00756B4A">
        <w:rPr>
          <w:rStyle w:val="apple-converted-space"/>
          <w:rFonts w:ascii="Arial" w:hAnsi="Arial" w:cs="Arial"/>
          <w:color w:val="222222"/>
          <w:shd w:val="clear" w:color="auto" w:fill="FFFFFF"/>
        </w:rPr>
        <w:t> </w:t>
      </w:r>
      <w:proofErr w:type="spellStart"/>
      <w:r w:rsidRPr="00756B4A">
        <w:rPr>
          <w:rFonts w:ascii="Arial" w:hAnsi="Arial" w:cs="Arial"/>
          <w:i/>
          <w:iCs/>
          <w:color w:val="222222"/>
        </w:rPr>
        <w:t>Khwopa</w:t>
      </w:r>
      <w:proofErr w:type="spellEnd"/>
      <w:r w:rsidRPr="00756B4A">
        <w:rPr>
          <w:rFonts w:ascii="Arial" w:hAnsi="Arial" w:cs="Arial"/>
          <w:i/>
          <w:iCs/>
          <w:color w:val="222222"/>
        </w:rPr>
        <w:t xml:space="preserve"> Journal</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6</w:t>
      </w:r>
      <w:r w:rsidRPr="00756B4A">
        <w:rPr>
          <w:rFonts w:ascii="Arial" w:hAnsi="Arial" w:cs="Arial"/>
          <w:color w:val="222222"/>
          <w:shd w:val="clear" w:color="auto" w:fill="FFFFFF"/>
        </w:rPr>
        <w:t>(2), pp.1-17.</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Sharma, P. (2022) ‘Challenges in digital payment systems in Nepal’, </w:t>
      </w:r>
      <w:r w:rsidRPr="00756B4A">
        <w:rPr>
          <w:rFonts w:ascii="Arial" w:hAnsi="Arial" w:cs="Arial"/>
          <w:i/>
          <w:iCs/>
          <w:color w:val="000000"/>
        </w:rPr>
        <w:t>Economic Journal of Nepal</w:t>
      </w:r>
      <w:r w:rsidRPr="00756B4A">
        <w:rPr>
          <w:rFonts w:ascii="Arial" w:hAnsi="Arial" w:cs="Arial"/>
          <w:color w:val="000000"/>
        </w:rPr>
        <w:t>, 45(2), pp. 77–95.</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Sheedy, E. (2021) ‘Risk culture in financial institutions’, </w:t>
      </w:r>
      <w:r w:rsidRPr="00756B4A">
        <w:rPr>
          <w:rFonts w:ascii="Arial" w:hAnsi="Arial" w:cs="Arial"/>
          <w:i/>
          <w:iCs/>
          <w:color w:val="000000"/>
        </w:rPr>
        <w:t>Journal of Risk Research</w:t>
      </w:r>
      <w:r w:rsidRPr="00756B4A">
        <w:rPr>
          <w:rFonts w:ascii="Arial" w:hAnsi="Arial" w:cs="Arial"/>
          <w:color w:val="000000"/>
        </w:rPr>
        <w:t>, 24(3), pp. 1–15.</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Shrestha, R. (2021) ‘Digital banking adoption in Nepal’, </w:t>
      </w:r>
      <w:r w:rsidRPr="00756B4A">
        <w:rPr>
          <w:rFonts w:ascii="Arial" w:hAnsi="Arial" w:cs="Arial"/>
          <w:i/>
          <w:iCs/>
          <w:color w:val="000000"/>
        </w:rPr>
        <w:t>Nepalese Journal of Finance</w:t>
      </w:r>
      <w:r w:rsidRPr="00756B4A">
        <w:rPr>
          <w:rFonts w:ascii="Arial" w:hAnsi="Arial" w:cs="Arial"/>
          <w:color w:val="000000"/>
        </w:rPr>
        <w:t>, 9(1), pp. 40–58.</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Shrestha, A., 2024.</w:t>
      </w:r>
      <w:r w:rsidRPr="00756B4A">
        <w:rPr>
          <w:rStyle w:val="apple-converted-space"/>
          <w:rFonts w:ascii="Arial" w:hAnsi="Arial" w:cs="Arial"/>
          <w:color w:val="222222"/>
          <w:shd w:val="clear" w:color="auto" w:fill="FFFFFF"/>
        </w:rPr>
        <w:t> </w:t>
      </w:r>
      <w:r w:rsidRPr="00756B4A">
        <w:rPr>
          <w:rFonts w:ascii="Arial" w:hAnsi="Arial" w:cs="Arial"/>
          <w:i/>
          <w:iCs/>
          <w:color w:val="222222"/>
        </w:rPr>
        <w:t>CUSTOMER EXPERIENCE TOWARDS DIGITAL BANKING</w:t>
      </w:r>
      <w:r w:rsidRPr="00756B4A">
        <w:rPr>
          <w:rStyle w:val="apple-converted-space"/>
          <w:rFonts w:ascii="Arial" w:hAnsi="Arial" w:cs="Arial"/>
          <w:color w:val="222222"/>
          <w:shd w:val="clear" w:color="auto" w:fill="FFFFFF"/>
        </w:rPr>
        <w:t> </w:t>
      </w:r>
      <w:r w:rsidRPr="00756B4A">
        <w:rPr>
          <w:rFonts w:ascii="Arial" w:hAnsi="Arial" w:cs="Arial"/>
          <w:color w:val="222222"/>
          <w:shd w:val="clear" w:color="auto" w:fill="FFFFFF"/>
        </w:rPr>
        <w:t>(Doctoral dissertation, Shanker Dev Campus).</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proofErr w:type="spellStart"/>
      <w:r w:rsidRPr="00756B4A">
        <w:rPr>
          <w:rFonts w:ascii="Arial" w:hAnsi="Arial" w:cs="Arial"/>
          <w:color w:val="222222"/>
          <w:shd w:val="clear" w:color="auto" w:fill="FFFFFF"/>
        </w:rPr>
        <w:t>Sobanova</w:t>
      </w:r>
      <w:proofErr w:type="spellEnd"/>
      <w:r w:rsidRPr="00756B4A">
        <w:rPr>
          <w:rFonts w:ascii="Arial" w:hAnsi="Arial" w:cs="Arial"/>
          <w:color w:val="222222"/>
          <w:shd w:val="clear" w:color="auto" w:fill="FFFFFF"/>
        </w:rPr>
        <w:t xml:space="preserve">, J. and </w:t>
      </w:r>
      <w:proofErr w:type="spellStart"/>
      <w:r w:rsidRPr="00756B4A">
        <w:rPr>
          <w:rFonts w:ascii="Arial" w:hAnsi="Arial" w:cs="Arial"/>
          <w:color w:val="222222"/>
          <w:shd w:val="clear" w:color="auto" w:fill="FFFFFF"/>
        </w:rPr>
        <w:t>Kudinska</w:t>
      </w:r>
      <w:proofErr w:type="spellEnd"/>
      <w:r w:rsidRPr="00756B4A">
        <w:rPr>
          <w:rFonts w:ascii="Arial" w:hAnsi="Arial" w:cs="Arial"/>
          <w:color w:val="222222"/>
          <w:shd w:val="clear" w:color="auto" w:fill="FFFFFF"/>
        </w:rPr>
        <w:t>, M., 2022. NEW TENDENCIES IN OPERATIONAL RISK MANAGEMENT IN BANKS: CHALLENGES AND OPPORTUNITIES.</w:t>
      </w:r>
      <w:r w:rsidRPr="00756B4A">
        <w:rPr>
          <w:rStyle w:val="apple-converted-space"/>
          <w:rFonts w:ascii="Arial" w:hAnsi="Arial" w:cs="Arial"/>
          <w:color w:val="222222"/>
          <w:shd w:val="clear" w:color="auto" w:fill="FFFFFF"/>
        </w:rPr>
        <w:t> </w:t>
      </w:r>
      <w:r w:rsidRPr="00756B4A">
        <w:rPr>
          <w:rFonts w:ascii="Arial" w:hAnsi="Arial" w:cs="Arial"/>
          <w:i/>
          <w:iCs/>
          <w:color w:val="222222"/>
        </w:rPr>
        <w:t>Humanities &amp; Social Sciences Latvia</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30</w:t>
      </w:r>
      <w:r w:rsidRPr="00756B4A">
        <w:rPr>
          <w:rFonts w:ascii="Arial" w:hAnsi="Arial" w:cs="Arial"/>
          <w:color w:val="222222"/>
          <w:shd w:val="clear" w:color="auto" w:fill="FFFFFF"/>
        </w:rPr>
        <w:t>.</w:t>
      </w:r>
    </w:p>
    <w:p w:rsidR="00756B4A" w:rsidRPr="00756B4A" w:rsidRDefault="00756B4A" w:rsidP="00756B4A">
      <w:pPr>
        <w:spacing w:before="100" w:beforeAutospacing="1" w:after="100" w:afterAutospacing="1"/>
        <w:jc w:val="both"/>
        <w:rPr>
          <w:rFonts w:ascii="Arial" w:hAnsi="Arial" w:cs="Arial"/>
          <w:color w:val="C45911" w:themeColor="accent2" w:themeShade="BF"/>
          <w:highlight w:val="lightGray"/>
        </w:rPr>
      </w:pPr>
      <w:r w:rsidRPr="00756B4A">
        <w:rPr>
          <w:rFonts w:ascii="Arial" w:hAnsi="Arial" w:cs="Arial"/>
          <w:color w:val="222222"/>
          <w:shd w:val="clear" w:color="auto" w:fill="FFFFFF"/>
        </w:rPr>
        <w:t xml:space="preserve">Smith, A.K. and Bolton, R.N., 1998. An experimental investigation of customer reactions to service failure and recovery encounters: paradox or </w:t>
      </w:r>
      <w:proofErr w:type="gramStart"/>
      <w:r w:rsidRPr="00756B4A">
        <w:rPr>
          <w:rFonts w:ascii="Arial" w:hAnsi="Arial" w:cs="Arial"/>
          <w:color w:val="222222"/>
          <w:shd w:val="clear" w:color="auto" w:fill="FFFFFF"/>
        </w:rPr>
        <w:t>peril?.</w:t>
      </w:r>
      <w:proofErr w:type="gramEnd"/>
      <w:r w:rsidRPr="00756B4A">
        <w:rPr>
          <w:rStyle w:val="apple-converted-space"/>
          <w:rFonts w:ascii="Arial" w:hAnsi="Arial" w:cs="Arial"/>
          <w:color w:val="222222"/>
          <w:shd w:val="clear" w:color="auto" w:fill="FFFFFF"/>
        </w:rPr>
        <w:t> </w:t>
      </w:r>
      <w:r w:rsidRPr="00756B4A">
        <w:rPr>
          <w:rFonts w:ascii="Arial" w:hAnsi="Arial" w:cs="Arial"/>
          <w:i/>
          <w:iCs/>
          <w:color w:val="222222"/>
        </w:rPr>
        <w:t>Journal of service research</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1</w:t>
      </w:r>
      <w:r w:rsidRPr="00756B4A">
        <w:rPr>
          <w:rFonts w:ascii="Arial" w:hAnsi="Arial" w:cs="Arial"/>
          <w:color w:val="222222"/>
          <w:shd w:val="clear" w:color="auto" w:fill="FFFFFF"/>
        </w:rPr>
        <w:t>(1), pp.65-81</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Snyder, H., 2019. Literature review as a research methodology: An overview and guidelines.</w:t>
      </w:r>
      <w:r w:rsidRPr="00756B4A">
        <w:rPr>
          <w:rStyle w:val="apple-converted-space"/>
          <w:rFonts w:ascii="Arial" w:hAnsi="Arial" w:cs="Arial"/>
          <w:color w:val="222222"/>
          <w:shd w:val="clear" w:color="auto" w:fill="FFFFFF"/>
        </w:rPr>
        <w:t> </w:t>
      </w:r>
      <w:r w:rsidRPr="00756B4A">
        <w:rPr>
          <w:rFonts w:ascii="Arial" w:hAnsi="Arial" w:cs="Arial"/>
          <w:i/>
          <w:iCs/>
          <w:color w:val="222222"/>
        </w:rPr>
        <w:t>Journal of business research</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104</w:t>
      </w:r>
      <w:r w:rsidRPr="00756B4A">
        <w:rPr>
          <w:rFonts w:ascii="Arial" w:hAnsi="Arial" w:cs="Arial"/>
          <w:color w:val="222222"/>
          <w:shd w:val="clear" w:color="auto" w:fill="FFFFFF"/>
        </w:rPr>
        <w:t>, pp.333-339.</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proofErr w:type="spellStart"/>
      <w:r w:rsidRPr="00756B4A">
        <w:rPr>
          <w:rFonts w:ascii="Arial" w:hAnsi="Arial" w:cs="Arial"/>
          <w:color w:val="222222"/>
          <w:shd w:val="clear" w:color="auto" w:fill="FFFFFF"/>
        </w:rPr>
        <w:t>Subedi</w:t>
      </w:r>
      <w:proofErr w:type="spellEnd"/>
      <w:r w:rsidRPr="00756B4A">
        <w:rPr>
          <w:rFonts w:ascii="Arial" w:hAnsi="Arial" w:cs="Arial"/>
          <w:color w:val="222222"/>
          <w:shd w:val="clear" w:color="auto" w:fill="FFFFFF"/>
        </w:rPr>
        <w:t>, D.P. and Bhandari, D.R., 2024. Online banking services and customer satisfaction in Nepalese commercial banks.</w:t>
      </w:r>
      <w:r w:rsidRPr="00756B4A">
        <w:rPr>
          <w:rStyle w:val="apple-converted-space"/>
          <w:rFonts w:ascii="Arial" w:hAnsi="Arial" w:cs="Arial"/>
          <w:color w:val="222222"/>
          <w:shd w:val="clear" w:color="auto" w:fill="FFFFFF"/>
        </w:rPr>
        <w:t> </w:t>
      </w:r>
      <w:proofErr w:type="spellStart"/>
      <w:r w:rsidRPr="00756B4A">
        <w:rPr>
          <w:rFonts w:ascii="Arial" w:hAnsi="Arial" w:cs="Arial"/>
          <w:i/>
          <w:iCs/>
          <w:color w:val="222222"/>
        </w:rPr>
        <w:t>Jurnal</w:t>
      </w:r>
      <w:proofErr w:type="spellEnd"/>
      <w:r w:rsidRPr="00756B4A">
        <w:rPr>
          <w:rFonts w:ascii="Arial" w:hAnsi="Arial" w:cs="Arial"/>
          <w:i/>
          <w:iCs/>
          <w:color w:val="222222"/>
        </w:rPr>
        <w:t xml:space="preserve"> </w:t>
      </w:r>
      <w:proofErr w:type="spellStart"/>
      <w:r w:rsidRPr="00756B4A">
        <w:rPr>
          <w:rFonts w:ascii="Arial" w:hAnsi="Arial" w:cs="Arial"/>
          <w:i/>
          <w:iCs/>
          <w:color w:val="222222"/>
        </w:rPr>
        <w:t>Buana</w:t>
      </w:r>
      <w:proofErr w:type="spellEnd"/>
      <w:r w:rsidRPr="00756B4A">
        <w:rPr>
          <w:rFonts w:ascii="Arial" w:hAnsi="Arial" w:cs="Arial"/>
          <w:i/>
          <w:iCs/>
          <w:color w:val="222222"/>
        </w:rPr>
        <w:t xml:space="preserve"> </w:t>
      </w:r>
      <w:proofErr w:type="spellStart"/>
      <w:r w:rsidRPr="00756B4A">
        <w:rPr>
          <w:rFonts w:ascii="Arial" w:hAnsi="Arial" w:cs="Arial"/>
          <w:i/>
          <w:iCs/>
          <w:color w:val="222222"/>
        </w:rPr>
        <w:t>Teknologi</w:t>
      </w:r>
      <w:proofErr w:type="spellEnd"/>
      <w:r w:rsidRPr="00756B4A">
        <w:rPr>
          <w:rFonts w:ascii="Arial" w:hAnsi="Arial" w:cs="Arial"/>
          <w:i/>
          <w:iCs/>
          <w:color w:val="222222"/>
        </w:rPr>
        <w:t xml:space="preserve"> Pendidikan</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1</w:t>
      </w:r>
      <w:r w:rsidRPr="00756B4A">
        <w:rPr>
          <w:rFonts w:ascii="Arial" w:hAnsi="Arial" w:cs="Arial"/>
          <w:color w:val="222222"/>
          <w:shd w:val="clear" w:color="auto" w:fill="FFFFFF"/>
        </w:rPr>
        <w:t>(2), pp.56-69.</w:t>
      </w:r>
    </w:p>
    <w:p w:rsidR="00756B4A" w:rsidRPr="00756B4A" w:rsidRDefault="00756B4A" w:rsidP="00756B4A">
      <w:pPr>
        <w:pStyle w:val="NormalWeb"/>
        <w:jc w:val="both"/>
        <w:rPr>
          <w:rFonts w:ascii="Arial" w:hAnsi="Arial" w:cs="Arial"/>
          <w:color w:val="000000"/>
        </w:rPr>
      </w:pPr>
      <w:r w:rsidRPr="00756B4A">
        <w:rPr>
          <w:rFonts w:ascii="Arial" w:hAnsi="Arial" w:cs="Arial"/>
          <w:color w:val="000000"/>
        </w:rPr>
        <w:t xml:space="preserve">Tax, S., Brown, S. and </w:t>
      </w:r>
      <w:proofErr w:type="spellStart"/>
      <w:r w:rsidRPr="00756B4A">
        <w:rPr>
          <w:rFonts w:ascii="Arial" w:hAnsi="Arial" w:cs="Arial"/>
          <w:color w:val="000000"/>
        </w:rPr>
        <w:t>Chandrashekaran</w:t>
      </w:r>
      <w:proofErr w:type="spellEnd"/>
      <w:r w:rsidRPr="00756B4A">
        <w:rPr>
          <w:rFonts w:ascii="Arial" w:hAnsi="Arial" w:cs="Arial"/>
          <w:color w:val="000000"/>
        </w:rPr>
        <w:t>, M. (2021) ‘Customer evaluations of service complaint experiences’,</w:t>
      </w:r>
      <w:r w:rsidRPr="00756B4A">
        <w:rPr>
          <w:rStyle w:val="apple-converted-space"/>
          <w:rFonts w:ascii="Arial" w:eastAsiaTheme="majorEastAsia" w:hAnsi="Arial" w:cs="Arial"/>
          <w:color w:val="000000"/>
        </w:rPr>
        <w:t> </w:t>
      </w:r>
      <w:r w:rsidRPr="00756B4A">
        <w:rPr>
          <w:rStyle w:val="Emphasis"/>
          <w:rFonts w:ascii="Arial" w:hAnsi="Arial" w:cs="Arial"/>
          <w:color w:val="000000"/>
        </w:rPr>
        <w:t>Journal of Marketing</w:t>
      </w:r>
      <w:r w:rsidRPr="00756B4A">
        <w:rPr>
          <w:rFonts w:ascii="Arial" w:hAnsi="Arial" w:cs="Arial"/>
          <w:color w:val="000000"/>
        </w:rPr>
        <w:t>, 85(4), pp. 68–87.</w:t>
      </w:r>
    </w:p>
    <w:p w:rsidR="00756B4A" w:rsidRPr="00756B4A" w:rsidRDefault="00756B4A" w:rsidP="00756B4A">
      <w:pPr>
        <w:spacing w:before="100" w:beforeAutospacing="1" w:after="100" w:afterAutospacing="1"/>
        <w:jc w:val="both"/>
        <w:rPr>
          <w:rFonts w:ascii="Arial" w:hAnsi="Arial" w:cs="Arial"/>
          <w:color w:val="000000"/>
        </w:rPr>
      </w:pPr>
      <w:proofErr w:type="spellStart"/>
      <w:r w:rsidRPr="00756B4A">
        <w:rPr>
          <w:rFonts w:ascii="Arial" w:hAnsi="Arial" w:cs="Arial"/>
          <w:color w:val="222222"/>
          <w:shd w:val="clear" w:color="auto" w:fill="FFFFFF"/>
        </w:rPr>
        <w:t>Thakor</w:t>
      </w:r>
      <w:proofErr w:type="spellEnd"/>
      <w:r w:rsidRPr="00756B4A">
        <w:rPr>
          <w:rFonts w:ascii="Arial" w:hAnsi="Arial" w:cs="Arial"/>
          <w:color w:val="222222"/>
          <w:shd w:val="clear" w:color="auto" w:fill="FFFFFF"/>
        </w:rPr>
        <w:t xml:space="preserve">, A.V., 2020. Fintech and banking: What do we </w:t>
      </w:r>
      <w:proofErr w:type="gramStart"/>
      <w:r w:rsidRPr="00756B4A">
        <w:rPr>
          <w:rFonts w:ascii="Arial" w:hAnsi="Arial" w:cs="Arial"/>
          <w:color w:val="222222"/>
          <w:shd w:val="clear" w:color="auto" w:fill="FFFFFF"/>
        </w:rPr>
        <w:t>know?.</w:t>
      </w:r>
      <w:proofErr w:type="gramEnd"/>
      <w:r w:rsidRPr="00756B4A">
        <w:rPr>
          <w:rStyle w:val="apple-converted-space"/>
          <w:rFonts w:ascii="Arial" w:hAnsi="Arial" w:cs="Arial"/>
          <w:color w:val="222222"/>
          <w:shd w:val="clear" w:color="auto" w:fill="FFFFFF"/>
        </w:rPr>
        <w:t> </w:t>
      </w:r>
      <w:r w:rsidRPr="00756B4A">
        <w:rPr>
          <w:rFonts w:ascii="Arial" w:hAnsi="Arial" w:cs="Arial"/>
          <w:i/>
          <w:iCs/>
          <w:color w:val="222222"/>
        </w:rPr>
        <w:t>Journal of financial intermediation</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41</w:t>
      </w:r>
      <w:r w:rsidRPr="00756B4A">
        <w:rPr>
          <w:rFonts w:ascii="Arial" w:hAnsi="Arial" w:cs="Arial"/>
          <w:color w:val="222222"/>
          <w:shd w:val="clear" w:color="auto" w:fill="FFFFFF"/>
        </w:rPr>
        <w:t>, p.100833.</w:t>
      </w:r>
    </w:p>
    <w:p w:rsidR="00756B4A" w:rsidRPr="00756B4A" w:rsidRDefault="00756B4A" w:rsidP="00756B4A">
      <w:pPr>
        <w:spacing w:before="100" w:beforeAutospacing="1" w:after="100" w:afterAutospacing="1"/>
        <w:jc w:val="both"/>
        <w:rPr>
          <w:rFonts w:ascii="Arial" w:hAnsi="Arial" w:cs="Arial"/>
          <w:color w:val="000000"/>
          <w:highlight w:val="lightGray"/>
        </w:rPr>
      </w:pPr>
      <w:proofErr w:type="spellStart"/>
      <w:r w:rsidRPr="00756B4A">
        <w:rPr>
          <w:rFonts w:ascii="Arial" w:hAnsi="Arial" w:cs="Arial"/>
          <w:color w:val="222222"/>
          <w:shd w:val="clear" w:color="auto" w:fill="FFFFFF"/>
        </w:rPr>
        <w:t>Torraco</w:t>
      </w:r>
      <w:proofErr w:type="spellEnd"/>
      <w:r w:rsidRPr="00756B4A">
        <w:rPr>
          <w:rFonts w:ascii="Arial" w:hAnsi="Arial" w:cs="Arial"/>
          <w:color w:val="222222"/>
          <w:shd w:val="clear" w:color="auto" w:fill="FFFFFF"/>
        </w:rPr>
        <w:t>, R.J., 2016. Writing integrative literature reviews: Using the past and present to explore the future.</w:t>
      </w:r>
      <w:r w:rsidRPr="00756B4A">
        <w:rPr>
          <w:rStyle w:val="apple-converted-space"/>
          <w:rFonts w:ascii="Arial" w:hAnsi="Arial" w:cs="Arial"/>
          <w:color w:val="222222"/>
          <w:shd w:val="clear" w:color="auto" w:fill="FFFFFF"/>
        </w:rPr>
        <w:t> </w:t>
      </w:r>
      <w:r w:rsidRPr="00756B4A">
        <w:rPr>
          <w:rFonts w:ascii="Arial" w:hAnsi="Arial" w:cs="Arial"/>
          <w:i/>
          <w:iCs/>
          <w:color w:val="222222"/>
        </w:rPr>
        <w:t>Human resource development review</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15</w:t>
      </w:r>
      <w:r w:rsidRPr="00756B4A">
        <w:rPr>
          <w:rFonts w:ascii="Arial" w:hAnsi="Arial" w:cs="Arial"/>
          <w:color w:val="222222"/>
          <w:shd w:val="clear" w:color="auto" w:fill="FFFFFF"/>
        </w:rPr>
        <w:t>(4), pp.404-428.</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222222"/>
          <w:shd w:val="clear" w:color="auto" w:fill="FFFFFF"/>
        </w:rPr>
        <w:t xml:space="preserve">Van </w:t>
      </w:r>
      <w:proofErr w:type="spellStart"/>
      <w:r w:rsidRPr="00756B4A">
        <w:rPr>
          <w:rFonts w:ascii="Arial" w:hAnsi="Arial" w:cs="Arial"/>
          <w:color w:val="222222"/>
          <w:shd w:val="clear" w:color="auto" w:fill="FFFFFF"/>
        </w:rPr>
        <w:t>Vaerenbergh</w:t>
      </w:r>
      <w:proofErr w:type="spellEnd"/>
      <w:r w:rsidRPr="00756B4A">
        <w:rPr>
          <w:rFonts w:ascii="Arial" w:hAnsi="Arial" w:cs="Arial"/>
          <w:color w:val="222222"/>
          <w:shd w:val="clear" w:color="auto" w:fill="FFFFFF"/>
        </w:rPr>
        <w:t xml:space="preserve">, Y. and </w:t>
      </w:r>
      <w:proofErr w:type="spellStart"/>
      <w:r w:rsidRPr="00756B4A">
        <w:rPr>
          <w:rFonts w:ascii="Arial" w:hAnsi="Arial" w:cs="Arial"/>
          <w:color w:val="222222"/>
          <w:shd w:val="clear" w:color="auto" w:fill="FFFFFF"/>
        </w:rPr>
        <w:t>Orsingher</w:t>
      </w:r>
      <w:proofErr w:type="spellEnd"/>
      <w:r w:rsidRPr="00756B4A">
        <w:rPr>
          <w:rFonts w:ascii="Arial" w:hAnsi="Arial" w:cs="Arial"/>
          <w:color w:val="222222"/>
          <w:shd w:val="clear" w:color="auto" w:fill="FFFFFF"/>
        </w:rPr>
        <w:t>, C., 2016. Service recovery: An integrative framework and research agenda.</w:t>
      </w:r>
      <w:r w:rsidRPr="00756B4A">
        <w:rPr>
          <w:rStyle w:val="apple-converted-space"/>
          <w:rFonts w:ascii="Arial" w:hAnsi="Arial" w:cs="Arial"/>
          <w:color w:val="222222"/>
          <w:shd w:val="clear" w:color="auto" w:fill="FFFFFF"/>
        </w:rPr>
        <w:t> </w:t>
      </w:r>
      <w:r w:rsidRPr="00756B4A">
        <w:rPr>
          <w:rFonts w:ascii="Arial" w:hAnsi="Arial" w:cs="Arial"/>
          <w:i/>
          <w:iCs/>
          <w:color w:val="222222"/>
        </w:rPr>
        <w:t>Academy of Management Perspectives</w:t>
      </w:r>
      <w:r w:rsidRPr="00756B4A">
        <w:rPr>
          <w:rFonts w:ascii="Arial" w:hAnsi="Arial" w:cs="Arial"/>
          <w:color w:val="222222"/>
          <w:shd w:val="clear" w:color="auto" w:fill="FFFFFF"/>
        </w:rPr>
        <w:t>,</w:t>
      </w:r>
      <w:r w:rsidRPr="00756B4A">
        <w:rPr>
          <w:rStyle w:val="apple-converted-space"/>
          <w:rFonts w:ascii="Arial" w:hAnsi="Arial" w:cs="Arial"/>
          <w:color w:val="222222"/>
          <w:shd w:val="clear" w:color="auto" w:fill="FFFFFF"/>
        </w:rPr>
        <w:t> </w:t>
      </w:r>
      <w:r w:rsidRPr="00756B4A">
        <w:rPr>
          <w:rFonts w:ascii="Arial" w:hAnsi="Arial" w:cs="Arial"/>
          <w:i/>
          <w:iCs/>
          <w:color w:val="222222"/>
        </w:rPr>
        <w:t>30</w:t>
      </w:r>
      <w:r w:rsidRPr="00756B4A">
        <w:rPr>
          <w:rFonts w:ascii="Arial" w:hAnsi="Arial" w:cs="Arial"/>
          <w:color w:val="222222"/>
          <w:shd w:val="clear" w:color="auto" w:fill="FFFFFF"/>
        </w:rPr>
        <w:t>(3), pp.328-346</w:t>
      </w:r>
    </w:p>
    <w:p w:rsidR="00756B4A" w:rsidRPr="00756B4A" w:rsidRDefault="00756B4A" w:rsidP="00756B4A">
      <w:pPr>
        <w:spacing w:before="100" w:beforeAutospacing="1" w:after="100" w:afterAutospacing="1"/>
        <w:jc w:val="both"/>
        <w:rPr>
          <w:rFonts w:ascii="Arial" w:hAnsi="Arial" w:cs="Arial"/>
          <w:color w:val="222222"/>
          <w:shd w:val="clear" w:color="auto" w:fill="FFFFFF"/>
        </w:rPr>
      </w:pPr>
      <w:r w:rsidRPr="00756B4A">
        <w:rPr>
          <w:rFonts w:ascii="Arial" w:hAnsi="Arial" w:cs="Arial"/>
          <w:color w:val="222222"/>
          <w:shd w:val="clear" w:color="auto" w:fill="FFFFFF"/>
        </w:rPr>
        <w:t>Vives, X., 2016.</w:t>
      </w:r>
      <w:r w:rsidRPr="00756B4A">
        <w:rPr>
          <w:rStyle w:val="apple-converted-space"/>
          <w:rFonts w:ascii="Arial" w:hAnsi="Arial" w:cs="Arial"/>
          <w:color w:val="222222"/>
          <w:shd w:val="clear" w:color="auto" w:fill="FFFFFF"/>
        </w:rPr>
        <w:t> </w:t>
      </w:r>
      <w:r w:rsidRPr="00756B4A">
        <w:rPr>
          <w:rFonts w:ascii="Arial" w:hAnsi="Arial" w:cs="Arial"/>
          <w:i/>
          <w:iCs/>
          <w:color w:val="222222"/>
        </w:rPr>
        <w:t>Competition and stability in banking: The role of regulation and competition policy</w:t>
      </w:r>
      <w:r w:rsidRPr="00756B4A">
        <w:rPr>
          <w:rFonts w:ascii="Arial" w:hAnsi="Arial" w:cs="Arial"/>
          <w:color w:val="222222"/>
          <w:shd w:val="clear" w:color="auto" w:fill="FFFFFF"/>
        </w:rPr>
        <w:t>. Princeton University Press.</w:t>
      </w:r>
    </w:p>
    <w:p w:rsidR="00756B4A" w:rsidRPr="00756B4A" w:rsidRDefault="00756B4A" w:rsidP="00756B4A">
      <w:pPr>
        <w:spacing w:before="100" w:beforeAutospacing="1" w:after="100" w:afterAutospacing="1"/>
        <w:jc w:val="both"/>
        <w:rPr>
          <w:rFonts w:ascii="Arial" w:hAnsi="Arial" w:cs="Arial"/>
          <w:color w:val="000000"/>
        </w:rPr>
      </w:pPr>
      <w:r w:rsidRPr="00756B4A">
        <w:rPr>
          <w:rFonts w:ascii="Arial" w:hAnsi="Arial" w:cs="Arial"/>
          <w:color w:val="000000"/>
        </w:rPr>
        <w:t>World Bank (2021) </w:t>
      </w:r>
      <w:r w:rsidRPr="00756B4A">
        <w:rPr>
          <w:rFonts w:ascii="Arial" w:hAnsi="Arial" w:cs="Arial"/>
          <w:i/>
          <w:iCs/>
          <w:color w:val="000000"/>
        </w:rPr>
        <w:t>Digital financial services</w:t>
      </w:r>
      <w:r w:rsidRPr="00756B4A">
        <w:rPr>
          <w:rFonts w:ascii="Arial" w:hAnsi="Arial" w:cs="Arial"/>
          <w:color w:val="000000"/>
        </w:rPr>
        <w:t>. Washington DC: World Bank.</w:t>
      </w:r>
    </w:p>
    <w:p w:rsidR="00756B4A" w:rsidRPr="00756B4A" w:rsidRDefault="00756B4A" w:rsidP="00756B4A">
      <w:pPr>
        <w:pStyle w:val="NormalWeb"/>
        <w:jc w:val="both"/>
        <w:rPr>
          <w:rFonts w:ascii="Arial" w:hAnsi="Arial" w:cs="Arial"/>
          <w:color w:val="000000"/>
        </w:rPr>
      </w:pPr>
      <w:r w:rsidRPr="00756B4A">
        <w:rPr>
          <w:rFonts w:ascii="Arial" w:hAnsi="Arial" w:cs="Arial"/>
          <w:color w:val="000000"/>
        </w:rPr>
        <w:t>World Bank (2022)</w:t>
      </w:r>
      <w:r w:rsidRPr="00756B4A">
        <w:rPr>
          <w:rStyle w:val="apple-converted-space"/>
          <w:rFonts w:ascii="Arial" w:eastAsiaTheme="majorEastAsia" w:hAnsi="Arial" w:cs="Arial"/>
          <w:color w:val="000000"/>
        </w:rPr>
        <w:t> </w:t>
      </w:r>
      <w:r w:rsidRPr="00756B4A">
        <w:rPr>
          <w:rStyle w:val="Emphasis"/>
          <w:rFonts w:ascii="Arial" w:hAnsi="Arial" w:cs="Arial"/>
          <w:color w:val="000000"/>
        </w:rPr>
        <w:t>Global Financial Development Report</w:t>
      </w:r>
      <w:r w:rsidRPr="00756B4A">
        <w:rPr>
          <w:rFonts w:ascii="Arial" w:hAnsi="Arial" w:cs="Arial"/>
          <w:color w:val="000000"/>
        </w:rPr>
        <w:t>. Washington DC: World Bank.</w:t>
      </w:r>
    </w:p>
    <w:p w:rsidR="00756B4A" w:rsidRPr="00474E6C" w:rsidRDefault="00756B4A" w:rsidP="00BC6F80">
      <w:pPr>
        <w:rPr>
          <w:rFonts w:ascii="Arial" w:hAnsi="Arial" w:cs="Arial"/>
        </w:rPr>
      </w:pPr>
    </w:p>
    <w:sectPr w:rsidR="00756B4A" w:rsidRPr="00474E6C" w:rsidSect="0039542E">
      <w:headerReference w:type="default" r:id="rId14"/>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682F" w:rsidRDefault="00DF682F" w:rsidP="0039542E">
      <w:r>
        <w:separator/>
      </w:r>
    </w:p>
  </w:endnote>
  <w:endnote w:type="continuationSeparator" w:id="0">
    <w:p w:rsidR="00DF682F" w:rsidRDefault="00DF682F" w:rsidP="00395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3196859"/>
      <w:docPartObj>
        <w:docPartGallery w:val="Page Numbers (Bottom of Page)"/>
        <w:docPartUnique/>
      </w:docPartObj>
    </w:sdtPr>
    <w:sdtContent>
      <w:p w:rsidR="0039542E" w:rsidRDefault="0039542E" w:rsidP="007B23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9542E" w:rsidRDefault="003954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5119949"/>
      <w:docPartObj>
        <w:docPartGallery w:val="Page Numbers (Bottom of Page)"/>
        <w:docPartUnique/>
      </w:docPartObj>
    </w:sdtPr>
    <w:sdtContent>
      <w:p w:rsidR="0039542E" w:rsidRDefault="0039542E" w:rsidP="007B23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rsidR="0039542E" w:rsidRDefault="00395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682F" w:rsidRDefault="00DF682F" w:rsidP="0039542E">
      <w:r>
        <w:separator/>
      </w:r>
    </w:p>
  </w:footnote>
  <w:footnote w:type="continuationSeparator" w:id="0">
    <w:p w:rsidR="00DF682F" w:rsidRDefault="00DF682F" w:rsidP="00395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542E" w:rsidRDefault="00395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D3C3A"/>
    <w:multiLevelType w:val="hybridMultilevel"/>
    <w:tmpl w:val="43685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8159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66"/>
    <w:rsid w:val="00006ADB"/>
    <w:rsid w:val="00032D7E"/>
    <w:rsid w:val="000509C4"/>
    <w:rsid w:val="0005675A"/>
    <w:rsid w:val="00067E08"/>
    <w:rsid w:val="0009641D"/>
    <w:rsid w:val="000A2EC5"/>
    <w:rsid w:val="000A4A1B"/>
    <w:rsid w:val="000B0800"/>
    <w:rsid w:val="000C1DF5"/>
    <w:rsid w:val="000C22E3"/>
    <w:rsid w:val="000D795C"/>
    <w:rsid w:val="00123E5D"/>
    <w:rsid w:val="001F6118"/>
    <w:rsid w:val="00210B0B"/>
    <w:rsid w:val="0021451F"/>
    <w:rsid w:val="00223F6E"/>
    <w:rsid w:val="0025568D"/>
    <w:rsid w:val="00256FA4"/>
    <w:rsid w:val="00290C38"/>
    <w:rsid w:val="00297885"/>
    <w:rsid w:val="002C341F"/>
    <w:rsid w:val="002D6299"/>
    <w:rsid w:val="002E2044"/>
    <w:rsid w:val="002E6293"/>
    <w:rsid w:val="002F701B"/>
    <w:rsid w:val="00363D1A"/>
    <w:rsid w:val="00373585"/>
    <w:rsid w:val="00390189"/>
    <w:rsid w:val="0039542E"/>
    <w:rsid w:val="003A4636"/>
    <w:rsid w:val="003F4170"/>
    <w:rsid w:val="003F70AD"/>
    <w:rsid w:val="0040010F"/>
    <w:rsid w:val="004219E3"/>
    <w:rsid w:val="00440E55"/>
    <w:rsid w:val="00444835"/>
    <w:rsid w:val="0046561F"/>
    <w:rsid w:val="00474E6C"/>
    <w:rsid w:val="00493C9A"/>
    <w:rsid w:val="00497CB0"/>
    <w:rsid w:val="004A43A9"/>
    <w:rsid w:val="004D425D"/>
    <w:rsid w:val="004E263B"/>
    <w:rsid w:val="004E6D99"/>
    <w:rsid w:val="00507B64"/>
    <w:rsid w:val="00521114"/>
    <w:rsid w:val="00554A5C"/>
    <w:rsid w:val="00555190"/>
    <w:rsid w:val="0055621C"/>
    <w:rsid w:val="00564C3A"/>
    <w:rsid w:val="00564ED9"/>
    <w:rsid w:val="0057594D"/>
    <w:rsid w:val="005A2AFF"/>
    <w:rsid w:val="005A6AE9"/>
    <w:rsid w:val="005B2CBC"/>
    <w:rsid w:val="005C3D38"/>
    <w:rsid w:val="005C6DC9"/>
    <w:rsid w:val="00610F9B"/>
    <w:rsid w:val="00637CE5"/>
    <w:rsid w:val="00645418"/>
    <w:rsid w:val="00671EA3"/>
    <w:rsid w:val="00677622"/>
    <w:rsid w:val="00680343"/>
    <w:rsid w:val="00681A3A"/>
    <w:rsid w:val="00697D16"/>
    <w:rsid w:val="006B3E0E"/>
    <w:rsid w:val="006E2303"/>
    <w:rsid w:val="006E36E6"/>
    <w:rsid w:val="007478BA"/>
    <w:rsid w:val="00756B4A"/>
    <w:rsid w:val="00762B8C"/>
    <w:rsid w:val="00780A26"/>
    <w:rsid w:val="007819C1"/>
    <w:rsid w:val="007B19FA"/>
    <w:rsid w:val="007C581B"/>
    <w:rsid w:val="007D28D6"/>
    <w:rsid w:val="0082564E"/>
    <w:rsid w:val="00836737"/>
    <w:rsid w:val="00842EB4"/>
    <w:rsid w:val="008849A5"/>
    <w:rsid w:val="00893E62"/>
    <w:rsid w:val="008B0303"/>
    <w:rsid w:val="008B3490"/>
    <w:rsid w:val="008C7803"/>
    <w:rsid w:val="008F5205"/>
    <w:rsid w:val="00901559"/>
    <w:rsid w:val="00971475"/>
    <w:rsid w:val="00974BD5"/>
    <w:rsid w:val="00996F40"/>
    <w:rsid w:val="00A57876"/>
    <w:rsid w:val="00A7359F"/>
    <w:rsid w:val="00A93512"/>
    <w:rsid w:val="00B40982"/>
    <w:rsid w:val="00B630F9"/>
    <w:rsid w:val="00B82628"/>
    <w:rsid w:val="00B86765"/>
    <w:rsid w:val="00BB74BA"/>
    <w:rsid w:val="00BC6F80"/>
    <w:rsid w:val="00BD562D"/>
    <w:rsid w:val="00BE1045"/>
    <w:rsid w:val="00BE7062"/>
    <w:rsid w:val="00BF7A3A"/>
    <w:rsid w:val="00C41D7C"/>
    <w:rsid w:val="00C67C90"/>
    <w:rsid w:val="00C7004F"/>
    <w:rsid w:val="00C73CC7"/>
    <w:rsid w:val="00C86C20"/>
    <w:rsid w:val="00CB20A8"/>
    <w:rsid w:val="00CB56EC"/>
    <w:rsid w:val="00CD32A1"/>
    <w:rsid w:val="00CE33D3"/>
    <w:rsid w:val="00CF3749"/>
    <w:rsid w:val="00D11837"/>
    <w:rsid w:val="00D153A7"/>
    <w:rsid w:val="00D57094"/>
    <w:rsid w:val="00D7563C"/>
    <w:rsid w:val="00D850D2"/>
    <w:rsid w:val="00DC52FB"/>
    <w:rsid w:val="00DC7A38"/>
    <w:rsid w:val="00DD1613"/>
    <w:rsid w:val="00DD2412"/>
    <w:rsid w:val="00DF682F"/>
    <w:rsid w:val="00E64AC2"/>
    <w:rsid w:val="00E87CF9"/>
    <w:rsid w:val="00EA556C"/>
    <w:rsid w:val="00EA5913"/>
    <w:rsid w:val="00EB2F27"/>
    <w:rsid w:val="00ED3BDF"/>
    <w:rsid w:val="00F3291E"/>
    <w:rsid w:val="00F563C8"/>
    <w:rsid w:val="00F95166"/>
    <w:rsid w:val="00F95CCE"/>
    <w:rsid w:val="00FB37D1"/>
    <w:rsid w:val="00FC5880"/>
    <w:rsid w:val="00FD0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A324D"/>
  <w15:chartTrackingRefBased/>
  <w15:docId w15:val="{E2FB0490-C2A9-364F-9C0C-7368348B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2FB"/>
    <w:pPr>
      <w:keepNext/>
      <w:keepLines/>
      <w:spacing w:before="24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link w:val="Heading2Char"/>
    <w:uiPriority w:val="9"/>
    <w:qFormat/>
    <w:rsid w:val="00DC52FB"/>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0D795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7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77622"/>
  </w:style>
  <w:style w:type="character" w:customStyle="1" w:styleId="Heading2Char">
    <w:name w:val="Heading 2 Char"/>
    <w:basedOn w:val="DefaultParagraphFont"/>
    <w:link w:val="Heading2"/>
    <w:uiPriority w:val="9"/>
    <w:rsid w:val="00DC52FB"/>
    <w:rPr>
      <w:rFonts w:ascii="Times New Roman" w:eastAsia="Times New Roman" w:hAnsi="Times New Roman" w:cs="Times New Roman"/>
      <w:b/>
      <w:bCs/>
      <w:kern w:val="0"/>
      <w:sz w:val="36"/>
      <w:szCs w:val="36"/>
      <w14:ligatures w14:val="none"/>
    </w:rPr>
  </w:style>
  <w:style w:type="character" w:styleId="Strong">
    <w:name w:val="Strong"/>
    <w:basedOn w:val="DefaultParagraphFont"/>
    <w:uiPriority w:val="22"/>
    <w:qFormat/>
    <w:rsid w:val="00DC52FB"/>
    <w:rPr>
      <w:b/>
      <w:bCs/>
    </w:rPr>
  </w:style>
  <w:style w:type="character" w:customStyle="1" w:styleId="Heading1Char">
    <w:name w:val="Heading 1 Char"/>
    <w:basedOn w:val="DefaultParagraphFont"/>
    <w:link w:val="Heading1"/>
    <w:uiPriority w:val="9"/>
    <w:rsid w:val="00DC52FB"/>
    <w:rPr>
      <w:rFonts w:asciiTheme="majorHAnsi" w:eastAsiaTheme="majorEastAsia" w:hAnsiTheme="majorHAnsi" w:cstheme="majorBidi"/>
      <w:color w:val="2F5496" w:themeColor="accent1" w:themeShade="BF"/>
      <w:kern w:val="0"/>
      <w:sz w:val="32"/>
      <w:szCs w:val="32"/>
      <w14:ligatures w14:val="none"/>
    </w:rPr>
  </w:style>
  <w:style w:type="paragraph" w:styleId="NormalWeb">
    <w:name w:val="Normal (Web)"/>
    <w:basedOn w:val="Normal"/>
    <w:uiPriority w:val="99"/>
    <w:unhideWhenUsed/>
    <w:rsid w:val="00F563C8"/>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EA5913"/>
    <w:rPr>
      <w:i/>
      <w:iCs/>
    </w:rPr>
  </w:style>
  <w:style w:type="paragraph" w:styleId="TOCHeading">
    <w:name w:val="TOC Heading"/>
    <w:basedOn w:val="Heading1"/>
    <w:next w:val="Normal"/>
    <w:uiPriority w:val="39"/>
    <w:unhideWhenUsed/>
    <w:qFormat/>
    <w:rsid w:val="00474E6C"/>
    <w:pPr>
      <w:spacing w:before="480" w:line="276" w:lineRule="auto"/>
      <w:outlineLvl w:val="9"/>
    </w:pPr>
    <w:rPr>
      <w:b/>
      <w:bCs/>
      <w:sz w:val="28"/>
      <w:szCs w:val="28"/>
    </w:rPr>
  </w:style>
  <w:style w:type="paragraph" w:styleId="TOC2">
    <w:name w:val="toc 2"/>
    <w:basedOn w:val="Normal"/>
    <w:next w:val="Normal"/>
    <w:autoRedefine/>
    <w:uiPriority w:val="39"/>
    <w:unhideWhenUsed/>
    <w:rsid w:val="00474E6C"/>
    <w:rPr>
      <w:rFonts w:cstheme="minorHAnsi"/>
      <w:b/>
      <w:bCs/>
      <w:smallCaps/>
      <w:sz w:val="22"/>
      <w:szCs w:val="22"/>
    </w:rPr>
  </w:style>
  <w:style w:type="paragraph" w:styleId="TOC1">
    <w:name w:val="toc 1"/>
    <w:basedOn w:val="Normal"/>
    <w:next w:val="Normal"/>
    <w:autoRedefine/>
    <w:uiPriority w:val="39"/>
    <w:unhideWhenUsed/>
    <w:rsid w:val="007B19FA"/>
    <w:pPr>
      <w:tabs>
        <w:tab w:val="right" w:leader="dot" w:pos="9010"/>
      </w:tabs>
      <w:spacing w:before="120" w:after="240"/>
    </w:pPr>
    <w:rPr>
      <w:rFonts w:cstheme="minorHAnsi"/>
      <w:b/>
      <w:bCs/>
      <w:caps/>
      <w:sz w:val="22"/>
      <w:szCs w:val="22"/>
      <w:u w:val="single"/>
    </w:rPr>
  </w:style>
  <w:style w:type="paragraph" w:styleId="TOC3">
    <w:name w:val="toc 3"/>
    <w:basedOn w:val="Normal"/>
    <w:next w:val="Normal"/>
    <w:autoRedefine/>
    <w:uiPriority w:val="39"/>
    <w:unhideWhenUsed/>
    <w:rsid w:val="00474E6C"/>
    <w:rPr>
      <w:rFonts w:cstheme="minorHAnsi"/>
      <w:smallCaps/>
      <w:sz w:val="22"/>
      <w:szCs w:val="22"/>
    </w:rPr>
  </w:style>
  <w:style w:type="character" w:styleId="Hyperlink">
    <w:name w:val="Hyperlink"/>
    <w:basedOn w:val="DefaultParagraphFont"/>
    <w:uiPriority w:val="99"/>
    <w:unhideWhenUsed/>
    <w:rsid w:val="00474E6C"/>
    <w:rPr>
      <w:color w:val="0563C1" w:themeColor="hyperlink"/>
      <w:u w:val="single"/>
    </w:rPr>
  </w:style>
  <w:style w:type="paragraph" w:styleId="TOC4">
    <w:name w:val="toc 4"/>
    <w:basedOn w:val="Normal"/>
    <w:next w:val="Normal"/>
    <w:autoRedefine/>
    <w:uiPriority w:val="39"/>
    <w:semiHidden/>
    <w:unhideWhenUsed/>
    <w:rsid w:val="00474E6C"/>
    <w:rPr>
      <w:rFonts w:cstheme="minorHAnsi"/>
      <w:sz w:val="22"/>
      <w:szCs w:val="22"/>
    </w:rPr>
  </w:style>
  <w:style w:type="paragraph" w:styleId="TOC5">
    <w:name w:val="toc 5"/>
    <w:basedOn w:val="Normal"/>
    <w:next w:val="Normal"/>
    <w:autoRedefine/>
    <w:uiPriority w:val="39"/>
    <w:semiHidden/>
    <w:unhideWhenUsed/>
    <w:rsid w:val="00474E6C"/>
    <w:rPr>
      <w:rFonts w:cstheme="minorHAnsi"/>
      <w:sz w:val="22"/>
      <w:szCs w:val="22"/>
    </w:rPr>
  </w:style>
  <w:style w:type="paragraph" w:styleId="TOC6">
    <w:name w:val="toc 6"/>
    <w:basedOn w:val="Normal"/>
    <w:next w:val="Normal"/>
    <w:autoRedefine/>
    <w:uiPriority w:val="39"/>
    <w:semiHidden/>
    <w:unhideWhenUsed/>
    <w:rsid w:val="00474E6C"/>
    <w:rPr>
      <w:rFonts w:cstheme="minorHAnsi"/>
      <w:sz w:val="22"/>
      <w:szCs w:val="22"/>
    </w:rPr>
  </w:style>
  <w:style w:type="paragraph" w:styleId="TOC7">
    <w:name w:val="toc 7"/>
    <w:basedOn w:val="Normal"/>
    <w:next w:val="Normal"/>
    <w:autoRedefine/>
    <w:uiPriority w:val="39"/>
    <w:semiHidden/>
    <w:unhideWhenUsed/>
    <w:rsid w:val="00474E6C"/>
    <w:rPr>
      <w:rFonts w:cstheme="minorHAnsi"/>
      <w:sz w:val="22"/>
      <w:szCs w:val="22"/>
    </w:rPr>
  </w:style>
  <w:style w:type="paragraph" w:styleId="TOC8">
    <w:name w:val="toc 8"/>
    <w:basedOn w:val="Normal"/>
    <w:next w:val="Normal"/>
    <w:autoRedefine/>
    <w:uiPriority w:val="39"/>
    <w:semiHidden/>
    <w:unhideWhenUsed/>
    <w:rsid w:val="00474E6C"/>
    <w:rPr>
      <w:rFonts w:cstheme="minorHAnsi"/>
      <w:sz w:val="22"/>
      <w:szCs w:val="22"/>
    </w:rPr>
  </w:style>
  <w:style w:type="paragraph" w:styleId="TOC9">
    <w:name w:val="toc 9"/>
    <w:basedOn w:val="Normal"/>
    <w:next w:val="Normal"/>
    <w:autoRedefine/>
    <w:uiPriority w:val="39"/>
    <w:semiHidden/>
    <w:unhideWhenUsed/>
    <w:rsid w:val="00474E6C"/>
    <w:rPr>
      <w:rFonts w:cstheme="minorHAnsi"/>
      <w:sz w:val="22"/>
      <w:szCs w:val="22"/>
    </w:rPr>
  </w:style>
  <w:style w:type="character" w:customStyle="1" w:styleId="Heading3Char">
    <w:name w:val="Heading 3 Char"/>
    <w:basedOn w:val="DefaultParagraphFont"/>
    <w:link w:val="Heading3"/>
    <w:uiPriority w:val="9"/>
    <w:rsid w:val="000D795C"/>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39542E"/>
    <w:pPr>
      <w:tabs>
        <w:tab w:val="center" w:pos="4680"/>
        <w:tab w:val="right" w:pos="9360"/>
      </w:tabs>
    </w:pPr>
  </w:style>
  <w:style w:type="character" w:customStyle="1" w:styleId="HeaderChar">
    <w:name w:val="Header Char"/>
    <w:basedOn w:val="DefaultParagraphFont"/>
    <w:link w:val="Header"/>
    <w:uiPriority w:val="99"/>
    <w:rsid w:val="0039542E"/>
  </w:style>
  <w:style w:type="paragraph" w:styleId="Footer">
    <w:name w:val="footer"/>
    <w:basedOn w:val="Normal"/>
    <w:link w:val="FooterChar"/>
    <w:uiPriority w:val="99"/>
    <w:unhideWhenUsed/>
    <w:rsid w:val="0039542E"/>
    <w:pPr>
      <w:tabs>
        <w:tab w:val="center" w:pos="4680"/>
        <w:tab w:val="right" w:pos="9360"/>
      </w:tabs>
    </w:pPr>
  </w:style>
  <w:style w:type="character" w:customStyle="1" w:styleId="FooterChar">
    <w:name w:val="Footer Char"/>
    <w:basedOn w:val="DefaultParagraphFont"/>
    <w:link w:val="Footer"/>
    <w:uiPriority w:val="99"/>
    <w:rsid w:val="0039542E"/>
  </w:style>
  <w:style w:type="character" w:styleId="PageNumber">
    <w:name w:val="page number"/>
    <w:basedOn w:val="DefaultParagraphFont"/>
    <w:uiPriority w:val="99"/>
    <w:semiHidden/>
    <w:unhideWhenUsed/>
    <w:rsid w:val="0039542E"/>
  </w:style>
  <w:style w:type="character" w:styleId="UnresolvedMention">
    <w:name w:val="Unresolved Mention"/>
    <w:basedOn w:val="DefaultParagraphFont"/>
    <w:uiPriority w:val="99"/>
    <w:semiHidden/>
    <w:unhideWhenUsed/>
    <w:rsid w:val="00DD1613"/>
    <w:rPr>
      <w:color w:val="605E5C"/>
      <w:shd w:val="clear" w:color="auto" w:fill="E1DFDD"/>
    </w:rPr>
  </w:style>
  <w:style w:type="paragraph" w:styleId="ListParagraph">
    <w:name w:val="List Paragraph"/>
    <w:basedOn w:val="Normal"/>
    <w:uiPriority w:val="34"/>
    <w:qFormat/>
    <w:rsid w:val="006B3E0E"/>
    <w:pPr>
      <w:ind w:left="720"/>
      <w:contextualSpacing/>
    </w:pPr>
  </w:style>
  <w:style w:type="paragraph" w:customStyle="1" w:styleId="ds-markdown-paragraph">
    <w:name w:val="ds-markdown-paragraph"/>
    <w:basedOn w:val="Normal"/>
    <w:rsid w:val="0005675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93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83FF88-1902-524B-9BD6-2DD024C6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40</Pages>
  <Words>12897</Words>
  <Characters>73518</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62</cp:revision>
  <dcterms:created xsi:type="dcterms:W3CDTF">2026-04-07T18:39:00Z</dcterms:created>
  <dcterms:modified xsi:type="dcterms:W3CDTF">2026-04-20T18:15:00Z</dcterms:modified>
</cp:coreProperties>
</file>