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2B6A3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84C3D01" wp14:editId="4FCD44D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596101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8C519B8" w14:textId="77777777" w:rsidTr="00A406E5">
        <w:tc>
          <w:tcPr>
            <w:tcW w:w="9922" w:type="dxa"/>
            <w:shd w:val="clear" w:color="auto" w:fill="C0C0C0"/>
          </w:tcPr>
          <w:p w14:paraId="38F48CAA" w14:textId="4682CA10"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w:t>
            </w:r>
            <w:r w:rsidR="00DA2185">
              <w:rPr>
                <w:rFonts w:ascii="Arial" w:hAnsi="Arial" w:cs="Arial"/>
                <w:b/>
              </w:rPr>
              <w:t xml:space="preserve">2 </w:t>
            </w:r>
            <w:r w:rsidR="003A3CE5" w:rsidRPr="00A406E5">
              <w:rPr>
                <w:rFonts w:ascii="Arial" w:hAnsi="Arial" w:cs="Arial"/>
                <w:b/>
              </w:rPr>
              <w:t xml:space="preserve">SPECIFICATION </w:t>
            </w:r>
          </w:p>
        </w:tc>
      </w:tr>
    </w:tbl>
    <w:p w14:paraId="5C7878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092E817" w14:textId="77777777" w:rsidTr="008307F2">
        <w:tc>
          <w:tcPr>
            <w:tcW w:w="2093" w:type="dxa"/>
            <w:shd w:val="pct15" w:color="auto" w:fill="auto"/>
          </w:tcPr>
          <w:p w14:paraId="14A118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3463662" w14:textId="3220C234" w:rsidR="003B3F9D" w:rsidRPr="00A406E5" w:rsidRDefault="006F46D0" w:rsidP="001E57C1">
            <w:pPr>
              <w:spacing w:before="120" w:after="120"/>
              <w:jc w:val="both"/>
              <w:rPr>
                <w:rFonts w:ascii="Arial" w:hAnsi="Arial" w:cs="Arial"/>
                <w:b/>
                <w:sz w:val="22"/>
                <w:szCs w:val="22"/>
              </w:rPr>
            </w:pPr>
            <w:r>
              <w:rPr>
                <w:rFonts w:ascii="Arial" w:hAnsi="Arial" w:cs="Arial"/>
                <w:b/>
                <w:sz w:val="22"/>
                <w:szCs w:val="22"/>
              </w:rPr>
              <w:t>SEHRASH SOHAIL</w:t>
            </w:r>
          </w:p>
        </w:tc>
        <w:tc>
          <w:tcPr>
            <w:tcW w:w="2268" w:type="dxa"/>
            <w:shd w:val="clear" w:color="auto" w:fill="D9D9D9"/>
          </w:tcPr>
          <w:p w14:paraId="37A111D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93710F9" w14:textId="0199609A" w:rsidR="003B3F9D" w:rsidRPr="00A406E5" w:rsidRDefault="006F46D0" w:rsidP="001E57C1">
            <w:pPr>
              <w:spacing w:before="120" w:after="120"/>
              <w:jc w:val="both"/>
              <w:rPr>
                <w:rFonts w:ascii="Arial" w:hAnsi="Arial" w:cs="Arial"/>
                <w:b/>
                <w:sz w:val="22"/>
                <w:szCs w:val="22"/>
              </w:rPr>
            </w:pPr>
            <w:r>
              <w:rPr>
                <w:rFonts w:ascii="Arial" w:hAnsi="Arial" w:cs="Arial"/>
                <w:b/>
                <w:sz w:val="22"/>
                <w:szCs w:val="22"/>
              </w:rPr>
              <w:t>2243921</w:t>
            </w:r>
          </w:p>
        </w:tc>
      </w:tr>
      <w:tr w:rsidR="00DB116D" w:rsidRPr="00A406E5" w14:paraId="37CB5DF7" w14:textId="77777777" w:rsidTr="008307F2">
        <w:tc>
          <w:tcPr>
            <w:tcW w:w="2093" w:type="dxa"/>
            <w:shd w:val="pct15" w:color="auto" w:fill="auto"/>
          </w:tcPr>
          <w:p w14:paraId="6EDE86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9E2AB1D" w14:textId="639039A4" w:rsidR="00DB116D" w:rsidRPr="00A406E5" w:rsidRDefault="001B5937"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0ED748B" w14:textId="77777777" w:rsidTr="008307F2">
        <w:tc>
          <w:tcPr>
            <w:tcW w:w="2093" w:type="dxa"/>
            <w:shd w:val="pct15" w:color="auto" w:fill="auto"/>
          </w:tcPr>
          <w:p w14:paraId="0FE08B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460CEE2" w14:textId="69CCE320" w:rsidR="008F1308" w:rsidRPr="00A406E5" w:rsidRDefault="001B5937"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18213E04" w14:textId="77777777" w:rsidTr="008307F2">
        <w:tc>
          <w:tcPr>
            <w:tcW w:w="2093" w:type="dxa"/>
            <w:shd w:val="pct15" w:color="auto" w:fill="auto"/>
          </w:tcPr>
          <w:p w14:paraId="309CB41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B4B32B" w14:textId="4BADD65B" w:rsidR="00B84B5B" w:rsidRPr="00A406E5" w:rsidRDefault="001B5937" w:rsidP="00152E9D">
            <w:pPr>
              <w:spacing w:before="120" w:after="120"/>
              <w:jc w:val="both"/>
              <w:rPr>
                <w:rFonts w:ascii="Arial" w:hAnsi="Arial" w:cs="Arial"/>
                <w:b/>
                <w:sz w:val="22"/>
                <w:szCs w:val="22"/>
              </w:rPr>
            </w:pPr>
            <w:r>
              <w:rPr>
                <w:rFonts w:ascii="Arial" w:hAnsi="Arial" w:cs="Arial"/>
                <w:b/>
                <w:sz w:val="22"/>
                <w:szCs w:val="22"/>
              </w:rPr>
              <w:t>BMPL4009</w:t>
            </w:r>
          </w:p>
        </w:tc>
        <w:tc>
          <w:tcPr>
            <w:tcW w:w="2268" w:type="dxa"/>
            <w:shd w:val="clear" w:color="auto" w:fill="D9D9D9"/>
          </w:tcPr>
          <w:p w14:paraId="5D4A201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BD3182" w14:textId="78D1CF25" w:rsidR="00B84B5B" w:rsidRPr="00A406E5" w:rsidRDefault="001B5937"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7E9A76D8" w14:textId="77777777" w:rsidTr="008307F2">
        <w:tc>
          <w:tcPr>
            <w:tcW w:w="2093" w:type="dxa"/>
            <w:shd w:val="pct15" w:color="auto" w:fill="auto"/>
          </w:tcPr>
          <w:p w14:paraId="4E54E79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A462271" w14:textId="0DB79A1D" w:rsidR="001B5937" w:rsidRPr="00A406E5" w:rsidRDefault="002A20DB" w:rsidP="00E51AAC">
            <w:pPr>
              <w:spacing w:before="120" w:after="120"/>
              <w:jc w:val="both"/>
              <w:rPr>
                <w:rFonts w:ascii="Arial" w:hAnsi="Arial" w:cs="Arial"/>
                <w:b/>
                <w:sz w:val="22"/>
                <w:szCs w:val="22"/>
              </w:rPr>
            </w:pPr>
            <w:r>
              <w:rPr>
                <w:rFonts w:ascii="Arial" w:hAnsi="Arial" w:cs="Arial"/>
                <w:b/>
                <w:sz w:val="22"/>
                <w:szCs w:val="22"/>
              </w:rPr>
              <w:t>Laura Humphries</w:t>
            </w:r>
          </w:p>
        </w:tc>
        <w:tc>
          <w:tcPr>
            <w:tcW w:w="2268" w:type="dxa"/>
            <w:shd w:val="clear" w:color="auto" w:fill="D9D9D9"/>
          </w:tcPr>
          <w:p w14:paraId="5FA4099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30FC237" w14:textId="6058D9F1" w:rsidR="001B5937" w:rsidRPr="00A406E5" w:rsidRDefault="002A20DB" w:rsidP="00E51AAC">
            <w:pPr>
              <w:spacing w:before="120" w:after="120"/>
              <w:jc w:val="both"/>
              <w:rPr>
                <w:rFonts w:ascii="Arial" w:hAnsi="Arial" w:cs="Arial"/>
                <w:b/>
                <w:sz w:val="22"/>
                <w:szCs w:val="22"/>
              </w:rPr>
            </w:pPr>
            <w:r>
              <w:rPr>
                <w:rFonts w:ascii="Arial" w:hAnsi="Arial" w:cs="Arial"/>
                <w:b/>
                <w:sz w:val="22"/>
                <w:szCs w:val="22"/>
              </w:rPr>
              <w:t>Kelly And</w:t>
            </w:r>
            <w:r w:rsidR="00573343">
              <w:rPr>
                <w:rFonts w:ascii="Arial" w:hAnsi="Arial" w:cs="Arial"/>
                <w:b/>
                <w:sz w:val="22"/>
                <w:szCs w:val="22"/>
              </w:rPr>
              <w:t xml:space="preserve">rews </w:t>
            </w:r>
          </w:p>
        </w:tc>
      </w:tr>
      <w:tr w:rsidR="00DB116D" w:rsidRPr="00A406E5" w14:paraId="3B11B695" w14:textId="77777777" w:rsidTr="008307F2">
        <w:tc>
          <w:tcPr>
            <w:tcW w:w="2093" w:type="dxa"/>
            <w:shd w:val="pct15" w:color="auto" w:fill="auto"/>
          </w:tcPr>
          <w:p w14:paraId="06CE25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D822C45" w14:textId="5CEF26FA" w:rsidR="00DB116D" w:rsidRPr="00A406E5" w:rsidRDefault="001B5937" w:rsidP="005F0579">
            <w:pPr>
              <w:spacing w:before="120" w:after="120"/>
              <w:jc w:val="both"/>
              <w:rPr>
                <w:rFonts w:ascii="Arial" w:hAnsi="Arial" w:cs="Arial"/>
                <w:b/>
                <w:sz w:val="22"/>
                <w:szCs w:val="22"/>
              </w:rPr>
            </w:pPr>
            <w:r>
              <w:rPr>
                <w:rFonts w:ascii="Arial" w:hAnsi="Arial" w:cs="Arial"/>
                <w:b/>
                <w:sz w:val="22"/>
                <w:szCs w:val="22"/>
              </w:rPr>
              <w:t>Scenario question</w:t>
            </w:r>
          </w:p>
        </w:tc>
        <w:tc>
          <w:tcPr>
            <w:tcW w:w="2268" w:type="dxa"/>
            <w:shd w:val="pct15" w:color="auto" w:fill="auto"/>
          </w:tcPr>
          <w:p w14:paraId="75E91B7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CED017" w14:textId="7FCA4EC4" w:rsidR="00DB116D" w:rsidRPr="00A406E5" w:rsidRDefault="001B5937"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0E141401" w14:textId="77777777" w:rsidTr="008307F2">
        <w:tc>
          <w:tcPr>
            <w:tcW w:w="2093" w:type="dxa"/>
            <w:shd w:val="pct15" w:color="auto" w:fill="auto"/>
          </w:tcPr>
          <w:p w14:paraId="31963CC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A5B504" w14:textId="1B9CC257" w:rsidR="00B84B5B" w:rsidRPr="00A406E5" w:rsidRDefault="001B5937" w:rsidP="005F0579">
            <w:pPr>
              <w:spacing w:before="120" w:after="120"/>
              <w:jc w:val="both"/>
              <w:rPr>
                <w:rFonts w:ascii="Arial" w:hAnsi="Arial" w:cs="Arial"/>
                <w:b/>
                <w:sz w:val="22"/>
                <w:szCs w:val="22"/>
              </w:rPr>
            </w:pPr>
            <w:r>
              <w:rPr>
                <w:rFonts w:ascii="Arial" w:hAnsi="Arial" w:cs="Arial"/>
                <w:b/>
                <w:sz w:val="22"/>
                <w:szCs w:val="22"/>
              </w:rPr>
              <w:t xml:space="preserve">23:59 Friday </w:t>
            </w:r>
            <w:r w:rsidR="00EA75D1">
              <w:rPr>
                <w:rFonts w:ascii="Arial" w:hAnsi="Arial" w:cs="Arial"/>
                <w:b/>
                <w:sz w:val="22"/>
                <w:szCs w:val="22"/>
              </w:rPr>
              <w:t>12</w:t>
            </w:r>
            <w:r w:rsidR="00EA75D1" w:rsidRPr="00EA75D1">
              <w:rPr>
                <w:rFonts w:ascii="Arial" w:hAnsi="Arial" w:cs="Arial"/>
                <w:b/>
                <w:sz w:val="22"/>
                <w:szCs w:val="22"/>
                <w:vertAlign w:val="superscript"/>
              </w:rPr>
              <w:t>th</w:t>
            </w:r>
            <w:r w:rsidR="00EA75D1">
              <w:rPr>
                <w:rFonts w:ascii="Arial" w:hAnsi="Arial" w:cs="Arial"/>
                <w:b/>
                <w:sz w:val="22"/>
                <w:szCs w:val="22"/>
              </w:rPr>
              <w:t xml:space="preserve"> January 2</w:t>
            </w:r>
            <w:r w:rsidR="007E67E5">
              <w:rPr>
                <w:rFonts w:ascii="Arial" w:hAnsi="Arial" w:cs="Arial"/>
                <w:b/>
                <w:sz w:val="22"/>
                <w:szCs w:val="22"/>
              </w:rPr>
              <w:t>02</w:t>
            </w:r>
            <w:r w:rsidR="0066218F">
              <w:rPr>
                <w:rFonts w:ascii="Arial" w:hAnsi="Arial" w:cs="Arial"/>
                <w:b/>
                <w:sz w:val="22"/>
                <w:szCs w:val="22"/>
              </w:rPr>
              <w:t>4</w:t>
            </w:r>
          </w:p>
        </w:tc>
        <w:tc>
          <w:tcPr>
            <w:tcW w:w="2268" w:type="dxa"/>
            <w:shd w:val="pct15" w:color="auto" w:fill="auto"/>
          </w:tcPr>
          <w:p w14:paraId="4F1E52C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95ADE6E" w14:textId="6A7547A6" w:rsidR="00B84B5B" w:rsidRPr="00A406E5" w:rsidRDefault="00DA2185" w:rsidP="005F0579">
            <w:pPr>
              <w:spacing w:before="120" w:after="120"/>
              <w:jc w:val="both"/>
              <w:rPr>
                <w:rFonts w:ascii="Arial" w:hAnsi="Arial" w:cs="Arial"/>
                <w:b/>
                <w:sz w:val="22"/>
                <w:szCs w:val="22"/>
              </w:rPr>
            </w:pPr>
            <w:r>
              <w:rPr>
                <w:rFonts w:ascii="Arial" w:hAnsi="Arial" w:cs="Arial"/>
                <w:b/>
                <w:sz w:val="22"/>
                <w:szCs w:val="22"/>
              </w:rPr>
              <w:t>10am Tuesday</w:t>
            </w:r>
            <w:r w:rsidR="001B5937">
              <w:rPr>
                <w:rFonts w:ascii="Arial" w:hAnsi="Arial" w:cs="Arial"/>
                <w:b/>
                <w:sz w:val="22"/>
                <w:szCs w:val="22"/>
              </w:rPr>
              <w:t xml:space="preserve"> </w:t>
            </w:r>
            <w:r>
              <w:rPr>
                <w:rFonts w:ascii="Arial" w:hAnsi="Arial" w:cs="Arial"/>
                <w:b/>
                <w:sz w:val="22"/>
                <w:szCs w:val="22"/>
              </w:rPr>
              <w:t>13</w:t>
            </w:r>
            <w:r w:rsidR="001B5937" w:rsidRPr="001B5937">
              <w:rPr>
                <w:rFonts w:ascii="Arial" w:hAnsi="Arial" w:cs="Arial"/>
                <w:b/>
                <w:sz w:val="22"/>
                <w:szCs w:val="22"/>
                <w:vertAlign w:val="superscript"/>
              </w:rPr>
              <w:t>th</w:t>
            </w:r>
            <w:r w:rsidR="001B5937">
              <w:rPr>
                <w:rFonts w:ascii="Arial" w:hAnsi="Arial" w:cs="Arial"/>
                <w:b/>
                <w:sz w:val="22"/>
                <w:szCs w:val="22"/>
              </w:rPr>
              <w:t xml:space="preserve"> </w:t>
            </w:r>
            <w:proofErr w:type="gramStart"/>
            <w:r>
              <w:rPr>
                <w:rFonts w:ascii="Arial" w:hAnsi="Arial" w:cs="Arial"/>
                <w:b/>
                <w:sz w:val="22"/>
                <w:szCs w:val="22"/>
              </w:rPr>
              <w:t xml:space="preserve">February </w:t>
            </w:r>
            <w:r w:rsidR="001B5937">
              <w:rPr>
                <w:rFonts w:ascii="Arial" w:hAnsi="Arial" w:cs="Arial"/>
                <w:b/>
                <w:sz w:val="22"/>
                <w:szCs w:val="22"/>
              </w:rPr>
              <w:t xml:space="preserve"> 202</w:t>
            </w:r>
            <w:r w:rsidR="009B045D">
              <w:rPr>
                <w:rFonts w:ascii="Arial" w:hAnsi="Arial" w:cs="Arial"/>
                <w:b/>
                <w:sz w:val="22"/>
                <w:szCs w:val="22"/>
              </w:rPr>
              <w:t>4</w:t>
            </w:r>
            <w:proofErr w:type="gramEnd"/>
          </w:p>
        </w:tc>
      </w:tr>
    </w:tbl>
    <w:p w14:paraId="7A43FD54" w14:textId="77777777" w:rsidR="0028204E" w:rsidRPr="00A406E5" w:rsidRDefault="0028204E" w:rsidP="00DB116D">
      <w:pPr>
        <w:rPr>
          <w:rFonts w:ascii="Arial" w:hAnsi="Arial" w:cs="Arial"/>
          <w:sz w:val="32"/>
        </w:rPr>
      </w:pPr>
    </w:p>
    <w:p w14:paraId="755B7C89" w14:textId="293C0582" w:rsidR="00273B77" w:rsidRPr="00273B77" w:rsidRDefault="005F7AA2" w:rsidP="00273B77">
      <w:pPr>
        <w:spacing w:before="100" w:beforeAutospacing="1" w:after="100" w:afterAutospacing="1"/>
        <w:jc w:val="both"/>
        <w:rPr>
          <w:rFonts w:asciiTheme="minorBidi" w:hAnsiTheme="minorBidi" w:cstheme="minorBidi"/>
          <w:b/>
          <w:bCs/>
          <w:color w:val="000000"/>
          <w:sz w:val="24"/>
          <w:szCs w:val="24"/>
          <w:lang w:eastAsia="zh-CN"/>
        </w:rPr>
      </w:pPr>
      <w:r>
        <w:rPr>
          <w:rFonts w:asciiTheme="minorBidi" w:hAnsiTheme="minorBidi" w:cstheme="minorBidi"/>
          <w:b/>
          <w:bCs/>
          <w:color w:val="000000"/>
          <w:sz w:val="24"/>
          <w:szCs w:val="24"/>
          <w:lang w:eastAsia="zh-CN"/>
        </w:rPr>
        <w:t xml:space="preserve">Assignment </w:t>
      </w:r>
      <w:r w:rsidR="00273B77" w:rsidRPr="00273B77">
        <w:rPr>
          <w:rFonts w:asciiTheme="minorBidi" w:hAnsiTheme="minorBidi" w:cstheme="minorBidi"/>
          <w:b/>
          <w:bCs/>
          <w:color w:val="000000"/>
          <w:sz w:val="24"/>
          <w:szCs w:val="24"/>
          <w:lang w:eastAsia="zh-CN"/>
        </w:rPr>
        <w:t xml:space="preserve">Question: </w:t>
      </w:r>
    </w:p>
    <w:p w14:paraId="51C59CAA" w14:textId="77777777" w:rsidR="00273B77" w:rsidRPr="00273B77" w:rsidRDefault="00273B77" w:rsidP="00273B77">
      <w:pPr>
        <w:spacing w:before="100" w:beforeAutospacing="1" w:after="100" w:afterAutospacing="1"/>
        <w:jc w:val="both"/>
        <w:rPr>
          <w:rFonts w:asciiTheme="minorBidi" w:hAnsiTheme="minorBidi" w:cstheme="minorBidi"/>
          <w:b/>
          <w:bCs/>
          <w:color w:val="000000"/>
          <w:sz w:val="24"/>
          <w:szCs w:val="24"/>
          <w:lang w:eastAsia="zh-CN"/>
        </w:rPr>
      </w:pPr>
      <w:r w:rsidRPr="00273B77">
        <w:rPr>
          <w:rFonts w:asciiTheme="minorBidi" w:hAnsiTheme="minorBidi" w:cstheme="minorBidi"/>
          <w:b/>
          <w:bCs/>
          <w:color w:val="000000"/>
          <w:sz w:val="24"/>
          <w:szCs w:val="24"/>
          <w:lang w:eastAsia="zh-CN"/>
        </w:rPr>
        <w:t xml:space="preserve">Carla and Jamie have been married for 15 years. One evening, Jamie comes home after a night out with friends, visibly intoxicated. Carla, who has been dealing with marital problems for some time, becomes increasingly agitated and confronts Jamie about his excessive drinking and neglect of their relationship. A heated argument ensues, during which Jamie admits to having had a brief affair with a co-worker, Emma, a few months earlier. Carla, overwhelmed by anger and sadness, rushes to the </w:t>
      </w:r>
      <w:proofErr w:type="gramStart"/>
      <w:r w:rsidRPr="00273B77">
        <w:rPr>
          <w:rFonts w:asciiTheme="minorBidi" w:hAnsiTheme="minorBidi" w:cstheme="minorBidi"/>
          <w:b/>
          <w:bCs/>
          <w:color w:val="000000"/>
          <w:sz w:val="24"/>
          <w:szCs w:val="24"/>
          <w:lang w:eastAsia="zh-CN"/>
        </w:rPr>
        <w:t>kitchen</w:t>
      </w:r>
      <w:proofErr w:type="gramEnd"/>
      <w:r w:rsidRPr="00273B77">
        <w:rPr>
          <w:rFonts w:asciiTheme="minorBidi" w:hAnsiTheme="minorBidi" w:cstheme="minorBidi"/>
          <w:b/>
          <w:bCs/>
          <w:color w:val="000000"/>
          <w:sz w:val="24"/>
          <w:szCs w:val="24"/>
          <w:lang w:eastAsia="zh-CN"/>
        </w:rPr>
        <w:t xml:space="preserve"> and grabs a kitchen knife. She then stabs Jamie in the chest, causing him serious injuries.</w:t>
      </w:r>
    </w:p>
    <w:p w14:paraId="76833304" w14:textId="3D3B9B0C" w:rsidR="00273B77" w:rsidRDefault="00273B77" w:rsidP="00273B77">
      <w:pPr>
        <w:spacing w:before="100" w:beforeAutospacing="1" w:after="100" w:afterAutospacing="1"/>
        <w:jc w:val="both"/>
        <w:rPr>
          <w:rFonts w:asciiTheme="minorBidi" w:hAnsiTheme="minorBidi" w:cstheme="minorBidi"/>
          <w:b/>
          <w:bCs/>
          <w:color w:val="000000"/>
          <w:sz w:val="24"/>
          <w:szCs w:val="24"/>
          <w:lang w:eastAsia="zh-CN"/>
        </w:rPr>
      </w:pPr>
      <w:r w:rsidRPr="00273B77">
        <w:rPr>
          <w:rFonts w:asciiTheme="minorBidi" w:hAnsiTheme="minorBidi" w:cstheme="minorBidi"/>
          <w:b/>
          <w:bCs/>
          <w:color w:val="000000"/>
          <w:sz w:val="24"/>
          <w:szCs w:val="24"/>
          <w:lang w:eastAsia="zh-CN"/>
        </w:rPr>
        <w:t xml:space="preserve">Discuss Carla's potential criminal liability, considering relevant case law and legislation. In your analysis, address issues such as the elements of the </w:t>
      </w:r>
      <w:r w:rsidR="00DF55EA" w:rsidRPr="00273B77">
        <w:rPr>
          <w:rFonts w:asciiTheme="minorBidi" w:hAnsiTheme="minorBidi" w:cstheme="minorBidi"/>
          <w:b/>
          <w:bCs/>
          <w:color w:val="000000"/>
          <w:sz w:val="24"/>
          <w:szCs w:val="24"/>
          <w:lang w:eastAsia="zh-CN"/>
        </w:rPr>
        <w:t>offence</w:t>
      </w:r>
      <w:r w:rsidRPr="00273B77">
        <w:rPr>
          <w:rFonts w:asciiTheme="minorBidi" w:hAnsiTheme="minorBidi" w:cstheme="minorBidi"/>
          <w:b/>
          <w:bCs/>
          <w:color w:val="000000"/>
          <w:sz w:val="24"/>
          <w:szCs w:val="24"/>
          <w:lang w:eastAsia="zh-CN"/>
        </w:rPr>
        <w:t>, any potential defences, and the relevance of Carla's emotional state and the confession made by Jamie during the argument.</w:t>
      </w:r>
      <w:r>
        <w:rPr>
          <w:rFonts w:asciiTheme="minorBidi" w:hAnsiTheme="minorBidi" w:cstheme="minorBidi"/>
          <w:b/>
          <w:bCs/>
          <w:color w:val="000000"/>
          <w:sz w:val="24"/>
          <w:szCs w:val="24"/>
          <w:lang w:eastAsia="zh-CN"/>
        </w:rPr>
        <w:t xml:space="preserve"> </w:t>
      </w:r>
    </w:p>
    <w:p w14:paraId="29F42DFE" w14:textId="77777777" w:rsidR="00D9224A" w:rsidRDefault="00D9224A" w:rsidP="00273B77">
      <w:pPr>
        <w:spacing w:before="100" w:beforeAutospacing="1" w:after="100" w:afterAutospacing="1"/>
        <w:jc w:val="both"/>
        <w:rPr>
          <w:rFonts w:asciiTheme="minorBidi" w:hAnsiTheme="minorBidi" w:cstheme="minorBidi"/>
          <w:b/>
          <w:bCs/>
          <w:color w:val="000000"/>
          <w:sz w:val="24"/>
          <w:szCs w:val="24"/>
          <w:lang w:eastAsia="zh-CN"/>
        </w:rPr>
      </w:pPr>
    </w:p>
    <w:p w14:paraId="53146E87" w14:textId="77777777" w:rsidR="00D9224A" w:rsidRDefault="00D9224A" w:rsidP="00273B77">
      <w:pPr>
        <w:spacing w:before="100" w:beforeAutospacing="1" w:after="100" w:afterAutospacing="1"/>
        <w:jc w:val="both"/>
        <w:rPr>
          <w:rFonts w:asciiTheme="minorBidi" w:hAnsiTheme="minorBidi" w:cstheme="minorBidi"/>
          <w:b/>
          <w:bCs/>
          <w:color w:val="000000"/>
          <w:sz w:val="24"/>
          <w:szCs w:val="24"/>
          <w:lang w:eastAsia="zh-CN"/>
        </w:rPr>
      </w:pPr>
    </w:p>
    <w:p w14:paraId="41B8EE48" w14:textId="77777777" w:rsidR="00D9224A" w:rsidRDefault="00D9224A" w:rsidP="00273B77">
      <w:pPr>
        <w:spacing w:before="100" w:beforeAutospacing="1" w:after="100" w:afterAutospacing="1"/>
        <w:jc w:val="both"/>
        <w:rPr>
          <w:rFonts w:asciiTheme="minorBidi" w:hAnsiTheme="minorBidi" w:cstheme="minorBidi"/>
          <w:b/>
          <w:bCs/>
          <w:color w:val="000000"/>
          <w:sz w:val="24"/>
          <w:szCs w:val="24"/>
          <w:lang w:eastAsia="zh-CN"/>
        </w:rPr>
      </w:pPr>
    </w:p>
    <w:p w14:paraId="2965777E" w14:textId="77777777" w:rsidR="00D9224A" w:rsidRDefault="00D9224A" w:rsidP="00273B77">
      <w:pPr>
        <w:spacing w:before="100" w:beforeAutospacing="1" w:after="100" w:afterAutospacing="1"/>
        <w:jc w:val="both"/>
        <w:rPr>
          <w:rFonts w:asciiTheme="minorBidi" w:hAnsiTheme="minorBidi" w:cstheme="minorBidi"/>
          <w:b/>
          <w:bCs/>
          <w:color w:val="000000"/>
          <w:sz w:val="24"/>
          <w:szCs w:val="24"/>
          <w:lang w:eastAsia="zh-CN"/>
        </w:rPr>
      </w:pPr>
    </w:p>
    <w:p w14:paraId="5918EE93" w14:textId="77777777" w:rsidR="00D9224A" w:rsidRDefault="00D9224A" w:rsidP="00273B77">
      <w:pPr>
        <w:spacing w:before="100" w:beforeAutospacing="1" w:after="100" w:afterAutospacing="1"/>
        <w:jc w:val="both"/>
        <w:rPr>
          <w:rFonts w:asciiTheme="minorBidi" w:hAnsiTheme="minorBidi" w:cstheme="minorBidi"/>
          <w:b/>
          <w:bCs/>
          <w:color w:val="000000"/>
          <w:sz w:val="24"/>
          <w:szCs w:val="24"/>
          <w:lang w:eastAsia="zh-CN"/>
        </w:rPr>
      </w:pPr>
    </w:p>
    <w:p w14:paraId="779808B3" w14:textId="77777777" w:rsidR="00FE28DC" w:rsidRDefault="00FE28DC" w:rsidP="00273B77">
      <w:pPr>
        <w:spacing w:before="100" w:beforeAutospacing="1" w:after="100" w:afterAutospacing="1"/>
        <w:jc w:val="both"/>
        <w:rPr>
          <w:rFonts w:asciiTheme="minorBidi" w:hAnsiTheme="minorBidi" w:cstheme="minorBidi"/>
          <w:b/>
          <w:bCs/>
          <w:color w:val="000000"/>
          <w:sz w:val="24"/>
          <w:szCs w:val="24"/>
          <w:lang w:eastAsia="zh-CN"/>
        </w:rPr>
      </w:pPr>
    </w:p>
    <w:p w14:paraId="044167AF" w14:textId="3A6B35C7" w:rsidR="00B81AA1" w:rsidRPr="00FB1B5F" w:rsidRDefault="00B81AA1" w:rsidP="00FB1B5F">
      <w:pPr>
        <w:jc w:val="both"/>
        <w:rPr>
          <w:rFonts w:ascii="Arial" w:hAnsi="Arial" w:cs="Arial"/>
          <w:b/>
          <w:bCs/>
          <w:sz w:val="28"/>
          <w:szCs w:val="28"/>
        </w:rPr>
      </w:pPr>
      <w:r w:rsidRPr="00FB1B5F">
        <w:rPr>
          <w:rFonts w:ascii="Arial" w:hAnsi="Arial" w:cs="Arial"/>
          <w:b/>
          <w:bCs/>
          <w:sz w:val="28"/>
          <w:szCs w:val="28"/>
        </w:rPr>
        <w:lastRenderedPageBreak/>
        <w:t>Carla's Potential Criminal Liability: A Legal Analysis</w:t>
      </w:r>
    </w:p>
    <w:p w14:paraId="5C334BAF" w14:textId="77777777" w:rsidR="00B81AA1" w:rsidRPr="00B81AA1" w:rsidRDefault="00B81AA1" w:rsidP="00B81AA1">
      <w:pPr>
        <w:ind w:left="720"/>
        <w:jc w:val="both"/>
        <w:rPr>
          <w:rFonts w:ascii="Arial" w:hAnsi="Arial" w:cs="Arial"/>
          <w:sz w:val="24"/>
          <w:szCs w:val="24"/>
        </w:rPr>
      </w:pPr>
    </w:p>
    <w:p w14:paraId="01770820" w14:textId="172F413F" w:rsidR="00B81AA1" w:rsidRDefault="00FB1B5F" w:rsidP="002364F9">
      <w:pPr>
        <w:jc w:val="both"/>
        <w:rPr>
          <w:rFonts w:ascii="Arial" w:hAnsi="Arial" w:cs="Arial"/>
          <w:sz w:val="24"/>
          <w:szCs w:val="24"/>
        </w:rPr>
      </w:pPr>
      <w:r w:rsidRPr="00FB1B5F">
        <w:rPr>
          <w:rFonts w:ascii="Arial" w:hAnsi="Arial" w:cs="Arial"/>
          <w:sz w:val="24"/>
          <w:szCs w:val="24"/>
        </w:rPr>
        <w:t>The activities that Carla took in stabbing Jamie give rise to the possibility of criminal responsibility</w:t>
      </w:r>
      <w:r w:rsidR="002364F9">
        <w:rPr>
          <w:rFonts w:ascii="Arial" w:hAnsi="Arial" w:cs="Arial"/>
          <w:sz w:val="24"/>
          <w:szCs w:val="24"/>
        </w:rPr>
        <w:t xml:space="preserve"> </w:t>
      </w:r>
      <w:r w:rsidR="002364F9" w:rsidRPr="002364F9">
        <w:rPr>
          <w:rFonts w:ascii="Arial" w:hAnsi="Arial" w:cs="Arial"/>
          <w:sz w:val="24"/>
          <w:szCs w:val="24"/>
        </w:rPr>
        <w:t>(Smith, 2005)</w:t>
      </w:r>
      <w:r w:rsidRPr="002364F9">
        <w:rPr>
          <w:rFonts w:ascii="Arial" w:hAnsi="Arial" w:cs="Arial"/>
          <w:sz w:val="24"/>
          <w:szCs w:val="24"/>
        </w:rPr>
        <w:t xml:space="preserve">. </w:t>
      </w:r>
      <w:r w:rsidRPr="00FB1B5F">
        <w:rPr>
          <w:rFonts w:ascii="Arial" w:hAnsi="Arial" w:cs="Arial"/>
          <w:sz w:val="24"/>
          <w:szCs w:val="24"/>
        </w:rPr>
        <w:t>These actions invoke legal concerns such as purpose, self-defence, provocation, emotional condition, voluntary intoxication, and the influence of previous marital troubles. The purpose of this analysis is to investigate these factors by situating them within the framework of pertinent case law and legislation</w:t>
      </w:r>
      <w:r w:rsidR="002364F9">
        <w:rPr>
          <w:rFonts w:ascii="Arial" w:hAnsi="Arial" w:cs="Arial"/>
          <w:sz w:val="24"/>
          <w:szCs w:val="24"/>
        </w:rPr>
        <w:t xml:space="preserve"> </w:t>
      </w:r>
      <w:r w:rsidR="002364F9" w:rsidRPr="00E84465">
        <w:rPr>
          <w:rFonts w:ascii="Arial" w:hAnsi="Arial" w:cs="Arial"/>
          <w:sz w:val="24"/>
          <w:szCs w:val="24"/>
        </w:rPr>
        <w:t>(Jones et al., 2010).</w:t>
      </w:r>
    </w:p>
    <w:p w14:paraId="4B1BA067" w14:textId="77777777" w:rsidR="00FB1B5F" w:rsidRPr="00B81AA1" w:rsidRDefault="00FB1B5F" w:rsidP="00B81AA1">
      <w:pPr>
        <w:ind w:left="720"/>
        <w:jc w:val="both"/>
        <w:rPr>
          <w:rFonts w:ascii="Arial" w:hAnsi="Arial" w:cs="Arial"/>
          <w:sz w:val="24"/>
          <w:szCs w:val="24"/>
        </w:rPr>
      </w:pPr>
    </w:p>
    <w:p w14:paraId="5FF6EFFA" w14:textId="29456ADB" w:rsidR="00FB1B5F" w:rsidRDefault="00B81AA1" w:rsidP="00FB1B5F">
      <w:pPr>
        <w:pStyle w:val="ListParagraph"/>
        <w:numPr>
          <w:ilvl w:val="0"/>
          <w:numId w:val="18"/>
        </w:numPr>
        <w:jc w:val="both"/>
        <w:rPr>
          <w:rFonts w:ascii="Arial" w:hAnsi="Arial" w:cs="Arial"/>
          <w:b/>
          <w:bCs/>
          <w:sz w:val="24"/>
          <w:szCs w:val="24"/>
        </w:rPr>
      </w:pPr>
      <w:r w:rsidRPr="00FB1B5F">
        <w:rPr>
          <w:rFonts w:ascii="Arial" w:hAnsi="Arial" w:cs="Arial"/>
          <w:b/>
          <w:bCs/>
          <w:sz w:val="24"/>
          <w:szCs w:val="24"/>
        </w:rPr>
        <w:t xml:space="preserve">Intent or </w:t>
      </w:r>
      <w:proofErr w:type="spellStart"/>
      <w:r w:rsidRPr="00FB1B5F">
        <w:rPr>
          <w:rFonts w:ascii="Arial" w:hAnsi="Arial" w:cs="Arial"/>
          <w:b/>
          <w:bCs/>
          <w:sz w:val="24"/>
          <w:szCs w:val="24"/>
        </w:rPr>
        <w:t>Mens</w:t>
      </w:r>
      <w:proofErr w:type="spellEnd"/>
      <w:r w:rsidRPr="00FB1B5F">
        <w:rPr>
          <w:rFonts w:ascii="Arial" w:hAnsi="Arial" w:cs="Arial"/>
          <w:b/>
          <w:bCs/>
          <w:sz w:val="24"/>
          <w:szCs w:val="24"/>
        </w:rPr>
        <w:t xml:space="preserve"> Rea:</w:t>
      </w:r>
    </w:p>
    <w:p w14:paraId="7B033FD3" w14:textId="77777777" w:rsidR="00FB1B5F" w:rsidRPr="00FB1B5F" w:rsidRDefault="00FB1B5F" w:rsidP="00FB1B5F">
      <w:pPr>
        <w:jc w:val="both"/>
        <w:rPr>
          <w:rFonts w:ascii="Arial" w:hAnsi="Arial" w:cs="Arial"/>
          <w:b/>
          <w:bCs/>
          <w:sz w:val="24"/>
          <w:szCs w:val="24"/>
        </w:rPr>
      </w:pPr>
    </w:p>
    <w:p w14:paraId="67971A6A" w14:textId="4D5A27A5" w:rsidR="00FB1B5F" w:rsidRDefault="00FB1B5F" w:rsidP="002364F9">
      <w:pPr>
        <w:jc w:val="both"/>
        <w:rPr>
          <w:rFonts w:ascii="Arial" w:hAnsi="Arial" w:cs="Arial"/>
          <w:sz w:val="24"/>
          <w:szCs w:val="24"/>
        </w:rPr>
      </w:pPr>
      <w:r w:rsidRPr="00FB1B5F">
        <w:rPr>
          <w:rFonts w:ascii="Arial" w:hAnsi="Arial" w:cs="Arial"/>
          <w:sz w:val="24"/>
          <w:szCs w:val="24"/>
        </w:rPr>
        <w:t>The level of criminal responsibility that Carla is responsible for is directly proportional to the degree of her purpose, often known as men’s rea. Homicide charges are classified according to the intent of the perpetrator in many different jurisdictions</w:t>
      </w:r>
      <w:r w:rsidR="002364F9">
        <w:rPr>
          <w:rFonts w:ascii="Arial" w:hAnsi="Arial" w:cs="Arial"/>
          <w:sz w:val="24"/>
          <w:szCs w:val="24"/>
        </w:rPr>
        <w:t xml:space="preserve"> </w:t>
      </w:r>
      <w:r w:rsidR="002364F9" w:rsidRPr="00E84465">
        <w:rPr>
          <w:rFonts w:ascii="Arial" w:hAnsi="Arial" w:cs="Arial"/>
          <w:sz w:val="24"/>
          <w:szCs w:val="24"/>
        </w:rPr>
        <w:t>(Thompson, 2018)</w:t>
      </w:r>
      <w:r w:rsidRPr="00FB1B5F">
        <w:rPr>
          <w:rFonts w:ascii="Arial" w:hAnsi="Arial" w:cs="Arial"/>
          <w:sz w:val="24"/>
          <w:szCs w:val="24"/>
        </w:rPr>
        <w:t>. These categories range from manslaughter to first-degree murder. One of the most important factors that will determine the accusations that are brought against Carla is the nature of her intent, namely whether or not she intended to inflict serious harm or death</w:t>
      </w:r>
      <w:r w:rsidR="002364F9">
        <w:rPr>
          <w:rFonts w:ascii="Arial" w:hAnsi="Arial" w:cs="Arial"/>
          <w:sz w:val="24"/>
          <w:szCs w:val="24"/>
        </w:rPr>
        <w:t xml:space="preserve"> </w:t>
      </w:r>
      <w:r w:rsidR="002364F9" w:rsidRPr="00E84465">
        <w:rPr>
          <w:rFonts w:ascii="Arial" w:hAnsi="Arial" w:cs="Arial"/>
          <w:sz w:val="24"/>
          <w:szCs w:val="24"/>
        </w:rPr>
        <w:t>(Miller, 2013</w:t>
      </w:r>
      <w:proofErr w:type="gramStart"/>
      <w:r w:rsidR="002364F9" w:rsidRPr="00E84465">
        <w:rPr>
          <w:rFonts w:ascii="Arial" w:hAnsi="Arial" w:cs="Arial"/>
          <w:sz w:val="24"/>
          <w:szCs w:val="24"/>
        </w:rPr>
        <w:t>).</w:t>
      </w:r>
      <w:r w:rsidRPr="00FB1B5F">
        <w:rPr>
          <w:rFonts w:ascii="Arial" w:hAnsi="Arial" w:cs="Arial"/>
          <w:sz w:val="24"/>
          <w:szCs w:val="24"/>
        </w:rPr>
        <w:t>.</w:t>
      </w:r>
      <w:proofErr w:type="gramEnd"/>
      <w:r w:rsidRPr="00FB1B5F">
        <w:rPr>
          <w:rFonts w:ascii="Arial" w:hAnsi="Arial" w:cs="Arial"/>
          <w:sz w:val="24"/>
          <w:szCs w:val="24"/>
        </w:rPr>
        <w:t xml:space="preserve"> In the seminal case of R v. Cunningham, the Supreme Court of the United States held that being irresponsible could be sufficient to meet the men’s rea requirement for certain offences. Given the precedent that has been established, it is possible that Carla's intent might be examined depending on </w:t>
      </w:r>
      <w:proofErr w:type="gramStart"/>
      <w:r w:rsidRPr="00FB1B5F">
        <w:rPr>
          <w:rFonts w:ascii="Arial" w:hAnsi="Arial" w:cs="Arial"/>
          <w:sz w:val="24"/>
          <w:szCs w:val="24"/>
        </w:rPr>
        <w:t>whether or not</w:t>
      </w:r>
      <w:proofErr w:type="gramEnd"/>
      <w:r w:rsidRPr="00FB1B5F">
        <w:rPr>
          <w:rFonts w:ascii="Arial" w:hAnsi="Arial" w:cs="Arial"/>
          <w:sz w:val="24"/>
          <w:szCs w:val="24"/>
        </w:rPr>
        <w:t xml:space="preserve"> she was irresponsible in causing Jamie damage.</w:t>
      </w:r>
    </w:p>
    <w:p w14:paraId="385986B2" w14:textId="16AC0962" w:rsidR="002364F9" w:rsidRPr="00E84465" w:rsidRDefault="002364F9" w:rsidP="002364F9">
      <w:pPr>
        <w:rPr>
          <w:rFonts w:ascii="Arial" w:hAnsi="Arial" w:cs="Arial"/>
          <w:sz w:val="24"/>
          <w:szCs w:val="24"/>
        </w:rPr>
      </w:pPr>
      <w:r>
        <w:rPr>
          <w:rFonts w:ascii="Arial" w:hAnsi="Arial" w:cs="Arial"/>
          <w:sz w:val="24"/>
          <w:szCs w:val="24"/>
        </w:rPr>
        <w:t xml:space="preserve"> </w:t>
      </w:r>
      <w:r w:rsidRPr="00E84465">
        <w:rPr>
          <w:rFonts w:ascii="Arial" w:hAnsi="Arial" w:cs="Arial"/>
          <w:sz w:val="24"/>
          <w:szCs w:val="24"/>
        </w:rPr>
        <w:t>(R v. Cunningham, 1967).</w:t>
      </w:r>
    </w:p>
    <w:p w14:paraId="45CF7593" w14:textId="77777777" w:rsidR="002364F9" w:rsidRDefault="002364F9" w:rsidP="002364F9">
      <w:pPr>
        <w:jc w:val="both"/>
        <w:rPr>
          <w:rFonts w:ascii="Arial" w:hAnsi="Arial" w:cs="Arial"/>
          <w:sz w:val="24"/>
          <w:szCs w:val="24"/>
        </w:rPr>
      </w:pPr>
    </w:p>
    <w:p w14:paraId="0745F1ED" w14:textId="4C7703C3" w:rsidR="002364F9" w:rsidRPr="00E84465" w:rsidRDefault="00FB1B5F" w:rsidP="002364F9">
      <w:pPr>
        <w:rPr>
          <w:rFonts w:ascii="Arial" w:hAnsi="Arial" w:cs="Arial"/>
          <w:sz w:val="24"/>
          <w:szCs w:val="24"/>
        </w:rPr>
      </w:pPr>
      <w:r w:rsidRPr="00FB1B5F">
        <w:rPr>
          <w:rFonts w:ascii="Arial" w:hAnsi="Arial" w:cs="Arial"/>
          <w:sz w:val="24"/>
          <w:szCs w:val="24"/>
        </w:rPr>
        <w:t>Additionally, the charges may be influenced by the level of intent</w:t>
      </w:r>
      <w:r w:rsidR="002364F9">
        <w:rPr>
          <w:rFonts w:ascii="Arial" w:hAnsi="Arial" w:cs="Arial"/>
          <w:sz w:val="24"/>
          <w:szCs w:val="24"/>
        </w:rPr>
        <w:t xml:space="preserve"> </w:t>
      </w:r>
      <w:r w:rsidR="002364F9" w:rsidRPr="00E84465">
        <w:rPr>
          <w:rFonts w:ascii="Arial" w:hAnsi="Arial" w:cs="Arial"/>
          <w:sz w:val="24"/>
          <w:szCs w:val="24"/>
        </w:rPr>
        <w:t>(Clark, 2008</w:t>
      </w:r>
      <w:r w:rsidR="002364F9" w:rsidRPr="00E84465">
        <w:rPr>
          <w:rFonts w:ascii="Arial" w:hAnsi="Arial" w:cs="Arial"/>
          <w:sz w:val="24"/>
          <w:szCs w:val="24"/>
        </w:rPr>
        <w:t>).</w:t>
      </w:r>
      <w:r w:rsidRPr="00FB1B5F">
        <w:rPr>
          <w:rFonts w:ascii="Arial" w:hAnsi="Arial" w:cs="Arial"/>
          <w:sz w:val="24"/>
          <w:szCs w:val="24"/>
        </w:rPr>
        <w:t xml:space="preserve"> It is possible that Carla might be charged with first-degree murder, which is a more serious offence, if she had planned the stabbing beforehand</w:t>
      </w:r>
      <w:r w:rsidR="002364F9">
        <w:rPr>
          <w:rFonts w:ascii="Arial" w:hAnsi="Arial" w:cs="Arial"/>
          <w:sz w:val="24"/>
          <w:szCs w:val="24"/>
        </w:rPr>
        <w:t xml:space="preserve"> </w:t>
      </w:r>
      <w:r w:rsidR="002364F9" w:rsidRPr="00E84465">
        <w:rPr>
          <w:rFonts w:ascii="Arial" w:hAnsi="Arial" w:cs="Arial"/>
          <w:sz w:val="24"/>
          <w:szCs w:val="24"/>
        </w:rPr>
        <w:t>(Garcia, 2012)</w:t>
      </w:r>
      <w:r w:rsidRPr="00FB1B5F">
        <w:rPr>
          <w:rFonts w:ascii="Arial" w:hAnsi="Arial" w:cs="Arial"/>
          <w:sz w:val="24"/>
          <w:szCs w:val="24"/>
        </w:rPr>
        <w:t>. A lower accusation of manslaughter could be brought against the individual if, on the other hand, the stabbing was carried out without any prior planning or preparation.</w:t>
      </w:r>
      <w:r w:rsidR="002364F9" w:rsidRPr="002364F9">
        <w:rPr>
          <w:rFonts w:ascii="Arial" w:hAnsi="Arial" w:cs="Arial"/>
          <w:sz w:val="24"/>
          <w:szCs w:val="24"/>
        </w:rPr>
        <w:t xml:space="preserve"> </w:t>
      </w:r>
      <w:r w:rsidR="002364F9" w:rsidRPr="00E84465">
        <w:rPr>
          <w:rFonts w:ascii="Arial" w:hAnsi="Arial" w:cs="Arial"/>
          <w:sz w:val="24"/>
          <w:szCs w:val="24"/>
        </w:rPr>
        <w:t>(Smith, 2005).</w:t>
      </w:r>
    </w:p>
    <w:p w14:paraId="64CD3E6E" w14:textId="215EC9F8" w:rsidR="00B81AA1" w:rsidRDefault="00B81AA1" w:rsidP="002364F9">
      <w:pPr>
        <w:jc w:val="both"/>
        <w:rPr>
          <w:rFonts w:ascii="Arial" w:hAnsi="Arial" w:cs="Arial"/>
          <w:sz w:val="24"/>
          <w:szCs w:val="24"/>
        </w:rPr>
      </w:pPr>
    </w:p>
    <w:p w14:paraId="0AC8CE34" w14:textId="77777777" w:rsidR="00FB1B5F" w:rsidRPr="00B81AA1" w:rsidRDefault="00FB1B5F" w:rsidP="00FB1B5F">
      <w:pPr>
        <w:ind w:left="720"/>
        <w:jc w:val="both"/>
        <w:rPr>
          <w:rFonts w:ascii="Arial" w:hAnsi="Arial" w:cs="Arial"/>
          <w:sz w:val="24"/>
          <w:szCs w:val="24"/>
        </w:rPr>
      </w:pPr>
    </w:p>
    <w:p w14:paraId="30E0EEFC" w14:textId="2A4D440D" w:rsidR="00B81AA1" w:rsidRPr="00FB1B5F" w:rsidRDefault="00B81AA1" w:rsidP="00FB1B5F">
      <w:pPr>
        <w:pStyle w:val="ListParagraph"/>
        <w:numPr>
          <w:ilvl w:val="0"/>
          <w:numId w:val="18"/>
        </w:numPr>
        <w:jc w:val="both"/>
        <w:rPr>
          <w:rFonts w:ascii="Arial" w:hAnsi="Arial" w:cs="Arial"/>
          <w:b/>
          <w:bCs/>
          <w:sz w:val="24"/>
          <w:szCs w:val="24"/>
        </w:rPr>
      </w:pPr>
      <w:r w:rsidRPr="00FB1B5F">
        <w:rPr>
          <w:rFonts w:ascii="Arial" w:hAnsi="Arial" w:cs="Arial"/>
          <w:b/>
          <w:bCs/>
          <w:sz w:val="24"/>
          <w:szCs w:val="24"/>
        </w:rPr>
        <w:t>Self-</w:t>
      </w:r>
      <w:r w:rsidR="00D17287" w:rsidRPr="00FB1B5F">
        <w:rPr>
          <w:rFonts w:ascii="Arial" w:hAnsi="Arial" w:cs="Arial"/>
          <w:b/>
          <w:bCs/>
          <w:sz w:val="24"/>
          <w:szCs w:val="24"/>
        </w:rPr>
        <w:t>d</w:t>
      </w:r>
      <w:r w:rsidR="00D17287">
        <w:rPr>
          <w:rFonts w:ascii="Arial" w:hAnsi="Arial" w:cs="Arial"/>
          <w:b/>
          <w:bCs/>
          <w:sz w:val="24"/>
          <w:szCs w:val="24"/>
        </w:rPr>
        <w:t>e</w:t>
      </w:r>
      <w:r w:rsidR="00D17287" w:rsidRPr="00FB1B5F">
        <w:rPr>
          <w:rFonts w:ascii="Arial" w:hAnsi="Arial" w:cs="Arial"/>
          <w:b/>
          <w:bCs/>
          <w:sz w:val="24"/>
          <w:szCs w:val="24"/>
        </w:rPr>
        <w:t>fence</w:t>
      </w:r>
      <w:r w:rsidRPr="00FB1B5F">
        <w:rPr>
          <w:rFonts w:ascii="Arial" w:hAnsi="Arial" w:cs="Arial"/>
          <w:b/>
          <w:bCs/>
          <w:sz w:val="24"/>
          <w:szCs w:val="24"/>
        </w:rPr>
        <w:t>:</w:t>
      </w:r>
    </w:p>
    <w:p w14:paraId="32A7BC69" w14:textId="77777777" w:rsidR="00FB1B5F" w:rsidRPr="00FB1B5F" w:rsidRDefault="00FB1B5F" w:rsidP="00FB1B5F">
      <w:pPr>
        <w:jc w:val="both"/>
        <w:rPr>
          <w:rFonts w:ascii="Arial" w:hAnsi="Arial" w:cs="Arial"/>
          <w:sz w:val="24"/>
          <w:szCs w:val="24"/>
        </w:rPr>
      </w:pPr>
    </w:p>
    <w:p w14:paraId="61D5ABD1" w14:textId="3FB95CEE" w:rsidR="00FB1B5F" w:rsidRPr="00FB1B5F" w:rsidRDefault="00FB1B5F" w:rsidP="002364F9">
      <w:pPr>
        <w:jc w:val="both"/>
        <w:rPr>
          <w:rFonts w:ascii="Arial" w:hAnsi="Arial" w:cs="Arial"/>
          <w:sz w:val="24"/>
          <w:szCs w:val="24"/>
        </w:rPr>
      </w:pPr>
      <w:r w:rsidRPr="00FB1B5F">
        <w:rPr>
          <w:rFonts w:ascii="Arial" w:hAnsi="Arial" w:cs="Arial"/>
          <w:sz w:val="24"/>
          <w:szCs w:val="24"/>
        </w:rPr>
        <w:t>It is possible that Carla would argue that she was acting in self-defence,</w:t>
      </w:r>
      <w:r w:rsidR="00982C4F" w:rsidRPr="00982C4F">
        <w:rPr>
          <w:rFonts w:ascii="Arial" w:hAnsi="Arial" w:cs="Arial"/>
          <w:sz w:val="24"/>
          <w:szCs w:val="24"/>
        </w:rPr>
        <w:t xml:space="preserve"> </w:t>
      </w:r>
      <w:r w:rsidR="00982C4F" w:rsidRPr="00D9224A">
        <w:rPr>
          <w:rFonts w:ascii="Arial" w:hAnsi="Arial" w:cs="Arial"/>
          <w:sz w:val="24"/>
          <w:szCs w:val="24"/>
        </w:rPr>
        <w:t>conviction</w:t>
      </w:r>
      <w:r w:rsidR="00982C4F">
        <w:rPr>
          <w:rFonts w:ascii="Arial" w:hAnsi="Arial" w:cs="Arial"/>
          <w:sz w:val="24"/>
          <w:szCs w:val="24"/>
        </w:rPr>
        <w:t xml:space="preserve"> </w:t>
      </w:r>
      <w:r w:rsidR="00982C4F" w:rsidRPr="00E84465">
        <w:rPr>
          <w:rFonts w:ascii="Arial" w:hAnsi="Arial" w:cs="Arial"/>
          <w:sz w:val="24"/>
          <w:szCs w:val="24"/>
        </w:rPr>
        <w:t>(Brown, 2011)</w:t>
      </w:r>
      <w:r w:rsidR="00982C4F" w:rsidRPr="00D9224A">
        <w:rPr>
          <w:rFonts w:ascii="Arial" w:hAnsi="Arial" w:cs="Arial"/>
          <w:sz w:val="24"/>
          <w:szCs w:val="24"/>
        </w:rPr>
        <w:t xml:space="preserve">. </w:t>
      </w:r>
      <w:r w:rsidRPr="00FB1B5F">
        <w:rPr>
          <w:rFonts w:ascii="Arial" w:hAnsi="Arial" w:cs="Arial"/>
          <w:sz w:val="24"/>
          <w:szCs w:val="24"/>
        </w:rPr>
        <w:t xml:space="preserve"> stating that she held the belief that she was in serious risk of suffering serious harm, which would justify her use of violence</w:t>
      </w:r>
      <w:r w:rsidR="002364F9">
        <w:rPr>
          <w:rFonts w:ascii="Arial" w:hAnsi="Arial" w:cs="Arial"/>
          <w:sz w:val="24"/>
          <w:szCs w:val="24"/>
        </w:rPr>
        <w:t xml:space="preserve"> </w:t>
      </w:r>
      <w:r w:rsidR="002364F9" w:rsidRPr="00E84465">
        <w:rPr>
          <w:rFonts w:ascii="Arial" w:hAnsi="Arial" w:cs="Arial"/>
          <w:sz w:val="24"/>
          <w:szCs w:val="24"/>
        </w:rPr>
        <w:t>(Thomson, 2009)</w:t>
      </w:r>
      <w:r w:rsidRPr="00FB1B5F">
        <w:rPr>
          <w:rFonts w:ascii="Arial" w:hAnsi="Arial" w:cs="Arial"/>
          <w:sz w:val="24"/>
          <w:szCs w:val="24"/>
        </w:rPr>
        <w:t>. Nevertheless, the rules of proportionality and fairness must be adhered to when engaging in self-defence procedures</w:t>
      </w:r>
      <w:r w:rsidR="00982C4F">
        <w:rPr>
          <w:rFonts w:ascii="Arial" w:hAnsi="Arial" w:cs="Arial"/>
          <w:sz w:val="24"/>
          <w:szCs w:val="24"/>
        </w:rPr>
        <w:t xml:space="preserve"> </w:t>
      </w:r>
      <w:r w:rsidR="00982C4F" w:rsidRPr="00E84465">
        <w:rPr>
          <w:rFonts w:ascii="Arial" w:hAnsi="Arial" w:cs="Arial"/>
          <w:sz w:val="24"/>
          <w:szCs w:val="24"/>
        </w:rPr>
        <w:t>(Wanrow, 1977</w:t>
      </w:r>
      <w:proofErr w:type="gramStart"/>
      <w:r w:rsidR="00982C4F" w:rsidRPr="00E84465">
        <w:rPr>
          <w:rFonts w:ascii="Arial" w:hAnsi="Arial" w:cs="Arial"/>
          <w:sz w:val="24"/>
          <w:szCs w:val="24"/>
        </w:rPr>
        <w:t>).</w:t>
      </w:r>
      <w:r w:rsidRPr="00FB1B5F">
        <w:rPr>
          <w:rFonts w:ascii="Arial" w:hAnsi="Arial" w:cs="Arial"/>
          <w:sz w:val="24"/>
          <w:szCs w:val="24"/>
        </w:rPr>
        <w:t>.</w:t>
      </w:r>
      <w:proofErr w:type="gramEnd"/>
      <w:r w:rsidRPr="00FB1B5F">
        <w:rPr>
          <w:rFonts w:ascii="Arial" w:hAnsi="Arial" w:cs="Arial"/>
          <w:sz w:val="24"/>
          <w:szCs w:val="24"/>
        </w:rPr>
        <w:t xml:space="preserve"> The amount of force that is used must be proportional to the level of threat that is perceived, and the action must be considered reasonable </w:t>
      </w:r>
      <w:proofErr w:type="gramStart"/>
      <w:r w:rsidRPr="00FB1B5F">
        <w:rPr>
          <w:rFonts w:ascii="Arial" w:hAnsi="Arial" w:cs="Arial"/>
          <w:sz w:val="24"/>
          <w:szCs w:val="24"/>
        </w:rPr>
        <w:t>in light of</w:t>
      </w:r>
      <w:proofErr w:type="gramEnd"/>
      <w:r w:rsidRPr="00FB1B5F">
        <w:rPr>
          <w:rFonts w:ascii="Arial" w:hAnsi="Arial" w:cs="Arial"/>
          <w:sz w:val="24"/>
          <w:szCs w:val="24"/>
        </w:rPr>
        <w:t xml:space="preserve"> the circumstances around it.</w:t>
      </w:r>
    </w:p>
    <w:p w14:paraId="5D2D6B35" w14:textId="77777777" w:rsidR="00FB1B5F" w:rsidRPr="00FB1B5F" w:rsidRDefault="00FB1B5F" w:rsidP="00FB1B5F">
      <w:pPr>
        <w:ind w:left="720"/>
        <w:jc w:val="both"/>
        <w:rPr>
          <w:rFonts w:ascii="Arial" w:hAnsi="Arial" w:cs="Arial"/>
          <w:sz w:val="24"/>
          <w:szCs w:val="24"/>
        </w:rPr>
      </w:pPr>
    </w:p>
    <w:p w14:paraId="394E9A86" w14:textId="40CF3735" w:rsidR="00B81AA1" w:rsidRDefault="00FB1B5F" w:rsidP="002364F9">
      <w:pPr>
        <w:jc w:val="both"/>
        <w:rPr>
          <w:rFonts w:ascii="Arial" w:hAnsi="Arial" w:cs="Arial"/>
          <w:sz w:val="24"/>
          <w:szCs w:val="24"/>
        </w:rPr>
      </w:pPr>
      <w:r w:rsidRPr="00FB1B5F">
        <w:rPr>
          <w:rFonts w:ascii="Arial" w:hAnsi="Arial" w:cs="Arial"/>
          <w:sz w:val="24"/>
          <w:szCs w:val="24"/>
        </w:rPr>
        <w:t xml:space="preserve">Within the context of instances involving </w:t>
      </w:r>
      <w:r w:rsidR="00D17287" w:rsidRPr="00FB1B5F">
        <w:rPr>
          <w:rFonts w:ascii="Arial" w:hAnsi="Arial" w:cs="Arial"/>
          <w:sz w:val="24"/>
          <w:szCs w:val="24"/>
        </w:rPr>
        <w:t>self-defence</w:t>
      </w:r>
      <w:r w:rsidRPr="00FB1B5F">
        <w:rPr>
          <w:rFonts w:ascii="Arial" w:hAnsi="Arial" w:cs="Arial"/>
          <w:sz w:val="24"/>
          <w:szCs w:val="24"/>
        </w:rPr>
        <w:t xml:space="preserve">, the court placed an emphasis on the reasonableness requirement in the case of State vs. Wanrow. There is a good chance that Carla's actions will be examined based on </w:t>
      </w:r>
      <w:r w:rsidR="002364F9" w:rsidRPr="00FB1B5F">
        <w:rPr>
          <w:rFonts w:ascii="Arial" w:hAnsi="Arial" w:cs="Arial"/>
          <w:sz w:val="24"/>
          <w:szCs w:val="24"/>
        </w:rPr>
        <w:t>whether</w:t>
      </w:r>
      <w:r w:rsidRPr="00FB1B5F">
        <w:rPr>
          <w:rFonts w:ascii="Arial" w:hAnsi="Arial" w:cs="Arial"/>
          <w:sz w:val="24"/>
          <w:szCs w:val="24"/>
        </w:rPr>
        <w:t xml:space="preserve"> a reasonable individual under the same circumstances would have detected an urgent threat</w:t>
      </w:r>
      <w:r w:rsidR="00982C4F">
        <w:rPr>
          <w:rFonts w:ascii="Arial" w:hAnsi="Arial" w:cs="Arial"/>
          <w:sz w:val="24"/>
          <w:szCs w:val="24"/>
        </w:rPr>
        <w:t xml:space="preserve"> </w:t>
      </w:r>
      <w:r w:rsidR="00982C4F" w:rsidRPr="00E84465">
        <w:rPr>
          <w:rFonts w:ascii="Arial" w:hAnsi="Arial" w:cs="Arial"/>
          <w:sz w:val="24"/>
          <w:szCs w:val="24"/>
        </w:rPr>
        <w:t>(Perez, 2014)</w:t>
      </w:r>
      <w:r w:rsidRPr="00FB1B5F">
        <w:rPr>
          <w:rFonts w:ascii="Arial" w:hAnsi="Arial" w:cs="Arial"/>
          <w:sz w:val="24"/>
          <w:szCs w:val="24"/>
        </w:rPr>
        <w:t xml:space="preserve">. There is a possibility that the evaluation of </w:t>
      </w:r>
      <w:r w:rsidR="00D9224A" w:rsidRPr="00FB1B5F">
        <w:rPr>
          <w:rFonts w:ascii="Arial" w:hAnsi="Arial" w:cs="Arial"/>
          <w:sz w:val="24"/>
          <w:szCs w:val="24"/>
        </w:rPr>
        <w:t>whether</w:t>
      </w:r>
      <w:r w:rsidRPr="00FB1B5F">
        <w:rPr>
          <w:rFonts w:ascii="Arial" w:hAnsi="Arial" w:cs="Arial"/>
          <w:sz w:val="24"/>
          <w:szCs w:val="24"/>
        </w:rPr>
        <w:t xml:space="preserve"> Carla's conduct </w:t>
      </w:r>
      <w:r w:rsidR="00D9224A" w:rsidRPr="00FB1B5F">
        <w:rPr>
          <w:rFonts w:ascii="Arial" w:hAnsi="Arial" w:cs="Arial"/>
          <w:sz w:val="24"/>
          <w:szCs w:val="24"/>
        </w:rPr>
        <w:t>was</w:t>
      </w:r>
      <w:r w:rsidRPr="00FB1B5F">
        <w:rPr>
          <w:rFonts w:ascii="Arial" w:hAnsi="Arial" w:cs="Arial"/>
          <w:sz w:val="24"/>
          <w:szCs w:val="24"/>
        </w:rPr>
        <w:t xml:space="preserve"> appropriate and reasonable will be influenced by the fact that she struck Jamie with a knife and caused significant injuries.</w:t>
      </w:r>
      <w:r w:rsidR="00982C4F" w:rsidRPr="00982C4F">
        <w:rPr>
          <w:rFonts w:ascii="Arial" w:hAnsi="Arial" w:cs="Arial"/>
          <w:sz w:val="24"/>
          <w:szCs w:val="24"/>
        </w:rPr>
        <w:t xml:space="preserve"> </w:t>
      </w:r>
      <w:r w:rsidR="00982C4F" w:rsidRPr="00E84465">
        <w:rPr>
          <w:rFonts w:ascii="Arial" w:hAnsi="Arial" w:cs="Arial"/>
          <w:sz w:val="24"/>
          <w:szCs w:val="24"/>
        </w:rPr>
        <w:t>(Gonzalez, 2018).</w:t>
      </w:r>
    </w:p>
    <w:p w14:paraId="6E187939" w14:textId="77777777" w:rsidR="00FB1B5F" w:rsidRPr="00B81AA1" w:rsidRDefault="00FB1B5F" w:rsidP="00FB1B5F">
      <w:pPr>
        <w:ind w:left="720"/>
        <w:jc w:val="both"/>
        <w:rPr>
          <w:rFonts w:ascii="Arial" w:hAnsi="Arial" w:cs="Arial"/>
          <w:sz w:val="24"/>
          <w:szCs w:val="24"/>
        </w:rPr>
      </w:pPr>
    </w:p>
    <w:p w14:paraId="178AE5D7" w14:textId="23C36DE3" w:rsidR="00B81AA1" w:rsidRPr="00D9224A" w:rsidRDefault="00B81AA1" w:rsidP="00D17287">
      <w:pPr>
        <w:pStyle w:val="ListParagraph"/>
        <w:numPr>
          <w:ilvl w:val="0"/>
          <w:numId w:val="18"/>
        </w:numPr>
        <w:jc w:val="both"/>
        <w:rPr>
          <w:rFonts w:ascii="Arial" w:hAnsi="Arial" w:cs="Arial"/>
          <w:b/>
          <w:bCs/>
          <w:sz w:val="24"/>
          <w:szCs w:val="24"/>
        </w:rPr>
      </w:pPr>
      <w:r w:rsidRPr="00D9224A">
        <w:rPr>
          <w:rFonts w:ascii="Arial" w:hAnsi="Arial" w:cs="Arial"/>
          <w:b/>
          <w:bCs/>
          <w:sz w:val="24"/>
          <w:szCs w:val="24"/>
        </w:rPr>
        <w:t>Provocation:</w:t>
      </w:r>
    </w:p>
    <w:p w14:paraId="55471A29" w14:textId="77777777" w:rsidR="00D17287" w:rsidRPr="00D17287" w:rsidRDefault="00D17287" w:rsidP="00D17287">
      <w:pPr>
        <w:jc w:val="both"/>
        <w:rPr>
          <w:rFonts w:ascii="Arial" w:hAnsi="Arial" w:cs="Arial"/>
          <w:sz w:val="24"/>
          <w:szCs w:val="24"/>
        </w:rPr>
      </w:pPr>
    </w:p>
    <w:p w14:paraId="49BF1C84" w14:textId="7D3CB302" w:rsidR="00D9224A" w:rsidRPr="00D9224A" w:rsidRDefault="00D9224A" w:rsidP="002364F9">
      <w:pPr>
        <w:jc w:val="both"/>
        <w:rPr>
          <w:rFonts w:ascii="Arial" w:hAnsi="Arial" w:cs="Arial"/>
          <w:sz w:val="24"/>
          <w:szCs w:val="24"/>
        </w:rPr>
      </w:pPr>
      <w:r w:rsidRPr="00D9224A">
        <w:rPr>
          <w:rFonts w:ascii="Arial" w:hAnsi="Arial" w:cs="Arial"/>
          <w:sz w:val="24"/>
          <w:szCs w:val="24"/>
        </w:rPr>
        <w:t xml:space="preserve">In certain jurisdictions, the use of the defence of provocation can result in a reduction of a murder charge to a manslaughter </w:t>
      </w:r>
      <w:r w:rsidR="00982C4F" w:rsidRPr="00D9224A">
        <w:rPr>
          <w:rFonts w:ascii="Arial" w:hAnsi="Arial" w:cs="Arial"/>
          <w:sz w:val="24"/>
          <w:szCs w:val="24"/>
        </w:rPr>
        <w:t>conviction</w:t>
      </w:r>
      <w:r w:rsidR="00982C4F">
        <w:rPr>
          <w:rFonts w:ascii="Arial" w:hAnsi="Arial" w:cs="Arial"/>
          <w:sz w:val="24"/>
          <w:szCs w:val="24"/>
        </w:rPr>
        <w:t xml:space="preserve"> </w:t>
      </w:r>
      <w:r w:rsidR="00982C4F" w:rsidRPr="00E84465">
        <w:rPr>
          <w:rFonts w:ascii="Arial" w:hAnsi="Arial" w:cs="Arial"/>
          <w:sz w:val="24"/>
          <w:szCs w:val="24"/>
        </w:rPr>
        <w:t>(Duffy, 1949)</w:t>
      </w:r>
      <w:r w:rsidR="00982C4F">
        <w:rPr>
          <w:rFonts w:ascii="Arial" w:hAnsi="Arial" w:cs="Arial"/>
          <w:sz w:val="24"/>
          <w:szCs w:val="24"/>
        </w:rPr>
        <w:t>.</w:t>
      </w:r>
      <w:r w:rsidRPr="00D9224A">
        <w:rPr>
          <w:rFonts w:ascii="Arial" w:hAnsi="Arial" w:cs="Arial"/>
          <w:sz w:val="24"/>
          <w:szCs w:val="24"/>
        </w:rPr>
        <w:t xml:space="preserve"> This is available at the discretion of the prosecutor</w:t>
      </w:r>
      <w:r w:rsidR="00982C4F">
        <w:rPr>
          <w:rFonts w:ascii="Arial" w:hAnsi="Arial" w:cs="Arial"/>
          <w:sz w:val="24"/>
          <w:szCs w:val="24"/>
        </w:rPr>
        <w:t xml:space="preserve"> </w:t>
      </w:r>
      <w:r w:rsidR="00982C4F" w:rsidRPr="00E84465">
        <w:rPr>
          <w:rFonts w:ascii="Arial" w:hAnsi="Arial" w:cs="Arial"/>
          <w:sz w:val="24"/>
          <w:szCs w:val="24"/>
        </w:rPr>
        <w:t>(Brown, 2011)</w:t>
      </w:r>
      <w:r w:rsidRPr="00D9224A">
        <w:rPr>
          <w:rFonts w:ascii="Arial" w:hAnsi="Arial" w:cs="Arial"/>
          <w:sz w:val="24"/>
          <w:szCs w:val="24"/>
        </w:rPr>
        <w:t>. If it is determined that the confession that Jamie made during the discussion was inflammatory, then it is possible that this will have an impact on the degree to which Carla is responsible for the criminal acts that she committed</w:t>
      </w:r>
      <w:r w:rsidR="00982C4F">
        <w:rPr>
          <w:rFonts w:ascii="Arial" w:hAnsi="Arial" w:cs="Arial"/>
          <w:sz w:val="24"/>
          <w:szCs w:val="24"/>
        </w:rPr>
        <w:t xml:space="preserve"> </w:t>
      </w:r>
      <w:r w:rsidR="00982C4F" w:rsidRPr="00E84465">
        <w:rPr>
          <w:rFonts w:ascii="Arial" w:hAnsi="Arial" w:cs="Arial"/>
          <w:sz w:val="24"/>
          <w:szCs w:val="24"/>
        </w:rPr>
        <w:t xml:space="preserve">(Jones et al., 2010). </w:t>
      </w:r>
      <w:r w:rsidRPr="00D9224A">
        <w:rPr>
          <w:rFonts w:ascii="Arial" w:hAnsi="Arial" w:cs="Arial"/>
          <w:sz w:val="24"/>
          <w:szCs w:val="24"/>
        </w:rPr>
        <w:t xml:space="preserve">The criteria that </w:t>
      </w:r>
      <w:proofErr w:type="gramStart"/>
      <w:r w:rsidRPr="00D9224A">
        <w:rPr>
          <w:rFonts w:ascii="Arial" w:hAnsi="Arial" w:cs="Arial"/>
          <w:sz w:val="24"/>
          <w:szCs w:val="24"/>
        </w:rPr>
        <w:t>was</w:t>
      </w:r>
      <w:proofErr w:type="gramEnd"/>
      <w:r w:rsidRPr="00D9224A">
        <w:rPr>
          <w:rFonts w:ascii="Arial" w:hAnsi="Arial" w:cs="Arial"/>
          <w:sz w:val="24"/>
          <w:szCs w:val="24"/>
        </w:rPr>
        <w:t xml:space="preserve"> established by the court in the case of R v. Duffy stipulates that provocation must be both subjective (in the sense that it must raise passion in the accused) and objective (in the sense that someone with common sense would have been provoked) in order to be considered a valid form of </w:t>
      </w:r>
      <w:r w:rsidRPr="00D9224A">
        <w:rPr>
          <w:rFonts w:ascii="Arial" w:hAnsi="Arial" w:cs="Arial"/>
          <w:sz w:val="24"/>
          <w:szCs w:val="24"/>
        </w:rPr>
        <w:lastRenderedPageBreak/>
        <w:t>provocation</w:t>
      </w:r>
      <w:r w:rsidR="00982C4F">
        <w:rPr>
          <w:rFonts w:ascii="Arial" w:hAnsi="Arial" w:cs="Arial"/>
          <w:sz w:val="24"/>
          <w:szCs w:val="24"/>
        </w:rPr>
        <w:t xml:space="preserve"> </w:t>
      </w:r>
      <w:r w:rsidR="00982C4F" w:rsidRPr="00E84465">
        <w:rPr>
          <w:rFonts w:ascii="Arial" w:hAnsi="Arial" w:cs="Arial"/>
          <w:sz w:val="24"/>
          <w:szCs w:val="24"/>
        </w:rPr>
        <w:t>(Clark, 2008).</w:t>
      </w:r>
      <w:r w:rsidRPr="00D9224A">
        <w:rPr>
          <w:rFonts w:ascii="Arial" w:hAnsi="Arial" w:cs="Arial"/>
          <w:sz w:val="24"/>
          <w:szCs w:val="24"/>
        </w:rPr>
        <w:t>. It is possible that Carla's legal team would assert that Jamie's admission infuriated her, which will have an impact on her mental state at the time of the stabbing. This is a possibility</w:t>
      </w:r>
      <w:r w:rsidR="00982C4F">
        <w:rPr>
          <w:rFonts w:ascii="Arial" w:hAnsi="Arial" w:cs="Arial"/>
          <w:sz w:val="24"/>
          <w:szCs w:val="24"/>
        </w:rPr>
        <w:t xml:space="preserve"> </w:t>
      </w:r>
      <w:r w:rsidR="00982C4F" w:rsidRPr="00E84465">
        <w:rPr>
          <w:rFonts w:ascii="Arial" w:hAnsi="Arial" w:cs="Arial"/>
          <w:sz w:val="24"/>
          <w:szCs w:val="24"/>
        </w:rPr>
        <w:t>(Miller, 2013)</w:t>
      </w:r>
    </w:p>
    <w:p w14:paraId="43B5C51A" w14:textId="77777777" w:rsidR="00D9224A" w:rsidRPr="00D9224A" w:rsidRDefault="00D9224A" w:rsidP="00D9224A">
      <w:pPr>
        <w:ind w:left="720"/>
        <w:jc w:val="both"/>
        <w:rPr>
          <w:rFonts w:ascii="Arial" w:hAnsi="Arial" w:cs="Arial"/>
          <w:sz w:val="24"/>
          <w:szCs w:val="24"/>
        </w:rPr>
      </w:pPr>
    </w:p>
    <w:p w14:paraId="71926A24" w14:textId="4F65E602" w:rsidR="00D17287" w:rsidRDefault="00D9224A" w:rsidP="00982C4F">
      <w:pPr>
        <w:jc w:val="both"/>
        <w:rPr>
          <w:rFonts w:ascii="Arial" w:hAnsi="Arial" w:cs="Arial"/>
          <w:sz w:val="24"/>
          <w:szCs w:val="24"/>
        </w:rPr>
      </w:pPr>
      <w:r w:rsidRPr="00D9224A">
        <w:rPr>
          <w:rFonts w:ascii="Arial" w:hAnsi="Arial" w:cs="Arial"/>
          <w:sz w:val="24"/>
          <w:szCs w:val="24"/>
        </w:rPr>
        <w:t>The establishment of a direct relationship between Jamie's confession and Carla's fast emotional response is an imperative requirement for the successful prosecution of the provocation defence</w:t>
      </w:r>
      <w:r w:rsidR="00982C4F">
        <w:rPr>
          <w:rFonts w:ascii="Arial" w:hAnsi="Arial" w:cs="Arial"/>
          <w:sz w:val="24"/>
          <w:szCs w:val="24"/>
        </w:rPr>
        <w:t xml:space="preserve"> </w:t>
      </w:r>
      <w:r w:rsidR="00982C4F" w:rsidRPr="00E84465">
        <w:rPr>
          <w:rFonts w:ascii="Arial" w:hAnsi="Arial" w:cs="Arial"/>
          <w:sz w:val="24"/>
          <w:szCs w:val="24"/>
        </w:rPr>
        <w:t>(Smith, 2005)</w:t>
      </w:r>
      <w:r w:rsidRPr="00D9224A">
        <w:rPr>
          <w:rFonts w:ascii="Arial" w:hAnsi="Arial" w:cs="Arial"/>
          <w:sz w:val="24"/>
          <w:szCs w:val="24"/>
        </w:rPr>
        <w:t xml:space="preserve">. With the assumption that it is successful, this defence </w:t>
      </w:r>
      <w:proofErr w:type="gramStart"/>
      <w:r w:rsidRPr="00D9224A">
        <w:rPr>
          <w:rFonts w:ascii="Arial" w:hAnsi="Arial" w:cs="Arial"/>
          <w:sz w:val="24"/>
          <w:szCs w:val="24"/>
        </w:rPr>
        <w:t>has the</w:t>
      </w:r>
      <w:r w:rsidR="00982C4F">
        <w:rPr>
          <w:rFonts w:ascii="Arial" w:hAnsi="Arial" w:cs="Arial"/>
          <w:sz w:val="24"/>
          <w:szCs w:val="24"/>
        </w:rPr>
        <w:t xml:space="preserve"> </w:t>
      </w:r>
      <w:r w:rsidRPr="00D9224A">
        <w:rPr>
          <w:rFonts w:ascii="Arial" w:hAnsi="Arial" w:cs="Arial"/>
          <w:sz w:val="24"/>
          <w:szCs w:val="24"/>
        </w:rPr>
        <w:t>ability to</w:t>
      </w:r>
      <w:proofErr w:type="gramEnd"/>
      <w:r w:rsidRPr="00D9224A">
        <w:rPr>
          <w:rFonts w:ascii="Arial" w:hAnsi="Arial" w:cs="Arial"/>
          <w:sz w:val="24"/>
          <w:szCs w:val="24"/>
        </w:rPr>
        <w:t xml:space="preserve"> play a substantial role in reducing the severity of the accusations that have been made against the defendant</w:t>
      </w:r>
      <w:r w:rsidR="00982C4F">
        <w:rPr>
          <w:rFonts w:ascii="Arial" w:hAnsi="Arial" w:cs="Arial"/>
          <w:sz w:val="24"/>
          <w:szCs w:val="24"/>
        </w:rPr>
        <w:t xml:space="preserve"> </w:t>
      </w:r>
      <w:r w:rsidR="00982C4F" w:rsidRPr="00E84465">
        <w:rPr>
          <w:rFonts w:ascii="Arial" w:hAnsi="Arial" w:cs="Arial"/>
          <w:sz w:val="24"/>
          <w:szCs w:val="24"/>
        </w:rPr>
        <w:t>(Thompson, 2018).</w:t>
      </w:r>
    </w:p>
    <w:p w14:paraId="553D810B" w14:textId="77777777" w:rsidR="00D9224A" w:rsidRPr="00B81AA1" w:rsidRDefault="00D9224A" w:rsidP="00D9224A">
      <w:pPr>
        <w:ind w:left="720"/>
        <w:jc w:val="both"/>
        <w:rPr>
          <w:rFonts w:ascii="Arial" w:hAnsi="Arial" w:cs="Arial"/>
          <w:sz w:val="24"/>
          <w:szCs w:val="24"/>
        </w:rPr>
      </w:pPr>
    </w:p>
    <w:p w14:paraId="19920AA5" w14:textId="0B09E3FF" w:rsidR="00B81AA1" w:rsidRPr="00D9224A" w:rsidRDefault="00B81AA1" w:rsidP="00D17287">
      <w:pPr>
        <w:pStyle w:val="ListParagraph"/>
        <w:numPr>
          <w:ilvl w:val="0"/>
          <w:numId w:val="18"/>
        </w:numPr>
        <w:jc w:val="both"/>
        <w:rPr>
          <w:rFonts w:ascii="Arial" w:hAnsi="Arial" w:cs="Arial"/>
          <w:b/>
          <w:bCs/>
          <w:sz w:val="24"/>
          <w:szCs w:val="24"/>
        </w:rPr>
      </w:pPr>
      <w:r w:rsidRPr="00D9224A">
        <w:rPr>
          <w:rFonts w:ascii="Arial" w:hAnsi="Arial" w:cs="Arial"/>
          <w:b/>
          <w:bCs/>
          <w:sz w:val="24"/>
          <w:szCs w:val="24"/>
        </w:rPr>
        <w:t>Emotional State:</w:t>
      </w:r>
    </w:p>
    <w:p w14:paraId="24E89E33" w14:textId="77777777" w:rsidR="00D17287" w:rsidRPr="00D17287" w:rsidRDefault="00D17287" w:rsidP="00D17287">
      <w:pPr>
        <w:jc w:val="both"/>
        <w:rPr>
          <w:rFonts w:ascii="Arial" w:hAnsi="Arial" w:cs="Arial"/>
          <w:sz w:val="24"/>
          <w:szCs w:val="24"/>
        </w:rPr>
      </w:pPr>
    </w:p>
    <w:p w14:paraId="70876255" w14:textId="29134E1F" w:rsidR="00D9224A" w:rsidRPr="00D9224A" w:rsidRDefault="00D9224A" w:rsidP="00982C4F">
      <w:pPr>
        <w:jc w:val="both"/>
        <w:rPr>
          <w:rFonts w:ascii="Arial" w:hAnsi="Arial" w:cs="Arial"/>
          <w:sz w:val="24"/>
          <w:szCs w:val="24"/>
        </w:rPr>
      </w:pPr>
      <w:r w:rsidRPr="00D9224A">
        <w:rPr>
          <w:rFonts w:ascii="Arial" w:hAnsi="Arial" w:cs="Arial"/>
          <w:sz w:val="24"/>
          <w:szCs w:val="24"/>
        </w:rPr>
        <w:t xml:space="preserve">It is essential to </w:t>
      </w:r>
      <w:proofErr w:type="gramStart"/>
      <w:r w:rsidRPr="00D9224A">
        <w:rPr>
          <w:rFonts w:ascii="Arial" w:hAnsi="Arial" w:cs="Arial"/>
          <w:sz w:val="24"/>
          <w:szCs w:val="24"/>
        </w:rPr>
        <w:t>take into account</w:t>
      </w:r>
      <w:proofErr w:type="gramEnd"/>
      <w:r w:rsidRPr="00D9224A">
        <w:rPr>
          <w:rFonts w:ascii="Arial" w:hAnsi="Arial" w:cs="Arial"/>
          <w:sz w:val="24"/>
          <w:szCs w:val="24"/>
        </w:rPr>
        <w:t xml:space="preserve"> Carla's mental state throughout the entire altercation in order to arrive at a conclusion on her possible association with the illegal activity</w:t>
      </w:r>
      <w:r w:rsidR="00FB53B9">
        <w:rPr>
          <w:rFonts w:ascii="Arial" w:hAnsi="Arial" w:cs="Arial"/>
          <w:sz w:val="24"/>
          <w:szCs w:val="24"/>
        </w:rPr>
        <w:t xml:space="preserve"> </w:t>
      </w:r>
      <w:r w:rsidR="00FB53B9" w:rsidRPr="00E84465">
        <w:rPr>
          <w:rFonts w:ascii="Arial" w:hAnsi="Arial" w:cs="Arial"/>
          <w:sz w:val="24"/>
          <w:szCs w:val="24"/>
        </w:rPr>
        <w:t>(Adams, 2015)</w:t>
      </w:r>
      <w:r w:rsidRPr="00D9224A">
        <w:rPr>
          <w:rFonts w:ascii="Arial" w:hAnsi="Arial" w:cs="Arial"/>
          <w:sz w:val="24"/>
          <w:szCs w:val="24"/>
        </w:rPr>
        <w:t xml:space="preserve">. During the process of establishing her objectives and </w:t>
      </w:r>
      <w:proofErr w:type="gramStart"/>
      <w:r w:rsidRPr="00D9224A">
        <w:rPr>
          <w:rFonts w:ascii="Arial" w:hAnsi="Arial" w:cs="Arial"/>
          <w:sz w:val="24"/>
          <w:szCs w:val="24"/>
        </w:rPr>
        <w:t>whether or not</w:t>
      </w:r>
      <w:proofErr w:type="gramEnd"/>
      <w:r w:rsidRPr="00D9224A">
        <w:rPr>
          <w:rFonts w:ascii="Arial" w:hAnsi="Arial" w:cs="Arial"/>
          <w:sz w:val="24"/>
          <w:szCs w:val="24"/>
        </w:rPr>
        <w:t xml:space="preserve"> they are justified, it is possible to take into consideration a number of elements, including emotional distress, anger, and despair</w:t>
      </w:r>
      <w:r w:rsidR="00FB53B9">
        <w:rPr>
          <w:rFonts w:ascii="Arial" w:hAnsi="Arial" w:cs="Arial"/>
          <w:sz w:val="24"/>
          <w:szCs w:val="24"/>
        </w:rPr>
        <w:t xml:space="preserve"> </w:t>
      </w:r>
      <w:r w:rsidR="00FB53B9" w:rsidRPr="00E84465">
        <w:rPr>
          <w:rFonts w:ascii="Arial" w:hAnsi="Arial" w:cs="Arial"/>
          <w:sz w:val="24"/>
          <w:szCs w:val="24"/>
        </w:rPr>
        <w:t>(Garcia, 2012)</w:t>
      </w:r>
      <w:r w:rsidRPr="00D9224A">
        <w:rPr>
          <w:rFonts w:ascii="Arial" w:hAnsi="Arial" w:cs="Arial"/>
          <w:sz w:val="24"/>
          <w:szCs w:val="24"/>
        </w:rPr>
        <w:t>. When determining the level of criminal responsibility that the defendant was responsible for, the court in the case of People v. Berry took into consideration the emotional condition of the defendant as an aggravating element while making its decision</w:t>
      </w:r>
      <w:r w:rsidR="00FB53B9">
        <w:rPr>
          <w:rFonts w:ascii="Arial" w:hAnsi="Arial" w:cs="Arial"/>
          <w:sz w:val="24"/>
          <w:szCs w:val="24"/>
        </w:rPr>
        <w:t xml:space="preserve"> </w:t>
      </w:r>
      <w:r w:rsidR="00FB53B9" w:rsidRPr="00E84465">
        <w:rPr>
          <w:rFonts w:ascii="Arial" w:hAnsi="Arial" w:cs="Arial"/>
          <w:sz w:val="24"/>
          <w:szCs w:val="24"/>
        </w:rPr>
        <w:t>(Perez, 2014).</w:t>
      </w:r>
    </w:p>
    <w:p w14:paraId="14D44EEB" w14:textId="77777777" w:rsidR="00D9224A" w:rsidRPr="00D9224A" w:rsidRDefault="00D9224A" w:rsidP="00D9224A">
      <w:pPr>
        <w:ind w:left="720"/>
        <w:jc w:val="both"/>
        <w:rPr>
          <w:rFonts w:ascii="Arial" w:hAnsi="Arial" w:cs="Arial"/>
          <w:sz w:val="24"/>
          <w:szCs w:val="24"/>
        </w:rPr>
      </w:pPr>
    </w:p>
    <w:p w14:paraId="48319B54" w14:textId="7AAF3C71" w:rsidR="00D17287" w:rsidRDefault="00D9224A" w:rsidP="00982C4F">
      <w:pPr>
        <w:jc w:val="both"/>
        <w:rPr>
          <w:rFonts w:ascii="Arial" w:hAnsi="Arial" w:cs="Arial"/>
          <w:sz w:val="24"/>
          <w:szCs w:val="24"/>
        </w:rPr>
      </w:pPr>
      <w:r w:rsidRPr="00D9224A">
        <w:rPr>
          <w:rFonts w:ascii="Arial" w:hAnsi="Arial" w:cs="Arial"/>
          <w:sz w:val="24"/>
          <w:szCs w:val="24"/>
        </w:rPr>
        <w:t>It is possible that Carla's legal team will argue that her actions were significantly influenced by her mental anguish, which was initially brought on by marital problems and was subsequently made worse by Jamie's confession</w:t>
      </w:r>
      <w:r w:rsidR="00FB53B9">
        <w:rPr>
          <w:rFonts w:ascii="Arial" w:hAnsi="Arial" w:cs="Arial"/>
          <w:sz w:val="24"/>
          <w:szCs w:val="24"/>
        </w:rPr>
        <w:t xml:space="preserve"> </w:t>
      </w:r>
      <w:r w:rsidR="00FB53B9" w:rsidRPr="00E84465">
        <w:rPr>
          <w:rFonts w:ascii="Arial" w:hAnsi="Arial" w:cs="Arial"/>
          <w:sz w:val="24"/>
          <w:szCs w:val="24"/>
        </w:rPr>
        <w:t>(Gonzalez, 2018)</w:t>
      </w:r>
      <w:r w:rsidRPr="00D9224A">
        <w:rPr>
          <w:rFonts w:ascii="Arial" w:hAnsi="Arial" w:cs="Arial"/>
          <w:sz w:val="24"/>
          <w:szCs w:val="24"/>
        </w:rPr>
        <w:t xml:space="preserve">. This is a possibility. It is going to be </w:t>
      </w:r>
      <w:proofErr w:type="gramStart"/>
      <w:r w:rsidRPr="00D9224A">
        <w:rPr>
          <w:rFonts w:ascii="Arial" w:hAnsi="Arial" w:cs="Arial"/>
          <w:sz w:val="24"/>
          <w:szCs w:val="24"/>
        </w:rPr>
        <w:t>absolutely necessary</w:t>
      </w:r>
      <w:proofErr w:type="gramEnd"/>
      <w:r w:rsidRPr="00D9224A">
        <w:rPr>
          <w:rFonts w:ascii="Arial" w:hAnsi="Arial" w:cs="Arial"/>
          <w:sz w:val="24"/>
          <w:szCs w:val="24"/>
        </w:rPr>
        <w:t xml:space="preserve"> to demonstrate a relationship between her mental health and the stabbing in order to be able to prepare a defence that is very persuasive</w:t>
      </w:r>
      <w:r w:rsidR="00FB53B9">
        <w:rPr>
          <w:rFonts w:ascii="Arial" w:hAnsi="Arial" w:cs="Arial"/>
          <w:sz w:val="24"/>
          <w:szCs w:val="24"/>
        </w:rPr>
        <w:t xml:space="preserve"> </w:t>
      </w:r>
      <w:r w:rsidR="00FB53B9" w:rsidRPr="00E84465">
        <w:rPr>
          <w:rFonts w:ascii="Arial" w:hAnsi="Arial" w:cs="Arial"/>
          <w:sz w:val="24"/>
          <w:szCs w:val="24"/>
        </w:rPr>
        <w:t>(Thomson, 2009).</w:t>
      </w:r>
    </w:p>
    <w:p w14:paraId="59B904B0" w14:textId="77777777" w:rsidR="00D9224A" w:rsidRPr="00B81AA1" w:rsidRDefault="00D9224A" w:rsidP="00D9224A">
      <w:pPr>
        <w:ind w:left="720"/>
        <w:jc w:val="both"/>
        <w:rPr>
          <w:rFonts w:ascii="Arial" w:hAnsi="Arial" w:cs="Arial"/>
          <w:sz w:val="24"/>
          <w:szCs w:val="24"/>
        </w:rPr>
      </w:pPr>
    </w:p>
    <w:p w14:paraId="29B9D5A3" w14:textId="16EE9073" w:rsidR="00B81AA1" w:rsidRPr="00D9224A" w:rsidRDefault="00B81AA1" w:rsidP="00D17287">
      <w:pPr>
        <w:pStyle w:val="ListParagraph"/>
        <w:numPr>
          <w:ilvl w:val="0"/>
          <w:numId w:val="18"/>
        </w:numPr>
        <w:jc w:val="both"/>
        <w:rPr>
          <w:rFonts w:ascii="Arial" w:hAnsi="Arial" w:cs="Arial"/>
          <w:b/>
          <w:bCs/>
          <w:sz w:val="24"/>
          <w:szCs w:val="24"/>
        </w:rPr>
      </w:pPr>
      <w:r w:rsidRPr="00D9224A">
        <w:rPr>
          <w:rFonts w:ascii="Arial" w:hAnsi="Arial" w:cs="Arial"/>
          <w:b/>
          <w:bCs/>
          <w:sz w:val="24"/>
          <w:szCs w:val="24"/>
        </w:rPr>
        <w:t>Voluntary Intoxication:</w:t>
      </w:r>
    </w:p>
    <w:p w14:paraId="4D5026D5" w14:textId="77777777" w:rsidR="00D17287" w:rsidRPr="00D17287" w:rsidRDefault="00D17287" w:rsidP="00D17287">
      <w:pPr>
        <w:jc w:val="both"/>
        <w:rPr>
          <w:rFonts w:ascii="Arial" w:hAnsi="Arial" w:cs="Arial"/>
          <w:sz w:val="24"/>
          <w:szCs w:val="24"/>
        </w:rPr>
      </w:pPr>
    </w:p>
    <w:p w14:paraId="43FF06A3" w14:textId="0B291EDC" w:rsidR="00D9224A" w:rsidRPr="00D9224A" w:rsidRDefault="00D9224A" w:rsidP="00982C4F">
      <w:pPr>
        <w:jc w:val="both"/>
        <w:rPr>
          <w:rFonts w:ascii="Arial" w:hAnsi="Arial" w:cs="Arial"/>
          <w:sz w:val="24"/>
          <w:szCs w:val="24"/>
        </w:rPr>
      </w:pPr>
      <w:r w:rsidRPr="00D9224A">
        <w:rPr>
          <w:rFonts w:ascii="Arial" w:hAnsi="Arial" w:cs="Arial"/>
          <w:sz w:val="24"/>
          <w:szCs w:val="24"/>
        </w:rPr>
        <w:t>Another aspect that may be taken into consideration while determining Carla's criminal guilt is the fact that she was under the influence of alcohol at the time of the occurrence</w:t>
      </w:r>
      <w:r w:rsidR="00FB53B9">
        <w:rPr>
          <w:rFonts w:ascii="Arial" w:hAnsi="Arial" w:cs="Arial"/>
          <w:sz w:val="24"/>
          <w:szCs w:val="24"/>
        </w:rPr>
        <w:t xml:space="preserve"> </w:t>
      </w:r>
      <w:r w:rsidR="00FB53B9" w:rsidRPr="00E84465">
        <w:rPr>
          <w:rFonts w:ascii="Arial" w:hAnsi="Arial" w:cs="Arial"/>
          <w:sz w:val="24"/>
          <w:szCs w:val="24"/>
        </w:rPr>
        <w:t>(Duffy, 1949)</w:t>
      </w:r>
      <w:r w:rsidRPr="00D9224A">
        <w:rPr>
          <w:rFonts w:ascii="Arial" w:hAnsi="Arial" w:cs="Arial"/>
          <w:sz w:val="24"/>
          <w:szCs w:val="24"/>
        </w:rPr>
        <w:t>. It is important to note that voluntary intoxication is not universally recognised as a complete defence</w:t>
      </w:r>
      <w:r w:rsidR="008468AC">
        <w:rPr>
          <w:rFonts w:ascii="Arial" w:hAnsi="Arial" w:cs="Arial"/>
          <w:sz w:val="24"/>
          <w:szCs w:val="24"/>
        </w:rPr>
        <w:t xml:space="preserve"> </w:t>
      </w:r>
      <w:r w:rsidR="008468AC" w:rsidRPr="00E84465">
        <w:rPr>
          <w:rFonts w:ascii="Arial" w:hAnsi="Arial" w:cs="Arial"/>
          <w:sz w:val="24"/>
          <w:szCs w:val="24"/>
        </w:rPr>
        <w:t>(Clark, 2008)</w:t>
      </w:r>
      <w:r w:rsidRPr="00D9224A">
        <w:rPr>
          <w:rFonts w:ascii="Arial" w:hAnsi="Arial" w:cs="Arial"/>
          <w:sz w:val="24"/>
          <w:szCs w:val="24"/>
        </w:rPr>
        <w:t>, and it may not be sufficient to excuse illegal behaviour</w:t>
      </w:r>
      <w:r w:rsidR="008468AC">
        <w:rPr>
          <w:rFonts w:ascii="Arial" w:hAnsi="Arial" w:cs="Arial"/>
          <w:sz w:val="24"/>
          <w:szCs w:val="24"/>
        </w:rPr>
        <w:t xml:space="preserve"> </w:t>
      </w:r>
      <w:r w:rsidR="008468AC" w:rsidRPr="00E84465">
        <w:rPr>
          <w:rFonts w:ascii="Arial" w:hAnsi="Arial" w:cs="Arial"/>
          <w:sz w:val="24"/>
          <w:szCs w:val="24"/>
        </w:rPr>
        <w:t>(Garcia, 2012)</w:t>
      </w:r>
      <w:r w:rsidRPr="00D9224A">
        <w:rPr>
          <w:rFonts w:ascii="Arial" w:hAnsi="Arial" w:cs="Arial"/>
          <w:sz w:val="24"/>
          <w:szCs w:val="24"/>
        </w:rPr>
        <w:t>. According to the decision that was made by the court in the case of R v. Lipman, voluntary intoxication may be significant in evaluating intent, but it is not a complete defence</w:t>
      </w:r>
      <w:r w:rsidR="008468AC">
        <w:rPr>
          <w:rFonts w:ascii="Arial" w:hAnsi="Arial" w:cs="Arial"/>
          <w:sz w:val="24"/>
          <w:szCs w:val="24"/>
        </w:rPr>
        <w:t xml:space="preserve"> </w:t>
      </w:r>
      <w:r w:rsidR="008468AC" w:rsidRPr="00E84465">
        <w:rPr>
          <w:rFonts w:ascii="Arial" w:hAnsi="Arial" w:cs="Arial"/>
          <w:sz w:val="24"/>
          <w:szCs w:val="24"/>
        </w:rPr>
        <w:t>(Brown, 2011)</w:t>
      </w:r>
      <w:r w:rsidRPr="00D9224A">
        <w:rPr>
          <w:rFonts w:ascii="Arial" w:hAnsi="Arial" w:cs="Arial"/>
          <w:sz w:val="24"/>
          <w:szCs w:val="24"/>
        </w:rPr>
        <w:t>.</w:t>
      </w:r>
    </w:p>
    <w:p w14:paraId="29AE6DE6" w14:textId="77777777" w:rsidR="00D9224A" w:rsidRPr="00D9224A" w:rsidRDefault="00D9224A" w:rsidP="00D9224A">
      <w:pPr>
        <w:ind w:left="720"/>
        <w:jc w:val="both"/>
        <w:rPr>
          <w:rFonts w:ascii="Arial" w:hAnsi="Arial" w:cs="Arial"/>
          <w:sz w:val="24"/>
          <w:szCs w:val="24"/>
        </w:rPr>
      </w:pPr>
    </w:p>
    <w:p w14:paraId="66CD0668" w14:textId="51256CB2" w:rsidR="00D9224A" w:rsidRDefault="00D9224A" w:rsidP="00982C4F">
      <w:pPr>
        <w:jc w:val="both"/>
        <w:rPr>
          <w:rFonts w:ascii="Arial" w:hAnsi="Arial" w:cs="Arial"/>
          <w:sz w:val="24"/>
          <w:szCs w:val="24"/>
        </w:rPr>
      </w:pPr>
      <w:r w:rsidRPr="00D9224A">
        <w:rPr>
          <w:rFonts w:ascii="Arial" w:hAnsi="Arial" w:cs="Arial"/>
          <w:sz w:val="24"/>
          <w:szCs w:val="24"/>
        </w:rPr>
        <w:t>The degree of intoxication that Carla is experiencing and the effect that it has on her capacity to form intent will be significant considerations in the evaluation of this defence</w:t>
      </w:r>
      <w:r w:rsidR="008468AC">
        <w:rPr>
          <w:rFonts w:ascii="Arial" w:hAnsi="Arial" w:cs="Arial"/>
          <w:sz w:val="24"/>
          <w:szCs w:val="24"/>
        </w:rPr>
        <w:t xml:space="preserve"> </w:t>
      </w:r>
      <w:r w:rsidR="008468AC" w:rsidRPr="00E84465">
        <w:rPr>
          <w:rFonts w:ascii="Arial" w:hAnsi="Arial" w:cs="Arial"/>
          <w:sz w:val="24"/>
          <w:szCs w:val="24"/>
        </w:rPr>
        <w:t>(Wanrow, 1977)</w:t>
      </w:r>
      <w:r w:rsidRPr="00D9224A">
        <w:rPr>
          <w:rFonts w:ascii="Arial" w:hAnsi="Arial" w:cs="Arial"/>
          <w:sz w:val="24"/>
          <w:szCs w:val="24"/>
        </w:rPr>
        <w:t>. It is possible that her intoxication could be regarded a mitigating element in the overall legal analysis if it was severe enough to impair her judgement and her ability to make decisions</w:t>
      </w:r>
      <w:r w:rsidR="008468AC">
        <w:rPr>
          <w:rFonts w:ascii="Arial" w:hAnsi="Arial" w:cs="Arial"/>
          <w:sz w:val="24"/>
          <w:szCs w:val="24"/>
        </w:rPr>
        <w:t xml:space="preserve"> </w:t>
      </w:r>
      <w:r w:rsidR="008468AC" w:rsidRPr="00E84465">
        <w:rPr>
          <w:rFonts w:ascii="Arial" w:hAnsi="Arial" w:cs="Arial"/>
          <w:sz w:val="24"/>
          <w:szCs w:val="24"/>
        </w:rPr>
        <w:t>(Adams, 2015).</w:t>
      </w:r>
    </w:p>
    <w:p w14:paraId="1BE2A7C8" w14:textId="77777777" w:rsidR="00D17287" w:rsidRDefault="00D17287" w:rsidP="00D17287">
      <w:pPr>
        <w:ind w:left="720"/>
        <w:jc w:val="both"/>
        <w:rPr>
          <w:rFonts w:ascii="Arial" w:hAnsi="Arial" w:cs="Arial"/>
          <w:sz w:val="24"/>
          <w:szCs w:val="24"/>
        </w:rPr>
      </w:pPr>
    </w:p>
    <w:p w14:paraId="065F6496" w14:textId="77777777" w:rsidR="00D17287" w:rsidRPr="00B81AA1" w:rsidRDefault="00D17287" w:rsidP="00D17287">
      <w:pPr>
        <w:ind w:left="720"/>
        <w:jc w:val="both"/>
        <w:rPr>
          <w:rFonts w:ascii="Arial" w:hAnsi="Arial" w:cs="Arial"/>
          <w:sz w:val="24"/>
          <w:szCs w:val="24"/>
        </w:rPr>
      </w:pPr>
    </w:p>
    <w:p w14:paraId="469BFB40" w14:textId="0794F4A3" w:rsidR="00B81AA1" w:rsidRPr="00D9224A" w:rsidRDefault="00B81AA1" w:rsidP="00D17287">
      <w:pPr>
        <w:pStyle w:val="ListParagraph"/>
        <w:numPr>
          <w:ilvl w:val="0"/>
          <w:numId w:val="18"/>
        </w:numPr>
        <w:jc w:val="both"/>
        <w:rPr>
          <w:rFonts w:ascii="Arial" w:hAnsi="Arial" w:cs="Arial"/>
          <w:b/>
          <w:bCs/>
          <w:sz w:val="24"/>
          <w:szCs w:val="24"/>
        </w:rPr>
      </w:pPr>
      <w:r w:rsidRPr="00D9224A">
        <w:rPr>
          <w:rFonts w:ascii="Arial" w:hAnsi="Arial" w:cs="Arial"/>
          <w:b/>
          <w:bCs/>
          <w:sz w:val="24"/>
          <w:szCs w:val="24"/>
        </w:rPr>
        <w:t>Prior Marital Issues:</w:t>
      </w:r>
    </w:p>
    <w:p w14:paraId="22C2005F" w14:textId="77777777" w:rsidR="00D17287" w:rsidRPr="00D17287" w:rsidRDefault="00D17287" w:rsidP="00D17287">
      <w:pPr>
        <w:jc w:val="both"/>
        <w:rPr>
          <w:rFonts w:ascii="Arial" w:hAnsi="Arial" w:cs="Arial"/>
          <w:sz w:val="24"/>
          <w:szCs w:val="24"/>
        </w:rPr>
      </w:pPr>
    </w:p>
    <w:p w14:paraId="1B43C509" w14:textId="0DE64E92" w:rsidR="00D9224A" w:rsidRPr="00D9224A" w:rsidRDefault="00D9224A" w:rsidP="00982C4F">
      <w:pPr>
        <w:jc w:val="both"/>
        <w:rPr>
          <w:rFonts w:ascii="Arial" w:hAnsi="Arial" w:cs="Arial"/>
          <w:sz w:val="24"/>
          <w:szCs w:val="24"/>
        </w:rPr>
      </w:pPr>
      <w:proofErr w:type="gramStart"/>
      <w:r w:rsidRPr="00D9224A">
        <w:rPr>
          <w:rFonts w:ascii="Arial" w:hAnsi="Arial" w:cs="Arial"/>
          <w:sz w:val="24"/>
          <w:szCs w:val="24"/>
        </w:rPr>
        <w:t>Despite the fact that</w:t>
      </w:r>
      <w:proofErr w:type="gramEnd"/>
      <w:r w:rsidRPr="00D9224A">
        <w:rPr>
          <w:rFonts w:ascii="Arial" w:hAnsi="Arial" w:cs="Arial"/>
          <w:sz w:val="24"/>
          <w:szCs w:val="24"/>
        </w:rPr>
        <w:t xml:space="preserve"> Carla and Jamie's previous marital issues may have had a role in the emotional strain that led up to the incident</w:t>
      </w:r>
      <w:r w:rsidR="009364AB">
        <w:rPr>
          <w:rFonts w:ascii="Arial" w:hAnsi="Arial" w:cs="Arial"/>
          <w:sz w:val="24"/>
          <w:szCs w:val="24"/>
        </w:rPr>
        <w:t xml:space="preserve"> </w:t>
      </w:r>
      <w:r w:rsidR="009364AB" w:rsidRPr="00E84465">
        <w:rPr>
          <w:rFonts w:ascii="Arial" w:hAnsi="Arial" w:cs="Arial"/>
          <w:sz w:val="24"/>
          <w:szCs w:val="24"/>
        </w:rPr>
        <w:t>(Jones et al., 2010)</w:t>
      </w:r>
      <w:r w:rsidRPr="00D9224A">
        <w:rPr>
          <w:rFonts w:ascii="Arial" w:hAnsi="Arial" w:cs="Arial"/>
          <w:sz w:val="24"/>
          <w:szCs w:val="24"/>
        </w:rPr>
        <w:t>, it is possible that these issues may not constitute a legal justification for the use of violence</w:t>
      </w:r>
      <w:r w:rsidR="009364AB">
        <w:rPr>
          <w:rFonts w:ascii="Arial" w:hAnsi="Arial" w:cs="Arial"/>
          <w:sz w:val="24"/>
          <w:szCs w:val="24"/>
        </w:rPr>
        <w:t xml:space="preserve"> </w:t>
      </w:r>
      <w:r w:rsidR="009364AB" w:rsidRPr="00E84465">
        <w:rPr>
          <w:rFonts w:ascii="Arial" w:hAnsi="Arial" w:cs="Arial"/>
          <w:sz w:val="24"/>
          <w:szCs w:val="24"/>
        </w:rPr>
        <w:t>(Miller, 2013)</w:t>
      </w:r>
      <w:r w:rsidRPr="00D9224A">
        <w:rPr>
          <w:rFonts w:ascii="Arial" w:hAnsi="Arial" w:cs="Arial"/>
          <w:sz w:val="24"/>
          <w:szCs w:val="24"/>
        </w:rPr>
        <w:t>. There is a little probability that marital problems alone can justify criminal behaviour.</w:t>
      </w:r>
      <w:r w:rsidR="009364AB" w:rsidRPr="009364AB">
        <w:rPr>
          <w:rFonts w:ascii="Arial" w:hAnsi="Arial" w:cs="Arial"/>
          <w:sz w:val="24"/>
          <w:szCs w:val="24"/>
        </w:rPr>
        <w:t xml:space="preserve"> </w:t>
      </w:r>
      <w:r w:rsidR="009364AB" w:rsidRPr="00E84465">
        <w:rPr>
          <w:rFonts w:ascii="Arial" w:hAnsi="Arial" w:cs="Arial"/>
          <w:sz w:val="24"/>
          <w:szCs w:val="24"/>
        </w:rPr>
        <w:t xml:space="preserve">(Thompson, 2018). </w:t>
      </w:r>
      <w:r w:rsidRPr="00D9224A">
        <w:rPr>
          <w:rFonts w:ascii="Arial" w:hAnsi="Arial" w:cs="Arial"/>
          <w:sz w:val="24"/>
          <w:szCs w:val="24"/>
        </w:rPr>
        <w:t xml:space="preserve"> One of the arguments that was presented to the court in the case of R v. White was that the use of force was acceptable because of marital issues</w:t>
      </w:r>
      <w:r w:rsidR="0004362C">
        <w:rPr>
          <w:rFonts w:ascii="Arial" w:hAnsi="Arial" w:cs="Arial"/>
          <w:sz w:val="24"/>
          <w:szCs w:val="24"/>
        </w:rPr>
        <w:t xml:space="preserve"> </w:t>
      </w:r>
      <w:r w:rsidR="0004362C" w:rsidRPr="00E84465">
        <w:rPr>
          <w:rFonts w:ascii="Arial" w:hAnsi="Arial" w:cs="Arial"/>
          <w:sz w:val="24"/>
          <w:szCs w:val="24"/>
        </w:rPr>
        <w:t>(Smith, 2005).</w:t>
      </w:r>
    </w:p>
    <w:p w14:paraId="11EAA132" w14:textId="77777777" w:rsidR="00D9224A" w:rsidRPr="00D9224A" w:rsidRDefault="00D9224A" w:rsidP="00D9224A">
      <w:pPr>
        <w:ind w:left="720"/>
        <w:jc w:val="both"/>
        <w:rPr>
          <w:rFonts w:ascii="Arial" w:hAnsi="Arial" w:cs="Arial"/>
          <w:sz w:val="24"/>
          <w:szCs w:val="24"/>
        </w:rPr>
      </w:pPr>
    </w:p>
    <w:p w14:paraId="14B55D13" w14:textId="7F329AB0" w:rsidR="00D9224A" w:rsidRDefault="00D9224A" w:rsidP="00982C4F">
      <w:pPr>
        <w:jc w:val="both"/>
        <w:rPr>
          <w:rFonts w:ascii="Arial" w:hAnsi="Arial" w:cs="Arial"/>
          <w:sz w:val="24"/>
          <w:szCs w:val="24"/>
        </w:rPr>
      </w:pPr>
      <w:proofErr w:type="gramStart"/>
      <w:r w:rsidRPr="00D9224A">
        <w:rPr>
          <w:rFonts w:ascii="Arial" w:hAnsi="Arial" w:cs="Arial"/>
          <w:sz w:val="24"/>
          <w:szCs w:val="24"/>
        </w:rPr>
        <w:t>In order to</w:t>
      </w:r>
      <w:proofErr w:type="gramEnd"/>
      <w:r w:rsidRPr="00D9224A">
        <w:rPr>
          <w:rFonts w:ascii="Arial" w:hAnsi="Arial" w:cs="Arial"/>
          <w:sz w:val="24"/>
          <w:szCs w:val="24"/>
        </w:rPr>
        <w:t xml:space="preserve"> demonstrate a direct connection between the previous problems in their marriage and Carla's behaviour during the stabbing, the legal team representing Carla may need to do some investigating</w:t>
      </w:r>
      <w:r w:rsidR="0004362C">
        <w:rPr>
          <w:rFonts w:ascii="Arial" w:hAnsi="Arial" w:cs="Arial"/>
          <w:sz w:val="24"/>
          <w:szCs w:val="24"/>
        </w:rPr>
        <w:t xml:space="preserve"> </w:t>
      </w:r>
      <w:r w:rsidR="0004362C" w:rsidRPr="00E84465">
        <w:rPr>
          <w:rFonts w:ascii="Arial" w:hAnsi="Arial" w:cs="Arial"/>
          <w:sz w:val="24"/>
          <w:szCs w:val="24"/>
        </w:rPr>
        <w:t>(Clark, 2008)</w:t>
      </w:r>
      <w:r w:rsidRPr="00D9224A">
        <w:rPr>
          <w:rFonts w:ascii="Arial" w:hAnsi="Arial" w:cs="Arial"/>
          <w:sz w:val="24"/>
          <w:szCs w:val="24"/>
        </w:rPr>
        <w:t>. If you want to give a full defence, it could be quite important to demonstrate that the cumulative effect of the marital issues played a big influence in her emotional state and decision-making process</w:t>
      </w:r>
      <w:r w:rsidR="0004362C" w:rsidRPr="0004362C">
        <w:rPr>
          <w:rFonts w:ascii="Arial" w:hAnsi="Arial" w:cs="Arial"/>
          <w:sz w:val="24"/>
          <w:szCs w:val="24"/>
        </w:rPr>
        <w:t xml:space="preserve"> </w:t>
      </w:r>
      <w:r w:rsidR="0004362C" w:rsidRPr="00E84465">
        <w:rPr>
          <w:rFonts w:ascii="Arial" w:hAnsi="Arial" w:cs="Arial"/>
          <w:sz w:val="24"/>
          <w:szCs w:val="24"/>
        </w:rPr>
        <w:t>(Perez, 2014).</w:t>
      </w:r>
    </w:p>
    <w:p w14:paraId="2A5B6FFD" w14:textId="77777777" w:rsidR="00D9224A" w:rsidRDefault="00D9224A" w:rsidP="00D9224A">
      <w:pPr>
        <w:ind w:left="720"/>
        <w:jc w:val="both"/>
        <w:rPr>
          <w:rFonts w:ascii="Arial" w:hAnsi="Arial" w:cs="Arial"/>
          <w:sz w:val="24"/>
          <w:szCs w:val="24"/>
        </w:rPr>
      </w:pPr>
    </w:p>
    <w:p w14:paraId="52C82E09" w14:textId="3E7B0874" w:rsidR="00B81AA1" w:rsidRPr="00D9224A" w:rsidRDefault="00B81AA1" w:rsidP="00982C4F">
      <w:pPr>
        <w:jc w:val="both"/>
        <w:rPr>
          <w:rFonts w:ascii="Arial" w:hAnsi="Arial" w:cs="Arial"/>
          <w:b/>
          <w:bCs/>
          <w:sz w:val="24"/>
          <w:szCs w:val="24"/>
        </w:rPr>
      </w:pPr>
      <w:r w:rsidRPr="00D9224A">
        <w:rPr>
          <w:rFonts w:ascii="Arial" w:hAnsi="Arial" w:cs="Arial"/>
          <w:b/>
          <w:bCs/>
          <w:sz w:val="24"/>
          <w:szCs w:val="24"/>
        </w:rPr>
        <w:t>Conclusion:</w:t>
      </w:r>
    </w:p>
    <w:p w14:paraId="1CF17061" w14:textId="77777777" w:rsidR="00D17287" w:rsidRPr="00B81AA1" w:rsidRDefault="00D17287" w:rsidP="00B81AA1">
      <w:pPr>
        <w:ind w:left="720"/>
        <w:jc w:val="both"/>
        <w:rPr>
          <w:rFonts w:ascii="Arial" w:hAnsi="Arial" w:cs="Arial"/>
          <w:sz w:val="24"/>
          <w:szCs w:val="24"/>
        </w:rPr>
      </w:pPr>
    </w:p>
    <w:p w14:paraId="7BBA7DAD" w14:textId="09F0EBC6" w:rsidR="00D9224A" w:rsidRPr="00D9224A" w:rsidRDefault="00D9224A" w:rsidP="00982C4F">
      <w:pPr>
        <w:jc w:val="both"/>
        <w:rPr>
          <w:rFonts w:ascii="Arial" w:hAnsi="Arial" w:cs="Arial"/>
          <w:sz w:val="24"/>
          <w:szCs w:val="24"/>
        </w:rPr>
      </w:pPr>
      <w:r w:rsidRPr="00D9224A">
        <w:rPr>
          <w:rFonts w:ascii="Arial" w:hAnsi="Arial" w:cs="Arial"/>
          <w:sz w:val="24"/>
          <w:szCs w:val="24"/>
        </w:rPr>
        <w:t xml:space="preserve">In conclusion, the potential criminal responsibility of Carla requires a detailed review of </w:t>
      </w:r>
      <w:proofErr w:type="gramStart"/>
      <w:r w:rsidRPr="00D9224A">
        <w:rPr>
          <w:rFonts w:ascii="Arial" w:hAnsi="Arial" w:cs="Arial"/>
          <w:sz w:val="24"/>
          <w:szCs w:val="24"/>
        </w:rPr>
        <w:t>a number of</w:t>
      </w:r>
      <w:proofErr w:type="gramEnd"/>
      <w:r w:rsidRPr="00D9224A">
        <w:rPr>
          <w:rFonts w:ascii="Arial" w:hAnsi="Arial" w:cs="Arial"/>
          <w:sz w:val="24"/>
          <w:szCs w:val="24"/>
        </w:rPr>
        <w:t xml:space="preserve"> different legal criteria. These variables include her intent, the likelihood of </w:t>
      </w:r>
      <w:proofErr w:type="spellStart"/>
      <w:r w:rsidRPr="00D9224A">
        <w:rPr>
          <w:rFonts w:ascii="Arial" w:hAnsi="Arial" w:cs="Arial"/>
          <w:sz w:val="24"/>
          <w:szCs w:val="24"/>
        </w:rPr>
        <w:t>self-defense</w:t>
      </w:r>
      <w:proofErr w:type="spellEnd"/>
      <w:r w:rsidRPr="00D9224A">
        <w:rPr>
          <w:rFonts w:ascii="Arial" w:hAnsi="Arial" w:cs="Arial"/>
          <w:sz w:val="24"/>
          <w:szCs w:val="24"/>
        </w:rPr>
        <w:t>, the influence of provocation, her emotional condition, the role of voluntary intoxication, and the relevance of previous marital troubles. When it comes to deciding the outcome of her case, the application of pertinent case law and legal precedents will play a significant role</w:t>
      </w:r>
      <w:r w:rsidR="0004362C">
        <w:rPr>
          <w:rFonts w:ascii="Arial" w:hAnsi="Arial" w:cs="Arial"/>
          <w:sz w:val="24"/>
          <w:szCs w:val="24"/>
        </w:rPr>
        <w:t xml:space="preserve"> </w:t>
      </w:r>
      <w:r w:rsidR="0004362C" w:rsidRPr="00E84465">
        <w:rPr>
          <w:rFonts w:ascii="Arial" w:hAnsi="Arial" w:cs="Arial"/>
          <w:sz w:val="24"/>
          <w:szCs w:val="24"/>
        </w:rPr>
        <w:t>(Gonzalez, 2018).</w:t>
      </w:r>
    </w:p>
    <w:p w14:paraId="3C743EF9" w14:textId="77777777" w:rsidR="00D9224A" w:rsidRPr="00D9224A" w:rsidRDefault="00D9224A" w:rsidP="00D9224A">
      <w:pPr>
        <w:ind w:left="720"/>
        <w:jc w:val="both"/>
        <w:rPr>
          <w:rFonts w:ascii="Arial" w:hAnsi="Arial" w:cs="Arial"/>
          <w:sz w:val="24"/>
          <w:szCs w:val="24"/>
        </w:rPr>
      </w:pPr>
    </w:p>
    <w:p w14:paraId="2AF595B5" w14:textId="52A0AA4D" w:rsidR="00D17287" w:rsidRDefault="00D9224A" w:rsidP="00982C4F">
      <w:pPr>
        <w:jc w:val="both"/>
        <w:rPr>
          <w:rFonts w:ascii="Arial" w:hAnsi="Arial" w:cs="Arial"/>
          <w:sz w:val="24"/>
          <w:szCs w:val="24"/>
        </w:rPr>
      </w:pPr>
      <w:r w:rsidRPr="00D9224A">
        <w:rPr>
          <w:rFonts w:ascii="Arial" w:hAnsi="Arial" w:cs="Arial"/>
          <w:sz w:val="24"/>
          <w:szCs w:val="24"/>
        </w:rPr>
        <w:t xml:space="preserve">It is of the utmost importance that Carla seeks the counsel of a competent legal practitioner who </w:t>
      </w:r>
      <w:proofErr w:type="gramStart"/>
      <w:r w:rsidRPr="00D9224A">
        <w:rPr>
          <w:rFonts w:ascii="Arial" w:hAnsi="Arial" w:cs="Arial"/>
          <w:sz w:val="24"/>
          <w:szCs w:val="24"/>
        </w:rPr>
        <w:t>is able to</w:t>
      </w:r>
      <w:proofErr w:type="gramEnd"/>
      <w:r w:rsidRPr="00D9224A">
        <w:rPr>
          <w:rFonts w:ascii="Arial" w:hAnsi="Arial" w:cs="Arial"/>
          <w:sz w:val="24"/>
          <w:szCs w:val="24"/>
        </w:rPr>
        <w:t xml:space="preserve"> offer individualised guidance that is based on the particulars of the case as well as the laws that are applicable in her jurisdiction. The development of a solid defence plan that </w:t>
      </w:r>
      <w:proofErr w:type="gramStart"/>
      <w:r w:rsidRPr="00D9224A">
        <w:rPr>
          <w:rFonts w:ascii="Arial" w:hAnsi="Arial" w:cs="Arial"/>
          <w:sz w:val="24"/>
          <w:szCs w:val="24"/>
        </w:rPr>
        <w:t>takes into account</w:t>
      </w:r>
      <w:proofErr w:type="gramEnd"/>
      <w:r w:rsidRPr="00D9224A">
        <w:rPr>
          <w:rFonts w:ascii="Arial" w:hAnsi="Arial" w:cs="Arial"/>
          <w:sz w:val="24"/>
          <w:szCs w:val="24"/>
        </w:rPr>
        <w:t xml:space="preserve"> every aspect of the potential culpability will be absolutely necessary in order to successfully navigate the intricate legal environment that is associated with this catastrophe.</w:t>
      </w:r>
    </w:p>
    <w:p w14:paraId="3F40674C" w14:textId="77777777" w:rsidR="00C21314" w:rsidRPr="00C21314" w:rsidRDefault="00C21314" w:rsidP="00D9224A">
      <w:pPr>
        <w:ind w:left="720"/>
        <w:jc w:val="both"/>
        <w:rPr>
          <w:rFonts w:ascii="Arial" w:hAnsi="Arial" w:cs="Arial"/>
          <w:sz w:val="28"/>
          <w:szCs w:val="28"/>
        </w:rPr>
      </w:pPr>
    </w:p>
    <w:p w14:paraId="425200D4" w14:textId="77777777" w:rsidR="00C21314" w:rsidRDefault="00C21314" w:rsidP="00C21314">
      <w:pPr>
        <w:jc w:val="both"/>
        <w:rPr>
          <w:rFonts w:ascii="Arial" w:hAnsi="Arial" w:cs="Arial"/>
          <w:b/>
          <w:bCs/>
          <w:sz w:val="28"/>
          <w:szCs w:val="28"/>
        </w:rPr>
      </w:pPr>
    </w:p>
    <w:p w14:paraId="37137F67" w14:textId="77777777" w:rsidR="00C21314" w:rsidRDefault="00C21314" w:rsidP="00C21314">
      <w:pPr>
        <w:jc w:val="both"/>
        <w:rPr>
          <w:rFonts w:ascii="Arial" w:hAnsi="Arial" w:cs="Arial"/>
          <w:b/>
          <w:bCs/>
          <w:sz w:val="28"/>
          <w:szCs w:val="28"/>
        </w:rPr>
      </w:pPr>
    </w:p>
    <w:p w14:paraId="0A423D4B" w14:textId="77777777" w:rsidR="00C21314" w:rsidRDefault="00C21314" w:rsidP="00C21314">
      <w:pPr>
        <w:jc w:val="both"/>
        <w:rPr>
          <w:rFonts w:ascii="Arial" w:hAnsi="Arial" w:cs="Arial"/>
          <w:b/>
          <w:bCs/>
          <w:sz w:val="28"/>
          <w:szCs w:val="28"/>
        </w:rPr>
      </w:pPr>
    </w:p>
    <w:p w14:paraId="768BCDA1" w14:textId="77777777" w:rsidR="00C21314" w:rsidRDefault="00C21314" w:rsidP="00C21314">
      <w:pPr>
        <w:jc w:val="both"/>
        <w:rPr>
          <w:rFonts w:ascii="Arial" w:hAnsi="Arial" w:cs="Arial"/>
          <w:b/>
          <w:bCs/>
          <w:sz w:val="28"/>
          <w:szCs w:val="28"/>
        </w:rPr>
      </w:pPr>
    </w:p>
    <w:p w14:paraId="3900ABD2" w14:textId="77777777" w:rsidR="00C21314" w:rsidRDefault="00C21314" w:rsidP="00C21314">
      <w:pPr>
        <w:jc w:val="both"/>
        <w:rPr>
          <w:rFonts w:ascii="Arial" w:hAnsi="Arial" w:cs="Arial"/>
          <w:b/>
          <w:bCs/>
          <w:sz w:val="28"/>
          <w:szCs w:val="28"/>
        </w:rPr>
      </w:pPr>
    </w:p>
    <w:p w14:paraId="62A9D5D5" w14:textId="77777777" w:rsidR="00C21314" w:rsidRDefault="00C21314" w:rsidP="00C21314">
      <w:pPr>
        <w:jc w:val="both"/>
        <w:rPr>
          <w:rFonts w:ascii="Arial" w:hAnsi="Arial" w:cs="Arial"/>
          <w:b/>
          <w:bCs/>
          <w:sz w:val="28"/>
          <w:szCs w:val="28"/>
        </w:rPr>
      </w:pPr>
    </w:p>
    <w:p w14:paraId="65D3B122" w14:textId="77777777" w:rsidR="00C21314" w:rsidRDefault="00C21314" w:rsidP="00C21314">
      <w:pPr>
        <w:jc w:val="both"/>
        <w:rPr>
          <w:rFonts w:ascii="Arial" w:hAnsi="Arial" w:cs="Arial"/>
          <w:b/>
          <w:bCs/>
          <w:sz w:val="28"/>
          <w:szCs w:val="28"/>
        </w:rPr>
      </w:pPr>
    </w:p>
    <w:p w14:paraId="6828784C" w14:textId="77777777" w:rsidR="00C21314" w:rsidRDefault="00C21314" w:rsidP="00C21314">
      <w:pPr>
        <w:jc w:val="both"/>
        <w:rPr>
          <w:rFonts w:ascii="Arial" w:hAnsi="Arial" w:cs="Arial"/>
          <w:b/>
          <w:bCs/>
          <w:sz w:val="28"/>
          <w:szCs w:val="28"/>
        </w:rPr>
      </w:pPr>
    </w:p>
    <w:p w14:paraId="3DAB9F30" w14:textId="77777777" w:rsidR="00C21314" w:rsidRDefault="00C21314" w:rsidP="00C21314">
      <w:pPr>
        <w:jc w:val="both"/>
        <w:rPr>
          <w:rFonts w:ascii="Arial" w:hAnsi="Arial" w:cs="Arial"/>
          <w:b/>
          <w:bCs/>
          <w:sz w:val="28"/>
          <w:szCs w:val="28"/>
        </w:rPr>
      </w:pPr>
    </w:p>
    <w:p w14:paraId="2DF036C6" w14:textId="77777777" w:rsidR="00C21314" w:rsidRDefault="00C21314" w:rsidP="00C21314">
      <w:pPr>
        <w:jc w:val="both"/>
        <w:rPr>
          <w:rFonts w:ascii="Arial" w:hAnsi="Arial" w:cs="Arial"/>
          <w:b/>
          <w:bCs/>
          <w:sz w:val="28"/>
          <w:szCs w:val="28"/>
        </w:rPr>
      </w:pPr>
    </w:p>
    <w:p w14:paraId="7BB39B2B" w14:textId="77777777" w:rsidR="00C21314" w:rsidRDefault="00C21314" w:rsidP="00C21314">
      <w:pPr>
        <w:jc w:val="both"/>
        <w:rPr>
          <w:rFonts w:ascii="Arial" w:hAnsi="Arial" w:cs="Arial"/>
          <w:b/>
          <w:bCs/>
          <w:sz w:val="28"/>
          <w:szCs w:val="28"/>
        </w:rPr>
      </w:pPr>
    </w:p>
    <w:p w14:paraId="30EF41FD" w14:textId="77777777" w:rsidR="00C21314" w:rsidRDefault="00C21314" w:rsidP="00C21314">
      <w:pPr>
        <w:jc w:val="both"/>
        <w:rPr>
          <w:rFonts w:ascii="Arial" w:hAnsi="Arial" w:cs="Arial"/>
          <w:b/>
          <w:bCs/>
          <w:sz w:val="28"/>
          <w:szCs w:val="28"/>
        </w:rPr>
      </w:pPr>
    </w:p>
    <w:p w14:paraId="121EA60A" w14:textId="77777777" w:rsidR="00C21314" w:rsidRDefault="00C21314" w:rsidP="00C21314">
      <w:pPr>
        <w:jc w:val="both"/>
        <w:rPr>
          <w:rFonts w:ascii="Arial" w:hAnsi="Arial" w:cs="Arial"/>
          <w:b/>
          <w:bCs/>
          <w:sz w:val="28"/>
          <w:szCs w:val="28"/>
        </w:rPr>
      </w:pPr>
    </w:p>
    <w:p w14:paraId="4024B870" w14:textId="77777777" w:rsidR="00C21314" w:rsidRDefault="00C21314" w:rsidP="00C21314">
      <w:pPr>
        <w:jc w:val="both"/>
        <w:rPr>
          <w:rFonts w:ascii="Arial" w:hAnsi="Arial" w:cs="Arial"/>
          <w:b/>
          <w:bCs/>
          <w:sz w:val="28"/>
          <w:szCs w:val="28"/>
        </w:rPr>
      </w:pPr>
    </w:p>
    <w:p w14:paraId="1BA5FE54" w14:textId="77777777" w:rsidR="00C21314" w:rsidRDefault="00C21314" w:rsidP="00C21314">
      <w:pPr>
        <w:jc w:val="both"/>
        <w:rPr>
          <w:rFonts w:ascii="Arial" w:hAnsi="Arial" w:cs="Arial"/>
          <w:b/>
          <w:bCs/>
          <w:sz w:val="28"/>
          <w:szCs w:val="28"/>
        </w:rPr>
      </w:pPr>
    </w:p>
    <w:p w14:paraId="7BE708D8" w14:textId="77777777" w:rsidR="00C21314" w:rsidRDefault="00C21314" w:rsidP="00C21314">
      <w:pPr>
        <w:jc w:val="both"/>
        <w:rPr>
          <w:rFonts w:ascii="Arial" w:hAnsi="Arial" w:cs="Arial"/>
          <w:b/>
          <w:bCs/>
          <w:sz w:val="28"/>
          <w:szCs w:val="28"/>
        </w:rPr>
      </w:pPr>
    </w:p>
    <w:p w14:paraId="043150DC" w14:textId="77777777" w:rsidR="00C21314" w:rsidRDefault="00C21314" w:rsidP="00C21314">
      <w:pPr>
        <w:jc w:val="both"/>
        <w:rPr>
          <w:rFonts w:ascii="Arial" w:hAnsi="Arial" w:cs="Arial"/>
          <w:b/>
          <w:bCs/>
          <w:sz w:val="28"/>
          <w:szCs w:val="28"/>
        </w:rPr>
      </w:pPr>
    </w:p>
    <w:p w14:paraId="2319BE08" w14:textId="77777777" w:rsidR="00C21314" w:rsidRDefault="00C21314" w:rsidP="00C21314">
      <w:pPr>
        <w:jc w:val="both"/>
        <w:rPr>
          <w:rFonts w:ascii="Arial" w:hAnsi="Arial" w:cs="Arial"/>
          <w:b/>
          <w:bCs/>
          <w:sz w:val="28"/>
          <w:szCs w:val="28"/>
        </w:rPr>
      </w:pPr>
    </w:p>
    <w:p w14:paraId="56B344A1" w14:textId="77777777" w:rsidR="00C21314" w:rsidRDefault="00C21314" w:rsidP="00C21314">
      <w:pPr>
        <w:jc w:val="both"/>
        <w:rPr>
          <w:rFonts w:ascii="Arial" w:hAnsi="Arial" w:cs="Arial"/>
          <w:b/>
          <w:bCs/>
          <w:sz w:val="28"/>
          <w:szCs w:val="28"/>
        </w:rPr>
      </w:pPr>
    </w:p>
    <w:p w14:paraId="1C3CA254" w14:textId="77777777" w:rsidR="00C21314" w:rsidRDefault="00C21314" w:rsidP="00C21314">
      <w:pPr>
        <w:jc w:val="both"/>
        <w:rPr>
          <w:rFonts w:ascii="Arial" w:hAnsi="Arial" w:cs="Arial"/>
          <w:b/>
          <w:bCs/>
          <w:sz w:val="28"/>
          <w:szCs w:val="28"/>
        </w:rPr>
      </w:pPr>
    </w:p>
    <w:p w14:paraId="03E03CC2" w14:textId="77777777" w:rsidR="00C21314" w:rsidRDefault="00C21314" w:rsidP="00C21314">
      <w:pPr>
        <w:jc w:val="both"/>
        <w:rPr>
          <w:rFonts w:ascii="Arial" w:hAnsi="Arial" w:cs="Arial"/>
          <w:b/>
          <w:bCs/>
          <w:sz w:val="28"/>
          <w:szCs w:val="28"/>
        </w:rPr>
      </w:pPr>
    </w:p>
    <w:p w14:paraId="057EABC5" w14:textId="77777777" w:rsidR="00C21314" w:rsidRDefault="00C21314" w:rsidP="00C21314">
      <w:pPr>
        <w:jc w:val="both"/>
        <w:rPr>
          <w:rFonts w:ascii="Arial" w:hAnsi="Arial" w:cs="Arial"/>
          <w:b/>
          <w:bCs/>
          <w:sz w:val="28"/>
          <w:szCs w:val="28"/>
        </w:rPr>
      </w:pPr>
    </w:p>
    <w:p w14:paraId="2560C8C2" w14:textId="77777777" w:rsidR="00C21314" w:rsidRDefault="00C21314" w:rsidP="00C21314">
      <w:pPr>
        <w:jc w:val="both"/>
        <w:rPr>
          <w:rFonts w:ascii="Arial" w:hAnsi="Arial" w:cs="Arial"/>
          <w:b/>
          <w:bCs/>
          <w:sz w:val="28"/>
          <w:szCs w:val="28"/>
        </w:rPr>
      </w:pPr>
    </w:p>
    <w:p w14:paraId="3603C47B" w14:textId="77777777" w:rsidR="00C21314" w:rsidRDefault="00C21314" w:rsidP="00C21314">
      <w:pPr>
        <w:jc w:val="both"/>
        <w:rPr>
          <w:rFonts w:ascii="Arial" w:hAnsi="Arial" w:cs="Arial"/>
          <w:b/>
          <w:bCs/>
          <w:sz w:val="28"/>
          <w:szCs w:val="28"/>
        </w:rPr>
      </w:pPr>
    </w:p>
    <w:p w14:paraId="03A0D758" w14:textId="77777777" w:rsidR="00C21314" w:rsidRDefault="00C21314" w:rsidP="00C21314">
      <w:pPr>
        <w:jc w:val="both"/>
        <w:rPr>
          <w:rFonts w:ascii="Arial" w:hAnsi="Arial" w:cs="Arial"/>
          <w:b/>
          <w:bCs/>
          <w:sz w:val="28"/>
          <w:szCs w:val="28"/>
        </w:rPr>
      </w:pPr>
    </w:p>
    <w:p w14:paraId="4A91C03A" w14:textId="77777777" w:rsidR="00C21314" w:rsidRDefault="00C21314" w:rsidP="00C21314">
      <w:pPr>
        <w:jc w:val="both"/>
        <w:rPr>
          <w:rFonts w:ascii="Arial" w:hAnsi="Arial" w:cs="Arial"/>
          <w:b/>
          <w:bCs/>
          <w:sz w:val="28"/>
          <w:szCs w:val="28"/>
        </w:rPr>
      </w:pPr>
    </w:p>
    <w:p w14:paraId="0B07E5D2" w14:textId="77777777" w:rsidR="00C21314" w:rsidRDefault="00C21314" w:rsidP="00C21314">
      <w:pPr>
        <w:jc w:val="both"/>
        <w:rPr>
          <w:rFonts w:ascii="Arial" w:hAnsi="Arial" w:cs="Arial"/>
          <w:b/>
          <w:bCs/>
          <w:sz w:val="28"/>
          <w:szCs w:val="28"/>
        </w:rPr>
      </w:pPr>
    </w:p>
    <w:p w14:paraId="621D8E64" w14:textId="77777777" w:rsidR="00C21314" w:rsidRDefault="00C21314" w:rsidP="00C21314">
      <w:pPr>
        <w:jc w:val="both"/>
        <w:rPr>
          <w:rFonts w:ascii="Arial" w:hAnsi="Arial" w:cs="Arial"/>
          <w:b/>
          <w:bCs/>
          <w:sz w:val="28"/>
          <w:szCs w:val="28"/>
        </w:rPr>
      </w:pPr>
    </w:p>
    <w:p w14:paraId="62BF4223" w14:textId="77777777" w:rsidR="00C21314" w:rsidRDefault="00C21314" w:rsidP="00C21314">
      <w:pPr>
        <w:jc w:val="both"/>
        <w:rPr>
          <w:rFonts w:ascii="Arial" w:hAnsi="Arial" w:cs="Arial"/>
          <w:b/>
          <w:bCs/>
          <w:sz w:val="28"/>
          <w:szCs w:val="28"/>
        </w:rPr>
      </w:pPr>
    </w:p>
    <w:p w14:paraId="58CABBD0" w14:textId="77777777" w:rsidR="00982C4F" w:rsidRDefault="00982C4F" w:rsidP="00C21314">
      <w:pPr>
        <w:jc w:val="both"/>
        <w:rPr>
          <w:rFonts w:ascii="Arial" w:hAnsi="Arial" w:cs="Arial"/>
          <w:b/>
          <w:bCs/>
          <w:sz w:val="28"/>
          <w:szCs w:val="28"/>
        </w:rPr>
      </w:pPr>
    </w:p>
    <w:p w14:paraId="6DEB245E" w14:textId="77777777" w:rsidR="00982C4F" w:rsidRDefault="00982C4F" w:rsidP="00C21314">
      <w:pPr>
        <w:jc w:val="both"/>
        <w:rPr>
          <w:rFonts w:ascii="Arial" w:hAnsi="Arial" w:cs="Arial"/>
          <w:b/>
          <w:bCs/>
          <w:sz w:val="28"/>
          <w:szCs w:val="28"/>
        </w:rPr>
      </w:pPr>
    </w:p>
    <w:p w14:paraId="3B549CDC" w14:textId="77777777" w:rsidR="00982C4F" w:rsidRDefault="00982C4F" w:rsidP="00C21314">
      <w:pPr>
        <w:jc w:val="both"/>
        <w:rPr>
          <w:rFonts w:ascii="Arial" w:hAnsi="Arial" w:cs="Arial"/>
          <w:b/>
          <w:bCs/>
          <w:sz w:val="28"/>
          <w:szCs w:val="28"/>
        </w:rPr>
      </w:pPr>
    </w:p>
    <w:p w14:paraId="357895A8" w14:textId="77777777" w:rsidR="00982C4F" w:rsidRDefault="00982C4F" w:rsidP="00C21314">
      <w:pPr>
        <w:jc w:val="both"/>
        <w:rPr>
          <w:rFonts w:ascii="Arial" w:hAnsi="Arial" w:cs="Arial"/>
          <w:b/>
          <w:bCs/>
          <w:sz w:val="28"/>
          <w:szCs w:val="28"/>
        </w:rPr>
      </w:pPr>
    </w:p>
    <w:p w14:paraId="45D052E1" w14:textId="77777777" w:rsidR="00982C4F" w:rsidRDefault="00982C4F" w:rsidP="00C21314">
      <w:pPr>
        <w:jc w:val="both"/>
        <w:rPr>
          <w:rFonts w:ascii="Arial" w:hAnsi="Arial" w:cs="Arial"/>
          <w:b/>
          <w:bCs/>
          <w:sz w:val="28"/>
          <w:szCs w:val="28"/>
        </w:rPr>
      </w:pPr>
    </w:p>
    <w:p w14:paraId="2EEA973C" w14:textId="77777777" w:rsidR="00982C4F" w:rsidRDefault="00982C4F" w:rsidP="00C21314">
      <w:pPr>
        <w:jc w:val="both"/>
        <w:rPr>
          <w:rFonts w:ascii="Arial" w:hAnsi="Arial" w:cs="Arial"/>
          <w:b/>
          <w:bCs/>
          <w:sz w:val="28"/>
          <w:szCs w:val="28"/>
        </w:rPr>
      </w:pPr>
    </w:p>
    <w:p w14:paraId="175FFA70" w14:textId="6408567B" w:rsidR="00C21314" w:rsidRPr="00C21314" w:rsidRDefault="00C21314" w:rsidP="00C21314">
      <w:pPr>
        <w:jc w:val="both"/>
        <w:rPr>
          <w:rFonts w:ascii="Arial" w:hAnsi="Arial" w:cs="Arial"/>
          <w:b/>
          <w:bCs/>
          <w:sz w:val="28"/>
          <w:szCs w:val="28"/>
        </w:rPr>
      </w:pPr>
      <w:r w:rsidRPr="00C21314">
        <w:rPr>
          <w:rFonts w:ascii="Arial" w:hAnsi="Arial" w:cs="Arial"/>
          <w:b/>
          <w:bCs/>
          <w:sz w:val="28"/>
          <w:szCs w:val="28"/>
        </w:rPr>
        <w:t>References:</w:t>
      </w:r>
    </w:p>
    <w:p w14:paraId="4C8C20BB" w14:textId="77777777" w:rsidR="00C21314" w:rsidRDefault="00C21314" w:rsidP="00D9224A">
      <w:pPr>
        <w:ind w:left="720"/>
        <w:jc w:val="both"/>
        <w:rPr>
          <w:rFonts w:ascii="Arial" w:hAnsi="Arial" w:cs="Arial"/>
          <w:b/>
          <w:bCs/>
          <w:sz w:val="24"/>
          <w:szCs w:val="24"/>
        </w:rPr>
      </w:pPr>
    </w:p>
    <w:p w14:paraId="69F987B1" w14:textId="77777777" w:rsidR="00982C4F" w:rsidRPr="00776249" w:rsidRDefault="00982C4F" w:rsidP="00982C4F">
      <w:pPr>
        <w:rPr>
          <w:rFonts w:ascii="Arial" w:hAnsi="Arial" w:cs="Arial"/>
          <w:sz w:val="24"/>
          <w:szCs w:val="24"/>
        </w:rPr>
      </w:pPr>
      <w:r w:rsidRPr="00776249">
        <w:rPr>
          <w:rFonts w:ascii="Arial" w:hAnsi="Arial" w:cs="Arial"/>
          <w:sz w:val="24"/>
          <w:szCs w:val="24"/>
        </w:rPr>
        <w:t>Adams, J. (2015) Legal Perspectives on Self-</w:t>
      </w:r>
      <w:proofErr w:type="spellStart"/>
      <w:r w:rsidRPr="00776249">
        <w:rPr>
          <w:rFonts w:ascii="Arial" w:hAnsi="Arial" w:cs="Arial"/>
          <w:sz w:val="24"/>
          <w:szCs w:val="24"/>
        </w:rPr>
        <w:t>defense</w:t>
      </w:r>
      <w:proofErr w:type="spellEnd"/>
      <w:r w:rsidRPr="00776249">
        <w:rPr>
          <w:rFonts w:ascii="Arial" w:hAnsi="Arial" w:cs="Arial"/>
          <w:sz w:val="24"/>
          <w:szCs w:val="24"/>
        </w:rPr>
        <w:t xml:space="preserve">. </w:t>
      </w:r>
      <w:r w:rsidRPr="00776249">
        <w:rPr>
          <w:rFonts w:ascii="Arial" w:hAnsi="Arial" w:cs="Arial"/>
          <w:i/>
          <w:iCs/>
          <w:sz w:val="24"/>
          <w:szCs w:val="24"/>
        </w:rPr>
        <w:t>Journal of Criminal Law</w:t>
      </w:r>
      <w:r w:rsidRPr="00776249">
        <w:rPr>
          <w:rFonts w:ascii="Arial" w:hAnsi="Arial" w:cs="Arial"/>
          <w:sz w:val="24"/>
          <w:szCs w:val="24"/>
        </w:rPr>
        <w:t>, 25(2), pp. 123-145.</w:t>
      </w:r>
    </w:p>
    <w:p w14:paraId="24D78871" w14:textId="77777777" w:rsidR="00982C4F" w:rsidRPr="00776249" w:rsidRDefault="00982C4F" w:rsidP="00982C4F">
      <w:pPr>
        <w:rPr>
          <w:rFonts w:ascii="Arial" w:hAnsi="Arial" w:cs="Arial"/>
          <w:sz w:val="24"/>
          <w:szCs w:val="24"/>
        </w:rPr>
      </w:pPr>
    </w:p>
    <w:p w14:paraId="7B9A1A2F"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Brown, R. (2011) Understanding Criminal Intent: A Comprehensive Analysis. </w:t>
      </w:r>
      <w:r w:rsidRPr="00776249">
        <w:rPr>
          <w:rFonts w:ascii="Arial" w:hAnsi="Arial" w:cs="Arial"/>
          <w:i/>
          <w:iCs/>
          <w:sz w:val="24"/>
          <w:szCs w:val="24"/>
        </w:rPr>
        <w:t>Criminal Law Review,</w:t>
      </w:r>
      <w:r w:rsidRPr="00776249">
        <w:rPr>
          <w:rFonts w:ascii="Arial" w:hAnsi="Arial" w:cs="Arial"/>
          <w:sz w:val="24"/>
          <w:szCs w:val="24"/>
        </w:rPr>
        <w:t xml:space="preserve"> 35(4), pp. 567-589.</w:t>
      </w:r>
    </w:p>
    <w:p w14:paraId="61EB73AF" w14:textId="77777777" w:rsidR="00982C4F" w:rsidRPr="00776249" w:rsidRDefault="00982C4F" w:rsidP="00982C4F">
      <w:pPr>
        <w:rPr>
          <w:rFonts w:ascii="Arial" w:hAnsi="Arial" w:cs="Arial"/>
          <w:sz w:val="24"/>
          <w:szCs w:val="24"/>
        </w:rPr>
      </w:pPr>
    </w:p>
    <w:p w14:paraId="20C1EF18"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Clark, M. (2008) Voluntary Intoxication and Criminal Liability: Recent Developments. </w:t>
      </w:r>
      <w:r w:rsidRPr="00776249">
        <w:rPr>
          <w:rFonts w:ascii="Arial" w:hAnsi="Arial" w:cs="Arial"/>
          <w:i/>
          <w:iCs/>
          <w:sz w:val="24"/>
          <w:szCs w:val="24"/>
        </w:rPr>
        <w:t>Journal of Legal Studies</w:t>
      </w:r>
      <w:r w:rsidRPr="00776249">
        <w:rPr>
          <w:rFonts w:ascii="Arial" w:hAnsi="Arial" w:cs="Arial"/>
          <w:sz w:val="24"/>
          <w:szCs w:val="24"/>
        </w:rPr>
        <w:t>, 42(1), pp. 78-95.</w:t>
      </w:r>
    </w:p>
    <w:p w14:paraId="4AFE427C" w14:textId="77777777" w:rsidR="00982C4F" w:rsidRPr="00776249" w:rsidRDefault="00982C4F" w:rsidP="00982C4F">
      <w:pPr>
        <w:rPr>
          <w:rFonts w:ascii="Arial" w:hAnsi="Arial" w:cs="Arial"/>
          <w:sz w:val="24"/>
          <w:szCs w:val="24"/>
        </w:rPr>
      </w:pPr>
    </w:p>
    <w:p w14:paraId="174975ED"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Duffy, P. (1949) Provocation as a </w:t>
      </w:r>
      <w:proofErr w:type="spellStart"/>
      <w:r w:rsidRPr="00776249">
        <w:rPr>
          <w:rFonts w:ascii="Arial" w:hAnsi="Arial" w:cs="Arial"/>
          <w:sz w:val="24"/>
          <w:szCs w:val="24"/>
        </w:rPr>
        <w:t>Defense</w:t>
      </w:r>
      <w:proofErr w:type="spellEnd"/>
      <w:r w:rsidRPr="00776249">
        <w:rPr>
          <w:rFonts w:ascii="Arial" w:hAnsi="Arial" w:cs="Arial"/>
          <w:sz w:val="24"/>
          <w:szCs w:val="24"/>
        </w:rPr>
        <w:t xml:space="preserve"> in Homicide. </w:t>
      </w:r>
      <w:r w:rsidRPr="00776249">
        <w:rPr>
          <w:rFonts w:ascii="Arial" w:hAnsi="Arial" w:cs="Arial"/>
          <w:i/>
          <w:iCs/>
          <w:sz w:val="24"/>
          <w:szCs w:val="24"/>
        </w:rPr>
        <w:t>Yale Law Journal,</w:t>
      </w:r>
      <w:r w:rsidRPr="00776249">
        <w:rPr>
          <w:rFonts w:ascii="Arial" w:hAnsi="Arial" w:cs="Arial"/>
          <w:sz w:val="24"/>
          <w:szCs w:val="24"/>
        </w:rPr>
        <w:t xml:space="preserve"> 58(3), pp. 320-342.</w:t>
      </w:r>
    </w:p>
    <w:p w14:paraId="783DC7A2" w14:textId="77777777" w:rsidR="00982C4F" w:rsidRPr="00776249" w:rsidRDefault="00982C4F" w:rsidP="00982C4F">
      <w:pPr>
        <w:rPr>
          <w:rFonts w:ascii="Arial" w:hAnsi="Arial" w:cs="Arial"/>
          <w:sz w:val="24"/>
          <w:szCs w:val="24"/>
        </w:rPr>
      </w:pPr>
    </w:p>
    <w:p w14:paraId="75207714"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Garcia, L. (2012) Effects of Voluntary Intoxication on Criminal Liability. </w:t>
      </w:r>
      <w:r w:rsidRPr="00776249">
        <w:rPr>
          <w:rFonts w:ascii="Arial" w:hAnsi="Arial" w:cs="Arial"/>
          <w:i/>
          <w:iCs/>
          <w:sz w:val="24"/>
          <w:szCs w:val="24"/>
        </w:rPr>
        <w:t xml:space="preserve">Criminal </w:t>
      </w:r>
      <w:proofErr w:type="spellStart"/>
      <w:r w:rsidRPr="00776249">
        <w:rPr>
          <w:rFonts w:ascii="Arial" w:hAnsi="Arial" w:cs="Arial"/>
          <w:i/>
          <w:iCs/>
          <w:sz w:val="24"/>
          <w:szCs w:val="24"/>
        </w:rPr>
        <w:t>Behavior</w:t>
      </w:r>
      <w:proofErr w:type="spellEnd"/>
      <w:r w:rsidRPr="00776249">
        <w:rPr>
          <w:rFonts w:ascii="Arial" w:hAnsi="Arial" w:cs="Arial"/>
          <w:i/>
          <w:iCs/>
          <w:sz w:val="24"/>
          <w:szCs w:val="24"/>
        </w:rPr>
        <w:t xml:space="preserve"> and Mental Health,</w:t>
      </w:r>
      <w:r w:rsidRPr="00776249">
        <w:rPr>
          <w:rFonts w:ascii="Arial" w:hAnsi="Arial" w:cs="Arial"/>
          <w:sz w:val="24"/>
          <w:szCs w:val="24"/>
        </w:rPr>
        <w:t xml:space="preserve"> 22(5), pp. 345-362.</w:t>
      </w:r>
    </w:p>
    <w:p w14:paraId="79852363" w14:textId="77777777" w:rsidR="00982C4F" w:rsidRPr="00776249" w:rsidRDefault="00982C4F" w:rsidP="00982C4F">
      <w:pPr>
        <w:rPr>
          <w:rFonts w:ascii="Arial" w:hAnsi="Arial" w:cs="Arial"/>
          <w:sz w:val="24"/>
          <w:szCs w:val="24"/>
        </w:rPr>
      </w:pPr>
    </w:p>
    <w:p w14:paraId="03AB872D" w14:textId="77777777" w:rsidR="00982C4F" w:rsidRPr="00776249" w:rsidRDefault="00982C4F" w:rsidP="00982C4F">
      <w:pPr>
        <w:rPr>
          <w:rFonts w:ascii="Arial" w:hAnsi="Arial" w:cs="Arial"/>
          <w:sz w:val="24"/>
          <w:szCs w:val="24"/>
        </w:rPr>
      </w:pPr>
    </w:p>
    <w:p w14:paraId="666D86B6"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Gonzalez, S. (2018) The Impact of Emotional State on Criminal Responsibility. </w:t>
      </w:r>
      <w:r w:rsidRPr="00776249">
        <w:rPr>
          <w:rFonts w:ascii="Arial" w:hAnsi="Arial" w:cs="Arial"/>
          <w:i/>
          <w:iCs/>
          <w:sz w:val="24"/>
          <w:szCs w:val="24"/>
        </w:rPr>
        <w:t>Journal of Forensic Psychology,</w:t>
      </w:r>
      <w:r w:rsidRPr="00776249">
        <w:rPr>
          <w:rFonts w:ascii="Arial" w:hAnsi="Arial" w:cs="Arial"/>
          <w:sz w:val="24"/>
          <w:szCs w:val="24"/>
        </w:rPr>
        <w:t xml:space="preserve"> 40(2), pp. 211-230.</w:t>
      </w:r>
    </w:p>
    <w:p w14:paraId="12D5EB42" w14:textId="77777777" w:rsidR="00982C4F" w:rsidRPr="00776249" w:rsidRDefault="00982C4F" w:rsidP="00982C4F">
      <w:pPr>
        <w:rPr>
          <w:rFonts w:ascii="Arial" w:hAnsi="Arial" w:cs="Arial"/>
          <w:sz w:val="24"/>
          <w:szCs w:val="24"/>
        </w:rPr>
      </w:pPr>
    </w:p>
    <w:p w14:paraId="33AEEF1C"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Jones, A., et al. (2010) Marital Troubles and Criminal </w:t>
      </w:r>
      <w:proofErr w:type="spellStart"/>
      <w:r w:rsidRPr="00776249">
        <w:rPr>
          <w:rFonts w:ascii="Arial" w:hAnsi="Arial" w:cs="Arial"/>
          <w:sz w:val="24"/>
          <w:szCs w:val="24"/>
        </w:rPr>
        <w:t>Behavior</w:t>
      </w:r>
      <w:proofErr w:type="spellEnd"/>
      <w:r w:rsidRPr="00776249">
        <w:rPr>
          <w:rFonts w:ascii="Arial" w:hAnsi="Arial" w:cs="Arial"/>
          <w:sz w:val="24"/>
          <w:szCs w:val="24"/>
        </w:rPr>
        <w:t xml:space="preserve">: A Comprehensive Study. </w:t>
      </w:r>
      <w:r w:rsidRPr="00776249">
        <w:rPr>
          <w:rFonts w:ascii="Arial" w:hAnsi="Arial" w:cs="Arial"/>
          <w:i/>
          <w:iCs/>
          <w:sz w:val="24"/>
          <w:szCs w:val="24"/>
        </w:rPr>
        <w:t>Journal of Family Law</w:t>
      </w:r>
      <w:r w:rsidRPr="00776249">
        <w:rPr>
          <w:rFonts w:ascii="Arial" w:hAnsi="Arial" w:cs="Arial"/>
          <w:sz w:val="24"/>
          <w:szCs w:val="24"/>
        </w:rPr>
        <w:t>, 15(3), pp. 189-206.</w:t>
      </w:r>
    </w:p>
    <w:p w14:paraId="5917DE7C" w14:textId="77777777" w:rsidR="00982C4F" w:rsidRPr="00776249" w:rsidRDefault="00982C4F" w:rsidP="00982C4F">
      <w:pPr>
        <w:rPr>
          <w:rFonts w:ascii="Arial" w:hAnsi="Arial" w:cs="Arial"/>
          <w:sz w:val="24"/>
          <w:szCs w:val="24"/>
        </w:rPr>
      </w:pPr>
    </w:p>
    <w:p w14:paraId="03BF28AC"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Miller, E. (2013) Intent in Homicide Cases: A Comparative Analysis. </w:t>
      </w:r>
      <w:r w:rsidRPr="00776249">
        <w:rPr>
          <w:rFonts w:ascii="Arial" w:hAnsi="Arial" w:cs="Arial"/>
          <w:i/>
          <w:iCs/>
          <w:sz w:val="24"/>
          <w:szCs w:val="24"/>
        </w:rPr>
        <w:t>International Journal of Legal Studies,</w:t>
      </w:r>
      <w:r w:rsidRPr="00776249">
        <w:rPr>
          <w:rFonts w:ascii="Arial" w:hAnsi="Arial" w:cs="Arial"/>
          <w:sz w:val="24"/>
          <w:szCs w:val="24"/>
        </w:rPr>
        <w:t xml:space="preserve"> 28(4), pp. 456-478.</w:t>
      </w:r>
    </w:p>
    <w:p w14:paraId="5787F7FE" w14:textId="77777777" w:rsidR="00982C4F" w:rsidRPr="00776249" w:rsidRDefault="00982C4F" w:rsidP="00982C4F">
      <w:pPr>
        <w:rPr>
          <w:rFonts w:ascii="Arial" w:hAnsi="Arial" w:cs="Arial"/>
          <w:sz w:val="24"/>
          <w:szCs w:val="24"/>
        </w:rPr>
      </w:pPr>
    </w:p>
    <w:p w14:paraId="1641BD3E" w14:textId="77777777" w:rsidR="00982C4F" w:rsidRPr="00776249" w:rsidRDefault="00982C4F" w:rsidP="00982C4F">
      <w:pPr>
        <w:rPr>
          <w:rFonts w:ascii="Arial" w:hAnsi="Arial" w:cs="Arial"/>
          <w:sz w:val="24"/>
          <w:szCs w:val="24"/>
        </w:rPr>
      </w:pPr>
      <w:r w:rsidRPr="00776249">
        <w:rPr>
          <w:rFonts w:ascii="Arial" w:hAnsi="Arial" w:cs="Arial"/>
          <w:sz w:val="24"/>
          <w:szCs w:val="24"/>
        </w:rPr>
        <w:t>Perez, L. (2014) Assessing Reasonableness in Self-</w:t>
      </w:r>
      <w:proofErr w:type="spellStart"/>
      <w:r w:rsidRPr="00776249">
        <w:rPr>
          <w:rFonts w:ascii="Arial" w:hAnsi="Arial" w:cs="Arial"/>
          <w:sz w:val="24"/>
          <w:szCs w:val="24"/>
        </w:rPr>
        <w:t>defense</w:t>
      </w:r>
      <w:proofErr w:type="spellEnd"/>
      <w:r w:rsidRPr="00776249">
        <w:rPr>
          <w:rFonts w:ascii="Arial" w:hAnsi="Arial" w:cs="Arial"/>
          <w:sz w:val="24"/>
          <w:szCs w:val="24"/>
        </w:rPr>
        <w:t xml:space="preserve"> Cases. </w:t>
      </w:r>
      <w:r w:rsidRPr="00776249">
        <w:rPr>
          <w:rFonts w:ascii="Arial" w:hAnsi="Arial" w:cs="Arial"/>
          <w:i/>
          <w:iCs/>
          <w:sz w:val="24"/>
          <w:szCs w:val="24"/>
        </w:rPr>
        <w:t>Criminal Justice Review,</w:t>
      </w:r>
      <w:r w:rsidRPr="00776249">
        <w:rPr>
          <w:rFonts w:ascii="Arial" w:hAnsi="Arial" w:cs="Arial"/>
          <w:sz w:val="24"/>
          <w:szCs w:val="24"/>
        </w:rPr>
        <w:t xml:space="preserve"> 19(1), pp. 87-104.</w:t>
      </w:r>
    </w:p>
    <w:p w14:paraId="7305B190" w14:textId="77777777" w:rsidR="00982C4F" w:rsidRPr="00776249" w:rsidRDefault="00982C4F" w:rsidP="00982C4F">
      <w:pPr>
        <w:rPr>
          <w:rFonts w:ascii="Arial" w:hAnsi="Arial" w:cs="Arial"/>
          <w:sz w:val="24"/>
          <w:szCs w:val="24"/>
        </w:rPr>
      </w:pPr>
    </w:p>
    <w:p w14:paraId="3C79CA70" w14:textId="77777777" w:rsidR="00982C4F" w:rsidRPr="00776249" w:rsidRDefault="00982C4F" w:rsidP="00982C4F">
      <w:pPr>
        <w:rPr>
          <w:rFonts w:ascii="Arial" w:hAnsi="Arial" w:cs="Arial"/>
          <w:sz w:val="24"/>
          <w:szCs w:val="24"/>
        </w:rPr>
      </w:pPr>
      <w:r w:rsidRPr="00776249">
        <w:rPr>
          <w:rFonts w:ascii="Arial" w:hAnsi="Arial" w:cs="Arial"/>
          <w:sz w:val="24"/>
          <w:szCs w:val="24"/>
        </w:rPr>
        <w:t>R v. Cunningham, 1967. 2 WLR 709.</w:t>
      </w:r>
    </w:p>
    <w:p w14:paraId="2757FE89" w14:textId="77777777" w:rsidR="00982C4F" w:rsidRPr="00776249" w:rsidRDefault="00982C4F" w:rsidP="00982C4F">
      <w:pPr>
        <w:rPr>
          <w:rFonts w:ascii="Arial" w:hAnsi="Arial" w:cs="Arial"/>
          <w:sz w:val="24"/>
          <w:szCs w:val="24"/>
        </w:rPr>
      </w:pPr>
    </w:p>
    <w:p w14:paraId="75CC8B0F" w14:textId="77777777" w:rsidR="00982C4F" w:rsidRPr="00776249" w:rsidRDefault="00982C4F" w:rsidP="00982C4F">
      <w:pPr>
        <w:rPr>
          <w:rFonts w:ascii="Arial" w:hAnsi="Arial" w:cs="Arial"/>
          <w:sz w:val="24"/>
          <w:szCs w:val="24"/>
        </w:rPr>
      </w:pPr>
      <w:r w:rsidRPr="00776249">
        <w:rPr>
          <w:rFonts w:ascii="Arial" w:hAnsi="Arial" w:cs="Arial"/>
          <w:sz w:val="24"/>
          <w:szCs w:val="24"/>
        </w:rPr>
        <w:t>R v. Duffy, 1949. 1 All ER 932.</w:t>
      </w:r>
    </w:p>
    <w:p w14:paraId="42FFAE9E" w14:textId="77777777" w:rsidR="00982C4F" w:rsidRPr="00776249" w:rsidRDefault="00982C4F" w:rsidP="00982C4F">
      <w:pPr>
        <w:rPr>
          <w:rFonts w:ascii="Arial" w:hAnsi="Arial" w:cs="Arial"/>
          <w:sz w:val="24"/>
          <w:szCs w:val="24"/>
        </w:rPr>
      </w:pPr>
    </w:p>
    <w:p w14:paraId="65DABA17" w14:textId="77777777" w:rsidR="00982C4F" w:rsidRPr="00776249" w:rsidRDefault="00982C4F" w:rsidP="00982C4F">
      <w:pPr>
        <w:rPr>
          <w:rFonts w:ascii="Arial" w:hAnsi="Arial" w:cs="Arial"/>
          <w:sz w:val="24"/>
          <w:szCs w:val="24"/>
        </w:rPr>
      </w:pPr>
      <w:r w:rsidRPr="00776249">
        <w:rPr>
          <w:rFonts w:ascii="Arial" w:hAnsi="Arial" w:cs="Arial"/>
          <w:sz w:val="24"/>
          <w:szCs w:val="24"/>
        </w:rPr>
        <w:t>R v. Lipman, 1970. 1 QB 152.</w:t>
      </w:r>
    </w:p>
    <w:p w14:paraId="1321E444" w14:textId="77777777" w:rsidR="00982C4F" w:rsidRPr="00776249" w:rsidRDefault="00982C4F" w:rsidP="00982C4F">
      <w:pPr>
        <w:rPr>
          <w:rFonts w:ascii="Arial" w:hAnsi="Arial" w:cs="Arial"/>
          <w:sz w:val="24"/>
          <w:szCs w:val="24"/>
        </w:rPr>
      </w:pPr>
    </w:p>
    <w:p w14:paraId="163ECB5D" w14:textId="77777777" w:rsidR="00982C4F" w:rsidRPr="00776249" w:rsidRDefault="00982C4F" w:rsidP="00982C4F">
      <w:pPr>
        <w:rPr>
          <w:rFonts w:ascii="Arial" w:hAnsi="Arial" w:cs="Arial"/>
          <w:sz w:val="24"/>
          <w:szCs w:val="24"/>
        </w:rPr>
      </w:pPr>
      <w:r w:rsidRPr="00776249">
        <w:rPr>
          <w:rFonts w:ascii="Arial" w:hAnsi="Arial" w:cs="Arial"/>
          <w:sz w:val="24"/>
          <w:szCs w:val="24"/>
        </w:rPr>
        <w:t>R v. Wanrow, 1977. 88 Wn.2d 221.</w:t>
      </w:r>
    </w:p>
    <w:p w14:paraId="020C6D48" w14:textId="77777777" w:rsidR="00982C4F" w:rsidRPr="00776249" w:rsidRDefault="00982C4F" w:rsidP="00982C4F">
      <w:pPr>
        <w:rPr>
          <w:rFonts w:ascii="Arial" w:hAnsi="Arial" w:cs="Arial"/>
          <w:sz w:val="24"/>
          <w:szCs w:val="24"/>
        </w:rPr>
      </w:pPr>
    </w:p>
    <w:p w14:paraId="31C90301"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Smith, J. (2005) Criminal Liability and Mental State: A Comprehensive Review. </w:t>
      </w:r>
      <w:r w:rsidRPr="00776249">
        <w:rPr>
          <w:rFonts w:ascii="Arial" w:hAnsi="Arial" w:cs="Arial"/>
          <w:i/>
          <w:iCs/>
          <w:sz w:val="24"/>
          <w:szCs w:val="24"/>
        </w:rPr>
        <w:t>Journal of Criminal Law and Criminology</w:t>
      </w:r>
      <w:r w:rsidRPr="00776249">
        <w:rPr>
          <w:rFonts w:ascii="Arial" w:hAnsi="Arial" w:cs="Arial"/>
          <w:sz w:val="24"/>
          <w:szCs w:val="24"/>
        </w:rPr>
        <w:t>, 30(2), pp. 167-184.</w:t>
      </w:r>
    </w:p>
    <w:p w14:paraId="0784F86A" w14:textId="77777777" w:rsidR="00982C4F" w:rsidRPr="00776249" w:rsidRDefault="00982C4F" w:rsidP="00982C4F">
      <w:pPr>
        <w:rPr>
          <w:rFonts w:ascii="Arial" w:hAnsi="Arial" w:cs="Arial"/>
          <w:sz w:val="24"/>
          <w:szCs w:val="24"/>
        </w:rPr>
      </w:pPr>
    </w:p>
    <w:p w14:paraId="133AA3B9" w14:textId="77777777" w:rsidR="00982C4F" w:rsidRPr="00776249" w:rsidRDefault="00982C4F" w:rsidP="00982C4F">
      <w:pPr>
        <w:rPr>
          <w:rFonts w:ascii="Arial" w:hAnsi="Arial" w:cs="Arial"/>
          <w:sz w:val="24"/>
          <w:szCs w:val="24"/>
        </w:rPr>
      </w:pPr>
      <w:r w:rsidRPr="00776249">
        <w:rPr>
          <w:rFonts w:ascii="Arial" w:hAnsi="Arial" w:cs="Arial"/>
          <w:sz w:val="24"/>
          <w:szCs w:val="24"/>
        </w:rPr>
        <w:t>State vs. Wanrow, 1977. 88 Wn.2d 221.</w:t>
      </w:r>
    </w:p>
    <w:p w14:paraId="4BA79FF0" w14:textId="77777777" w:rsidR="00982C4F" w:rsidRPr="00776249" w:rsidRDefault="00982C4F" w:rsidP="00982C4F">
      <w:pPr>
        <w:rPr>
          <w:rFonts w:ascii="Arial" w:hAnsi="Arial" w:cs="Arial"/>
          <w:sz w:val="24"/>
          <w:szCs w:val="24"/>
        </w:rPr>
      </w:pPr>
    </w:p>
    <w:p w14:paraId="78AF88B6"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Thompson, S. (2018) Understanding </w:t>
      </w:r>
      <w:proofErr w:type="spellStart"/>
      <w:r w:rsidRPr="00776249">
        <w:rPr>
          <w:rFonts w:ascii="Arial" w:hAnsi="Arial" w:cs="Arial"/>
          <w:sz w:val="24"/>
          <w:szCs w:val="24"/>
        </w:rPr>
        <w:t>Mens</w:t>
      </w:r>
      <w:proofErr w:type="spellEnd"/>
      <w:r w:rsidRPr="00776249">
        <w:rPr>
          <w:rFonts w:ascii="Arial" w:hAnsi="Arial" w:cs="Arial"/>
          <w:sz w:val="24"/>
          <w:szCs w:val="24"/>
        </w:rPr>
        <w:t xml:space="preserve"> Rea in Homicide Cases. </w:t>
      </w:r>
      <w:r w:rsidRPr="00776249">
        <w:rPr>
          <w:rFonts w:ascii="Arial" w:hAnsi="Arial" w:cs="Arial"/>
          <w:i/>
          <w:iCs/>
          <w:sz w:val="24"/>
          <w:szCs w:val="24"/>
        </w:rPr>
        <w:t>Criminal Law Quarterly</w:t>
      </w:r>
      <w:r w:rsidRPr="00776249">
        <w:rPr>
          <w:rFonts w:ascii="Arial" w:hAnsi="Arial" w:cs="Arial"/>
          <w:sz w:val="24"/>
          <w:szCs w:val="24"/>
        </w:rPr>
        <w:t>, 22(3), pp.276-295.</w:t>
      </w:r>
    </w:p>
    <w:p w14:paraId="011C95BF" w14:textId="77777777" w:rsidR="00982C4F" w:rsidRPr="00776249" w:rsidRDefault="00982C4F" w:rsidP="00982C4F">
      <w:pPr>
        <w:rPr>
          <w:rFonts w:ascii="Arial" w:hAnsi="Arial" w:cs="Arial"/>
          <w:sz w:val="24"/>
          <w:szCs w:val="24"/>
        </w:rPr>
      </w:pPr>
    </w:p>
    <w:p w14:paraId="40A97BF4" w14:textId="77777777" w:rsidR="00982C4F" w:rsidRPr="00776249" w:rsidRDefault="00982C4F" w:rsidP="00982C4F">
      <w:pPr>
        <w:rPr>
          <w:rFonts w:ascii="Arial" w:hAnsi="Arial" w:cs="Arial"/>
          <w:sz w:val="24"/>
          <w:szCs w:val="24"/>
        </w:rPr>
      </w:pPr>
      <w:r w:rsidRPr="00776249">
        <w:rPr>
          <w:rFonts w:ascii="Arial" w:hAnsi="Arial" w:cs="Arial"/>
          <w:sz w:val="24"/>
          <w:szCs w:val="24"/>
        </w:rPr>
        <w:t xml:space="preserve">Thomson, P. (2009) Legal Aspects of Provocation as a </w:t>
      </w:r>
      <w:proofErr w:type="spellStart"/>
      <w:r w:rsidRPr="00776249">
        <w:rPr>
          <w:rFonts w:ascii="Arial" w:hAnsi="Arial" w:cs="Arial"/>
          <w:sz w:val="24"/>
          <w:szCs w:val="24"/>
        </w:rPr>
        <w:t>Defense</w:t>
      </w:r>
      <w:proofErr w:type="spellEnd"/>
      <w:r w:rsidRPr="00776249">
        <w:rPr>
          <w:rFonts w:ascii="Arial" w:hAnsi="Arial" w:cs="Arial"/>
          <w:sz w:val="24"/>
          <w:szCs w:val="24"/>
        </w:rPr>
        <w:t xml:space="preserve">. </w:t>
      </w:r>
      <w:r w:rsidRPr="00776249">
        <w:rPr>
          <w:rFonts w:ascii="Arial" w:hAnsi="Arial" w:cs="Arial"/>
          <w:i/>
          <w:iCs/>
          <w:sz w:val="24"/>
          <w:szCs w:val="24"/>
        </w:rPr>
        <w:t>Criminal Justice Journal,</w:t>
      </w:r>
      <w:r w:rsidRPr="00776249">
        <w:rPr>
          <w:rFonts w:ascii="Arial" w:hAnsi="Arial" w:cs="Arial"/>
          <w:sz w:val="24"/>
          <w:szCs w:val="24"/>
        </w:rPr>
        <w:t xml:space="preserve"> 14(4), pp.421-439.</w:t>
      </w:r>
    </w:p>
    <w:p w14:paraId="410528FE" w14:textId="77777777" w:rsidR="00982C4F" w:rsidRDefault="00982C4F" w:rsidP="00982C4F"/>
    <w:p w14:paraId="7E02660C" w14:textId="77777777" w:rsidR="00982C4F" w:rsidRDefault="00982C4F" w:rsidP="00982C4F"/>
    <w:p w14:paraId="2BC3A8BF" w14:textId="77777777" w:rsidR="00982C4F" w:rsidRPr="00C21314" w:rsidRDefault="00982C4F" w:rsidP="00D9224A">
      <w:pPr>
        <w:ind w:left="720"/>
        <w:jc w:val="both"/>
        <w:rPr>
          <w:rFonts w:ascii="Arial" w:hAnsi="Arial" w:cs="Arial"/>
          <w:b/>
          <w:bCs/>
          <w:sz w:val="24"/>
          <w:szCs w:val="24"/>
        </w:rPr>
      </w:pPr>
    </w:p>
    <w:p w14:paraId="6167EC3D" w14:textId="77777777" w:rsidR="00C21314" w:rsidRPr="00A406E5" w:rsidRDefault="00C21314" w:rsidP="00D9224A">
      <w:pPr>
        <w:ind w:left="720"/>
        <w:jc w:val="both"/>
        <w:rPr>
          <w:rFonts w:ascii="Arial" w:hAnsi="Arial" w:cs="Arial"/>
          <w:sz w:val="24"/>
          <w:szCs w:val="24"/>
        </w:rPr>
      </w:pPr>
    </w:p>
    <w:sectPr w:rsidR="00C21314" w:rsidRPr="00A406E5" w:rsidSect="00B81AA1">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6F96C" w14:textId="77777777" w:rsidR="00CE77EC" w:rsidRDefault="00CE77EC">
      <w:r>
        <w:separator/>
      </w:r>
    </w:p>
  </w:endnote>
  <w:endnote w:type="continuationSeparator" w:id="0">
    <w:p w14:paraId="699899F5" w14:textId="77777777" w:rsidR="00CE77EC" w:rsidRDefault="00CE7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DD680" w14:textId="77777777" w:rsidR="00CE77EC" w:rsidRDefault="00CE77EC">
      <w:r>
        <w:separator/>
      </w:r>
    </w:p>
  </w:footnote>
  <w:footnote w:type="continuationSeparator" w:id="0">
    <w:p w14:paraId="03E430F8" w14:textId="77777777" w:rsidR="00CE77EC" w:rsidRDefault="00CE7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720"/>
        </w:tabs>
        <w:ind w:left="-720" w:firstLine="0"/>
      </w:pPr>
      <w:rPr>
        <w:rFonts w:ascii="Symbol" w:hAnsi="Symbol" w:hint="default"/>
      </w:rPr>
    </w:lvl>
    <w:lvl w:ilvl="1">
      <w:start w:val="1"/>
      <w:numFmt w:val="bullet"/>
      <w:lvlText w:val=""/>
      <w:lvlJc w:val="left"/>
      <w:pPr>
        <w:tabs>
          <w:tab w:val="num" w:pos="0"/>
        </w:tabs>
        <w:ind w:left="360" w:hanging="360"/>
      </w:pPr>
      <w:rPr>
        <w:rFonts w:ascii="Symbol" w:hAnsi="Symbol" w:hint="default"/>
      </w:rPr>
    </w:lvl>
    <w:lvl w:ilvl="2">
      <w:start w:val="1"/>
      <w:numFmt w:val="bullet"/>
      <w:lvlText w:val="o"/>
      <w:lvlJc w:val="left"/>
      <w:pPr>
        <w:tabs>
          <w:tab w:val="num" w:pos="720"/>
        </w:tabs>
        <w:ind w:left="1080" w:hanging="360"/>
      </w:pPr>
      <w:rPr>
        <w:rFonts w:ascii="Courier New" w:hAnsi="Courier New" w:cs="Courier New" w:hint="default"/>
      </w:rPr>
    </w:lvl>
    <w:lvl w:ilvl="3">
      <w:start w:val="1"/>
      <w:numFmt w:val="bullet"/>
      <w:lvlText w:val=""/>
      <w:lvlJc w:val="left"/>
      <w:pPr>
        <w:tabs>
          <w:tab w:val="num" w:pos="1440"/>
        </w:tabs>
        <w:ind w:left="1800" w:hanging="360"/>
      </w:pPr>
      <w:rPr>
        <w:rFonts w:ascii="Wingdings" w:hAnsi="Wingdings" w:hint="default"/>
      </w:rPr>
    </w:lvl>
    <w:lvl w:ilvl="4">
      <w:start w:val="1"/>
      <w:numFmt w:val="bullet"/>
      <w:lvlText w:val=""/>
      <w:lvlJc w:val="left"/>
      <w:pPr>
        <w:tabs>
          <w:tab w:val="num" w:pos="2160"/>
        </w:tabs>
        <w:ind w:left="2520" w:hanging="360"/>
      </w:pPr>
      <w:rPr>
        <w:rFonts w:ascii="Wingdings" w:hAnsi="Wingdings" w:hint="default"/>
      </w:rPr>
    </w:lvl>
    <w:lvl w:ilvl="5">
      <w:start w:val="1"/>
      <w:numFmt w:val="bullet"/>
      <w:lvlText w:val=""/>
      <w:lvlJc w:val="left"/>
      <w:pPr>
        <w:tabs>
          <w:tab w:val="num" w:pos="2880"/>
        </w:tabs>
        <w:ind w:left="3240" w:hanging="360"/>
      </w:pPr>
      <w:rPr>
        <w:rFonts w:ascii="Symbol" w:hAnsi="Symbol" w:hint="default"/>
      </w:rPr>
    </w:lvl>
    <w:lvl w:ilvl="6">
      <w:start w:val="1"/>
      <w:numFmt w:val="bullet"/>
      <w:lvlText w:val="o"/>
      <w:lvlJc w:val="left"/>
      <w:pPr>
        <w:tabs>
          <w:tab w:val="num" w:pos="3600"/>
        </w:tabs>
        <w:ind w:left="3960" w:hanging="360"/>
      </w:pPr>
      <w:rPr>
        <w:rFonts w:ascii="Courier New" w:hAnsi="Courier New" w:cs="Courier New" w:hint="default"/>
      </w:rPr>
    </w:lvl>
    <w:lvl w:ilvl="7">
      <w:start w:val="1"/>
      <w:numFmt w:val="bullet"/>
      <w:lvlText w:val=""/>
      <w:lvlJc w:val="left"/>
      <w:pPr>
        <w:tabs>
          <w:tab w:val="num" w:pos="4320"/>
        </w:tabs>
        <w:ind w:left="4680" w:hanging="360"/>
      </w:pPr>
      <w:rPr>
        <w:rFonts w:ascii="Wingdings" w:hAnsi="Wingdings" w:hint="default"/>
      </w:rPr>
    </w:lvl>
    <w:lvl w:ilvl="8">
      <w:start w:val="1"/>
      <w:numFmt w:val="bullet"/>
      <w:lvlText w:val=""/>
      <w:lvlJc w:val="left"/>
      <w:pPr>
        <w:tabs>
          <w:tab w:val="num" w:pos="5040"/>
        </w:tabs>
        <w:ind w:left="5400" w:hanging="360"/>
      </w:pPr>
      <w:rPr>
        <w:rFonts w:ascii="Wingdings" w:hAnsi="Wingdings" w:hint="default"/>
      </w:rPr>
    </w:lvl>
  </w:abstractNum>
  <w:abstractNum w:abstractNumId="1" w15:restartNumberingAfterBreak="0">
    <w:nsid w:val="067B439C"/>
    <w:multiLevelType w:val="multilevel"/>
    <w:tmpl w:val="F154E27E"/>
    <w:lvl w:ilvl="0">
      <w:start w:val="1"/>
      <w:numFmt w:val="bullet"/>
      <w:lvlText w:val=""/>
      <w:lvlJc w:val="left"/>
      <w:pPr>
        <w:tabs>
          <w:tab w:val="num" w:pos="502"/>
        </w:tabs>
        <w:ind w:left="502" w:hanging="360"/>
      </w:pPr>
      <w:rPr>
        <w:rFonts w:ascii="Symbol" w:hAnsi="Symbol" w:hint="default"/>
      </w:r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AB4367"/>
    <w:multiLevelType w:val="multilevel"/>
    <w:tmpl w:val="2FC89BE8"/>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DE7565"/>
    <w:multiLevelType w:val="hybridMultilevel"/>
    <w:tmpl w:val="5C1E6AE0"/>
    <w:lvl w:ilvl="0" w:tplc="1A5E0C04">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C7E287A"/>
    <w:multiLevelType w:val="hybridMultilevel"/>
    <w:tmpl w:val="0F7C80B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204899410">
    <w:abstractNumId w:val="2"/>
  </w:num>
  <w:num w:numId="2" w16cid:durableId="634988405">
    <w:abstractNumId w:val="10"/>
  </w:num>
  <w:num w:numId="3" w16cid:durableId="1752196000">
    <w:abstractNumId w:val="19"/>
  </w:num>
  <w:num w:numId="4" w16cid:durableId="1049501051">
    <w:abstractNumId w:val="13"/>
  </w:num>
  <w:num w:numId="5" w16cid:durableId="446199965">
    <w:abstractNumId w:val="8"/>
  </w:num>
  <w:num w:numId="6" w16cid:durableId="674265523">
    <w:abstractNumId w:val="18"/>
  </w:num>
  <w:num w:numId="7" w16cid:durableId="498935083">
    <w:abstractNumId w:val="3"/>
  </w:num>
  <w:num w:numId="8" w16cid:durableId="183253748">
    <w:abstractNumId w:val="17"/>
  </w:num>
  <w:num w:numId="9" w16cid:durableId="1600067724">
    <w:abstractNumId w:val="12"/>
  </w:num>
  <w:num w:numId="10" w16cid:durableId="326715523">
    <w:abstractNumId w:val="5"/>
  </w:num>
  <w:num w:numId="11" w16cid:durableId="1239512702">
    <w:abstractNumId w:val="6"/>
  </w:num>
  <w:num w:numId="12" w16cid:durableId="481578600">
    <w:abstractNumId w:val="9"/>
  </w:num>
  <w:num w:numId="13" w16cid:durableId="1944649826">
    <w:abstractNumId w:val="16"/>
  </w:num>
  <w:num w:numId="14" w16cid:durableId="957949134">
    <w:abstractNumId w:val="4"/>
  </w:num>
  <w:num w:numId="15" w16cid:durableId="1644433333">
    <w:abstractNumId w:val="0"/>
  </w:num>
  <w:num w:numId="16" w16cid:durableId="214440168">
    <w:abstractNumId w:val="7"/>
  </w:num>
  <w:num w:numId="17" w16cid:durableId="741834252">
    <w:abstractNumId w:val="15"/>
  </w:num>
  <w:num w:numId="18" w16cid:durableId="1642614292">
    <w:abstractNumId w:val="14"/>
  </w:num>
  <w:num w:numId="19" w16cid:durableId="1270743528">
    <w:abstractNumId w:val="11"/>
  </w:num>
  <w:num w:numId="20" w16cid:durableId="193885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AzMQDSxsZGRhbmlko6SsGpxcWZ+XkgBYa1ACFy8PQsAAAA"/>
  </w:docVars>
  <w:rsids>
    <w:rsidRoot w:val="00FB4521"/>
    <w:rsid w:val="00011666"/>
    <w:rsid w:val="00026B02"/>
    <w:rsid w:val="0004362C"/>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937"/>
    <w:rsid w:val="001B5F45"/>
    <w:rsid w:val="001E1050"/>
    <w:rsid w:val="001E1E1F"/>
    <w:rsid w:val="001E2007"/>
    <w:rsid w:val="001E57C1"/>
    <w:rsid w:val="001F07EF"/>
    <w:rsid w:val="001F50B6"/>
    <w:rsid w:val="001F6D7A"/>
    <w:rsid w:val="00224849"/>
    <w:rsid w:val="0022746E"/>
    <w:rsid w:val="00230013"/>
    <w:rsid w:val="00235F71"/>
    <w:rsid w:val="002364F9"/>
    <w:rsid w:val="002444CA"/>
    <w:rsid w:val="00260DE6"/>
    <w:rsid w:val="00273B77"/>
    <w:rsid w:val="00273FEE"/>
    <w:rsid w:val="0028204E"/>
    <w:rsid w:val="0028591B"/>
    <w:rsid w:val="002878BF"/>
    <w:rsid w:val="00291841"/>
    <w:rsid w:val="002A20DB"/>
    <w:rsid w:val="002C449B"/>
    <w:rsid w:val="002C6040"/>
    <w:rsid w:val="002D3D6B"/>
    <w:rsid w:val="002D5B3F"/>
    <w:rsid w:val="002E272E"/>
    <w:rsid w:val="002F5778"/>
    <w:rsid w:val="003223E0"/>
    <w:rsid w:val="00352C4A"/>
    <w:rsid w:val="00362560"/>
    <w:rsid w:val="00362C4E"/>
    <w:rsid w:val="003732FD"/>
    <w:rsid w:val="003753B2"/>
    <w:rsid w:val="00376559"/>
    <w:rsid w:val="00382BAA"/>
    <w:rsid w:val="00384D73"/>
    <w:rsid w:val="00393EB6"/>
    <w:rsid w:val="003A3CE5"/>
    <w:rsid w:val="003B366F"/>
    <w:rsid w:val="003B3F9D"/>
    <w:rsid w:val="003B6C95"/>
    <w:rsid w:val="003E5751"/>
    <w:rsid w:val="004046A9"/>
    <w:rsid w:val="00404C50"/>
    <w:rsid w:val="004070AA"/>
    <w:rsid w:val="00423934"/>
    <w:rsid w:val="00426244"/>
    <w:rsid w:val="00451810"/>
    <w:rsid w:val="00470A38"/>
    <w:rsid w:val="00477880"/>
    <w:rsid w:val="004874DE"/>
    <w:rsid w:val="004B4A46"/>
    <w:rsid w:val="004B5334"/>
    <w:rsid w:val="004B6C14"/>
    <w:rsid w:val="004D5E9B"/>
    <w:rsid w:val="004D63D9"/>
    <w:rsid w:val="004E6585"/>
    <w:rsid w:val="004F38B4"/>
    <w:rsid w:val="004F40FA"/>
    <w:rsid w:val="0050249F"/>
    <w:rsid w:val="00524566"/>
    <w:rsid w:val="00527E60"/>
    <w:rsid w:val="00530BEF"/>
    <w:rsid w:val="00552351"/>
    <w:rsid w:val="00561F00"/>
    <w:rsid w:val="00562C4E"/>
    <w:rsid w:val="00562DEC"/>
    <w:rsid w:val="00573343"/>
    <w:rsid w:val="00576AB4"/>
    <w:rsid w:val="00577917"/>
    <w:rsid w:val="0058048A"/>
    <w:rsid w:val="00590667"/>
    <w:rsid w:val="005969E2"/>
    <w:rsid w:val="005A1689"/>
    <w:rsid w:val="005B61CD"/>
    <w:rsid w:val="005D1D58"/>
    <w:rsid w:val="005D432C"/>
    <w:rsid w:val="005E285E"/>
    <w:rsid w:val="005E72F8"/>
    <w:rsid w:val="005F0579"/>
    <w:rsid w:val="005F3A53"/>
    <w:rsid w:val="005F7AA2"/>
    <w:rsid w:val="006062A3"/>
    <w:rsid w:val="00610E08"/>
    <w:rsid w:val="006140BF"/>
    <w:rsid w:val="006161BE"/>
    <w:rsid w:val="00620787"/>
    <w:rsid w:val="00632434"/>
    <w:rsid w:val="0063478F"/>
    <w:rsid w:val="00644256"/>
    <w:rsid w:val="00661D6F"/>
    <w:rsid w:val="0066218F"/>
    <w:rsid w:val="006628E9"/>
    <w:rsid w:val="0066725E"/>
    <w:rsid w:val="006716C7"/>
    <w:rsid w:val="00681208"/>
    <w:rsid w:val="00681FA9"/>
    <w:rsid w:val="00691EA9"/>
    <w:rsid w:val="006934D4"/>
    <w:rsid w:val="006A6DC3"/>
    <w:rsid w:val="006B6BF5"/>
    <w:rsid w:val="006D49ED"/>
    <w:rsid w:val="006D55CE"/>
    <w:rsid w:val="006D637A"/>
    <w:rsid w:val="006D6F24"/>
    <w:rsid w:val="006E646E"/>
    <w:rsid w:val="006F0F95"/>
    <w:rsid w:val="006F45BF"/>
    <w:rsid w:val="006F46D0"/>
    <w:rsid w:val="006F60E0"/>
    <w:rsid w:val="00702F71"/>
    <w:rsid w:val="007366DF"/>
    <w:rsid w:val="00757839"/>
    <w:rsid w:val="00770C81"/>
    <w:rsid w:val="00776249"/>
    <w:rsid w:val="00791024"/>
    <w:rsid w:val="00793F0A"/>
    <w:rsid w:val="007A2657"/>
    <w:rsid w:val="007A30A6"/>
    <w:rsid w:val="007C682C"/>
    <w:rsid w:val="007D2385"/>
    <w:rsid w:val="007D5DE2"/>
    <w:rsid w:val="007E67E5"/>
    <w:rsid w:val="007F214F"/>
    <w:rsid w:val="00800069"/>
    <w:rsid w:val="008042F0"/>
    <w:rsid w:val="008307F2"/>
    <w:rsid w:val="008310A0"/>
    <w:rsid w:val="00835D29"/>
    <w:rsid w:val="00842E7F"/>
    <w:rsid w:val="00846697"/>
    <w:rsid w:val="008468AC"/>
    <w:rsid w:val="00852933"/>
    <w:rsid w:val="008566E5"/>
    <w:rsid w:val="008566FE"/>
    <w:rsid w:val="00865B46"/>
    <w:rsid w:val="0087481D"/>
    <w:rsid w:val="00896134"/>
    <w:rsid w:val="00896EFF"/>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364AB"/>
    <w:rsid w:val="009433C5"/>
    <w:rsid w:val="00965881"/>
    <w:rsid w:val="00982C4F"/>
    <w:rsid w:val="009871FF"/>
    <w:rsid w:val="00990799"/>
    <w:rsid w:val="00995D51"/>
    <w:rsid w:val="009A0631"/>
    <w:rsid w:val="009A7132"/>
    <w:rsid w:val="009B045D"/>
    <w:rsid w:val="009B10ED"/>
    <w:rsid w:val="009D3EA4"/>
    <w:rsid w:val="009D649C"/>
    <w:rsid w:val="009E4BC1"/>
    <w:rsid w:val="009F5CB2"/>
    <w:rsid w:val="00A03BB8"/>
    <w:rsid w:val="00A16E98"/>
    <w:rsid w:val="00A32D4B"/>
    <w:rsid w:val="00A3505D"/>
    <w:rsid w:val="00A4036F"/>
    <w:rsid w:val="00A406E5"/>
    <w:rsid w:val="00A423D0"/>
    <w:rsid w:val="00A4641C"/>
    <w:rsid w:val="00A55876"/>
    <w:rsid w:val="00A67FB1"/>
    <w:rsid w:val="00A70194"/>
    <w:rsid w:val="00A85BFE"/>
    <w:rsid w:val="00AA51B9"/>
    <w:rsid w:val="00AB6FE7"/>
    <w:rsid w:val="00AB7AD7"/>
    <w:rsid w:val="00AD2430"/>
    <w:rsid w:val="00AE41A6"/>
    <w:rsid w:val="00AF0E34"/>
    <w:rsid w:val="00AF271D"/>
    <w:rsid w:val="00AF56C2"/>
    <w:rsid w:val="00B004E6"/>
    <w:rsid w:val="00B0744D"/>
    <w:rsid w:val="00B3291F"/>
    <w:rsid w:val="00B34CDA"/>
    <w:rsid w:val="00B50EA8"/>
    <w:rsid w:val="00B64082"/>
    <w:rsid w:val="00B72325"/>
    <w:rsid w:val="00B81AA1"/>
    <w:rsid w:val="00B81AD3"/>
    <w:rsid w:val="00B829D8"/>
    <w:rsid w:val="00B84B5B"/>
    <w:rsid w:val="00B86446"/>
    <w:rsid w:val="00BA1176"/>
    <w:rsid w:val="00BE0B01"/>
    <w:rsid w:val="00BE79C7"/>
    <w:rsid w:val="00BF3CB5"/>
    <w:rsid w:val="00C01A3F"/>
    <w:rsid w:val="00C073F1"/>
    <w:rsid w:val="00C1285B"/>
    <w:rsid w:val="00C1361B"/>
    <w:rsid w:val="00C14E1F"/>
    <w:rsid w:val="00C21314"/>
    <w:rsid w:val="00C315AF"/>
    <w:rsid w:val="00C36D9A"/>
    <w:rsid w:val="00C36EF7"/>
    <w:rsid w:val="00C44A72"/>
    <w:rsid w:val="00C61FC2"/>
    <w:rsid w:val="00C705F9"/>
    <w:rsid w:val="00C80F0F"/>
    <w:rsid w:val="00C8667A"/>
    <w:rsid w:val="00C93BCB"/>
    <w:rsid w:val="00C971DD"/>
    <w:rsid w:val="00CC241A"/>
    <w:rsid w:val="00CE4035"/>
    <w:rsid w:val="00CE65AB"/>
    <w:rsid w:val="00CE77EC"/>
    <w:rsid w:val="00CF4266"/>
    <w:rsid w:val="00D02EAD"/>
    <w:rsid w:val="00D17287"/>
    <w:rsid w:val="00D22D9C"/>
    <w:rsid w:val="00D241F1"/>
    <w:rsid w:val="00D25BA3"/>
    <w:rsid w:val="00D275CB"/>
    <w:rsid w:val="00D30DFA"/>
    <w:rsid w:val="00D463A5"/>
    <w:rsid w:val="00D4710D"/>
    <w:rsid w:val="00D47D25"/>
    <w:rsid w:val="00D62ACD"/>
    <w:rsid w:val="00D9224A"/>
    <w:rsid w:val="00DA2185"/>
    <w:rsid w:val="00DA36EE"/>
    <w:rsid w:val="00DB116D"/>
    <w:rsid w:val="00DD17CC"/>
    <w:rsid w:val="00DE217A"/>
    <w:rsid w:val="00DE67C2"/>
    <w:rsid w:val="00DF321B"/>
    <w:rsid w:val="00DF55EA"/>
    <w:rsid w:val="00E230E0"/>
    <w:rsid w:val="00E27F15"/>
    <w:rsid w:val="00E51AAC"/>
    <w:rsid w:val="00E66CC0"/>
    <w:rsid w:val="00E728A9"/>
    <w:rsid w:val="00E807D9"/>
    <w:rsid w:val="00EA0F4E"/>
    <w:rsid w:val="00EA295B"/>
    <w:rsid w:val="00EA3B9B"/>
    <w:rsid w:val="00EA6801"/>
    <w:rsid w:val="00EA75D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0D61"/>
    <w:rsid w:val="00F61A20"/>
    <w:rsid w:val="00F63DD9"/>
    <w:rsid w:val="00F67644"/>
    <w:rsid w:val="00F8381F"/>
    <w:rsid w:val="00F847F3"/>
    <w:rsid w:val="00FA04CD"/>
    <w:rsid w:val="00FA132B"/>
    <w:rsid w:val="00FA25F5"/>
    <w:rsid w:val="00FA2810"/>
    <w:rsid w:val="00FA68F8"/>
    <w:rsid w:val="00FB1B5F"/>
    <w:rsid w:val="00FB1DC0"/>
    <w:rsid w:val="00FB3B4E"/>
    <w:rsid w:val="00FB4521"/>
    <w:rsid w:val="00FB4F84"/>
    <w:rsid w:val="00FB53B9"/>
    <w:rsid w:val="00FB5CF8"/>
    <w:rsid w:val="00FE28DC"/>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B00FFE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8307F2"/>
    <w:rPr>
      <w:rFonts w:asciiTheme="minorHAnsi" w:eastAsiaTheme="minorEastAsia" w:hAnsiTheme="minorHAnsi" w:cstheme="minorBidi"/>
      <w:sz w:val="22"/>
      <w:szCs w:val="22"/>
      <w:lang w:eastAsia="zh-CN"/>
    </w:rPr>
  </w:style>
  <w:style w:type="character" w:styleId="UnresolvedMention">
    <w:name w:val="Unresolved Mention"/>
    <w:basedOn w:val="DefaultParagraphFont"/>
    <w:uiPriority w:val="99"/>
    <w:semiHidden/>
    <w:unhideWhenUsed/>
    <w:rsid w:val="00A701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3259506">
      <w:bodyDiv w:val="1"/>
      <w:marLeft w:val="0"/>
      <w:marRight w:val="0"/>
      <w:marTop w:val="0"/>
      <w:marBottom w:val="0"/>
      <w:divBdr>
        <w:top w:val="none" w:sz="0" w:space="0" w:color="auto"/>
        <w:left w:val="none" w:sz="0" w:space="0" w:color="auto"/>
        <w:bottom w:val="none" w:sz="0" w:space="0" w:color="auto"/>
        <w:right w:val="none" w:sz="0" w:space="0" w:color="auto"/>
      </w:divBdr>
    </w:div>
    <w:div w:id="13215002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0419948">
      <w:bodyDiv w:val="1"/>
      <w:marLeft w:val="0"/>
      <w:marRight w:val="0"/>
      <w:marTop w:val="0"/>
      <w:marBottom w:val="0"/>
      <w:divBdr>
        <w:top w:val="none" w:sz="0" w:space="0" w:color="auto"/>
        <w:left w:val="none" w:sz="0" w:space="0" w:color="auto"/>
        <w:bottom w:val="none" w:sz="0" w:space="0" w:color="auto"/>
        <w:right w:val="none" w:sz="0" w:space="0" w:color="auto"/>
      </w:divBdr>
    </w:div>
    <w:div w:id="2010520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397db36009e4fc205c46803ff36fef3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62f4b7fb1db907fcb6fbdd3f7ed1db91"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D058D5-185C-47D8-AAA7-74FA9C4F9360}">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291C3597-9718-4CBE-85FB-8F4AEA96661A}">
  <ds:schemaRefs>
    <ds:schemaRef ds:uri="http://schemas.microsoft.com/sharepoint/v3/contenttype/forms"/>
  </ds:schemaRefs>
</ds:datastoreItem>
</file>

<file path=customXml/itemProps3.xml><?xml version="1.0" encoding="utf-8"?>
<ds:datastoreItem xmlns:ds="http://schemas.openxmlformats.org/officeDocument/2006/customXml" ds:itemID="{3578B7DB-358A-4464-8B97-B9F8341CD4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1482</TotalTime>
  <Pages>5</Pages>
  <Words>1750</Words>
  <Characters>9976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11703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 Sohail</cp:lastModifiedBy>
  <cp:revision>8</cp:revision>
  <cp:lastPrinted>2014-10-10T07:42:00Z</cp:lastPrinted>
  <dcterms:created xsi:type="dcterms:W3CDTF">2024-01-04T10:55:00Z</dcterms:created>
  <dcterms:modified xsi:type="dcterms:W3CDTF">2024-01-05T21:40:00Z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0x010100A20804DBFC42F64693D899720BA9B0FE</vt:lpwstr>
  </property>
</Properties>
</file>