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C6637" w14:textId="77777777" w:rsidR="006D39DB" w:rsidRDefault="006D39DB" w:rsidP="00FD0DE4">
      <w:pPr>
        <w:pStyle w:val="Heading1"/>
        <w:spacing w:before="0" w:after="0" w:line="480" w:lineRule="auto"/>
        <w:jc w:val="center"/>
        <w:rPr>
          <w:rFonts w:ascii="Times New Roman" w:hAnsi="Times New Roman" w:cs="Times New Roman"/>
          <w:color w:val="000000" w:themeColor="text1"/>
          <w:sz w:val="24"/>
          <w:szCs w:val="24"/>
        </w:rPr>
      </w:pPr>
    </w:p>
    <w:p w14:paraId="7C3E3B7A" w14:textId="77777777" w:rsidR="006D39DB" w:rsidRDefault="006D39DB" w:rsidP="00FD0DE4">
      <w:pPr>
        <w:pStyle w:val="Heading1"/>
        <w:spacing w:before="0" w:after="0" w:line="480" w:lineRule="auto"/>
        <w:jc w:val="center"/>
        <w:rPr>
          <w:rFonts w:ascii="Times New Roman" w:hAnsi="Times New Roman" w:cs="Times New Roman"/>
          <w:color w:val="000000" w:themeColor="text1"/>
          <w:sz w:val="24"/>
          <w:szCs w:val="24"/>
        </w:rPr>
      </w:pPr>
    </w:p>
    <w:p w14:paraId="1A40C7F8" w14:textId="77777777" w:rsidR="006D39DB" w:rsidRDefault="006D39DB" w:rsidP="00FD0DE4">
      <w:pPr>
        <w:pStyle w:val="Heading1"/>
        <w:spacing w:before="0" w:after="0" w:line="480" w:lineRule="auto"/>
        <w:jc w:val="center"/>
        <w:rPr>
          <w:rFonts w:ascii="Times New Roman" w:hAnsi="Times New Roman" w:cs="Times New Roman"/>
          <w:color w:val="000000" w:themeColor="text1"/>
          <w:sz w:val="24"/>
          <w:szCs w:val="24"/>
        </w:rPr>
      </w:pPr>
    </w:p>
    <w:p w14:paraId="4CE36E8E" w14:textId="77777777" w:rsidR="006D39DB" w:rsidRDefault="006D39DB" w:rsidP="00FD0DE4">
      <w:pPr>
        <w:pStyle w:val="Heading1"/>
        <w:spacing w:before="0" w:after="0" w:line="480" w:lineRule="auto"/>
        <w:jc w:val="center"/>
        <w:rPr>
          <w:rFonts w:ascii="Times New Roman" w:hAnsi="Times New Roman" w:cs="Times New Roman"/>
          <w:color w:val="000000" w:themeColor="text1"/>
          <w:sz w:val="24"/>
          <w:szCs w:val="24"/>
        </w:rPr>
      </w:pPr>
    </w:p>
    <w:p w14:paraId="390F8CB4" w14:textId="42442F9D" w:rsidR="00B2555E" w:rsidRDefault="00B2555E" w:rsidP="00FD0DE4">
      <w:pPr>
        <w:pStyle w:val="Heading1"/>
        <w:spacing w:before="0" w:after="0" w:line="480" w:lineRule="auto"/>
        <w:jc w:val="center"/>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Graduate AI Strategist: Job Description and Person Specification</w:t>
      </w:r>
    </w:p>
    <w:p w14:paraId="4918B5D8" w14:textId="77777777" w:rsidR="006D39DB" w:rsidRPr="006D39DB" w:rsidRDefault="006D39DB"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PRINCIPLES OF HUMAN RESOURCE MANAGEMENT</w:t>
      </w:r>
    </w:p>
    <w:p w14:paraId="5404EF44" w14:textId="77777777" w:rsidR="006D39DB" w:rsidRPr="006D39DB" w:rsidRDefault="006D39DB"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LECTURER'S NAME - ERIC OSEI</w:t>
      </w:r>
    </w:p>
    <w:p w14:paraId="5C5BEEB3" w14:textId="77777777" w:rsidR="006D39DB" w:rsidRPr="006D39DB" w:rsidRDefault="006D39DB"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MODULE CODE-LCBB5012</w:t>
      </w:r>
    </w:p>
    <w:p w14:paraId="4DE1318D" w14:textId="77777777" w:rsidR="006D39DB" w:rsidRPr="006D39DB" w:rsidRDefault="006D39DB"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COMPONENT 1</w:t>
      </w:r>
    </w:p>
    <w:p w14:paraId="430E20F6" w14:textId="6A37C1AD" w:rsidR="00FD0DE4" w:rsidRPr="006D39DB" w:rsidRDefault="006D39DB"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 xml:space="preserve">STUDENT NAME: </w:t>
      </w:r>
      <w:r w:rsidR="00FD0DE4" w:rsidRPr="006D39DB">
        <w:rPr>
          <w:rFonts w:ascii="Times New Roman" w:hAnsi="Times New Roman" w:cs="Times New Roman"/>
          <w:sz w:val="24"/>
          <w:szCs w:val="24"/>
        </w:rPr>
        <w:t>MERECAN STEFAN</w:t>
      </w:r>
    </w:p>
    <w:p w14:paraId="095278F7" w14:textId="7F7DB4AD" w:rsidR="006D39DB" w:rsidRDefault="00FD0DE4" w:rsidP="006D39DB">
      <w:pPr>
        <w:spacing w:line="480" w:lineRule="auto"/>
        <w:jc w:val="center"/>
        <w:rPr>
          <w:rFonts w:ascii="Times New Roman" w:hAnsi="Times New Roman" w:cs="Times New Roman"/>
          <w:sz w:val="24"/>
          <w:szCs w:val="24"/>
        </w:rPr>
      </w:pPr>
      <w:r w:rsidRPr="006D39DB">
        <w:rPr>
          <w:rFonts w:ascii="Times New Roman" w:hAnsi="Times New Roman" w:cs="Times New Roman"/>
          <w:sz w:val="24"/>
          <w:szCs w:val="24"/>
        </w:rPr>
        <w:t>ID: 2325936</w:t>
      </w:r>
    </w:p>
    <w:p w14:paraId="148943F1" w14:textId="77777777" w:rsidR="006D39DB" w:rsidRDefault="006D39DB">
      <w:pPr>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0813ED27" w14:textId="77777777" w:rsidR="00FD0DE4" w:rsidRPr="006D39DB" w:rsidRDefault="00FD0DE4" w:rsidP="006D39DB">
      <w:pPr>
        <w:spacing w:line="480" w:lineRule="auto"/>
        <w:jc w:val="center"/>
        <w:rPr>
          <w:rFonts w:ascii="Times New Roman" w:hAnsi="Times New Roman" w:cs="Times New Roman"/>
          <w:sz w:val="24"/>
          <w:szCs w:val="24"/>
        </w:rPr>
      </w:pPr>
    </w:p>
    <w:p w14:paraId="2495A6D7" w14:textId="77777777" w:rsidR="00B2555E" w:rsidRPr="00885BD9" w:rsidRDefault="00B2555E" w:rsidP="00885BD9">
      <w:pPr>
        <w:pStyle w:val="Heading1"/>
        <w:spacing w:before="0"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1. Job Description</w:t>
      </w:r>
    </w:p>
    <w:p w14:paraId="3C18DDA8" w14:textId="0FAA5164" w:rsidR="00B2555E" w:rsidRPr="00885BD9" w:rsidRDefault="00B2555E" w:rsidP="00885BD9">
      <w:pPr>
        <w:spacing w:line="480" w:lineRule="auto"/>
        <w:ind w:firstLine="720"/>
        <w:jc w:val="both"/>
        <w:rPr>
          <w:rFonts w:ascii="Times New Roman" w:hAnsi="Times New Roman" w:cs="Times New Roman"/>
          <w:sz w:val="24"/>
          <w:szCs w:val="28"/>
        </w:rPr>
      </w:pPr>
      <w:r w:rsidRPr="00885BD9">
        <w:rPr>
          <w:rFonts w:ascii="Times New Roman" w:hAnsi="Times New Roman" w:cs="Times New Roman"/>
          <w:sz w:val="24"/>
          <w:szCs w:val="28"/>
        </w:rPr>
        <w:t>The paper below will give a proposed position on the assessment simulation at the UWTSD. Not a vacancy as such. Examples of recruitment choices and not guaranteed university contracts are the salary, the contract term, the work pattern, reporting</w:t>
      </w:r>
      <w:r w:rsidR="00885BD9" w:rsidRPr="00885BD9">
        <w:rPr>
          <w:rFonts w:ascii="Times New Roman" w:hAnsi="Times New Roman" w:cs="Times New Roman"/>
          <w:sz w:val="24"/>
          <w:szCs w:val="28"/>
        </w:rPr>
        <w:t>, and performance</w:t>
      </w:r>
      <w:r w:rsidRPr="00885BD9">
        <w:rPr>
          <w:rFonts w:ascii="Times New Roman" w:hAnsi="Times New Roman" w:cs="Times New Roman"/>
          <w:sz w:val="24"/>
          <w:szCs w:val="28"/>
        </w:rPr>
        <w:t xml:space="preserve"> targets. (Chan, 2023; Levashina et al., 2014)</w:t>
      </w:r>
      <w:r w:rsidR="00885BD9" w:rsidRPr="00885BD9">
        <w:rPr>
          <w:rFonts w:ascii="Times New Roman" w:hAnsi="Times New Roman" w:cs="Times New Roman"/>
          <w:sz w:val="24"/>
          <w:szCs w:val="28"/>
        </w:rPr>
        <w:t>.</w:t>
      </w:r>
    </w:p>
    <w:p w14:paraId="36F05D72" w14:textId="67C999A9"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Position Details</w:t>
      </w:r>
    </w:p>
    <w:tbl>
      <w:tblPr>
        <w:tblStyle w:val="TableGridLight"/>
        <w:tblW w:w="10196" w:type="dxa"/>
        <w:tblLayout w:type="fixed"/>
        <w:tblLook w:val="04A0" w:firstRow="1" w:lastRow="0" w:firstColumn="1" w:lastColumn="0" w:noHBand="0" w:noVBand="1"/>
      </w:tblPr>
      <w:tblGrid>
        <w:gridCol w:w="4129"/>
        <w:gridCol w:w="6067"/>
      </w:tblGrid>
      <w:tr w:rsidR="00B2555E" w:rsidRPr="00885BD9" w14:paraId="10FB3D1C" w14:textId="77777777" w:rsidTr="00885BD9">
        <w:trPr>
          <w:trHeight w:val="555"/>
        </w:trPr>
        <w:tc>
          <w:tcPr>
            <w:tcW w:w="4129" w:type="dxa"/>
          </w:tcPr>
          <w:p w14:paraId="3E3DA90B"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Field</w:t>
            </w:r>
          </w:p>
        </w:tc>
        <w:tc>
          <w:tcPr>
            <w:tcW w:w="6067" w:type="dxa"/>
          </w:tcPr>
          <w:p w14:paraId="5E8AE189"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Proposed appointment details</w:t>
            </w:r>
          </w:p>
        </w:tc>
      </w:tr>
      <w:tr w:rsidR="00B2555E" w:rsidRPr="00885BD9" w14:paraId="23E6372D" w14:textId="77777777" w:rsidTr="00885BD9">
        <w:trPr>
          <w:trHeight w:val="555"/>
        </w:trPr>
        <w:tc>
          <w:tcPr>
            <w:tcW w:w="4129" w:type="dxa"/>
          </w:tcPr>
          <w:p w14:paraId="116403B6"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Job title</w:t>
            </w:r>
          </w:p>
        </w:tc>
        <w:tc>
          <w:tcPr>
            <w:tcW w:w="6067" w:type="dxa"/>
          </w:tcPr>
          <w:p w14:paraId="44EF1ADC" w14:textId="08A158ED"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Graduate AI Strategist</w:t>
            </w:r>
          </w:p>
        </w:tc>
      </w:tr>
      <w:tr w:rsidR="00B2555E" w:rsidRPr="00885BD9" w14:paraId="42414458" w14:textId="77777777" w:rsidTr="00885BD9">
        <w:trPr>
          <w:trHeight w:val="565"/>
        </w:trPr>
        <w:tc>
          <w:tcPr>
            <w:tcW w:w="4129" w:type="dxa"/>
          </w:tcPr>
          <w:p w14:paraId="51DF773D"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Employer</w:t>
            </w:r>
          </w:p>
        </w:tc>
        <w:tc>
          <w:tcPr>
            <w:tcW w:w="6067" w:type="dxa"/>
          </w:tcPr>
          <w:p w14:paraId="04EE3A5A" w14:textId="322618AD"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University of Wales Trinity Saint David (UWTSD)</w:t>
            </w:r>
          </w:p>
        </w:tc>
      </w:tr>
      <w:tr w:rsidR="00B2555E" w:rsidRPr="00885BD9" w14:paraId="170EFC58" w14:textId="77777777" w:rsidTr="00885BD9">
        <w:trPr>
          <w:trHeight w:val="555"/>
        </w:trPr>
        <w:tc>
          <w:tcPr>
            <w:tcW w:w="4129" w:type="dxa"/>
          </w:tcPr>
          <w:p w14:paraId="5CE7BFE8"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Location of work</w:t>
            </w:r>
          </w:p>
        </w:tc>
        <w:tc>
          <w:tcPr>
            <w:tcW w:w="6067" w:type="dxa"/>
          </w:tcPr>
          <w:p w14:paraId="41B9FC40" w14:textId="2089FFE3"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Swansea, (Wales) campus, by collaborating with UWTSD locations.</w:t>
            </w:r>
          </w:p>
        </w:tc>
      </w:tr>
      <w:tr w:rsidR="00B2555E" w:rsidRPr="00885BD9" w14:paraId="0C2C0306" w14:textId="77777777" w:rsidTr="00885BD9">
        <w:trPr>
          <w:trHeight w:val="1111"/>
        </w:trPr>
        <w:tc>
          <w:tcPr>
            <w:tcW w:w="4129" w:type="dxa"/>
          </w:tcPr>
          <w:p w14:paraId="34F36E52"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Nature of work</w:t>
            </w:r>
          </w:p>
        </w:tc>
        <w:tc>
          <w:tcPr>
            <w:tcW w:w="6067" w:type="dxa"/>
          </w:tcPr>
          <w:p w14:paraId="79DC1C06" w14:textId="1DEBE7CE"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Full remote and 3 campuses a week: 2 days remote and 3 days campuses.</w:t>
            </w:r>
          </w:p>
        </w:tc>
      </w:tr>
      <w:tr w:rsidR="00B2555E" w:rsidRPr="00885BD9" w14:paraId="789CC1BA" w14:textId="77777777" w:rsidTr="00885BD9">
        <w:trPr>
          <w:trHeight w:val="555"/>
        </w:trPr>
        <w:tc>
          <w:tcPr>
            <w:tcW w:w="4129" w:type="dxa"/>
          </w:tcPr>
          <w:p w14:paraId="0F7CC5F0"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Working hours</w:t>
            </w:r>
          </w:p>
        </w:tc>
        <w:tc>
          <w:tcPr>
            <w:tcW w:w="6067" w:type="dxa"/>
          </w:tcPr>
          <w:p w14:paraId="40C249FA" w14:textId="740B6455"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37 hours a week; the time of workshops and events is mobile.</w:t>
            </w:r>
          </w:p>
        </w:tc>
      </w:tr>
      <w:tr w:rsidR="00B2555E" w:rsidRPr="00885BD9" w14:paraId="512919F7" w14:textId="77777777" w:rsidTr="00885BD9">
        <w:trPr>
          <w:trHeight w:val="1121"/>
        </w:trPr>
        <w:tc>
          <w:tcPr>
            <w:tcW w:w="4129" w:type="dxa"/>
          </w:tcPr>
          <w:p w14:paraId="30C0E878"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Salary</w:t>
            </w:r>
          </w:p>
        </w:tc>
        <w:tc>
          <w:tcPr>
            <w:tcW w:w="6067" w:type="dxa"/>
          </w:tcPr>
          <w:p w14:paraId="73A30CA5" w14:textId="66852CA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 typical example is 32000 -38000/year (which varies according to the grading in a university).</w:t>
            </w:r>
          </w:p>
        </w:tc>
      </w:tr>
      <w:tr w:rsidR="00B2555E" w:rsidRPr="00885BD9" w14:paraId="06876073" w14:textId="77777777" w:rsidTr="00885BD9">
        <w:trPr>
          <w:trHeight w:val="555"/>
        </w:trPr>
        <w:tc>
          <w:tcPr>
            <w:tcW w:w="4129" w:type="dxa"/>
          </w:tcPr>
          <w:p w14:paraId="30D5F4AB"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Contract</w:t>
            </w:r>
          </w:p>
        </w:tc>
        <w:tc>
          <w:tcPr>
            <w:tcW w:w="6067" w:type="dxa"/>
          </w:tcPr>
          <w:p w14:paraId="1B181918" w14:textId="3B7335CC"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Agreeing to 202627 12 months, full-time, nonrenewable.</w:t>
            </w:r>
          </w:p>
        </w:tc>
      </w:tr>
      <w:tr w:rsidR="00B2555E" w:rsidRPr="00885BD9" w14:paraId="0DFC0F8D" w14:textId="77777777" w:rsidTr="00885BD9">
        <w:trPr>
          <w:trHeight w:val="555"/>
        </w:trPr>
        <w:tc>
          <w:tcPr>
            <w:tcW w:w="4129" w:type="dxa"/>
          </w:tcPr>
          <w:p w14:paraId="128BCE22"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Reporting line</w:t>
            </w:r>
          </w:p>
        </w:tc>
        <w:tc>
          <w:tcPr>
            <w:tcW w:w="6067" w:type="dxa"/>
          </w:tcPr>
          <w:p w14:paraId="186FA43A" w14:textId="2F0A9F02"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Certain elderly learning-and-teaching manager (proposed).</w:t>
            </w:r>
          </w:p>
        </w:tc>
      </w:tr>
      <w:tr w:rsidR="00B2555E" w:rsidRPr="00885BD9" w14:paraId="562EA495" w14:textId="77777777" w:rsidTr="00885BD9">
        <w:trPr>
          <w:trHeight w:val="1676"/>
        </w:trPr>
        <w:tc>
          <w:tcPr>
            <w:tcW w:w="4129" w:type="dxa"/>
          </w:tcPr>
          <w:p w14:paraId="19ED5CD5"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Key contacts</w:t>
            </w:r>
          </w:p>
        </w:tc>
        <w:tc>
          <w:tcPr>
            <w:tcW w:w="6067" w:type="dxa"/>
          </w:tcPr>
          <w:p w14:paraId="420F0B3B" w14:textId="46FFD71C"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Departments include academic employees, students, academic development, library, learner support, careers, IT and data protection departments.</w:t>
            </w:r>
          </w:p>
        </w:tc>
      </w:tr>
    </w:tbl>
    <w:p w14:paraId="5F8F8983" w14:textId="77777777" w:rsidR="006D39DB" w:rsidRDefault="006D39DB" w:rsidP="00885BD9">
      <w:pPr>
        <w:pStyle w:val="Heading2"/>
        <w:spacing w:before="0" w:line="480" w:lineRule="auto"/>
        <w:jc w:val="both"/>
        <w:rPr>
          <w:rFonts w:ascii="Times New Roman" w:hAnsi="Times New Roman" w:cs="Times New Roman"/>
          <w:color w:val="000000" w:themeColor="text1"/>
          <w:sz w:val="24"/>
          <w:szCs w:val="24"/>
        </w:rPr>
      </w:pPr>
    </w:p>
    <w:p w14:paraId="7F094D5F" w14:textId="77777777" w:rsidR="006D39DB" w:rsidRDefault="006D39DB">
      <w:pPr>
        <w:spacing w:after="160" w:line="278" w:lineRule="auto"/>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566CD346" w14:textId="209B4095"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lastRenderedPageBreak/>
        <w:t>Role Purpose</w:t>
      </w:r>
    </w:p>
    <w:p w14:paraId="11E5BBD5" w14:textId="77777777" w:rsidR="00B2555E" w:rsidRPr="00885BD9" w:rsidRDefault="00B2555E"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Graduate AI Strategist will guide the UWTSD students to make wise ethical and effective choices regarding artificial intelligence within their courses, and their future employment. The job is a combination of the education of students and the development of staff and the coordination of the university-level. AI literacy focuses on learning the systems, using the system, and subjectively criticizing the results, reflecting on the ethics, rather than having the knowledge on how to write the prompt (Ng et al., 2021; Chan, 2023).</w:t>
      </w:r>
    </w:p>
    <w:p w14:paraId="0DFE7D57" w14:textId="30A6F0E1" w:rsidR="00B2555E" w:rsidRPr="00885BD9" w:rsidRDefault="00B2555E"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The appointee will create accessible training on several subject areas, explain what generative AI is capable of and cannot accomplish and assist the staff in deciding what constitutes as support of learning and what constitutes an unacceptable substitution of student learning. </w:t>
      </w:r>
      <w:r w:rsidR="003B01FA" w:rsidRPr="003B01FA">
        <w:rPr>
          <w:rFonts w:ascii="Times New Roman" w:hAnsi="Times New Roman" w:cs="Times New Roman"/>
          <w:color w:val="000000" w:themeColor="text1"/>
          <w:sz w:val="24"/>
          <w:szCs w:val="24"/>
        </w:rPr>
        <w:t xml:space="preserve">Recognizing the potential of generative AI to generate realistic yet fabricated content, the stance will incorporate avenues for verification, natural usage, information protection and human oversight of content (Tlili et al., 2023; Cotton et al., 2024). </w:t>
      </w:r>
      <w:r w:rsidR="003B01FA">
        <w:rPr>
          <w:rFonts w:ascii="Times New Roman" w:hAnsi="Times New Roman" w:cs="Times New Roman"/>
          <w:color w:val="000000" w:themeColor="text1"/>
          <w:sz w:val="24"/>
          <w:szCs w:val="24"/>
        </w:rPr>
        <w:t xml:space="preserve"> </w:t>
      </w:r>
    </w:p>
    <w:p w14:paraId="771B2448" w14:textId="77777777"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Key Duties and Responsibilities</w:t>
      </w:r>
    </w:p>
    <w:p w14:paraId="04962F8E" w14:textId="7044E0E8"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1. Assess training needs. </w:t>
      </w:r>
      <w:r w:rsidR="003B01FA" w:rsidRPr="003B01FA">
        <w:rPr>
          <w:rFonts w:ascii="Times New Roman" w:hAnsi="Times New Roman" w:cs="Times New Roman"/>
          <w:color w:val="000000" w:themeColor="text1"/>
          <w:sz w:val="24"/>
          <w:szCs w:val="24"/>
        </w:rPr>
        <w:t xml:space="preserve">Conduct a first-time student and staff needs evaluation, analyze variations among programs and identify which barriers impact access, confidence and responsible usage. Don't go with self-reported confidence – treat it as incompetence </w:t>
      </w:r>
      <w:r w:rsidR="00885BD9" w:rsidRPr="00885BD9">
        <w:rPr>
          <w:rFonts w:ascii="Times New Roman" w:hAnsi="Times New Roman" w:cs="Times New Roman"/>
          <w:color w:val="000000" w:themeColor="text1"/>
          <w:sz w:val="24"/>
          <w:szCs w:val="24"/>
        </w:rPr>
        <w:t>(Ng et al., 2021; Lintner, 2024).</w:t>
      </w:r>
    </w:p>
    <w:p w14:paraId="29ABF1ED" w14:textId="68B5D57D"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2. Design student AI literacy training. </w:t>
      </w:r>
      <w:r w:rsidR="003B01FA" w:rsidRPr="003B01FA">
        <w:rPr>
          <w:rFonts w:ascii="Times New Roman" w:hAnsi="Times New Roman" w:cs="Times New Roman"/>
          <w:color w:val="000000" w:themeColor="text1"/>
          <w:sz w:val="24"/>
          <w:szCs w:val="24"/>
        </w:rPr>
        <w:t xml:space="preserve">Easy-to-use induction tools, mini-workshops, web-based courses, and discipline-based exercises that cover the concept behind AI, being able to see the outcome, judgment, citing, or “go.” and self-reflection evaluation. Identify practical and knowledge </w:t>
      </w:r>
      <w:r w:rsidR="00885BD9" w:rsidRPr="00885BD9">
        <w:rPr>
          <w:rFonts w:ascii="Times New Roman" w:hAnsi="Times New Roman" w:cs="Times New Roman"/>
          <w:color w:val="000000" w:themeColor="text1"/>
          <w:sz w:val="24"/>
          <w:szCs w:val="24"/>
        </w:rPr>
        <w:t>(Ng et al., 2021; Chan, 2023).</w:t>
      </w:r>
    </w:p>
    <w:p w14:paraId="53D83D43" w14:textId="1198195B"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3. Support academic integrity. </w:t>
      </w:r>
      <w:r w:rsidR="00885BD9" w:rsidRPr="00885BD9">
        <w:rPr>
          <w:rFonts w:ascii="Times New Roman" w:hAnsi="Times New Roman" w:cs="Times New Roman"/>
          <w:color w:val="000000" w:themeColor="text1"/>
          <w:sz w:val="24"/>
          <w:szCs w:val="24"/>
        </w:rPr>
        <w:t xml:space="preserve">Work with academics to produce best practice examples of what can and cannot be included in AI assistance, student disclosure advice and assessment </w:t>
      </w:r>
      <w:r w:rsidR="00885BD9" w:rsidRPr="00885BD9">
        <w:rPr>
          <w:rFonts w:ascii="Times New Roman" w:hAnsi="Times New Roman" w:cs="Times New Roman"/>
          <w:color w:val="000000" w:themeColor="text1"/>
          <w:sz w:val="24"/>
          <w:szCs w:val="24"/>
        </w:rPr>
        <w:lastRenderedPageBreak/>
        <w:t>advice that can be recognitive of independent thinking. Never take the outcomes of AI detection as a definitive sign of abuse (Cotton et al., 2024; Chan, 2023).</w:t>
      </w:r>
    </w:p>
    <w:p w14:paraId="75247509" w14:textId="7D5D19B9"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4. Prepare and support staff. </w:t>
      </w:r>
      <w:r w:rsidR="003B01FA" w:rsidRPr="003B01FA">
        <w:rPr>
          <w:rFonts w:ascii="Times New Roman" w:hAnsi="Times New Roman" w:cs="Times New Roman"/>
          <w:color w:val="000000" w:themeColor="text1"/>
          <w:sz w:val="24"/>
          <w:szCs w:val="24"/>
        </w:rPr>
        <w:t>Deliver trainings on AI support for lecturers and other professional-service employees regarding in-class experience, the restructuring of assessment, the identification of risks, and AI support itself. Facilitate/mediate support to work of employees and their current digital confidence level</w:t>
      </w:r>
      <w:r w:rsidR="00885BD9" w:rsidRPr="00885BD9">
        <w:rPr>
          <w:rFonts w:ascii="Times New Roman" w:hAnsi="Times New Roman" w:cs="Times New Roman"/>
          <w:color w:val="000000" w:themeColor="text1"/>
          <w:sz w:val="24"/>
          <w:szCs w:val="24"/>
        </w:rPr>
        <w:t xml:space="preserve"> (Celik et al., 2022; Chan, 2023).</w:t>
      </w:r>
    </w:p>
    <w:p w14:paraId="05AA5AD7" w14:textId="77777777"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5. Coordinate institutional readiness. </w:t>
      </w:r>
      <w:r w:rsidR="00885BD9" w:rsidRPr="00885BD9">
        <w:rPr>
          <w:rFonts w:ascii="Times New Roman" w:hAnsi="Times New Roman" w:cs="Times New Roman"/>
          <w:color w:val="000000" w:themeColor="text1"/>
          <w:sz w:val="24"/>
          <w:szCs w:val="24"/>
        </w:rPr>
        <w:t>Liaise with managers, IT, data protection individuals, the library, the learners' developers and careers advisers critically in coordinating work to ensure there is both harmony in communication, use of approved tools, safeguarding and support to the students. Enhance the outsourcing of purchases and privacy decision-making to efficient groups within the university rather than alone with technology (Chan, 2023).</w:t>
      </w:r>
    </w:p>
    <w:p w14:paraId="7ADB6401" w14:textId="77777777"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6. Promote equitable access. </w:t>
      </w:r>
      <w:r w:rsidR="00885BD9" w:rsidRPr="00885BD9">
        <w:rPr>
          <w:rFonts w:ascii="Times New Roman" w:hAnsi="Times New Roman" w:cs="Times New Roman"/>
          <w:color w:val="000000" w:themeColor="text1"/>
          <w:sz w:val="24"/>
          <w:szCs w:val="24"/>
        </w:rPr>
        <w:t>Provide alternatives and make alternatives more accessible where necessary, offer non-AI alternatives to the extent possible, and give non-paid, account-based training. Look at the potential impact of language, disability, confidence, as well as unequal access (Ng et al., 2021; Tlili et al., 2023).</w:t>
      </w:r>
    </w:p>
    <w:p w14:paraId="23388776" w14:textId="669197C1"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7. Improve graduate employability. </w:t>
      </w:r>
      <w:r w:rsidR="003B01FA" w:rsidRPr="003B01FA">
        <w:rPr>
          <w:rFonts w:ascii="Times New Roman" w:hAnsi="Times New Roman" w:cs="Times New Roman"/>
          <w:color w:val="000000" w:themeColor="text1"/>
          <w:sz w:val="24"/>
          <w:szCs w:val="24"/>
        </w:rPr>
        <w:t>Create exercises that are workplace-related with career personnel, including seeing AI-generated summaries, distinguishing between deceptive and non-deceptive content, and explaining the value of human judgment. Focus on responsible usage instead of assuming that every employer/position needs the same equipment</w:t>
      </w:r>
      <w:r w:rsidR="003B01FA">
        <w:rPr>
          <w:rFonts w:ascii="Times New Roman" w:hAnsi="Times New Roman" w:cs="Times New Roman"/>
          <w:color w:val="000000" w:themeColor="text1"/>
          <w:sz w:val="24"/>
          <w:szCs w:val="24"/>
        </w:rPr>
        <w:t xml:space="preserve"> </w:t>
      </w:r>
      <w:r w:rsidR="00885BD9" w:rsidRPr="00885BD9">
        <w:rPr>
          <w:rFonts w:ascii="Times New Roman" w:hAnsi="Times New Roman" w:cs="Times New Roman"/>
          <w:color w:val="000000" w:themeColor="text1"/>
          <w:sz w:val="24"/>
          <w:szCs w:val="24"/>
        </w:rPr>
        <w:t>(Tlili et al., 2023; Ng et al., 2021).</w:t>
      </w:r>
    </w:p>
    <w:p w14:paraId="676ABDD5" w14:textId="77777777" w:rsidR="00885BD9"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 xml:space="preserve">8. Monitor and report progress. </w:t>
      </w:r>
      <w:r w:rsidR="00885BD9" w:rsidRPr="00885BD9">
        <w:rPr>
          <w:rFonts w:ascii="Times New Roman" w:hAnsi="Times New Roman" w:cs="Times New Roman"/>
          <w:color w:val="000000" w:themeColor="text1"/>
          <w:sz w:val="24"/>
          <w:szCs w:val="24"/>
        </w:rPr>
        <w:t>Collect anonymous data and practical assessments, practical workshops, and rehearsed questions. Share outcomes of reports with the university sponsor and make changes to the materials with consideration of the experience of the students and the staff (Lintner, 2024; Chan, 2023).</w:t>
      </w:r>
    </w:p>
    <w:p w14:paraId="14C86ABD" w14:textId="77777777"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lastRenderedPageBreak/>
        <w:t>Initial Delivery Priorities for 2026–27</w:t>
      </w:r>
    </w:p>
    <w:p w14:paraId="12325EAC" w14:textId="001DA4D8" w:rsidR="00885BD9" w:rsidRPr="00885BD9" w:rsidRDefault="003B01FA" w:rsidP="00885BD9">
      <w:pPr>
        <w:spacing w:after="0" w:line="480" w:lineRule="auto"/>
        <w:ind w:firstLine="720"/>
        <w:jc w:val="both"/>
        <w:rPr>
          <w:rFonts w:ascii="Times New Roman" w:hAnsi="Times New Roman" w:cs="Times New Roman"/>
          <w:color w:val="000000" w:themeColor="text1"/>
          <w:sz w:val="24"/>
          <w:szCs w:val="24"/>
        </w:rPr>
      </w:pPr>
      <w:r w:rsidRPr="003B01FA">
        <w:rPr>
          <w:rFonts w:ascii="Times New Roman" w:hAnsi="Times New Roman" w:cs="Times New Roman"/>
          <w:color w:val="000000" w:themeColor="text1"/>
          <w:sz w:val="24"/>
          <w:szCs w:val="24"/>
        </w:rPr>
        <w:t>Within the first month, the student representatives and staff will be met with and a baseline and risk register mapped alongside departments that will be signing off on the support provided. This role will include a short piece of AI literacy (outline as first draft), employee workshops, and a common sense of direction document in the coming two months.</w:t>
      </w:r>
      <w:r>
        <w:rPr>
          <w:rFonts w:ascii="Times New Roman" w:hAnsi="Times New Roman" w:cs="Times New Roman"/>
          <w:color w:val="000000" w:themeColor="text1"/>
          <w:sz w:val="24"/>
          <w:szCs w:val="24"/>
        </w:rPr>
        <w:t xml:space="preserve"> </w:t>
      </w:r>
      <w:r w:rsidR="00885BD9" w:rsidRPr="00885BD9">
        <w:rPr>
          <w:rFonts w:ascii="Times New Roman" w:hAnsi="Times New Roman" w:cs="Times New Roman"/>
          <w:color w:val="000000" w:themeColor="text1"/>
          <w:sz w:val="24"/>
          <w:szCs w:val="24"/>
        </w:rPr>
        <w:t>At the end of the year, the strategist will up-scale successful activities and share a small internal assessment. This step-by-step strategy simplifies implementation without any presumption that one training session is all that is needed to address all academic or ethical issues (Chan, 2023; Celik et al., 2022).</w:t>
      </w:r>
    </w:p>
    <w:p w14:paraId="3166AC79" w14:textId="77777777" w:rsidR="00885BD9" w:rsidRPr="00885BD9" w:rsidRDefault="00885BD9"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The measures that have been proposed may involve: completion of the modules, brief scenario-based tasks, quality of disclosure decisions made by the students, and staff confidence in answering typical cases. A target of 80% participation in induction, where it is possible to access it, is an indicative target and is not a formal requirement of the university. Outcome measures must be treated with caution, as many AI literacy scales are not well-validated in different settings (Lintner, 2024).</w:t>
      </w:r>
    </w:p>
    <w:p w14:paraId="64E4179F" w14:textId="77777777" w:rsidR="00B2555E" w:rsidRPr="00885BD9" w:rsidRDefault="00B2555E" w:rsidP="00885BD9">
      <w:pPr>
        <w:pStyle w:val="Heading1"/>
        <w:spacing w:before="0"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2. Person Specification</w:t>
      </w:r>
    </w:p>
    <w:p w14:paraId="22E8DF39" w14:textId="5804B91C" w:rsidR="006D39DB" w:rsidRDefault="00885BD9"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The emphasis will be placed on proven entry-level performance, learning potential, judgment of ethics, and communication instead of solid industry experience of a graduate. There are important criteria that represent responsibilities that have to be fulfilled once, and effective criteria that outline skills that can be trained once the appointment is introduced. Systematic tests and frequent job-related data are helpful in making selection more legitimate (Levashina et al., 2014).</w:t>
      </w:r>
    </w:p>
    <w:p w14:paraId="483E528B" w14:textId="77777777" w:rsidR="006D39DB" w:rsidRDefault="006D39DB">
      <w:pPr>
        <w:spacing w:after="160" w:line="278"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CCE0E3C" w14:textId="77777777" w:rsidR="00885BD9" w:rsidRPr="00885BD9" w:rsidRDefault="00885BD9" w:rsidP="00885BD9">
      <w:pPr>
        <w:spacing w:after="0" w:line="480" w:lineRule="auto"/>
        <w:ind w:firstLine="720"/>
        <w:jc w:val="both"/>
        <w:rPr>
          <w:rFonts w:ascii="Times New Roman" w:hAnsi="Times New Roman" w:cs="Times New Roman"/>
          <w:color w:val="000000" w:themeColor="text1"/>
          <w:sz w:val="24"/>
          <w:szCs w:val="24"/>
        </w:rPr>
      </w:pPr>
    </w:p>
    <w:tbl>
      <w:tblPr>
        <w:tblStyle w:val="TableGridLight"/>
        <w:tblW w:w="10399" w:type="dxa"/>
        <w:tblLayout w:type="fixed"/>
        <w:tblLook w:val="04A0" w:firstRow="1" w:lastRow="0" w:firstColumn="1" w:lastColumn="0" w:noHBand="0" w:noVBand="1"/>
      </w:tblPr>
      <w:tblGrid>
        <w:gridCol w:w="2838"/>
        <w:gridCol w:w="4723"/>
        <w:gridCol w:w="2838"/>
      </w:tblGrid>
      <w:tr w:rsidR="00B2555E" w:rsidRPr="00885BD9" w14:paraId="14E1F22D" w14:textId="77777777" w:rsidTr="00885BD9">
        <w:trPr>
          <w:trHeight w:val="548"/>
        </w:trPr>
        <w:tc>
          <w:tcPr>
            <w:tcW w:w="2838" w:type="dxa"/>
          </w:tcPr>
          <w:p w14:paraId="317D27DB"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Selection criterion</w:t>
            </w:r>
          </w:p>
        </w:tc>
        <w:tc>
          <w:tcPr>
            <w:tcW w:w="4723" w:type="dxa"/>
          </w:tcPr>
          <w:p w14:paraId="296EC7DD"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Essential or desirable requirements</w:t>
            </w:r>
          </w:p>
        </w:tc>
        <w:tc>
          <w:tcPr>
            <w:tcW w:w="2838" w:type="dxa"/>
          </w:tcPr>
          <w:p w14:paraId="19F631D2" w14:textId="77777777" w:rsidR="00B2555E" w:rsidRPr="00885BD9" w:rsidRDefault="00B2555E"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b/>
                <w:color w:val="000000" w:themeColor="text1"/>
                <w:sz w:val="24"/>
                <w:szCs w:val="24"/>
              </w:rPr>
              <w:t>How assessed</w:t>
            </w:r>
          </w:p>
        </w:tc>
      </w:tr>
      <w:tr w:rsidR="00885BD9" w:rsidRPr="00885BD9" w14:paraId="2B1D3A3E" w14:textId="77777777" w:rsidTr="00885BD9">
        <w:trPr>
          <w:trHeight w:val="1107"/>
        </w:trPr>
        <w:tc>
          <w:tcPr>
            <w:tcW w:w="2838" w:type="dxa"/>
          </w:tcPr>
          <w:p w14:paraId="3B145442"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Education</w:t>
            </w:r>
          </w:p>
        </w:tc>
        <w:tc>
          <w:tcPr>
            <w:tcW w:w="4723" w:type="dxa"/>
          </w:tcPr>
          <w:p w14:paraId="15F12C64" w14:textId="6B518C31"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Critical: Degree or other applied education, business, computing or social sciences or related field.</w:t>
            </w:r>
          </w:p>
        </w:tc>
        <w:tc>
          <w:tcPr>
            <w:tcW w:w="2838" w:type="dxa"/>
          </w:tcPr>
          <w:p w14:paraId="6040A595"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w:t>
            </w:r>
          </w:p>
        </w:tc>
      </w:tr>
      <w:tr w:rsidR="00885BD9" w:rsidRPr="00885BD9" w14:paraId="1242997C" w14:textId="77777777" w:rsidTr="00885BD9">
        <w:trPr>
          <w:trHeight w:val="1646"/>
        </w:trPr>
        <w:tc>
          <w:tcPr>
            <w:tcW w:w="2838" w:type="dxa"/>
          </w:tcPr>
          <w:p w14:paraId="1B5032B2"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AI literacy</w:t>
            </w:r>
          </w:p>
        </w:tc>
        <w:tc>
          <w:tcPr>
            <w:tcW w:w="4723" w:type="dxa"/>
          </w:tcPr>
          <w:p w14:paraId="6EB585CB" w14:textId="28DF0D14"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elucidate to non-experts the basic Dee (generative AI) capabilities, fallacies, discrimination, and responsible learning.</w:t>
            </w:r>
          </w:p>
        </w:tc>
        <w:tc>
          <w:tcPr>
            <w:tcW w:w="2838" w:type="dxa"/>
          </w:tcPr>
          <w:p w14:paraId="44DAA040"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 / interview</w:t>
            </w:r>
          </w:p>
        </w:tc>
      </w:tr>
      <w:tr w:rsidR="00885BD9" w:rsidRPr="00885BD9" w14:paraId="0DCB3CCE" w14:textId="77777777" w:rsidTr="00885BD9">
        <w:trPr>
          <w:trHeight w:val="1656"/>
        </w:trPr>
        <w:tc>
          <w:tcPr>
            <w:tcW w:w="2838" w:type="dxa"/>
          </w:tcPr>
          <w:p w14:paraId="2006E28C"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Ethics and integrity</w:t>
            </w:r>
          </w:p>
        </w:tc>
        <w:tc>
          <w:tcPr>
            <w:tcW w:w="4723" w:type="dxa"/>
          </w:tcPr>
          <w:p w14:paraId="432DC6B0" w14:textId="677450CD"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differentiate between plagiarism, disclosure, privacy, fairness and human oversight and be responsive.</w:t>
            </w:r>
          </w:p>
        </w:tc>
        <w:tc>
          <w:tcPr>
            <w:tcW w:w="2838" w:type="dxa"/>
          </w:tcPr>
          <w:p w14:paraId="4E2C1FC2"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Interview scenario</w:t>
            </w:r>
          </w:p>
        </w:tc>
      </w:tr>
      <w:tr w:rsidR="00885BD9" w:rsidRPr="00885BD9" w14:paraId="76F6F53E" w14:textId="77777777" w:rsidTr="00885BD9">
        <w:trPr>
          <w:trHeight w:val="1646"/>
        </w:trPr>
        <w:tc>
          <w:tcPr>
            <w:tcW w:w="2838" w:type="dxa"/>
          </w:tcPr>
          <w:p w14:paraId="48E870D2"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Teaching and communication</w:t>
            </w:r>
          </w:p>
        </w:tc>
        <w:tc>
          <w:tcPr>
            <w:tcW w:w="4723" w:type="dxa"/>
          </w:tcPr>
          <w:p w14:paraId="183CF4CB" w14:textId="526FBE0B"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translate technical ideas into coherent instructions and concise and comprehensive learning activities.</w:t>
            </w:r>
          </w:p>
        </w:tc>
        <w:tc>
          <w:tcPr>
            <w:tcW w:w="2838" w:type="dxa"/>
          </w:tcPr>
          <w:p w14:paraId="7587D4AD"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Interview / micro-task</w:t>
            </w:r>
          </w:p>
        </w:tc>
      </w:tr>
      <w:tr w:rsidR="00885BD9" w:rsidRPr="00885BD9" w14:paraId="5FD00BF0" w14:textId="77777777" w:rsidTr="00885BD9">
        <w:trPr>
          <w:trHeight w:val="1656"/>
        </w:trPr>
        <w:tc>
          <w:tcPr>
            <w:tcW w:w="2838" w:type="dxa"/>
          </w:tcPr>
          <w:p w14:paraId="7B2B4A39"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Planning and evaluation</w:t>
            </w:r>
          </w:p>
        </w:tc>
        <w:tc>
          <w:tcPr>
            <w:tcW w:w="4723" w:type="dxa"/>
          </w:tcPr>
          <w:p w14:paraId="46CB72E7" w14:textId="39A95736"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prioritization of activities, get the appropriate feedback, and explain how the learning impact would be observed.</w:t>
            </w:r>
          </w:p>
        </w:tc>
        <w:tc>
          <w:tcPr>
            <w:tcW w:w="2838" w:type="dxa"/>
          </w:tcPr>
          <w:p w14:paraId="0603EE0D"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 / interview</w:t>
            </w:r>
          </w:p>
        </w:tc>
      </w:tr>
      <w:tr w:rsidR="00885BD9" w:rsidRPr="00885BD9" w14:paraId="5E1D4A43" w14:textId="77777777" w:rsidTr="00885BD9">
        <w:trPr>
          <w:trHeight w:val="1656"/>
        </w:trPr>
        <w:tc>
          <w:tcPr>
            <w:tcW w:w="2838" w:type="dxa"/>
          </w:tcPr>
          <w:p w14:paraId="4B66DE43"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Teamwork and service</w:t>
            </w:r>
          </w:p>
        </w:tc>
        <w:tc>
          <w:tcPr>
            <w:tcW w:w="4723" w:type="dxa"/>
          </w:tcPr>
          <w:p w14:paraId="446995A5" w14:textId="502B31BA"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be respectful and work well with students, lecturers and support colleagues and be constructive to concerns.</w:t>
            </w:r>
          </w:p>
        </w:tc>
        <w:tc>
          <w:tcPr>
            <w:tcW w:w="2838" w:type="dxa"/>
          </w:tcPr>
          <w:p w14:paraId="219EA499"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Interview</w:t>
            </w:r>
          </w:p>
        </w:tc>
      </w:tr>
      <w:tr w:rsidR="00885BD9" w:rsidRPr="00885BD9" w14:paraId="1BB3BE5F" w14:textId="77777777" w:rsidTr="00885BD9">
        <w:trPr>
          <w:trHeight w:val="1646"/>
        </w:trPr>
        <w:tc>
          <w:tcPr>
            <w:tcW w:w="2838" w:type="dxa"/>
          </w:tcPr>
          <w:p w14:paraId="24B6CD86"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Digital capability</w:t>
            </w:r>
          </w:p>
        </w:tc>
        <w:tc>
          <w:tcPr>
            <w:tcW w:w="4723" w:type="dxa"/>
          </w:tcPr>
          <w:p w14:paraId="13F757B6" w14:textId="54C6E334"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use common productivity and internet-based education programs, resource to find accepted AI systems.</w:t>
            </w:r>
          </w:p>
        </w:tc>
        <w:tc>
          <w:tcPr>
            <w:tcW w:w="2838" w:type="dxa"/>
          </w:tcPr>
          <w:p w14:paraId="12ECA647"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 / interview</w:t>
            </w:r>
          </w:p>
        </w:tc>
      </w:tr>
      <w:tr w:rsidR="00885BD9" w:rsidRPr="00885BD9" w14:paraId="7516D3A4" w14:textId="77777777" w:rsidTr="00885BD9">
        <w:trPr>
          <w:trHeight w:val="1656"/>
        </w:trPr>
        <w:tc>
          <w:tcPr>
            <w:tcW w:w="2838" w:type="dxa"/>
          </w:tcPr>
          <w:p w14:paraId="599B0E6A"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lastRenderedPageBreak/>
              <w:t>Educational experience</w:t>
            </w:r>
          </w:p>
        </w:tc>
        <w:tc>
          <w:tcPr>
            <w:tcW w:w="4723" w:type="dxa"/>
          </w:tcPr>
          <w:p w14:paraId="2C84D26C" w14:textId="13FD05B4"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involvement with student support, peer mentoring, workshops or curriculum materials or education projects.</w:t>
            </w:r>
          </w:p>
        </w:tc>
        <w:tc>
          <w:tcPr>
            <w:tcW w:w="2838" w:type="dxa"/>
          </w:tcPr>
          <w:p w14:paraId="7E8951DF"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w:t>
            </w:r>
          </w:p>
        </w:tc>
      </w:tr>
      <w:tr w:rsidR="00885BD9" w:rsidRPr="00885BD9" w14:paraId="13E4AD64" w14:textId="77777777" w:rsidTr="00885BD9">
        <w:trPr>
          <w:trHeight w:val="1646"/>
        </w:trPr>
        <w:tc>
          <w:tcPr>
            <w:tcW w:w="2838" w:type="dxa"/>
          </w:tcPr>
          <w:p w14:paraId="07C22FB2"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Additional expertise</w:t>
            </w:r>
          </w:p>
        </w:tc>
        <w:tc>
          <w:tcPr>
            <w:tcW w:w="4723" w:type="dxa"/>
          </w:tcPr>
          <w:p w14:paraId="3FAC6F8B" w14:textId="6B00A651"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Essential: Worked on accessible learning materials, accessed AI tools, or assisted the company with a change.</w:t>
            </w:r>
          </w:p>
        </w:tc>
        <w:tc>
          <w:tcPr>
            <w:tcW w:w="2838" w:type="dxa"/>
          </w:tcPr>
          <w:p w14:paraId="554003F5" w14:textId="77777777" w:rsidR="00885BD9" w:rsidRPr="00885BD9" w:rsidRDefault="00885BD9" w:rsidP="00885BD9">
            <w:pPr>
              <w:spacing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Application / interview</w:t>
            </w:r>
          </w:p>
        </w:tc>
      </w:tr>
    </w:tbl>
    <w:p w14:paraId="46DC9192" w14:textId="77777777"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Recruitment and Selection Approach</w:t>
      </w:r>
    </w:p>
    <w:p w14:paraId="5E35A51B" w14:textId="77777777" w:rsidR="00885BD9" w:rsidRPr="00885BD9" w:rsidRDefault="00885BD9"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The applicants are to be given the same seven core questions, which should be reasonable in case of request, and no hidden information on the exercise. Examples should be discussed by a panel, which should have the published essential criteria marked independently. An AI-driven case of an academic-integrity explanation (a non-compensated two-minute assignment) can be used to evaluate the communication level without AI medium payments and professional coding skills. You can get more credible evidence with the help of structured questions and anchored scores than a simple conversation will do (Levashina et al., 2014).</w:t>
      </w:r>
    </w:p>
    <w:p w14:paraId="47DC71D3" w14:textId="77777777" w:rsidR="00B2555E" w:rsidRPr="00885BD9" w:rsidRDefault="00B2555E" w:rsidP="00885BD9">
      <w:pPr>
        <w:pStyle w:val="Heading2"/>
        <w:spacing w:before="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Conclusion</w:t>
      </w:r>
    </w:p>
    <w:p w14:paraId="10734562" w14:textId="4E27F14C" w:rsidR="00885BD9" w:rsidRDefault="00885BD9" w:rsidP="00885BD9">
      <w:pPr>
        <w:spacing w:after="0" w:line="480" w:lineRule="auto"/>
        <w:ind w:firstLine="720"/>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The suggested appointment associates HR planning with the teaching mission of UWTSD by instituting an observable practice, realistic graduate-level abilities, and non-excessive evaluation techniques. It must be gauged by accountability in terms of AI application to the students, and readiness on behalf of the staff rather than the number of AI devices embraced. Continuous rethinking is needed because the advantages of the basic educational process must be grounded in the readability of the policy, professional appraisal and significant analysis (Chan, 2023; Lintner, 2024).</w:t>
      </w:r>
    </w:p>
    <w:p w14:paraId="6D60D8C2" w14:textId="77777777" w:rsidR="00885BD9" w:rsidRDefault="00885BD9">
      <w:pPr>
        <w:spacing w:after="160" w:line="278"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E28CC07" w14:textId="77777777" w:rsidR="00885BD9" w:rsidRPr="00885BD9" w:rsidRDefault="00885BD9" w:rsidP="00885BD9">
      <w:pPr>
        <w:spacing w:after="0" w:line="480" w:lineRule="auto"/>
        <w:ind w:firstLine="720"/>
        <w:jc w:val="both"/>
        <w:rPr>
          <w:rFonts w:ascii="Times New Roman" w:hAnsi="Times New Roman" w:cs="Times New Roman"/>
          <w:color w:val="000000" w:themeColor="text1"/>
          <w:sz w:val="24"/>
          <w:szCs w:val="24"/>
        </w:rPr>
      </w:pPr>
    </w:p>
    <w:p w14:paraId="0DAD4F0E" w14:textId="77777777" w:rsidR="00B2555E" w:rsidRPr="00885BD9" w:rsidRDefault="00B2555E" w:rsidP="00885BD9">
      <w:pPr>
        <w:pStyle w:val="Heading1"/>
        <w:spacing w:before="0" w:after="0" w:line="480" w:lineRule="auto"/>
        <w:jc w:val="both"/>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References</w:t>
      </w:r>
    </w:p>
    <w:p w14:paraId="4CBE77C5"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lang w:val="nl-NL"/>
        </w:rPr>
      </w:pPr>
      <w:r w:rsidRPr="00FD0DE4">
        <w:rPr>
          <w:rFonts w:ascii="Times New Roman" w:hAnsi="Times New Roman" w:cs="Times New Roman"/>
          <w:color w:val="000000" w:themeColor="text1"/>
          <w:sz w:val="24"/>
          <w:szCs w:val="24"/>
        </w:rPr>
        <w:t xml:space="preserve">Celik, I., Dindar, M., Muukkonen, H., &amp; Järvelä, S. (2022). </w:t>
      </w:r>
      <w:r w:rsidRPr="00885BD9">
        <w:rPr>
          <w:rFonts w:ascii="Times New Roman" w:hAnsi="Times New Roman" w:cs="Times New Roman"/>
          <w:color w:val="000000" w:themeColor="text1"/>
          <w:sz w:val="24"/>
          <w:szCs w:val="24"/>
        </w:rPr>
        <w:t xml:space="preserve">The promises and challenges of artificial intelligence for teachers: A systematic review of research. </w:t>
      </w:r>
      <w:r w:rsidRPr="00885BD9">
        <w:rPr>
          <w:rFonts w:ascii="Times New Roman" w:hAnsi="Times New Roman" w:cs="Times New Roman"/>
          <w:color w:val="000000" w:themeColor="text1"/>
          <w:sz w:val="24"/>
          <w:szCs w:val="24"/>
          <w:lang w:val="nl-NL"/>
        </w:rPr>
        <w:t xml:space="preserve">TechTrends, 66, 616–630. </w:t>
      </w:r>
      <w:hyperlink r:id="rId7">
        <w:r w:rsidRPr="00885BD9">
          <w:rPr>
            <w:rFonts w:ascii="Times New Roman" w:hAnsi="Times New Roman" w:cs="Times New Roman"/>
            <w:color w:val="000000" w:themeColor="text1"/>
            <w:sz w:val="24"/>
            <w:szCs w:val="24"/>
            <w:u w:val="single"/>
            <w:lang w:val="nl-NL"/>
          </w:rPr>
          <w:t>https://doi.org/10.1007/s11528-022-00715-y</w:t>
        </w:r>
      </w:hyperlink>
    </w:p>
    <w:p w14:paraId="4205966F"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lang w:val="nl-NL"/>
        </w:rPr>
        <w:t xml:space="preserve">Chan, C. K. Y. (2023). </w:t>
      </w:r>
      <w:r w:rsidRPr="00885BD9">
        <w:rPr>
          <w:rFonts w:ascii="Times New Roman" w:hAnsi="Times New Roman" w:cs="Times New Roman"/>
          <w:color w:val="000000" w:themeColor="text1"/>
          <w:sz w:val="24"/>
          <w:szCs w:val="24"/>
        </w:rPr>
        <w:t xml:space="preserve">A comprehensive AI policy education framework for university teaching and learning. International Journal of Educational Technology in Higher Education, 20, Article 38. </w:t>
      </w:r>
      <w:hyperlink r:id="rId8">
        <w:r w:rsidRPr="00885BD9">
          <w:rPr>
            <w:rFonts w:ascii="Times New Roman" w:hAnsi="Times New Roman" w:cs="Times New Roman"/>
            <w:color w:val="000000" w:themeColor="text1"/>
            <w:sz w:val="24"/>
            <w:szCs w:val="24"/>
            <w:u w:val="single"/>
          </w:rPr>
          <w:t>https://doi.org/10.1186/s41239-023-00408-3</w:t>
        </w:r>
      </w:hyperlink>
    </w:p>
    <w:p w14:paraId="6B69004E"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Cotton, D. R. E., Cotton, P. A., &amp; Shipway, J. R. (2024). Chatting and cheating: Ensuring academic integrity in the era of ChatGPT. Innovations in Education and Teaching International, 61(2), 228–239. </w:t>
      </w:r>
      <w:hyperlink r:id="rId9">
        <w:r w:rsidRPr="00885BD9">
          <w:rPr>
            <w:rFonts w:ascii="Times New Roman" w:hAnsi="Times New Roman" w:cs="Times New Roman"/>
            <w:color w:val="000000" w:themeColor="text1"/>
            <w:sz w:val="24"/>
            <w:szCs w:val="24"/>
            <w:u w:val="single"/>
          </w:rPr>
          <w:t>https://doi.org/10.1080/14703297.2023.2190148</w:t>
        </w:r>
      </w:hyperlink>
    </w:p>
    <w:p w14:paraId="363DA453"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Levashina, J., Hartwell, C. J., Morgeson, F. P., &amp; Campion, M. A. (2014). The structured employment interview: Narrative and quantitative review of the research literature. Personnel Psychology, 67(1), 241–293. </w:t>
      </w:r>
      <w:hyperlink r:id="rId10">
        <w:r w:rsidRPr="00885BD9">
          <w:rPr>
            <w:rFonts w:ascii="Times New Roman" w:hAnsi="Times New Roman" w:cs="Times New Roman"/>
            <w:color w:val="000000" w:themeColor="text1"/>
            <w:sz w:val="24"/>
            <w:szCs w:val="24"/>
            <w:u w:val="single"/>
          </w:rPr>
          <w:t>https://doi.org/10.1111/peps.12052</w:t>
        </w:r>
      </w:hyperlink>
    </w:p>
    <w:p w14:paraId="75D5E4E2"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Lintner, T. (2024). A systematic review of AI literacy scales. npj Science of Learning, 9, Article 50. </w:t>
      </w:r>
      <w:hyperlink r:id="rId11">
        <w:r w:rsidRPr="00885BD9">
          <w:rPr>
            <w:rFonts w:ascii="Times New Roman" w:hAnsi="Times New Roman" w:cs="Times New Roman"/>
            <w:color w:val="000000" w:themeColor="text1"/>
            <w:sz w:val="24"/>
            <w:szCs w:val="24"/>
            <w:u w:val="single"/>
          </w:rPr>
          <w:t>https://doi.org/10.1038/s41539-024-00264-4</w:t>
        </w:r>
      </w:hyperlink>
    </w:p>
    <w:p w14:paraId="29BA9F0D"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Ng, D. T. K., Leung, J. K. L., Chu, S. K. W., &amp; Qiao, M. S. (2021). Conceptualizing AI literacy: An exploratory review. Computers and Education: Artificial Intelligence, 2, Article 100041. </w:t>
      </w:r>
      <w:hyperlink r:id="rId12">
        <w:r w:rsidRPr="00885BD9">
          <w:rPr>
            <w:rFonts w:ascii="Times New Roman" w:hAnsi="Times New Roman" w:cs="Times New Roman"/>
            <w:color w:val="000000" w:themeColor="text1"/>
            <w:sz w:val="24"/>
            <w:szCs w:val="24"/>
            <w:u w:val="single"/>
          </w:rPr>
          <w:t>https://doi.org/10.1016/j.caeai.2021.100041</w:t>
        </w:r>
      </w:hyperlink>
    </w:p>
    <w:p w14:paraId="77746D64" w14:textId="77777777" w:rsidR="00B2555E" w:rsidRPr="00885BD9" w:rsidRDefault="00B2555E" w:rsidP="00885BD9">
      <w:pPr>
        <w:spacing w:after="0" w:line="480" w:lineRule="auto"/>
        <w:ind w:left="720" w:hanging="720"/>
        <w:rPr>
          <w:rFonts w:ascii="Times New Roman" w:hAnsi="Times New Roman" w:cs="Times New Roman"/>
          <w:color w:val="000000" w:themeColor="text1"/>
          <w:sz w:val="24"/>
          <w:szCs w:val="24"/>
        </w:rPr>
      </w:pPr>
      <w:r w:rsidRPr="00885BD9">
        <w:rPr>
          <w:rFonts w:ascii="Times New Roman" w:hAnsi="Times New Roman" w:cs="Times New Roman"/>
          <w:color w:val="000000" w:themeColor="text1"/>
          <w:sz w:val="24"/>
          <w:szCs w:val="24"/>
        </w:rPr>
        <w:t xml:space="preserve">Tlili, A., Shehata, B., Adarkwah, M. A., Bozkurt, A., Hickey, D. T., Huang, R., &amp; Agyemang, B. (2023). What if the devil is my guardian angel: ChatGPT as a case study of using chatbots in education. Smart Learning Environments, 10, Article 15. </w:t>
      </w:r>
      <w:hyperlink r:id="rId13">
        <w:r w:rsidRPr="00885BD9">
          <w:rPr>
            <w:rFonts w:ascii="Times New Roman" w:hAnsi="Times New Roman" w:cs="Times New Roman"/>
            <w:color w:val="000000" w:themeColor="text1"/>
            <w:sz w:val="24"/>
            <w:szCs w:val="24"/>
            <w:u w:val="single"/>
          </w:rPr>
          <w:t>https://doi.org/10.1186/s40561-023-00237-x</w:t>
        </w:r>
      </w:hyperlink>
    </w:p>
    <w:p w14:paraId="387138BF" w14:textId="77777777" w:rsidR="00120C78" w:rsidRPr="00885BD9" w:rsidRDefault="00120C78" w:rsidP="00885BD9">
      <w:pPr>
        <w:spacing w:after="0" w:line="480" w:lineRule="auto"/>
        <w:ind w:left="720" w:hanging="720"/>
        <w:rPr>
          <w:rFonts w:ascii="Times New Roman" w:hAnsi="Times New Roman" w:cs="Times New Roman"/>
          <w:color w:val="000000" w:themeColor="text1"/>
          <w:sz w:val="24"/>
          <w:szCs w:val="24"/>
        </w:rPr>
      </w:pPr>
    </w:p>
    <w:sectPr w:rsidR="00120C78" w:rsidRPr="00885BD9" w:rsidSect="00885BD9">
      <w:headerReference w:type="default" r:id="rId14"/>
      <w:footerReference w:type="default" r:id="rId15"/>
      <w:pgSz w:w="11909" w:h="16834"/>
      <w:pgMar w:top="1440" w:right="1440" w:bottom="1440" w:left="1440" w:header="403" w:footer="461"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DD4CA" w14:textId="77777777" w:rsidR="00711DCD" w:rsidRDefault="00711DCD" w:rsidP="00885BD9">
      <w:pPr>
        <w:spacing w:after="0" w:line="240" w:lineRule="auto"/>
      </w:pPr>
      <w:r>
        <w:separator/>
      </w:r>
    </w:p>
  </w:endnote>
  <w:endnote w:type="continuationSeparator" w:id="0">
    <w:p w14:paraId="526DD436" w14:textId="77777777" w:rsidR="00711DCD" w:rsidRDefault="00711DCD" w:rsidP="0088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36CB1" w14:textId="3B563C4C" w:rsidR="00B2555E" w:rsidRDefault="00885BD9">
    <w:pPr>
      <w:pStyle w:val="Footer"/>
      <w:jc w:val="right"/>
    </w:pPr>
    <w:r>
      <w:rPr>
        <w:color w:val="515C6C"/>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941B3" w14:textId="77777777" w:rsidR="00711DCD" w:rsidRDefault="00711DCD" w:rsidP="00885BD9">
      <w:pPr>
        <w:spacing w:after="0" w:line="240" w:lineRule="auto"/>
      </w:pPr>
      <w:r>
        <w:separator/>
      </w:r>
    </w:p>
  </w:footnote>
  <w:footnote w:type="continuationSeparator" w:id="0">
    <w:p w14:paraId="75ABA8F9" w14:textId="77777777" w:rsidR="00711DCD" w:rsidRDefault="00711DCD" w:rsidP="00885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593F5" w14:textId="77777777" w:rsidR="00B2555E" w:rsidRDefault="00B2555E">
    <w:pPr>
      <w:pStyle w:val="Header"/>
      <w:jc w:val="right"/>
    </w:pPr>
    <w:r>
      <w:rPr>
        <w:color w:val="515C6C"/>
        <w:sz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DB84542"/>
    <w:lvl w:ilvl="0">
      <w:start w:val="1"/>
      <w:numFmt w:val="bullet"/>
      <w:pStyle w:val="ListBullet"/>
      <w:lvlText w:val=""/>
      <w:lvlJc w:val="left"/>
      <w:pPr>
        <w:tabs>
          <w:tab w:val="num" w:pos="360"/>
        </w:tabs>
        <w:ind w:left="360" w:hanging="360"/>
      </w:pPr>
      <w:rPr>
        <w:rFonts w:ascii="Symbol" w:hAnsi="Symbol" w:hint="default"/>
      </w:rPr>
    </w:lvl>
  </w:abstractNum>
  <w:num w:numId="1" w16cid:durableId="309557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55E"/>
    <w:rsid w:val="00036D0C"/>
    <w:rsid w:val="00120C78"/>
    <w:rsid w:val="00225760"/>
    <w:rsid w:val="00231584"/>
    <w:rsid w:val="003B01FA"/>
    <w:rsid w:val="004F0430"/>
    <w:rsid w:val="006B07D1"/>
    <w:rsid w:val="006D39DB"/>
    <w:rsid w:val="00711DCD"/>
    <w:rsid w:val="00716CC3"/>
    <w:rsid w:val="00884DF3"/>
    <w:rsid w:val="00885BD9"/>
    <w:rsid w:val="00896A0B"/>
    <w:rsid w:val="009A094F"/>
    <w:rsid w:val="00B2555E"/>
    <w:rsid w:val="00B9642C"/>
    <w:rsid w:val="00BF14E3"/>
    <w:rsid w:val="00F80DAE"/>
    <w:rsid w:val="00FC2E75"/>
    <w:rsid w:val="00FC3F56"/>
    <w:rsid w:val="00FC3FBA"/>
    <w:rsid w:val="00FD0DE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DAC4"/>
  <w15:chartTrackingRefBased/>
  <w15:docId w15:val="{0FD88DDE-EB38-42AD-9EF7-833DD6C9C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55E"/>
    <w:pPr>
      <w:spacing w:after="100" w:line="269" w:lineRule="auto"/>
    </w:pPr>
    <w:rPr>
      <w:rFonts w:ascii="Aptos" w:eastAsiaTheme="minorEastAsia" w:hAnsi="Aptos"/>
      <w:color w:val="293441"/>
      <w:kern w:val="0"/>
      <w:sz w:val="20"/>
      <w:szCs w:val="22"/>
      <w14:ligatures w14:val="none"/>
    </w:rPr>
  </w:style>
  <w:style w:type="paragraph" w:styleId="Heading1">
    <w:name w:val="heading 1"/>
    <w:basedOn w:val="Normal"/>
    <w:next w:val="Normal"/>
    <w:link w:val="Heading1Char"/>
    <w:uiPriority w:val="9"/>
    <w:qFormat/>
    <w:rsid w:val="00884DF3"/>
    <w:pPr>
      <w:keepNext/>
      <w:keepLines/>
      <w:spacing w:before="400" w:after="40" w:line="240" w:lineRule="auto"/>
      <w:outlineLvl w:val="0"/>
    </w:pPr>
    <w:rPr>
      <w:rFonts w:asciiTheme="majorHAnsi" w:eastAsiaTheme="majorEastAsia" w:hAnsiTheme="majorHAnsi" w:cstheme="majorBidi"/>
      <w:b/>
      <w:caps/>
      <w:sz w:val="36"/>
      <w:szCs w:val="36"/>
    </w:rPr>
  </w:style>
  <w:style w:type="paragraph" w:styleId="Heading2">
    <w:name w:val="heading 2"/>
    <w:basedOn w:val="Normal"/>
    <w:next w:val="Normal"/>
    <w:link w:val="Heading2Char"/>
    <w:uiPriority w:val="9"/>
    <w:unhideWhenUsed/>
    <w:qFormat/>
    <w:rsid w:val="00F80DAE"/>
    <w:pPr>
      <w:keepNext/>
      <w:keepLines/>
      <w:spacing w:before="200" w:after="0" w:line="276" w:lineRule="auto"/>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B25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80DAE"/>
    <w:rPr>
      <w:rFonts w:asciiTheme="majorHAnsi" w:eastAsiaTheme="majorEastAsia" w:hAnsiTheme="majorHAnsi" w:cstheme="majorBidi"/>
      <w:b/>
      <w:bCs/>
      <w:color w:val="156082" w:themeColor="accent1"/>
      <w:sz w:val="26"/>
      <w:szCs w:val="26"/>
    </w:rPr>
  </w:style>
  <w:style w:type="character" w:customStyle="1" w:styleId="Heading1Char">
    <w:name w:val="Heading 1 Char"/>
    <w:basedOn w:val="DefaultParagraphFont"/>
    <w:link w:val="Heading1"/>
    <w:uiPriority w:val="9"/>
    <w:rsid w:val="00884DF3"/>
    <w:rPr>
      <w:rFonts w:asciiTheme="majorHAnsi" w:eastAsiaTheme="majorEastAsia" w:hAnsiTheme="majorHAnsi" w:cstheme="majorBidi"/>
      <w:b/>
      <w:caps/>
      <w:sz w:val="36"/>
      <w:szCs w:val="36"/>
    </w:rPr>
  </w:style>
  <w:style w:type="character" w:customStyle="1" w:styleId="Heading3Char">
    <w:name w:val="Heading 3 Char"/>
    <w:basedOn w:val="DefaultParagraphFont"/>
    <w:link w:val="Heading3"/>
    <w:uiPriority w:val="9"/>
    <w:semiHidden/>
    <w:rsid w:val="00B25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55E"/>
    <w:rPr>
      <w:rFonts w:eastAsiaTheme="majorEastAsia" w:cstheme="majorBidi"/>
      <w:color w:val="272727" w:themeColor="text1" w:themeTint="D8"/>
    </w:rPr>
  </w:style>
  <w:style w:type="paragraph" w:styleId="Title">
    <w:name w:val="Title"/>
    <w:basedOn w:val="Normal"/>
    <w:next w:val="Normal"/>
    <w:link w:val="TitleChar"/>
    <w:uiPriority w:val="10"/>
    <w:qFormat/>
    <w:rsid w:val="00B25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55E"/>
    <w:pPr>
      <w:spacing w:before="160"/>
      <w:jc w:val="center"/>
    </w:pPr>
    <w:rPr>
      <w:i/>
      <w:iCs/>
      <w:color w:val="404040" w:themeColor="text1" w:themeTint="BF"/>
    </w:rPr>
  </w:style>
  <w:style w:type="character" w:customStyle="1" w:styleId="QuoteChar">
    <w:name w:val="Quote Char"/>
    <w:basedOn w:val="DefaultParagraphFont"/>
    <w:link w:val="Quote"/>
    <w:uiPriority w:val="29"/>
    <w:rsid w:val="00B2555E"/>
    <w:rPr>
      <w:i/>
      <w:iCs/>
      <w:color w:val="404040" w:themeColor="text1" w:themeTint="BF"/>
    </w:rPr>
  </w:style>
  <w:style w:type="paragraph" w:styleId="ListParagraph">
    <w:name w:val="List Paragraph"/>
    <w:basedOn w:val="Normal"/>
    <w:uiPriority w:val="34"/>
    <w:qFormat/>
    <w:rsid w:val="00B2555E"/>
    <w:pPr>
      <w:ind w:left="720"/>
      <w:contextualSpacing/>
    </w:pPr>
  </w:style>
  <w:style w:type="character" w:styleId="IntenseEmphasis">
    <w:name w:val="Intense Emphasis"/>
    <w:basedOn w:val="DefaultParagraphFont"/>
    <w:uiPriority w:val="21"/>
    <w:qFormat/>
    <w:rsid w:val="00B2555E"/>
    <w:rPr>
      <w:i/>
      <w:iCs/>
      <w:color w:val="0F4761" w:themeColor="accent1" w:themeShade="BF"/>
    </w:rPr>
  </w:style>
  <w:style w:type="paragraph" w:styleId="IntenseQuote">
    <w:name w:val="Intense Quote"/>
    <w:basedOn w:val="Normal"/>
    <w:next w:val="Normal"/>
    <w:link w:val="IntenseQuoteChar"/>
    <w:uiPriority w:val="30"/>
    <w:qFormat/>
    <w:rsid w:val="00B25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55E"/>
    <w:rPr>
      <w:i/>
      <w:iCs/>
      <w:color w:val="0F4761" w:themeColor="accent1" w:themeShade="BF"/>
    </w:rPr>
  </w:style>
  <w:style w:type="character" w:styleId="IntenseReference">
    <w:name w:val="Intense Reference"/>
    <w:basedOn w:val="DefaultParagraphFont"/>
    <w:uiPriority w:val="32"/>
    <w:qFormat/>
    <w:rsid w:val="00B2555E"/>
    <w:rPr>
      <w:b/>
      <w:bCs/>
      <w:smallCaps/>
      <w:color w:val="0F4761" w:themeColor="accent1" w:themeShade="BF"/>
      <w:spacing w:val="5"/>
    </w:rPr>
  </w:style>
  <w:style w:type="paragraph" w:styleId="Header">
    <w:name w:val="header"/>
    <w:basedOn w:val="Normal"/>
    <w:link w:val="HeaderChar"/>
    <w:uiPriority w:val="99"/>
    <w:unhideWhenUsed/>
    <w:rsid w:val="00B255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55E"/>
    <w:rPr>
      <w:rFonts w:ascii="Aptos" w:eastAsiaTheme="minorEastAsia" w:hAnsi="Aptos"/>
      <w:color w:val="293441"/>
      <w:kern w:val="0"/>
      <w:sz w:val="20"/>
      <w:szCs w:val="22"/>
      <w14:ligatures w14:val="none"/>
    </w:rPr>
  </w:style>
  <w:style w:type="paragraph" w:styleId="Footer">
    <w:name w:val="footer"/>
    <w:basedOn w:val="Normal"/>
    <w:link w:val="FooterChar"/>
    <w:uiPriority w:val="99"/>
    <w:unhideWhenUsed/>
    <w:rsid w:val="00B255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55E"/>
    <w:rPr>
      <w:rFonts w:ascii="Aptos" w:eastAsiaTheme="minorEastAsia" w:hAnsi="Aptos"/>
      <w:color w:val="293441"/>
      <w:kern w:val="0"/>
      <w:sz w:val="20"/>
      <w:szCs w:val="22"/>
      <w14:ligatures w14:val="none"/>
    </w:rPr>
  </w:style>
  <w:style w:type="paragraph" w:styleId="ListBullet">
    <w:name w:val="List Bullet"/>
    <w:basedOn w:val="Normal"/>
    <w:uiPriority w:val="99"/>
    <w:unhideWhenUsed/>
    <w:rsid w:val="00B2555E"/>
    <w:pPr>
      <w:numPr>
        <w:numId w:val="1"/>
      </w:numPr>
      <w:tabs>
        <w:tab w:val="clear" w:pos="360"/>
      </w:tabs>
      <w:ind w:left="0" w:firstLine="0"/>
      <w:contextualSpacing/>
    </w:pPr>
  </w:style>
  <w:style w:type="table" w:styleId="TableGrid">
    <w:name w:val="Table Grid"/>
    <w:basedOn w:val="TableNormal"/>
    <w:uiPriority w:val="59"/>
    <w:rsid w:val="00B2555E"/>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85BD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239-023-00408-3" TargetMode="External"/><Relationship Id="rId13" Type="http://schemas.openxmlformats.org/officeDocument/2006/relationships/hyperlink" Target="https://doi.org/10.1186/s40561-023-00237-x" TargetMode="External"/><Relationship Id="rId3" Type="http://schemas.openxmlformats.org/officeDocument/2006/relationships/settings" Target="settings.xml"/><Relationship Id="rId7" Type="http://schemas.openxmlformats.org/officeDocument/2006/relationships/hyperlink" Target="https://doi.org/10.1007/s11528-022-00715-y" TargetMode="External"/><Relationship Id="rId12" Type="http://schemas.openxmlformats.org/officeDocument/2006/relationships/hyperlink" Target="https://doi.org/10.1016/j.caeai.2021.10004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s41539-024-00264-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11/peps.12052" TargetMode="External"/><Relationship Id="rId4" Type="http://schemas.openxmlformats.org/officeDocument/2006/relationships/webSettings" Target="webSettings.xml"/><Relationship Id="rId9" Type="http://schemas.openxmlformats.org/officeDocument/2006/relationships/hyperlink" Target="https://doi.org/10.1080/14703297.2023.219014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TotalTime>
  <Pages>8</Pages>
  <Words>1755</Words>
  <Characters>10005</Characters>
  <Application>Microsoft Office Word</Application>
  <DocSecurity>0</DocSecurity>
  <Lines>83</Lines>
  <Paragraphs>23</Paragraphs>
  <ScaleCrop>false</ScaleCrop>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habib afaq</cp:lastModifiedBy>
  <cp:revision>4</cp:revision>
  <dcterms:created xsi:type="dcterms:W3CDTF">2026-10-10T13:17:00Z</dcterms:created>
  <dcterms:modified xsi:type="dcterms:W3CDTF">2026-10-18T03:37:00Z</dcterms:modified>
</cp:coreProperties>
</file>