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D05B1"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Module:</w:t>
      </w:r>
    </w:p>
    <w:p w14:paraId="66006104" w14:textId="740F3002" w:rsidR="00E46FE9" w:rsidRPr="008E6FEB" w:rsidRDefault="000543E2"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sz w:val="40"/>
          <w:szCs w:val="40"/>
        </w:rPr>
      </w:pPr>
      <w:r w:rsidRPr="008E6FEB">
        <w:rPr>
          <w:rFonts w:ascii="Times New Roman" w:eastAsia="Times New Roman" w:hAnsi="Times New Roman" w:cs="Times New Roman"/>
          <w:color w:val="000000" w:themeColor="text1"/>
          <w:kern w:val="36"/>
          <w:sz w:val="40"/>
          <w:szCs w:val="40"/>
        </w:rPr>
        <w:t>Islamic Law in the Contemporary World</w:t>
      </w:r>
      <w:r w:rsidR="00E46FE9" w:rsidRPr="008E6FEB">
        <w:rPr>
          <w:rFonts w:ascii="Times New Roman" w:eastAsia="Times New Roman" w:hAnsi="Times New Roman" w:cs="Times New Roman"/>
          <w:color w:val="000000" w:themeColor="text1"/>
          <w:kern w:val="36"/>
          <w:sz w:val="40"/>
          <w:szCs w:val="40"/>
        </w:rPr>
        <w:t xml:space="preserve"> (TRDL 7</w:t>
      </w:r>
      <w:r w:rsidRPr="008E6FEB">
        <w:rPr>
          <w:rFonts w:ascii="Times New Roman" w:eastAsia="Times New Roman" w:hAnsi="Times New Roman" w:cs="Times New Roman"/>
          <w:color w:val="000000" w:themeColor="text1"/>
          <w:kern w:val="36"/>
          <w:sz w:val="40"/>
          <w:szCs w:val="40"/>
        </w:rPr>
        <w:t>064</w:t>
      </w:r>
      <w:r w:rsidR="00E46FE9" w:rsidRPr="008E6FEB">
        <w:rPr>
          <w:rFonts w:ascii="Times New Roman" w:eastAsia="Times New Roman" w:hAnsi="Times New Roman" w:cs="Times New Roman"/>
          <w:color w:val="000000" w:themeColor="text1"/>
          <w:kern w:val="36"/>
          <w:sz w:val="40"/>
          <w:szCs w:val="40"/>
        </w:rPr>
        <w:t>)</w:t>
      </w:r>
    </w:p>
    <w:p w14:paraId="3796D143"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2FE6C604" w14:textId="34ED18ED" w:rsidR="00E46FE9"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 xml:space="preserve">Assignment </w:t>
      </w:r>
      <w:r w:rsidR="00A44194">
        <w:rPr>
          <w:rFonts w:ascii="Times New Roman" w:eastAsia="Times New Roman" w:hAnsi="Times New Roman" w:cs="Times New Roman"/>
          <w:color w:val="000000" w:themeColor="text1"/>
          <w:kern w:val="36"/>
        </w:rPr>
        <w:t>Two (Encyclopaedia)</w:t>
      </w:r>
      <w:r w:rsidR="009330AB">
        <w:rPr>
          <w:rFonts w:ascii="Times New Roman" w:eastAsia="Times New Roman" w:hAnsi="Times New Roman" w:cs="Times New Roman"/>
          <w:color w:val="000000" w:themeColor="text1"/>
          <w:kern w:val="36"/>
        </w:rPr>
        <w:t xml:space="preserve"> -</w:t>
      </w:r>
      <w:r w:rsidR="00A44194">
        <w:rPr>
          <w:rFonts w:ascii="Times New Roman" w:eastAsia="Times New Roman" w:hAnsi="Times New Roman" w:cs="Times New Roman"/>
          <w:color w:val="000000" w:themeColor="text1"/>
          <w:kern w:val="36"/>
        </w:rPr>
        <w:t xml:space="preserve"> Entry One</w:t>
      </w:r>
      <w:r w:rsidR="009330AB">
        <w:rPr>
          <w:rFonts w:ascii="Times New Roman" w:eastAsia="Times New Roman" w:hAnsi="Times New Roman" w:cs="Times New Roman"/>
          <w:color w:val="000000" w:themeColor="text1"/>
          <w:kern w:val="36"/>
        </w:rPr>
        <w:t>:</w:t>
      </w:r>
    </w:p>
    <w:p w14:paraId="0B8D1BDE" w14:textId="77777777" w:rsidR="009330AB" w:rsidRPr="008E6FEB" w:rsidRDefault="009330AB"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4B113D46" w14:textId="5DE94338" w:rsidR="00E46FE9" w:rsidRPr="008E6FEB" w:rsidRDefault="009330AB" w:rsidP="00E46FE9">
      <w:pPr>
        <w:shd w:val="clear" w:color="auto" w:fill="FFFFFF"/>
        <w:spacing w:after="100" w:afterAutospacing="1"/>
        <w:jc w:val="center"/>
        <w:outlineLvl w:val="0"/>
        <w:rPr>
          <w:rFonts w:ascii="Times New Roman" w:eastAsia="Times New Roman" w:hAnsi="Times New Roman" w:cs="Times New Roman"/>
          <w:i/>
          <w:color w:val="000000" w:themeColor="text1"/>
          <w:kern w:val="36"/>
        </w:rPr>
      </w:pPr>
      <w:r>
        <w:rPr>
          <w:rFonts w:ascii="Times New Roman" w:hAnsi="Times New Roman" w:cs="Times New Roman"/>
          <w:i/>
          <w:sz w:val="28"/>
          <w:szCs w:val="28"/>
        </w:rPr>
        <w:t>The Origins of Islamic Law</w:t>
      </w:r>
    </w:p>
    <w:p w14:paraId="1524FEBA"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474CE2A3"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B9F627A" w14:textId="3C67FF5E"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Tutor:</w:t>
      </w:r>
    </w:p>
    <w:p w14:paraId="5C91C54D" w14:textId="056EDD25"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 xml:space="preserve">Prof </w:t>
      </w:r>
      <w:r w:rsidR="000543E2" w:rsidRPr="008E6FEB">
        <w:rPr>
          <w:rFonts w:ascii="Times New Roman" w:eastAsia="Times New Roman" w:hAnsi="Times New Roman" w:cs="Times New Roman"/>
          <w:color w:val="000000" w:themeColor="text1"/>
          <w:kern w:val="36"/>
        </w:rPr>
        <w:t>Gary Bunt</w:t>
      </w:r>
    </w:p>
    <w:p w14:paraId="5F4AF2DD"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953E498"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02759308"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73965E63"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6AAFFCEB"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7C86A500"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p>
    <w:p w14:paraId="5474E4D7" w14:textId="2381FF79" w:rsidR="00E46FE9" w:rsidRPr="008E6FEB" w:rsidRDefault="000543E2" w:rsidP="00E46FE9">
      <w:pPr>
        <w:shd w:val="clear" w:color="auto" w:fill="FFFFFF"/>
        <w:spacing w:after="100" w:afterAutospacing="1"/>
        <w:jc w:val="center"/>
        <w:outlineLvl w:val="0"/>
        <w:rPr>
          <w:rFonts w:ascii="Times New Roman" w:eastAsia="Times New Roman" w:hAnsi="Times New Roman" w:cs="Times New Roman"/>
          <w:i/>
          <w:color w:val="000000" w:themeColor="text1"/>
          <w:kern w:val="36"/>
        </w:rPr>
      </w:pPr>
      <w:r w:rsidRPr="008E6FEB">
        <w:rPr>
          <w:rFonts w:ascii="Times New Roman" w:eastAsia="Times New Roman" w:hAnsi="Times New Roman" w:cs="Times New Roman"/>
          <w:i/>
          <w:color w:val="000000" w:themeColor="text1"/>
          <w:kern w:val="36"/>
        </w:rPr>
        <w:t>Submitt</w:t>
      </w:r>
      <w:r w:rsidR="00E46FE9" w:rsidRPr="008E6FEB">
        <w:rPr>
          <w:rFonts w:ascii="Times New Roman" w:eastAsia="Times New Roman" w:hAnsi="Times New Roman" w:cs="Times New Roman"/>
          <w:i/>
          <w:color w:val="000000" w:themeColor="text1"/>
          <w:kern w:val="36"/>
        </w:rPr>
        <w:t>ed by:</w:t>
      </w:r>
    </w:p>
    <w:p w14:paraId="237BDF0E"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b/>
          <w:color w:val="000000" w:themeColor="text1"/>
          <w:kern w:val="36"/>
          <w:sz w:val="32"/>
          <w:szCs w:val="32"/>
        </w:rPr>
      </w:pPr>
      <w:r w:rsidRPr="008E6FEB">
        <w:rPr>
          <w:rFonts w:ascii="Times New Roman" w:eastAsia="Times New Roman" w:hAnsi="Times New Roman" w:cs="Times New Roman"/>
          <w:b/>
          <w:color w:val="000000" w:themeColor="text1"/>
          <w:kern w:val="36"/>
          <w:sz w:val="32"/>
          <w:szCs w:val="32"/>
        </w:rPr>
        <w:t>Mohammed Adebayo (1603804)</w:t>
      </w:r>
    </w:p>
    <w:p w14:paraId="6228D27B"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 xml:space="preserve">University of Wales Trinity Saint David </w:t>
      </w:r>
    </w:p>
    <w:p w14:paraId="531FB3F1" w14:textId="77777777" w:rsidR="00E46FE9" w:rsidRPr="008E6FEB" w:rsidRDefault="00E46FE9"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sidRPr="008E6FEB">
        <w:rPr>
          <w:rFonts w:ascii="Times New Roman" w:eastAsia="Times New Roman" w:hAnsi="Times New Roman" w:cs="Times New Roman"/>
          <w:color w:val="000000" w:themeColor="text1"/>
          <w:kern w:val="36"/>
        </w:rPr>
        <w:t>Lampeter Campus</w:t>
      </w:r>
    </w:p>
    <w:p w14:paraId="0246F6AD" w14:textId="4A03F8E6" w:rsidR="00E46FE9" w:rsidRPr="008E6FEB" w:rsidRDefault="002246FB" w:rsidP="00E46FE9">
      <w:pPr>
        <w:shd w:val="clear" w:color="auto" w:fill="FFFFFF"/>
        <w:spacing w:after="100" w:afterAutospacing="1"/>
        <w:jc w:val="center"/>
        <w:outlineLvl w:val="0"/>
        <w:rPr>
          <w:rFonts w:ascii="Times New Roman" w:eastAsia="Times New Roman" w:hAnsi="Times New Roman" w:cs="Times New Roman"/>
          <w:color w:val="000000" w:themeColor="text1"/>
          <w:kern w:val="36"/>
        </w:rPr>
      </w:pPr>
      <w:r>
        <w:rPr>
          <w:rFonts w:ascii="Times New Roman" w:eastAsia="Times New Roman" w:hAnsi="Times New Roman" w:cs="Times New Roman"/>
          <w:color w:val="000000" w:themeColor="text1"/>
          <w:kern w:val="36"/>
        </w:rPr>
        <w:t>May</w:t>
      </w:r>
      <w:r w:rsidR="00E46FE9" w:rsidRPr="008E6FEB">
        <w:rPr>
          <w:rFonts w:ascii="Times New Roman" w:eastAsia="Times New Roman" w:hAnsi="Times New Roman" w:cs="Times New Roman"/>
          <w:color w:val="000000" w:themeColor="text1"/>
          <w:kern w:val="36"/>
        </w:rPr>
        <w:t xml:space="preserve"> 2019</w:t>
      </w:r>
    </w:p>
    <w:p w14:paraId="0F5868E4" w14:textId="4D51EAD0" w:rsidR="00E46FE9" w:rsidRPr="008E6FEB" w:rsidRDefault="00E46FE9">
      <w:pPr>
        <w:rPr>
          <w:rFonts w:ascii="Times New Roman" w:hAnsi="Times New Roman" w:cs="Times New Roman"/>
        </w:rPr>
      </w:pPr>
    </w:p>
    <w:p w14:paraId="5AAA08C0" w14:textId="481E89C3" w:rsidR="000543E2" w:rsidRPr="008E6FEB" w:rsidRDefault="000543E2">
      <w:pPr>
        <w:rPr>
          <w:rFonts w:ascii="Times New Roman" w:hAnsi="Times New Roman" w:cs="Times New Roman"/>
        </w:rPr>
      </w:pPr>
    </w:p>
    <w:p w14:paraId="5697D9C7" w14:textId="1A8A7C44" w:rsidR="000543E2" w:rsidRPr="008E6FEB" w:rsidRDefault="000543E2">
      <w:pPr>
        <w:rPr>
          <w:rFonts w:ascii="Times New Roman" w:hAnsi="Times New Roman" w:cs="Times New Roman"/>
        </w:rPr>
      </w:pPr>
    </w:p>
    <w:p w14:paraId="4DCDEF6E" w14:textId="706727AC" w:rsidR="000543E2" w:rsidRPr="008E6FEB" w:rsidRDefault="000543E2">
      <w:pPr>
        <w:rPr>
          <w:rFonts w:ascii="Times New Roman" w:hAnsi="Times New Roman" w:cs="Times New Roman"/>
        </w:rPr>
      </w:pPr>
    </w:p>
    <w:p w14:paraId="4069F416" w14:textId="06E20382" w:rsidR="000543E2" w:rsidRDefault="000543E2">
      <w:pPr>
        <w:rPr>
          <w:rFonts w:ascii="Times New Roman" w:hAnsi="Times New Roman" w:cs="Times New Roman"/>
        </w:rPr>
      </w:pPr>
    </w:p>
    <w:p w14:paraId="27AD49AD" w14:textId="3DF03535" w:rsidR="009330AB" w:rsidRDefault="009330AB">
      <w:pPr>
        <w:rPr>
          <w:rFonts w:ascii="Times New Roman" w:hAnsi="Times New Roman" w:cs="Times New Roman"/>
        </w:rPr>
      </w:pPr>
    </w:p>
    <w:p w14:paraId="43361768" w14:textId="0D2CD2DE" w:rsidR="009330AB" w:rsidRDefault="009330AB">
      <w:pPr>
        <w:rPr>
          <w:rFonts w:ascii="Times New Roman" w:hAnsi="Times New Roman" w:cs="Times New Roman"/>
        </w:rPr>
      </w:pPr>
    </w:p>
    <w:p w14:paraId="0BA23936" w14:textId="77777777" w:rsidR="009330AB" w:rsidRPr="008E6FEB" w:rsidRDefault="009330AB">
      <w:pPr>
        <w:rPr>
          <w:rFonts w:ascii="Times New Roman" w:hAnsi="Times New Roman" w:cs="Times New Roman"/>
        </w:rPr>
      </w:pPr>
    </w:p>
    <w:p w14:paraId="6357D9CC" w14:textId="77777777" w:rsidR="001F1553" w:rsidRPr="00014CCE" w:rsidRDefault="001F1553" w:rsidP="00814C96">
      <w:pPr>
        <w:spacing w:line="480" w:lineRule="auto"/>
        <w:jc w:val="both"/>
        <w:rPr>
          <w:rFonts w:ascii="Times New Roman" w:eastAsia="Times New Roman" w:hAnsi="Times New Roman" w:cs="Times New Roman"/>
          <w:b/>
          <w:sz w:val="28"/>
          <w:szCs w:val="28"/>
        </w:rPr>
      </w:pPr>
      <w:r w:rsidRPr="00014CCE">
        <w:rPr>
          <w:rFonts w:ascii="Times New Roman" w:eastAsia="Times New Roman" w:hAnsi="Times New Roman" w:cs="Times New Roman"/>
          <w:b/>
          <w:sz w:val="28"/>
          <w:szCs w:val="28"/>
        </w:rPr>
        <w:t>Introduction</w:t>
      </w:r>
    </w:p>
    <w:p w14:paraId="338ADC74" w14:textId="77777777" w:rsidR="001F1553" w:rsidRDefault="001F1553" w:rsidP="00814C96">
      <w:pPr>
        <w:spacing w:line="480" w:lineRule="auto"/>
        <w:jc w:val="both"/>
        <w:rPr>
          <w:rFonts w:ascii="Times New Roman" w:eastAsia="Times New Roman" w:hAnsi="Times New Roman" w:cs="Times New Roman"/>
        </w:rPr>
      </w:pPr>
    </w:p>
    <w:p w14:paraId="3703FA83" w14:textId="0D334766" w:rsidR="00F00526" w:rsidRDefault="00B21E2E" w:rsidP="00014CCE">
      <w:pPr>
        <w:spacing w:line="480" w:lineRule="auto"/>
        <w:jc w:val="both"/>
        <w:rPr>
          <w:rFonts w:ascii="Times New Roman" w:eastAsia="Times New Roman" w:hAnsi="Times New Roman" w:cs="Times New Roman"/>
        </w:rPr>
      </w:pPr>
      <w:r>
        <w:rPr>
          <w:rFonts w:ascii="Times New Roman" w:eastAsia="Times New Roman" w:hAnsi="Times New Roman" w:cs="Times New Roman"/>
        </w:rPr>
        <w:t>Origins of Islamic law is a subject entry of Islamic encyclopaedia and a field of research filled with limitations. Two problems are most like</w:t>
      </w:r>
      <w:r w:rsidR="00814C96">
        <w:rPr>
          <w:rFonts w:ascii="Times New Roman" w:eastAsia="Times New Roman" w:hAnsi="Times New Roman" w:cs="Times New Roman"/>
        </w:rPr>
        <w:t>ly</w:t>
      </w:r>
      <w:r>
        <w:rPr>
          <w:rFonts w:ascii="Times New Roman" w:eastAsia="Times New Roman" w:hAnsi="Times New Roman" w:cs="Times New Roman"/>
        </w:rPr>
        <w:t xml:space="preserve"> to proceed with researching in this field; first of it is the datable security of the scarcity of referencing materials of a certain formative period; second </w:t>
      </w:r>
      <w:r w:rsidR="001F1553">
        <w:rPr>
          <w:rFonts w:ascii="Times New Roman" w:eastAsia="Times New Roman" w:hAnsi="Times New Roman" w:cs="Times New Roman"/>
        </w:rPr>
        <w:t xml:space="preserve">is the </w:t>
      </w:r>
      <w:r>
        <w:rPr>
          <w:rFonts w:ascii="Times New Roman" w:eastAsia="Times New Roman" w:hAnsi="Times New Roman" w:cs="Times New Roman"/>
        </w:rPr>
        <w:t xml:space="preserve">problem </w:t>
      </w:r>
      <w:r w:rsidR="001F1553">
        <w:rPr>
          <w:rFonts w:ascii="Times New Roman" w:eastAsia="Times New Roman" w:hAnsi="Times New Roman" w:cs="Times New Roman"/>
        </w:rPr>
        <w:t>of reasoning f</w:t>
      </w:r>
      <w:r w:rsidR="00814C96">
        <w:rPr>
          <w:rFonts w:ascii="Times New Roman" w:eastAsia="Times New Roman" w:hAnsi="Times New Roman" w:cs="Times New Roman"/>
        </w:rPr>
        <w:t>rom</w:t>
      </w:r>
      <w:r w:rsidR="001F1553">
        <w:rPr>
          <w:rFonts w:ascii="Times New Roman" w:eastAsia="Times New Roman" w:hAnsi="Times New Roman" w:cs="Times New Roman"/>
        </w:rPr>
        <w:t xml:space="preserve"> the side of the scholars from whom the inquiring is made. The origins in the subject of discussion is conclusively modern</w:t>
      </w:r>
      <w:r w:rsidR="00814C96">
        <w:rPr>
          <w:rFonts w:ascii="Times New Roman" w:eastAsia="Times New Roman" w:hAnsi="Times New Roman" w:cs="Times New Roman"/>
        </w:rPr>
        <w:t>,</w:t>
      </w:r>
      <w:r w:rsidR="001F1553">
        <w:rPr>
          <w:rFonts w:ascii="Times New Roman" w:eastAsia="Times New Roman" w:hAnsi="Times New Roman" w:cs="Times New Roman"/>
        </w:rPr>
        <w:t xml:space="preserve"> established circa 19</w:t>
      </w:r>
      <w:r w:rsidR="001F1553" w:rsidRPr="001F1553">
        <w:rPr>
          <w:rFonts w:ascii="Times New Roman" w:eastAsia="Times New Roman" w:hAnsi="Times New Roman" w:cs="Times New Roman"/>
          <w:vertAlign w:val="superscript"/>
        </w:rPr>
        <w:t>th</w:t>
      </w:r>
      <w:r w:rsidR="001F1553">
        <w:rPr>
          <w:rFonts w:ascii="Times New Roman" w:eastAsia="Times New Roman" w:hAnsi="Times New Roman" w:cs="Times New Roman"/>
        </w:rPr>
        <w:t xml:space="preserve"> century of the orientalism of Europe</w:t>
      </w:r>
      <w:r w:rsidR="00814C96">
        <w:rPr>
          <w:rFonts w:ascii="Times New Roman" w:eastAsia="Times New Roman" w:hAnsi="Times New Roman" w:cs="Times New Roman"/>
        </w:rPr>
        <w:t>ans</w:t>
      </w:r>
      <w:r w:rsidR="001F1553">
        <w:rPr>
          <w:rFonts w:ascii="Times New Roman" w:eastAsia="Times New Roman" w:hAnsi="Times New Roman" w:cs="Times New Roman"/>
        </w:rPr>
        <w:t xml:space="preserve"> taking into account most of its assumptions. </w:t>
      </w:r>
      <w:r w:rsidR="00CB1EFA">
        <w:rPr>
          <w:rFonts w:ascii="Times New Roman" w:eastAsia="Times New Roman" w:hAnsi="Times New Roman" w:cs="Times New Roman"/>
        </w:rPr>
        <w:t>These terms of inquiry of the origins result to exclusion and limitation out of the outset despite having the tendency to preclude indigenous generation and reproduction, and also to minimise or dismiss exceedingly cultural inheritance of complex patterns.</w:t>
      </w:r>
      <w:r w:rsidR="00664458">
        <w:rPr>
          <w:rFonts w:ascii="Times New Roman" w:eastAsia="Times New Roman" w:hAnsi="Times New Roman" w:cs="Times New Roman"/>
        </w:rPr>
        <w:t xml:space="preserve"> The relative coined word ‘Islamic law’ appears over in a rich</w:t>
      </w:r>
      <w:r w:rsidR="000026C2">
        <w:rPr>
          <w:rFonts w:ascii="Times New Roman" w:eastAsia="Times New Roman" w:hAnsi="Times New Roman" w:cs="Times New Roman"/>
        </w:rPr>
        <w:t xml:space="preserve"> excess of</w:t>
      </w:r>
      <w:r w:rsidR="00664458">
        <w:rPr>
          <w:rFonts w:ascii="Times New Roman" w:eastAsia="Times New Roman" w:hAnsi="Times New Roman" w:cs="Times New Roman"/>
        </w:rPr>
        <w:t xml:space="preserve"> </w:t>
      </w:r>
      <w:r w:rsidR="000026C2">
        <w:rPr>
          <w:rFonts w:ascii="Times New Roman" w:eastAsia="Times New Roman" w:hAnsi="Times New Roman" w:cs="Times New Roman"/>
        </w:rPr>
        <w:t xml:space="preserve">normative </w:t>
      </w:r>
      <w:r w:rsidR="00F00526">
        <w:rPr>
          <w:rFonts w:ascii="Times New Roman" w:eastAsia="Times New Roman" w:hAnsi="Times New Roman" w:cs="Times New Roman"/>
        </w:rPr>
        <w:t>opinions, practices</w:t>
      </w:r>
      <w:r w:rsidR="000026C2">
        <w:rPr>
          <w:rFonts w:ascii="Times New Roman" w:eastAsia="Times New Roman" w:hAnsi="Times New Roman" w:cs="Times New Roman"/>
        </w:rPr>
        <w:t xml:space="preserve"> and systems. Despite the problems, the coined word ‘Islamic law’ still evolved amidst critics and excessive sophisticated methodolog</w:t>
      </w:r>
      <w:r w:rsidR="00F00526">
        <w:rPr>
          <w:rFonts w:ascii="Times New Roman" w:eastAsia="Times New Roman" w:hAnsi="Times New Roman" w:cs="Times New Roman"/>
        </w:rPr>
        <w:t>ies resulting to a fruitful and highest degree of constructive field</w:t>
      </w:r>
      <w:r w:rsidR="00814C96">
        <w:rPr>
          <w:rFonts w:ascii="Times New Roman" w:eastAsia="Times New Roman" w:hAnsi="Times New Roman" w:cs="Times New Roman"/>
        </w:rPr>
        <w:t xml:space="preserve"> of research</w:t>
      </w:r>
      <w:r w:rsidR="00F00526">
        <w:rPr>
          <w:rFonts w:ascii="Times New Roman" w:eastAsia="Times New Roman" w:hAnsi="Times New Roman" w:cs="Times New Roman"/>
        </w:rPr>
        <w:t>.</w:t>
      </w:r>
    </w:p>
    <w:p w14:paraId="0346BDA5" w14:textId="411E9FFF" w:rsidR="00C045E6" w:rsidRDefault="00C045E6" w:rsidP="00014CCE">
      <w:pPr>
        <w:spacing w:line="480" w:lineRule="auto"/>
        <w:jc w:val="both"/>
        <w:rPr>
          <w:rFonts w:ascii="Times New Roman" w:eastAsia="Times New Roman" w:hAnsi="Times New Roman" w:cs="Times New Roman"/>
        </w:rPr>
      </w:pPr>
    </w:p>
    <w:p w14:paraId="4EECBFEB" w14:textId="0E3CD6BC" w:rsidR="00C045E6" w:rsidRPr="00014CCE" w:rsidRDefault="00C045E6" w:rsidP="00014CCE">
      <w:pPr>
        <w:spacing w:line="480" w:lineRule="auto"/>
        <w:jc w:val="both"/>
        <w:rPr>
          <w:rFonts w:ascii="Times New Roman" w:eastAsia="Times New Roman" w:hAnsi="Times New Roman" w:cs="Times New Roman"/>
          <w:b/>
          <w:sz w:val="28"/>
          <w:szCs w:val="28"/>
        </w:rPr>
      </w:pPr>
      <w:r w:rsidRPr="00014CCE">
        <w:rPr>
          <w:rFonts w:ascii="Times New Roman" w:eastAsia="Times New Roman" w:hAnsi="Times New Roman" w:cs="Times New Roman"/>
          <w:b/>
          <w:sz w:val="28"/>
          <w:szCs w:val="28"/>
        </w:rPr>
        <w:t>Origin of the early sources of Shari’ah</w:t>
      </w:r>
    </w:p>
    <w:p w14:paraId="4F06AB8F" w14:textId="70F0CD0A" w:rsidR="00C045E6" w:rsidRDefault="00C045E6" w:rsidP="00014CCE">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To study the origin of Islamic law, there is the need to start from the source which is the era of prophet Muhammad (Peace Be Upon Him). </w:t>
      </w:r>
      <w:r w:rsidR="002F48D0">
        <w:rPr>
          <w:rFonts w:ascii="Times New Roman" w:eastAsia="Times New Roman" w:hAnsi="Times New Roman" w:cs="Times New Roman"/>
        </w:rPr>
        <w:t>However,</w:t>
      </w:r>
      <w:r>
        <w:rPr>
          <w:rFonts w:ascii="Times New Roman" w:eastAsia="Times New Roman" w:hAnsi="Times New Roman" w:cs="Times New Roman"/>
        </w:rPr>
        <w:t xml:space="preserve"> it must not be forgotten to mention that the origin of Islamic Shari’ah is otherwise referred to as enigmatic.  With the examination of the traditional historical background of Islam in consideration with </w:t>
      </w:r>
      <w:r w:rsidR="002F48D0">
        <w:rPr>
          <w:rFonts w:ascii="Times New Roman" w:eastAsia="Times New Roman" w:hAnsi="Times New Roman" w:cs="Times New Roman"/>
        </w:rPr>
        <w:t>o</w:t>
      </w:r>
      <w:r>
        <w:rPr>
          <w:rFonts w:ascii="Times New Roman" w:eastAsia="Times New Roman" w:hAnsi="Times New Roman" w:cs="Times New Roman"/>
        </w:rPr>
        <w:t>the</w:t>
      </w:r>
      <w:r w:rsidR="002F48D0">
        <w:rPr>
          <w:rFonts w:ascii="Times New Roman" w:eastAsia="Times New Roman" w:hAnsi="Times New Roman" w:cs="Times New Roman"/>
        </w:rPr>
        <w:t>r</w:t>
      </w:r>
      <w:r>
        <w:rPr>
          <w:rFonts w:ascii="Times New Roman" w:eastAsia="Times New Roman" w:hAnsi="Times New Roman" w:cs="Times New Roman"/>
        </w:rPr>
        <w:t xml:space="preserve"> </w:t>
      </w:r>
      <w:r w:rsidR="002F48D0">
        <w:rPr>
          <w:rFonts w:ascii="Times New Roman" w:eastAsia="Times New Roman" w:hAnsi="Times New Roman" w:cs="Times New Roman"/>
        </w:rPr>
        <w:t>sources that are non-Islamic during the same period of time, yet the true origins of Islamic law turned out to be difficult to comprehend.</w:t>
      </w:r>
    </w:p>
    <w:p w14:paraId="60F6F4B6" w14:textId="7D16E286" w:rsidR="002F48D0" w:rsidRDefault="002F48D0" w:rsidP="00014CCE">
      <w:pPr>
        <w:spacing w:line="480" w:lineRule="auto"/>
        <w:jc w:val="both"/>
        <w:rPr>
          <w:rFonts w:ascii="Times New Roman" w:eastAsia="Times New Roman" w:hAnsi="Times New Roman" w:cs="Times New Roman"/>
        </w:rPr>
      </w:pPr>
    </w:p>
    <w:p w14:paraId="31A67142" w14:textId="77777777" w:rsidR="00C921C0" w:rsidRDefault="002F48D0" w:rsidP="00014CCE">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the history of Islam, the angel of revelation “Gabriel” visited the holy prophet Muhammad (Peace Be Upon Him) in the year 610 CE. </w:t>
      </w:r>
      <w:r w:rsidR="006C7DAC">
        <w:rPr>
          <w:rFonts w:ascii="Times New Roman" w:eastAsia="Times New Roman" w:hAnsi="Times New Roman" w:cs="Times New Roman"/>
        </w:rPr>
        <w:t xml:space="preserve">It was noted by the traditional scholars that within the period of 610 and 632 CE, prophet Muhammad (Peace Be Upon Him) was in the period receiving revelations from Allah which was later compiled into a whole book called Al - Qur’an and upon it formed the Islamic empire in the Arab region. Thus, at the time of the death of the holy Prophet Muhammad (Peace Be Upon Him) in the 632 CE, Islam has already been established on two major primary sources of law which were institutionalized on the empire. </w:t>
      </w:r>
    </w:p>
    <w:p w14:paraId="7D11972F" w14:textId="77777777" w:rsidR="00C921C0" w:rsidRDefault="00C921C0" w:rsidP="00014CCE">
      <w:pPr>
        <w:spacing w:line="480" w:lineRule="auto"/>
        <w:jc w:val="both"/>
        <w:rPr>
          <w:rFonts w:ascii="Times New Roman" w:eastAsia="Times New Roman" w:hAnsi="Times New Roman" w:cs="Times New Roman"/>
        </w:rPr>
      </w:pPr>
    </w:p>
    <w:p w14:paraId="71FD2AE8" w14:textId="26E1D6D8" w:rsidR="002F48D0" w:rsidRDefault="006C7DAC" w:rsidP="00014CCE">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The first source is the Qur’an and the second source </w:t>
      </w: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the Sunnah. The existing Al – Qur’an known as the book of guidance for the Muslims is compiled upon one hundred and fourteen chapters</w:t>
      </w:r>
      <w:r w:rsidR="00C921C0">
        <w:rPr>
          <w:rFonts w:ascii="Times New Roman" w:eastAsia="Times New Roman" w:hAnsi="Times New Roman" w:cs="Times New Roman"/>
        </w:rPr>
        <w:t xml:space="preserve"> ‘114 surahs’, comprising a total of six thousand two hundred and thirty-six verses ‘6236 ayah’. The Qur’anic verses highlights the angelic men of God and their deeds during their life time people like Noah, Moses, Issa ‘Jesus’ etc.</w:t>
      </w:r>
    </w:p>
    <w:p w14:paraId="40FBDE2E" w14:textId="19877004" w:rsidR="00C921C0" w:rsidRDefault="00C921C0" w:rsidP="00014CCE">
      <w:pPr>
        <w:spacing w:line="480" w:lineRule="auto"/>
        <w:jc w:val="both"/>
        <w:rPr>
          <w:rFonts w:ascii="Times New Roman" w:eastAsia="Times New Roman" w:hAnsi="Times New Roman" w:cs="Times New Roman"/>
        </w:rPr>
      </w:pPr>
    </w:p>
    <w:p w14:paraId="7BE1131B" w14:textId="7015A40E" w:rsidR="00C921C0" w:rsidRDefault="00C921C0" w:rsidP="00014CCE">
      <w:pPr>
        <w:spacing w:line="480" w:lineRule="auto"/>
        <w:jc w:val="both"/>
        <w:rPr>
          <w:rFonts w:ascii="Times New Roman" w:eastAsia="Times New Roman" w:hAnsi="Times New Roman" w:cs="Times New Roman"/>
        </w:rPr>
      </w:pPr>
      <w:r>
        <w:rPr>
          <w:rFonts w:ascii="Times New Roman" w:eastAsia="Times New Roman" w:hAnsi="Times New Roman" w:cs="Times New Roman"/>
        </w:rPr>
        <w:t>The second source is the Sunnah, Sunnah is also a scared guide to human’s life, it analyses how to live a better life using Prophets Muhammad (Peace Be Upon Him) as a role model. Sunnah is the saying, the deeds and the tacit consent of the holy prophet. Sunnah is understood to interpret the Qur’an</w:t>
      </w:r>
      <w:r w:rsidR="00014CCE">
        <w:rPr>
          <w:rFonts w:ascii="Times New Roman" w:eastAsia="Times New Roman" w:hAnsi="Times New Roman" w:cs="Times New Roman"/>
        </w:rPr>
        <w:t>. Therefore, Qur’an describes the general rulings of law while Sunnah elaborates on the detail explanation of briefing and ambiguous rules of the Qur’an. There are methodologies by which jurists deduce rulings from the source. These will be mentioned in entry two of this writing.</w:t>
      </w:r>
    </w:p>
    <w:p w14:paraId="32F08F21" w14:textId="77777777" w:rsidR="00014CCE" w:rsidRDefault="00014CCE" w:rsidP="00014CCE">
      <w:pPr>
        <w:spacing w:line="480" w:lineRule="auto"/>
        <w:jc w:val="both"/>
        <w:rPr>
          <w:rFonts w:ascii="Times New Roman" w:eastAsia="Times New Roman" w:hAnsi="Times New Roman" w:cs="Times New Roman"/>
          <w:b/>
          <w:sz w:val="28"/>
          <w:szCs w:val="28"/>
        </w:rPr>
      </w:pPr>
    </w:p>
    <w:p w14:paraId="33E1338C" w14:textId="37B84309" w:rsidR="00014CCE" w:rsidRPr="00014CCE" w:rsidRDefault="00014CCE" w:rsidP="00014CCE">
      <w:pPr>
        <w:spacing w:line="480" w:lineRule="auto"/>
        <w:jc w:val="both"/>
        <w:rPr>
          <w:rFonts w:ascii="Times New Roman" w:eastAsia="Times New Roman" w:hAnsi="Times New Roman" w:cs="Times New Roman"/>
          <w:b/>
          <w:sz w:val="28"/>
          <w:szCs w:val="28"/>
        </w:rPr>
      </w:pPr>
      <w:r w:rsidRPr="00014CCE">
        <w:rPr>
          <w:rFonts w:ascii="Times New Roman" w:eastAsia="Times New Roman" w:hAnsi="Times New Roman" w:cs="Times New Roman"/>
          <w:b/>
          <w:sz w:val="28"/>
          <w:szCs w:val="28"/>
        </w:rPr>
        <w:t>Reference:</w:t>
      </w:r>
    </w:p>
    <w:p w14:paraId="70280345" w14:textId="51AFBD2E" w:rsidR="00F00526" w:rsidRPr="00014CCE" w:rsidRDefault="00014CCE" w:rsidP="00014CCE">
      <w:pPr>
        <w:widowControl w:val="0"/>
        <w:spacing w:line="480" w:lineRule="auto"/>
        <w:jc w:val="both"/>
        <w:rPr>
          <w:rFonts w:ascii="Times New Roman" w:hAnsi="Times New Roman" w:cs="Times New Roman"/>
          <w:bCs/>
          <w:i/>
          <w:iCs/>
        </w:rPr>
      </w:pPr>
      <w:r w:rsidRPr="001E5399">
        <w:rPr>
          <w:rFonts w:ascii="Times New Roman" w:hAnsi="Times New Roman" w:cs="Times New Roman"/>
          <w:bCs/>
        </w:rPr>
        <w:t>Kamali, M. (199</w:t>
      </w:r>
      <w:r>
        <w:rPr>
          <w:rFonts w:ascii="Times New Roman" w:hAnsi="Times New Roman" w:cs="Times New Roman"/>
          <w:bCs/>
        </w:rPr>
        <w:t>6</w:t>
      </w:r>
      <w:r w:rsidRPr="001E5399">
        <w:rPr>
          <w:rFonts w:ascii="Times New Roman" w:hAnsi="Times New Roman" w:cs="Times New Roman"/>
          <w:bCs/>
        </w:rPr>
        <w:t xml:space="preserve">). </w:t>
      </w:r>
      <w:r w:rsidRPr="001E5399">
        <w:rPr>
          <w:rFonts w:ascii="Times New Roman" w:hAnsi="Times New Roman" w:cs="Times New Roman"/>
          <w:bCs/>
          <w:i/>
          <w:iCs/>
        </w:rPr>
        <w:t xml:space="preserve">Principles of Islamic Jurisprudence. </w:t>
      </w:r>
      <w:r w:rsidRPr="001E5399">
        <w:rPr>
          <w:rFonts w:ascii="Times New Roman" w:hAnsi="Times New Roman" w:cs="Times New Roman"/>
          <w:bCs/>
        </w:rPr>
        <w:t>Islamic Text Society, Cambridge</w:t>
      </w:r>
      <w:bookmarkStart w:id="0" w:name="_GoBack"/>
      <w:bookmarkEnd w:id="0"/>
    </w:p>
    <w:p w14:paraId="71966E6F" w14:textId="54F54854" w:rsidR="00B20C4A" w:rsidRPr="00B20C4A" w:rsidRDefault="000026C2" w:rsidP="00814C96">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664458">
        <w:rPr>
          <w:rFonts w:ascii="Times New Roman" w:eastAsia="Times New Roman" w:hAnsi="Times New Roman" w:cs="Times New Roman"/>
        </w:rPr>
        <w:t xml:space="preserve"> </w:t>
      </w:r>
    </w:p>
    <w:sectPr w:rsidR="00B20C4A" w:rsidRPr="00B20C4A" w:rsidSect="001F68FD">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141E6C" w14:textId="77777777" w:rsidR="00807163" w:rsidRDefault="00807163" w:rsidP="00B20C4A">
      <w:r>
        <w:separator/>
      </w:r>
    </w:p>
  </w:endnote>
  <w:endnote w:type="continuationSeparator" w:id="0">
    <w:p w14:paraId="1D00BED0" w14:textId="77777777" w:rsidR="00807163" w:rsidRDefault="00807163" w:rsidP="00B20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18662593"/>
      <w:docPartObj>
        <w:docPartGallery w:val="Page Numbers (Bottom of Page)"/>
        <w:docPartUnique/>
      </w:docPartObj>
    </w:sdtPr>
    <w:sdtEndPr>
      <w:rPr>
        <w:rStyle w:val="PageNumber"/>
      </w:rPr>
    </w:sdtEndPr>
    <w:sdtContent>
      <w:p w14:paraId="23B160A2" w14:textId="12FBA9D3" w:rsidR="00B20C4A" w:rsidRDefault="00B20C4A" w:rsidP="00BB2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530345" w14:textId="77777777" w:rsidR="00B20C4A" w:rsidRDefault="00B20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158747"/>
      <w:docPartObj>
        <w:docPartGallery w:val="Page Numbers (Bottom of Page)"/>
        <w:docPartUnique/>
      </w:docPartObj>
    </w:sdtPr>
    <w:sdtEndPr>
      <w:rPr>
        <w:rStyle w:val="PageNumber"/>
      </w:rPr>
    </w:sdtEndPr>
    <w:sdtContent>
      <w:p w14:paraId="55F55437" w14:textId="6E7A39A6" w:rsidR="00B20C4A" w:rsidRDefault="00B20C4A" w:rsidP="00BB2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3D83C7" w14:textId="77777777" w:rsidR="00B20C4A" w:rsidRDefault="00B20C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5647D" w14:textId="77777777" w:rsidR="00807163" w:rsidRDefault="00807163" w:rsidP="00B20C4A">
      <w:r>
        <w:separator/>
      </w:r>
    </w:p>
  </w:footnote>
  <w:footnote w:type="continuationSeparator" w:id="0">
    <w:p w14:paraId="5B7A8F79" w14:textId="77777777" w:rsidR="00807163" w:rsidRDefault="00807163" w:rsidP="00B20C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A900F" w14:textId="601F1B80" w:rsidR="00B20C4A" w:rsidRDefault="00B20C4A">
    <w:pPr>
      <w:pStyle w:val="Header"/>
    </w:pPr>
    <w:r>
      <w:t>TRDL7064</w:t>
    </w:r>
    <w:r>
      <w:ptab w:relativeTo="margin" w:alignment="center" w:leader="none"/>
    </w:r>
    <w:r>
      <w:t>Islamic Law in the Contemporary World</w:t>
    </w:r>
    <w:r>
      <w:ptab w:relativeTo="margin" w:alignment="right" w:leader="none"/>
    </w:r>
    <w:r>
      <w:t>1603804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700BB"/>
    <w:multiLevelType w:val="hybridMultilevel"/>
    <w:tmpl w:val="A1E2D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E9"/>
    <w:rsid w:val="000010EC"/>
    <w:rsid w:val="000026C2"/>
    <w:rsid w:val="00014CCE"/>
    <w:rsid w:val="000543E2"/>
    <w:rsid w:val="000613CD"/>
    <w:rsid w:val="000B6799"/>
    <w:rsid w:val="00167AA4"/>
    <w:rsid w:val="001C0644"/>
    <w:rsid w:val="001F1553"/>
    <w:rsid w:val="001F68FD"/>
    <w:rsid w:val="002246FB"/>
    <w:rsid w:val="002274AD"/>
    <w:rsid w:val="00227AD4"/>
    <w:rsid w:val="002301FC"/>
    <w:rsid w:val="002873B7"/>
    <w:rsid w:val="002A480D"/>
    <w:rsid w:val="002E3576"/>
    <w:rsid w:val="002F48D0"/>
    <w:rsid w:val="003432DD"/>
    <w:rsid w:val="00385E61"/>
    <w:rsid w:val="003C5D0E"/>
    <w:rsid w:val="00400174"/>
    <w:rsid w:val="0049542A"/>
    <w:rsid w:val="004955D7"/>
    <w:rsid w:val="004A59D4"/>
    <w:rsid w:val="004E0B4F"/>
    <w:rsid w:val="00597FB1"/>
    <w:rsid w:val="005C4E79"/>
    <w:rsid w:val="00604C0A"/>
    <w:rsid w:val="0061258A"/>
    <w:rsid w:val="00653E6C"/>
    <w:rsid w:val="00664458"/>
    <w:rsid w:val="00692F46"/>
    <w:rsid w:val="006A6460"/>
    <w:rsid w:val="006C7DAC"/>
    <w:rsid w:val="00707D1B"/>
    <w:rsid w:val="0071262C"/>
    <w:rsid w:val="007342C9"/>
    <w:rsid w:val="00736FE5"/>
    <w:rsid w:val="007402FE"/>
    <w:rsid w:val="00764BA3"/>
    <w:rsid w:val="0077797F"/>
    <w:rsid w:val="007D6AA3"/>
    <w:rsid w:val="00807163"/>
    <w:rsid w:val="00814C96"/>
    <w:rsid w:val="008C4040"/>
    <w:rsid w:val="008D3E50"/>
    <w:rsid w:val="008E6FEB"/>
    <w:rsid w:val="009330AB"/>
    <w:rsid w:val="00940A20"/>
    <w:rsid w:val="00973722"/>
    <w:rsid w:val="00992496"/>
    <w:rsid w:val="009B372B"/>
    <w:rsid w:val="009B5591"/>
    <w:rsid w:val="009C625F"/>
    <w:rsid w:val="00A272B3"/>
    <w:rsid w:val="00A44194"/>
    <w:rsid w:val="00A74863"/>
    <w:rsid w:val="00B20C4A"/>
    <w:rsid w:val="00B21E2E"/>
    <w:rsid w:val="00B4030C"/>
    <w:rsid w:val="00B7387D"/>
    <w:rsid w:val="00B83B73"/>
    <w:rsid w:val="00BA463B"/>
    <w:rsid w:val="00BC02B6"/>
    <w:rsid w:val="00BD11E9"/>
    <w:rsid w:val="00C045E6"/>
    <w:rsid w:val="00C12497"/>
    <w:rsid w:val="00C16764"/>
    <w:rsid w:val="00C7157F"/>
    <w:rsid w:val="00C921C0"/>
    <w:rsid w:val="00CB1EFA"/>
    <w:rsid w:val="00D37EA9"/>
    <w:rsid w:val="00D85D0E"/>
    <w:rsid w:val="00DB3DAA"/>
    <w:rsid w:val="00DB4D04"/>
    <w:rsid w:val="00DC6C9A"/>
    <w:rsid w:val="00DD476A"/>
    <w:rsid w:val="00DF1338"/>
    <w:rsid w:val="00E05411"/>
    <w:rsid w:val="00E35B2E"/>
    <w:rsid w:val="00E46FE9"/>
    <w:rsid w:val="00E92E6E"/>
    <w:rsid w:val="00EA4342"/>
    <w:rsid w:val="00F00526"/>
    <w:rsid w:val="00F24017"/>
    <w:rsid w:val="00F55A6C"/>
    <w:rsid w:val="00FF3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69ABCC"/>
  <w15:chartTrackingRefBased/>
  <w15:docId w15:val="{B9827C51-3182-5A47-BBB7-F6572C8AB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F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644"/>
    <w:pPr>
      <w:ind w:left="720"/>
      <w:contextualSpacing/>
    </w:pPr>
  </w:style>
  <w:style w:type="paragraph" w:styleId="Header">
    <w:name w:val="header"/>
    <w:basedOn w:val="Normal"/>
    <w:link w:val="HeaderChar"/>
    <w:uiPriority w:val="99"/>
    <w:unhideWhenUsed/>
    <w:rsid w:val="00B20C4A"/>
    <w:pPr>
      <w:tabs>
        <w:tab w:val="center" w:pos="4680"/>
        <w:tab w:val="right" w:pos="9360"/>
      </w:tabs>
    </w:pPr>
  </w:style>
  <w:style w:type="character" w:customStyle="1" w:styleId="HeaderChar">
    <w:name w:val="Header Char"/>
    <w:basedOn w:val="DefaultParagraphFont"/>
    <w:link w:val="Header"/>
    <w:uiPriority w:val="99"/>
    <w:rsid w:val="00B20C4A"/>
  </w:style>
  <w:style w:type="paragraph" w:styleId="Footer">
    <w:name w:val="footer"/>
    <w:basedOn w:val="Normal"/>
    <w:link w:val="FooterChar"/>
    <w:uiPriority w:val="99"/>
    <w:unhideWhenUsed/>
    <w:rsid w:val="00B20C4A"/>
    <w:pPr>
      <w:tabs>
        <w:tab w:val="center" w:pos="4680"/>
        <w:tab w:val="right" w:pos="9360"/>
      </w:tabs>
    </w:pPr>
  </w:style>
  <w:style w:type="character" w:customStyle="1" w:styleId="FooterChar">
    <w:name w:val="Footer Char"/>
    <w:basedOn w:val="DefaultParagraphFont"/>
    <w:link w:val="Footer"/>
    <w:uiPriority w:val="99"/>
    <w:rsid w:val="00B20C4A"/>
  </w:style>
  <w:style w:type="character" w:styleId="PageNumber">
    <w:name w:val="page number"/>
    <w:basedOn w:val="DefaultParagraphFont"/>
    <w:uiPriority w:val="99"/>
    <w:semiHidden/>
    <w:unhideWhenUsed/>
    <w:rsid w:val="00B20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235914">
      <w:bodyDiv w:val="1"/>
      <w:marLeft w:val="0"/>
      <w:marRight w:val="0"/>
      <w:marTop w:val="0"/>
      <w:marBottom w:val="0"/>
      <w:divBdr>
        <w:top w:val="none" w:sz="0" w:space="0" w:color="auto"/>
        <w:left w:val="none" w:sz="0" w:space="0" w:color="auto"/>
        <w:bottom w:val="none" w:sz="0" w:space="0" w:color="auto"/>
        <w:right w:val="none" w:sz="0" w:space="0" w:color="auto"/>
      </w:divBdr>
    </w:div>
    <w:div w:id="405297536">
      <w:bodyDiv w:val="1"/>
      <w:marLeft w:val="0"/>
      <w:marRight w:val="0"/>
      <w:marTop w:val="0"/>
      <w:marBottom w:val="0"/>
      <w:divBdr>
        <w:top w:val="none" w:sz="0" w:space="0" w:color="auto"/>
        <w:left w:val="none" w:sz="0" w:space="0" w:color="auto"/>
        <w:bottom w:val="none" w:sz="0" w:space="0" w:color="auto"/>
        <w:right w:val="none" w:sz="0" w:space="0" w:color="auto"/>
      </w:divBdr>
    </w:div>
    <w:div w:id="496964576">
      <w:bodyDiv w:val="1"/>
      <w:marLeft w:val="0"/>
      <w:marRight w:val="0"/>
      <w:marTop w:val="0"/>
      <w:marBottom w:val="0"/>
      <w:divBdr>
        <w:top w:val="none" w:sz="0" w:space="0" w:color="auto"/>
        <w:left w:val="none" w:sz="0" w:space="0" w:color="auto"/>
        <w:bottom w:val="none" w:sz="0" w:space="0" w:color="auto"/>
        <w:right w:val="none" w:sz="0" w:space="0" w:color="auto"/>
      </w:divBdr>
    </w:div>
    <w:div w:id="543326099">
      <w:bodyDiv w:val="1"/>
      <w:marLeft w:val="0"/>
      <w:marRight w:val="0"/>
      <w:marTop w:val="0"/>
      <w:marBottom w:val="0"/>
      <w:divBdr>
        <w:top w:val="none" w:sz="0" w:space="0" w:color="auto"/>
        <w:left w:val="none" w:sz="0" w:space="0" w:color="auto"/>
        <w:bottom w:val="none" w:sz="0" w:space="0" w:color="auto"/>
        <w:right w:val="none" w:sz="0" w:space="0" w:color="auto"/>
      </w:divBdr>
    </w:div>
    <w:div w:id="1186752912">
      <w:bodyDiv w:val="1"/>
      <w:marLeft w:val="0"/>
      <w:marRight w:val="0"/>
      <w:marTop w:val="0"/>
      <w:marBottom w:val="0"/>
      <w:divBdr>
        <w:top w:val="none" w:sz="0" w:space="0" w:color="auto"/>
        <w:left w:val="none" w:sz="0" w:space="0" w:color="auto"/>
        <w:bottom w:val="none" w:sz="0" w:space="0" w:color="auto"/>
        <w:right w:val="none" w:sz="0" w:space="0" w:color="auto"/>
      </w:divBdr>
    </w:div>
    <w:div w:id="1208955403">
      <w:bodyDiv w:val="1"/>
      <w:marLeft w:val="0"/>
      <w:marRight w:val="0"/>
      <w:marTop w:val="0"/>
      <w:marBottom w:val="0"/>
      <w:divBdr>
        <w:top w:val="none" w:sz="0" w:space="0" w:color="auto"/>
        <w:left w:val="none" w:sz="0" w:space="0" w:color="auto"/>
        <w:bottom w:val="none" w:sz="0" w:space="0" w:color="auto"/>
        <w:right w:val="none" w:sz="0" w:space="0" w:color="auto"/>
      </w:divBdr>
    </w:div>
    <w:div w:id="123053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1505</TotalTime>
  <Pages>4</Pages>
  <Words>555</Words>
  <Characters>3164</Characters>
  <Application>Microsoft Office Word</Application>
  <DocSecurity>0</DocSecurity>
  <Lines>26</Lines>
  <Paragraphs>7</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Module:</vt:lpstr>
      <vt:lpstr>Islamic Law in the Contemporary World (TRDL 7064)</vt:lpstr>
      <vt:lpstr/>
      <vt:lpstr>Assignment Two (Encyclopaedia) - Entry One:</vt:lpstr>
      <vt:lpstr/>
      <vt:lpstr>The Origins of Islamic Law</vt:lpstr>
      <vt:lpstr/>
      <vt:lpstr/>
      <vt:lpstr>Tutor:</vt:lpstr>
      <vt:lpstr>Prof Gary Bunt</vt:lpstr>
      <vt:lpstr/>
      <vt:lpstr/>
      <vt:lpstr/>
      <vt:lpstr/>
      <vt:lpstr/>
      <vt:lpstr/>
      <vt:lpstr>Submitted by:</vt:lpstr>
      <vt:lpstr>Mohammed Adebayo (1603804)</vt:lpstr>
      <vt:lpstr>University of Wales Trinity Saint David </vt:lpstr>
      <vt:lpstr>Lampeter Campus</vt:lpstr>
      <vt:lpstr>May 2019</vt:lpstr>
    </vt:vector>
  </TitlesOfParts>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2019-05-07T15:12:00Z</dcterms:created>
  <dcterms:modified xsi:type="dcterms:W3CDTF">2019-05-24T01:00:00Z</dcterms:modified>
</cp:coreProperties>
</file>