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E4620A" w14:textId="77777777" w:rsidR="00257517" w:rsidRDefault="00000000" w:rsidP="00924F57">
      <w:r>
        <w:rPr>
          <w:noProof/>
        </w:rPr>
        <w:drawing>
          <wp:inline distT="114300" distB="114300" distL="114300" distR="114300" wp14:anchorId="757EF5B1" wp14:editId="22A48B54">
            <wp:extent cx="2571750" cy="9048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571750" cy="904875"/>
                    </a:xfrm>
                    <a:prstGeom prst="rect">
                      <a:avLst/>
                    </a:prstGeom>
                    <a:ln/>
                  </pic:spPr>
                </pic:pic>
              </a:graphicData>
            </a:graphic>
          </wp:inline>
        </w:drawing>
      </w:r>
    </w:p>
    <w:p w14:paraId="4891CDA2" w14:textId="77777777" w:rsidR="00257517" w:rsidRDefault="00257517" w:rsidP="00924F57">
      <w:pPr>
        <w:jc w:val="center"/>
        <w:rPr>
          <w:b/>
          <w:bCs/>
          <w:sz w:val="32"/>
          <w:szCs w:val="32"/>
        </w:rPr>
      </w:pPr>
    </w:p>
    <w:p w14:paraId="1C8A9BF1" w14:textId="2F98EEAE" w:rsidR="00257517" w:rsidRPr="00FD01F6" w:rsidRDefault="00FD01F6" w:rsidP="00924F57">
      <w:pPr>
        <w:jc w:val="center"/>
        <w:rPr>
          <w:b/>
          <w:bCs/>
          <w:sz w:val="52"/>
          <w:szCs w:val="52"/>
        </w:rPr>
      </w:pPr>
      <w:r w:rsidRPr="00FD01F6">
        <w:rPr>
          <w:b/>
          <w:bCs/>
          <w:sz w:val="52"/>
          <w:szCs w:val="52"/>
        </w:rPr>
        <w:t>Changemakers: Building your Personal Brand for Sustainable Employment</w:t>
      </w:r>
    </w:p>
    <w:p w14:paraId="0C8D2919" w14:textId="77777777" w:rsidR="00257517" w:rsidRPr="00FD01F6" w:rsidRDefault="00257517" w:rsidP="00924F57">
      <w:pPr>
        <w:jc w:val="center"/>
        <w:rPr>
          <w:b/>
          <w:bCs/>
          <w:sz w:val="52"/>
          <w:szCs w:val="52"/>
        </w:rPr>
      </w:pPr>
    </w:p>
    <w:p w14:paraId="4D005479" w14:textId="77777777" w:rsidR="00FD01F6" w:rsidRDefault="00FD01F6" w:rsidP="00FD01F6">
      <w:pPr>
        <w:jc w:val="right"/>
        <w:rPr>
          <w:b/>
          <w:bCs/>
          <w:sz w:val="30"/>
          <w:szCs w:val="30"/>
        </w:rPr>
      </w:pPr>
    </w:p>
    <w:p w14:paraId="6E67819B" w14:textId="77777777" w:rsidR="00FD01F6" w:rsidRDefault="00FD01F6" w:rsidP="00FD01F6">
      <w:pPr>
        <w:jc w:val="right"/>
        <w:rPr>
          <w:b/>
          <w:bCs/>
          <w:sz w:val="30"/>
          <w:szCs w:val="30"/>
        </w:rPr>
      </w:pPr>
    </w:p>
    <w:p w14:paraId="2EA0A2C5" w14:textId="77777777" w:rsidR="00FD01F6" w:rsidRDefault="00FD01F6" w:rsidP="00FD01F6">
      <w:pPr>
        <w:jc w:val="right"/>
        <w:rPr>
          <w:b/>
          <w:bCs/>
          <w:sz w:val="30"/>
          <w:szCs w:val="30"/>
        </w:rPr>
      </w:pPr>
    </w:p>
    <w:p w14:paraId="5625F303" w14:textId="77777777" w:rsidR="00FD01F6" w:rsidRDefault="00FD01F6" w:rsidP="00FD01F6">
      <w:pPr>
        <w:jc w:val="right"/>
        <w:rPr>
          <w:b/>
          <w:bCs/>
          <w:sz w:val="30"/>
          <w:szCs w:val="30"/>
        </w:rPr>
      </w:pPr>
    </w:p>
    <w:p w14:paraId="1E6E4E92" w14:textId="5CDA6E8A" w:rsidR="00257517" w:rsidRDefault="00000000" w:rsidP="00FD01F6">
      <w:pPr>
        <w:jc w:val="right"/>
        <w:rPr>
          <w:b/>
          <w:bCs/>
          <w:sz w:val="32"/>
          <w:szCs w:val="32"/>
        </w:rPr>
      </w:pPr>
      <w:r>
        <w:rPr>
          <w:b/>
          <w:bCs/>
          <w:sz w:val="30"/>
          <w:szCs w:val="30"/>
        </w:rPr>
        <w:t>Assignment Title: Component 1</w:t>
      </w:r>
      <w:r w:rsidR="00FD01F6">
        <w:rPr>
          <w:b/>
          <w:bCs/>
          <w:sz w:val="30"/>
          <w:szCs w:val="30"/>
        </w:rPr>
        <w:t xml:space="preserve"> Online </w:t>
      </w:r>
      <w:proofErr w:type="spellStart"/>
      <w:r w:rsidR="00FD01F6">
        <w:rPr>
          <w:b/>
          <w:bCs/>
          <w:sz w:val="30"/>
          <w:szCs w:val="30"/>
        </w:rPr>
        <w:t>Portofolio</w:t>
      </w:r>
      <w:proofErr w:type="spellEnd"/>
    </w:p>
    <w:p w14:paraId="08C8EA25" w14:textId="40268943" w:rsidR="00257517" w:rsidRDefault="00000000" w:rsidP="00FD01F6">
      <w:pPr>
        <w:jc w:val="right"/>
        <w:rPr>
          <w:b/>
          <w:bCs/>
          <w:sz w:val="30"/>
          <w:szCs w:val="30"/>
        </w:rPr>
      </w:pPr>
      <w:r>
        <w:rPr>
          <w:b/>
          <w:bCs/>
          <w:sz w:val="30"/>
          <w:szCs w:val="30"/>
        </w:rPr>
        <w:t>Student name:</w:t>
      </w:r>
      <w:r w:rsidR="00FD01F6">
        <w:rPr>
          <w:b/>
          <w:bCs/>
          <w:sz w:val="30"/>
          <w:szCs w:val="30"/>
        </w:rPr>
        <w:t xml:space="preserve"> Kinga Julia Gisca</w:t>
      </w:r>
    </w:p>
    <w:p w14:paraId="75D4110F" w14:textId="474A0974" w:rsidR="00257517" w:rsidRDefault="00000000" w:rsidP="00FD01F6">
      <w:pPr>
        <w:jc w:val="right"/>
        <w:rPr>
          <w:b/>
          <w:bCs/>
          <w:sz w:val="30"/>
          <w:szCs w:val="30"/>
        </w:rPr>
      </w:pPr>
      <w:r>
        <w:rPr>
          <w:b/>
          <w:bCs/>
          <w:sz w:val="30"/>
          <w:szCs w:val="30"/>
        </w:rPr>
        <w:t>Student ID:</w:t>
      </w:r>
      <w:r w:rsidR="00FD01F6">
        <w:rPr>
          <w:b/>
          <w:bCs/>
          <w:sz w:val="30"/>
          <w:szCs w:val="30"/>
        </w:rPr>
        <w:t xml:space="preserve"> 1916790</w:t>
      </w:r>
    </w:p>
    <w:p w14:paraId="639F5F2A" w14:textId="77777777" w:rsidR="00257517" w:rsidRDefault="00000000" w:rsidP="00FD01F6">
      <w:pPr>
        <w:jc w:val="right"/>
        <w:rPr>
          <w:b/>
          <w:bCs/>
          <w:sz w:val="30"/>
          <w:szCs w:val="30"/>
        </w:rPr>
      </w:pPr>
      <w:r>
        <w:rPr>
          <w:b/>
          <w:bCs/>
          <w:sz w:val="30"/>
          <w:szCs w:val="30"/>
        </w:rPr>
        <w:t>Module code: BMHP5015</w:t>
      </w:r>
    </w:p>
    <w:p w14:paraId="7412ABB1" w14:textId="7F8BD8AB" w:rsidR="00257517" w:rsidRDefault="00000000" w:rsidP="00FD01F6">
      <w:pPr>
        <w:jc w:val="right"/>
        <w:rPr>
          <w:b/>
          <w:bCs/>
          <w:sz w:val="30"/>
          <w:szCs w:val="30"/>
        </w:rPr>
      </w:pPr>
      <w:r>
        <w:rPr>
          <w:b/>
          <w:bCs/>
          <w:sz w:val="30"/>
          <w:szCs w:val="30"/>
        </w:rPr>
        <w:t>Lecturer name:</w:t>
      </w:r>
      <w:r w:rsidR="00FD01F6">
        <w:rPr>
          <w:b/>
          <w:bCs/>
          <w:sz w:val="30"/>
          <w:szCs w:val="30"/>
        </w:rPr>
        <w:t xml:space="preserve"> </w:t>
      </w:r>
      <w:r w:rsidR="00FD01F6" w:rsidRPr="00FD01F6">
        <w:rPr>
          <w:b/>
          <w:bCs/>
          <w:sz w:val="30"/>
          <w:szCs w:val="30"/>
        </w:rPr>
        <w:t>Brian Mashumba</w:t>
      </w:r>
    </w:p>
    <w:p w14:paraId="0B51928D" w14:textId="77777777" w:rsidR="00257517" w:rsidRDefault="00000000" w:rsidP="00FD01F6">
      <w:pPr>
        <w:pStyle w:val="Heading1"/>
        <w:jc w:val="right"/>
      </w:pPr>
      <w:bookmarkStart w:id="0" w:name="_s3t392oujbso" w:colFirst="0" w:colLast="0"/>
      <w:bookmarkEnd w:id="0"/>
      <w:r>
        <w:br w:type="page"/>
      </w:r>
    </w:p>
    <w:bookmarkStart w:id="1" w:name="_tewzuog6nm5g" w:colFirst="0" w:colLast="0" w:displacedByCustomXml="next"/>
    <w:bookmarkEnd w:id="1" w:displacedByCustomXml="next"/>
    <w:sdt>
      <w:sdtPr>
        <w:rPr>
          <w:rFonts w:ascii="Arial" w:eastAsia="Arial" w:hAnsi="Arial" w:cs="Arial"/>
          <w:color w:val="auto"/>
          <w:sz w:val="22"/>
          <w:szCs w:val="22"/>
          <w:lang w:val="en-GB" w:eastAsia="en-IN"/>
        </w:rPr>
        <w:id w:val="-1174035059"/>
        <w:docPartObj>
          <w:docPartGallery w:val="Table of Contents"/>
          <w:docPartUnique/>
        </w:docPartObj>
      </w:sdtPr>
      <w:sdtEndPr>
        <w:rPr>
          <w:b/>
          <w:bCs/>
          <w:noProof/>
        </w:rPr>
      </w:sdtEndPr>
      <w:sdtContent>
        <w:p w14:paraId="536FD867" w14:textId="77777777" w:rsidR="00924F57" w:rsidRPr="00924F57" w:rsidRDefault="00924F57" w:rsidP="00924F57">
          <w:pPr>
            <w:pStyle w:val="TOCHeading"/>
            <w:spacing w:line="360" w:lineRule="auto"/>
            <w:jc w:val="center"/>
            <w:rPr>
              <w:rFonts w:ascii="Arial" w:hAnsi="Arial" w:cs="Arial"/>
              <w:b/>
              <w:bCs/>
              <w:color w:val="auto"/>
              <w:sz w:val="22"/>
              <w:szCs w:val="22"/>
            </w:rPr>
          </w:pPr>
          <w:r w:rsidRPr="00924F57">
            <w:rPr>
              <w:rFonts w:ascii="Arial" w:hAnsi="Arial" w:cs="Arial"/>
              <w:b/>
              <w:bCs/>
              <w:color w:val="auto"/>
              <w:sz w:val="22"/>
              <w:szCs w:val="22"/>
            </w:rPr>
            <w:t>Table of Contents</w:t>
          </w:r>
        </w:p>
        <w:p w14:paraId="04CDD591" w14:textId="77777777" w:rsidR="00924F57" w:rsidRDefault="00924F57" w:rsidP="00924F57">
          <w:pPr>
            <w:pStyle w:val="TOC1"/>
            <w:tabs>
              <w:tab w:val="right" w:leader="dot" w:pos="9019"/>
            </w:tabs>
            <w:rPr>
              <w:noProof/>
            </w:rPr>
          </w:pPr>
          <w:r>
            <w:fldChar w:fldCharType="begin"/>
          </w:r>
          <w:r>
            <w:instrText xml:space="preserve"> TOC \o "1-3" \h \z \u </w:instrText>
          </w:r>
          <w:r>
            <w:fldChar w:fldCharType="separate"/>
          </w:r>
          <w:hyperlink w:anchor="_Toc214896782" w:history="1">
            <w:r w:rsidRPr="00E03050">
              <w:rPr>
                <w:rStyle w:val="Hyperlink"/>
                <w:noProof/>
              </w:rPr>
              <w:t>Introduction</w:t>
            </w:r>
            <w:r>
              <w:rPr>
                <w:noProof/>
                <w:webHidden/>
              </w:rPr>
              <w:tab/>
            </w:r>
            <w:r>
              <w:rPr>
                <w:noProof/>
                <w:webHidden/>
              </w:rPr>
              <w:fldChar w:fldCharType="begin"/>
            </w:r>
            <w:r>
              <w:rPr>
                <w:noProof/>
                <w:webHidden/>
              </w:rPr>
              <w:instrText xml:space="preserve"> PAGEREF _Toc214896782 \h </w:instrText>
            </w:r>
            <w:r>
              <w:rPr>
                <w:noProof/>
                <w:webHidden/>
              </w:rPr>
            </w:r>
            <w:r>
              <w:rPr>
                <w:noProof/>
                <w:webHidden/>
              </w:rPr>
              <w:fldChar w:fldCharType="separate"/>
            </w:r>
            <w:r>
              <w:rPr>
                <w:noProof/>
                <w:webHidden/>
              </w:rPr>
              <w:t>3</w:t>
            </w:r>
            <w:r>
              <w:rPr>
                <w:noProof/>
                <w:webHidden/>
              </w:rPr>
              <w:fldChar w:fldCharType="end"/>
            </w:r>
          </w:hyperlink>
        </w:p>
        <w:p w14:paraId="6786CF99" w14:textId="77777777" w:rsidR="00924F57" w:rsidRDefault="00924F57" w:rsidP="00924F57">
          <w:pPr>
            <w:pStyle w:val="TOC1"/>
            <w:tabs>
              <w:tab w:val="right" w:leader="dot" w:pos="9019"/>
            </w:tabs>
            <w:rPr>
              <w:noProof/>
            </w:rPr>
          </w:pPr>
          <w:hyperlink w:anchor="_Toc214896783" w:history="1">
            <w:r w:rsidRPr="00E03050">
              <w:rPr>
                <w:rStyle w:val="Hyperlink"/>
                <w:noProof/>
              </w:rPr>
              <w:t>Task 1 - Brand You</w:t>
            </w:r>
            <w:r>
              <w:rPr>
                <w:noProof/>
                <w:webHidden/>
              </w:rPr>
              <w:tab/>
            </w:r>
            <w:r>
              <w:rPr>
                <w:noProof/>
                <w:webHidden/>
              </w:rPr>
              <w:fldChar w:fldCharType="begin"/>
            </w:r>
            <w:r>
              <w:rPr>
                <w:noProof/>
                <w:webHidden/>
              </w:rPr>
              <w:instrText xml:space="preserve"> PAGEREF _Toc214896783 \h </w:instrText>
            </w:r>
            <w:r>
              <w:rPr>
                <w:noProof/>
                <w:webHidden/>
              </w:rPr>
            </w:r>
            <w:r>
              <w:rPr>
                <w:noProof/>
                <w:webHidden/>
              </w:rPr>
              <w:fldChar w:fldCharType="separate"/>
            </w:r>
            <w:r>
              <w:rPr>
                <w:noProof/>
                <w:webHidden/>
              </w:rPr>
              <w:t>3</w:t>
            </w:r>
            <w:r>
              <w:rPr>
                <w:noProof/>
                <w:webHidden/>
              </w:rPr>
              <w:fldChar w:fldCharType="end"/>
            </w:r>
          </w:hyperlink>
        </w:p>
        <w:p w14:paraId="39D71C11" w14:textId="77777777" w:rsidR="00924F57" w:rsidRDefault="00924F57" w:rsidP="00924F57">
          <w:pPr>
            <w:pStyle w:val="TOC1"/>
            <w:tabs>
              <w:tab w:val="right" w:leader="dot" w:pos="9019"/>
            </w:tabs>
            <w:rPr>
              <w:noProof/>
            </w:rPr>
          </w:pPr>
          <w:hyperlink w:anchor="_Toc214896784" w:history="1">
            <w:r w:rsidRPr="00E03050">
              <w:rPr>
                <w:rStyle w:val="Hyperlink"/>
                <w:noProof/>
              </w:rPr>
              <w:t>Task 2 – Reflection on Unit 2: It’s a Small World</w:t>
            </w:r>
            <w:r>
              <w:rPr>
                <w:noProof/>
                <w:webHidden/>
              </w:rPr>
              <w:tab/>
            </w:r>
            <w:r>
              <w:rPr>
                <w:noProof/>
                <w:webHidden/>
              </w:rPr>
              <w:fldChar w:fldCharType="begin"/>
            </w:r>
            <w:r>
              <w:rPr>
                <w:noProof/>
                <w:webHidden/>
              </w:rPr>
              <w:instrText xml:space="preserve"> PAGEREF _Toc214896784 \h </w:instrText>
            </w:r>
            <w:r>
              <w:rPr>
                <w:noProof/>
                <w:webHidden/>
              </w:rPr>
            </w:r>
            <w:r>
              <w:rPr>
                <w:noProof/>
                <w:webHidden/>
              </w:rPr>
              <w:fldChar w:fldCharType="separate"/>
            </w:r>
            <w:r>
              <w:rPr>
                <w:noProof/>
                <w:webHidden/>
              </w:rPr>
              <w:t>4</w:t>
            </w:r>
            <w:r>
              <w:rPr>
                <w:noProof/>
                <w:webHidden/>
              </w:rPr>
              <w:fldChar w:fldCharType="end"/>
            </w:r>
          </w:hyperlink>
        </w:p>
        <w:p w14:paraId="0C5C78D8" w14:textId="77777777" w:rsidR="00924F57" w:rsidRDefault="00924F57" w:rsidP="00924F57">
          <w:pPr>
            <w:pStyle w:val="TOC1"/>
            <w:tabs>
              <w:tab w:val="right" w:leader="dot" w:pos="9019"/>
            </w:tabs>
            <w:rPr>
              <w:noProof/>
            </w:rPr>
          </w:pPr>
          <w:hyperlink w:anchor="_Toc214896785" w:history="1">
            <w:r w:rsidRPr="00E03050">
              <w:rPr>
                <w:rStyle w:val="Hyperlink"/>
                <w:noProof/>
              </w:rPr>
              <w:t>Task 3 – Reflection on Unit 3: Opportunity Knocks</w:t>
            </w:r>
            <w:r>
              <w:rPr>
                <w:noProof/>
                <w:webHidden/>
              </w:rPr>
              <w:tab/>
            </w:r>
            <w:r>
              <w:rPr>
                <w:noProof/>
                <w:webHidden/>
              </w:rPr>
              <w:fldChar w:fldCharType="begin"/>
            </w:r>
            <w:r>
              <w:rPr>
                <w:noProof/>
                <w:webHidden/>
              </w:rPr>
              <w:instrText xml:space="preserve"> PAGEREF _Toc214896785 \h </w:instrText>
            </w:r>
            <w:r>
              <w:rPr>
                <w:noProof/>
                <w:webHidden/>
              </w:rPr>
            </w:r>
            <w:r>
              <w:rPr>
                <w:noProof/>
                <w:webHidden/>
              </w:rPr>
              <w:fldChar w:fldCharType="separate"/>
            </w:r>
            <w:r>
              <w:rPr>
                <w:noProof/>
                <w:webHidden/>
              </w:rPr>
              <w:t>5</w:t>
            </w:r>
            <w:r>
              <w:rPr>
                <w:noProof/>
                <w:webHidden/>
              </w:rPr>
              <w:fldChar w:fldCharType="end"/>
            </w:r>
          </w:hyperlink>
        </w:p>
        <w:p w14:paraId="5294A094" w14:textId="77777777" w:rsidR="00924F57" w:rsidRDefault="00924F57" w:rsidP="00924F57">
          <w:pPr>
            <w:pStyle w:val="TOC1"/>
            <w:tabs>
              <w:tab w:val="right" w:leader="dot" w:pos="9019"/>
            </w:tabs>
            <w:rPr>
              <w:noProof/>
            </w:rPr>
          </w:pPr>
          <w:hyperlink w:anchor="_Toc214896786" w:history="1">
            <w:r w:rsidRPr="00E03050">
              <w:rPr>
                <w:rStyle w:val="Hyperlink"/>
                <w:noProof/>
              </w:rPr>
              <w:t>Task 4 – Reflection on Unit 4: The Pursuit of Happiness and Conclusion</w:t>
            </w:r>
            <w:r>
              <w:rPr>
                <w:noProof/>
                <w:webHidden/>
              </w:rPr>
              <w:tab/>
            </w:r>
            <w:r>
              <w:rPr>
                <w:noProof/>
                <w:webHidden/>
              </w:rPr>
              <w:fldChar w:fldCharType="begin"/>
            </w:r>
            <w:r>
              <w:rPr>
                <w:noProof/>
                <w:webHidden/>
              </w:rPr>
              <w:instrText xml:space="preserve"> PAGEREF _Toc214896786 \h </w:instrText>
            </w:r>
            <w:r>
              <w:rPr>
                <w:noProof/>
                <w:webHidden/>
              </w:rPr>
            </w:r>
            <w:r>
              <w:rPr>
                <w:noProof/>
                <w:webHidden/>
              </w:rPr>
              <w:fldChar w:fldCharType="separate"/>
            </w:r>
            <w:r>
              <w:rPr>
                <w:noProof/>
                <w:webHidden/>
              </w:rPr>
              <w:t>6</w:t>
            </w:r>
            <w:r>
              <w:rPr>
                <w:noProof/>
                <w:webHidden/>
              </w:rPr>
              <w:fldChar w:fldCharType="end"/>
            </w:r>
          </w:hyperlink>
        </w:p>
        <w:p w14:paraId="2AE12AC1" w14:textId="77777777" w:rsidR="00924F57" w:rsidRDefault="00924F57" w:rsidP="00924F57">
          <w:pPr>
            <w:pStyle w:val="TOC1"/>
            <w:tabs>
              <w:tab w:val="right" w:leader="dot" w:pos="9019"/>
            </w:tabs>
            <w:rPr>
              <w:noProof/>
            </w:rPr>
          </w:pPr>
          <w:hyperlink w:anchor="_Toc214896787" w:history="1">
            <w:r w:rsidRPr="00E03050">
              <w:rPr>
                <w:rStyle w:val="Hyperlink"/>
                <w:noProof/>
              </w:rPr>
              <w:t>Conclusion</w:t>
            </w:r>
            <w:r>
              <w:rPr>
                <w:noProof/>
                <w:webHidden/>
              </w:rPr>
              <w:tab/>
            </w:r>
            <w:r>
              <w:rPr>
                <w:noProof/>
                <w:webHidden/>
              </w:rPr>
              <w:fldChar w:fldCharType="begin"/>
            </w:r>
            <w:r>
              <w:rPr>
                <w:noProof/>
                <w:webHidden/>
              </w:rPr>
              <w:instrText xml:space="preserve"> PAGEREF _Toc214896787 \h </w:instrText>
            </w:r>
            <w:r>
              <w:rPr>
                <w:noProof/>
                <w:webHidden/>
              </w:rPr>
            </w:r>
            <w:r>
              <w:rPr>
                <w:noProof/>
                <w:webHidden/>
              </w:rPr>
              <w:fldChar w:fldCharType="separate"/>
            </w:r>
            <w:r>
              <w:rPr>
                <w:noProof/>
                <w:webHidden/>
              </w:rPr>
              <w:t>7</w:t>
            </w:r>
            <w:r>
              <w:rPr>
                <w:noProof/>
                <w:webHidden/>
              </w:rPr>
              <w:fldChar w:fldCharType="end"/>
            </w:r>
          </w:hyperlink>
        </w:p>
        <w:p w14:paraId="1B31F18D" w14:textId="77777777" w:rsidR="00924F57" w:rsidRDefault="00924F57" w:rsidP="00924F57">
          <w:pPr>
            <w:pStyle w:val="TOC1"/>
            <w:tabs>
              <w:tab w:val="right" w:leader="dot" w:pos="9019"/>
            </w:tabs>
            <w:rPr>
              <w:noProof/>
            </w:rPr>
          </w:pPr>
          <w:hyperlink w:anchor="_Toc214896788" w:history="1">
            <w:r w:rsidRPr="00E03050">
              <w:rPr>
                <w:rStyle w:val="Hyperlink"/>
                <w:noProof/>
              </w:rPr>
              <w:t>Reference list</w:t>
            </w:r>
            <w:r>
              <w:rPr>
                <w:noProof/>
                <w:webHidden/>
              </w:rPr>
              <w:tab/>
            </w:r>
            <w:r>
              <w:rPr>
                <w:noProof/>
                <w:webHidden/>
              </w:rPr>
              <w:fldChar w:fldCharType="begin"/>
            </w:r>
            <w:r>
              <w:rPr>
                <w:noProof/>
                <w:webHidden/>
              </w:rPr>
              <w:instrText xml:space="preserve"> PAGEREF _Toc214896788 \h </w:instrText>
            </w:r>
            <w:r>
              <w:rPr>
                <w:noProof/>
                <w:webHidden/>
              </w:rPr>
            </w:r>
            <w:r>
              <w:rPr>
                <w:noProof/>
                <w:webHidden/>
              </w:rPr>
              <w:fldChar w:fldCharType="separate"/>
            </w:r>
            <w:r>
              <w:rPr>
                <w:noProof/>
                <w:webHidden/>
              </w:rPr>
              <w:t>8</w:t>
            </w:r>
            <w:r>
              <w:rPr>
                <w:noProof/>
                <w:webHidden/>
              </w:rPr>
              <w:fldChar w:fldCharType="end"/>
            </w:r>
          </w:hyperlink>
        </w:p>
        <w:p w14:paraId="660C73FB" w14:textId="77777777" w:rsidR="00924F57" w:rsidRDefault="00924F57" w:rsidP="00924F57">
          <w:r>
            <w:rPr>
              <w:b/>
              <w:bCs/>
              <w:noProof/>
            </w:rPr>
            <w:fldChar w:fldCharType="end"/>
          </w:r>
        </w:p>
      </w:sdtContent>
    </w:sdt>
    <w:p w14:paraId="06CA4226" w14:textId="77777777" w:rsidR="001E6846" w:rsidRDefault="001E6846" w:rsidP="00924F57">
      <w:pPr>
        <w:rPr>
          <w:b/>
          <w:bCs/>
        </w:rPr>
      </w:pPr>
      <w:r>
        <w:br w:type="page"/>
      </w:r>
    </w:p>
    <w:p w14:paraId="185856BE" w14:textId="77777777" w:rsidR="00257517" w:rsidRDefault="00000000" w:rsidP="00924F57">
      <w:pPr>
        <w:pStyle w:val="Heading1"/>
      </w:pPr>
      <w:bookmarkStart w:id="2" w:name="_Toc214896782"/>
      <w:r>
        <w:lastRenderedPageBreak/>
        <w:t>Introduction</w:t>
      </w:r>
      <w:bookmarkEnd w:id="2"/>
    </w:p>
    <w:p w14:paraId="10046D93" w14:textId="77777777" w:rsidR="00257517" w:rsidRDefault="00000000" w:rsidP="00924F57">
      <w:r>
        <w:t xml:space="preserve">The portfolio will discuss the influence of the Changemakers: Building Your Personal Brand to Sustainable Employment module on my professional growth. I will analyse four units, namely, Brand You, </w:t>
      </w:r>
      <w:proofErr w:type="gramStart"/>
      <w:r>
        <w:t>It's</w:t>
      </w:r>
      <w:proofErr w:type="gramEnd"/>
      <w:r>
        <w:t xml:space="preserve"> a Small World, Opportunity Knocks, and The Pursuit of Happiness, to examine personal branding, networking and global connection, recognising and </w:t>
      </w:r>
      <w:proofErr w:type="gramStart"/>
      <w:r>
        <w:t>taking action</w:t>
      </w:r>
      <w:proofErr w:type="gramEnd"/>
      <w:r>
        <w:t xml:space="preserve"> on opportunities, and wellbeing/resilience in health and social care. Every unit taught a key aspect of my developing professional identity: ambition and emotional intelligence (Unit 1); resources diverse, purposeful, networks and social prescribing (Unit 2); a serendipitous, proactive approach to career opportunities and digital recruitment (Unit 3); and overcoming limiting beliefs, building grit, and adjusting to technological change (Unit 4). I use lecture information and literature to ponder on how these concepts enhance employability, MDT collaboration and service user outcomes. The portfolio is designed in such a way that it connects theory to practice and provides reflective evidence and establishes action goals in my future practice.</w:t>
      </w:r>
    </w:p>
    <w:p w14:paraId="14EC5CDF" w14:textId="77777777" w:rsidR="00257517" w:rsidRDefault="00000000" w:rsidP="00924F57">
      <w:pPr>
        <w:pStyle w:val="Heading1"/>
      </w:pPr>
      <w:bookmarkStart w:id="3" w:name="_rgglhlktqttj" w:colFirst="0" w:colLast="0"/>
      <w:bookmarkStart w:id="4" w:name="_Toc214896783"/>
      <w:bookmarkEnd w:id="3"/>
      <w:r>
        <w:t>Task 1 - Brand You</w:t>
      </w:r>
      <w:bookmarkEnd w:id="4"/>
      <w:r>
        <w:t xml:space="preserve"> </w:t>
      </w:r>
    </w:p>
    <w:p w14:paraId="4AB3A0E4" w14:textId="77777777" w:rsidR="00257517" w:rsidRDefault="00000000" w:rsidP="00924F57">
      <w:r>
        <w:t>Within this assignment, I concentrate on discussing the way I have acquired knowledge about personal branding in the context of the Unit 1 of the course Changemakers: Building Your Personal Brand to Find Sustainable Employment. My professional identity, the assets that I contribute to the health and social care industry, and the influence of the notions of ambition, boundaryless careers, and emotional intelligence on how I identify myself as an upcoming professional will all be analysed in my portfolio.</w:t>
      </w:r>
    </w:p>
    <w:p w14:paraId="68302869" w14:textId="77777777" w:rsidR="00257517" w:rsidRDefault="00000000" w:rsidP="00924F57">
      <w:r>
        <w:t>Unit 1 taught me that the creation of my personal brand starts with self-understanding or knowledge of my own ambitions. Lectures emphasi</w:t>
      </w:r>
      <w:r w:rsidR="003C438D">
        <w:t>s</w:t>
      </w:r>
      <w:r>
        <w:t>ed that ambition is not just a desire but a way to give strength, goals, and motivation to achieve something in the long run (</w:t>
      </w:r>
      <w:proofErr w:type="spellStart"/>
      <w:r>
        <w:t>Schimschal</w:t>
      </w:r>
      <w:proofErr w:type="spellEnd"/>
      <w:r>
        <w:t xml:space="preserve"> </w:t>
      </w:r>
      <w:r w:rsidRPr="003C438D">
        <w:rPr>
          <w:i/>
          <w:iCs/>
        </w:rPr>
        <w:t>et al.,</w:t>
      </w:r>
      <w:r>
        <w:t xml:space="preserve"> 2022). This reflection prompted me to define my own career vision in the field of health and social care to realise that ambition is the driving force behind the persistence required to operate in the challenging field. This idea made me formulate my professional objective more confidently and purposefully so that my brand reflects determination and commitment in the long term.</w:t>
      </w:r>
    </w:p>
    <w:p w14:paraId="1A8B3F54" w14:textId="77777777" w:rsidR="00257517" w:rsidRDefault="00000000" w:rsidP="00924F57">
      <w:r>
        <w:t xml:space="preserve">The second important concept was the concept of the boundaryless careers. I understood that the current professions are not linear or organisation-specific. Rather, they are influenced by flexibility in terms of roles, industry, and situations (McMahon and </w:t>
      </w:r>
      <w:proofErr w:type="spellStart"/>
      <w:r>
        <w:t>Abkhezr</w:t>
      </w:r>
      <w:proofErr w:type="spellEnd"/>
      <w:r>
        <w:t>, 2025). This played a major role in shaping my perception of career development as I reali</w:t>
      </w:r>
      <w:r w:rsidR="003C438D">
        <w:t>s</w:t>
      </w:r>
      <w:r>
        <w:t xml:space="preserve">ed that my personal brand has to be flexible, constantly learning, and willing to take up different work opportunities. </w:t>
      </w:r>
      <w:r>
        <w:lastRenderedPageBreak/>
        <w:t>This is a view that seems to have a special significance in health and social care, where functions change too fast.</w:t>
      </w:r>
    </w:p>
    <w:p w14:paraId="6B0944AB" w14:textId="77777777" w:rsidR="00257517" w:rsidRDefault="00000000" w:rsidP="00924F57">
      <w:r>
        <w:t>The third significant theory which influenced my thinking was that of emotional intelligence (EI). Unit 1 interpreted EI as being the capacity of identifying, comprehending, and controlling individual feelings and those of other people. Patient-centred care, empathy, communication, and professional decision-making are key aspects of health and social care that require the use of EI (Tiffin and Roberts, 2024). This understanding allowed me to consider EI a key component of my personal brand since I would like to be viewed as a thoughtful, empathetic, and emotionally sensitive practitioner. On the whole, these ideas reinforced my ideas of identity as an emerging professional and ways to convey my values, skills, and identity using the tool of personal branding.</w:t>
      </w:r>
    </w:p>
    <w:p w14:paraId="5D9C3514" w14:textId="77777777" w:rsidR="00257517" w:rsidRDefault="00000000" w:rsidP="00924F57">
      <w:pPr>
        <w:pStyle w:val="Heading1"/>
      </w:pPr>
      <w:bookmarkStart w:id="5" w:name="_ki1xdbwixv95" w:colFirst="0" w:colLast="0"/>
      <w:bookmarkStart w:id="6" w:name="_Toc214896784"/>
      <w:bookmarkEnd w:id="5"/>
      <w:r>
        <w:t>Task 2 – Reflection on Unit 2: It’s a Small World</w:t>
      </w:r>
      <w:bookmarkEnd w:id="6"/>
      <w:r>
        <w:t xml:space="preserve"> </w:t>
      </w:r>
    </w:p>
    <w:p w14:paraId="4CAD1BE7" w14:textId="77777777" w:rsidR="00257517" w:rsidRDefault="00000000" w:rsidP="00924F57">
      <w:r>
        <w:t>It is important to note that Unit 2, It is a Small World, enriched my knowledge of the influence of global relationships on practice in health and social care to a large extent. Some major themes examined by the unit were networking, diversity in networks, hierarchies and the network society and the expanding importance of digital communication and social prescribing. These ideas made me value the interdependence that the sector has taken and the need of professionals to think and act beyond local boundaries.</w:t>
      </w:r>
    </w:p>
    <w:p w14:paraId="28144C61" w14:textId="77777777" w:rsidR="00257517" w:rsidRDefault="00000000" w:rsidP="00924F57">
      <w:r>
        <w:t>Networking which is defined as the interaction with other people to share information and build on the professional/social contacts was one of the key topics. I have understood that networking is not merely about meeting people, it is a strategic behaviour that brings a stronger cooperation, better organi</w:t>
      </w:r>
      <w:r w:rsidR="003C438D">
        <w:t>s</w:t>
      </w:r>
      <w:r>
        <w:t xml:space="preserve">ation of care and better quality and safety of services. According to </w:t>
      </w:r>
      <w:proofErr w:type="spellStart"/>
      <w:r>
        <w:t>Gunawong</w:t>
      </w:r>
      <w:proofErr w:type="spellEnd"/>
      <w:r>
        <w:t xml:space="preserve"> and </w:t>
      </w:r>
      <w:proofErr w:type="spellStart"/>
      <w:r>
        <w:t>Leerasiri</w:t>
      </w:r>
      <w:proofErr w:type="spellEnd"/>
      <w:r>
        <w:t xml:space="preserve"> (2022), networking fosters trust and sharing of knowledge that are essential in a multidisciplinary and cross-agency setting. This made me appreciate the reason networking is a professional competency rather than an optional ability.</w:t>
      </w:r>
    </w:p>
    <w:p w14:paraId="2DC2E873" w14:textId="77777777" w:rsidR="00257517" w:rsidRDefault="00000000" w:rsidP="00924F57">
      <w:r>
        <w:t>Another aspect that we talked about is the difference between hierarchies and the network society. The traditional bureaucracies are organised, formal and sluggish in movement as compared to network societies which are dynamic and decentralised and knowledge based. The observation of these systems working in health and social care allowed me to have a better understanding of the opportunities and the challenges professionals encounter when working in complex organisational systems. This is corroborated by Van Dijk (2021) writing on the network society, claiming that the power finds more and more in the flows of information, but not in rigid hierarchies.</w:t>
      </w:r>
    </w:p>
    <w:p w14:paraId="295C5AFF" w14:textId="77777777" w:rsidR="00257517" w:rsidRDefault="00000000" w:rsidP="00924F57">
      <w:r>
        <w:lastRenderedPageBreak/>
        <w:t xml:space="preserve">Diversity in networking was the other significant theme. I got to know that different networks expand horizons, decrease bias and increase inventiveness in decision-making. This compares to the argument by Hopf </w:t>
      </w:r>
      <w:r w:rsidRPr="003C438D">
        <w:rPr>
          <w:i/>
          <w:iCs/>
        </w:rPr>
        <w:t>et al</w:t>
      </w:r>
      <w:r>
        <w:t>. (2021) that cognitive diversity is associated with the desire to solve a problem better. Diverse networks make health and social care a place where people in different professions engage with diverse populations and provide more culturally responsive and inclusive practice.</w:t>
      </w:r>
    </w:p>
    <w:p w14:paraId="571BAC98" w14:textId="77777777" w:rsidR="00257517" w:rsidRDefault="00000000" w:rsidP="00924F57">
      <w:r>
        <w:t>Lastly, the principle of connection by means and methodologies such as social prescribing illustrated the immediate effect of networking on service users. Social prescribing bridges workers connects workers with the activities in the community, which helps to solve the problem of loneliness, mental health, and long-term conditions. This demonstrated to me the intersection of global networks with local networks in order to help provide personalised and holistic care. Comprehensively, the Unit 2 experience broadened my understanding of the interdependence of the contemporary health and social care setting and the ability of powerful, diverse and purposeful networks to support successful professional practice.</w:t>
      </w:r>
    </w:p>
    <w:p w14:paraId="5BB939C1" w14:textId="77777777" w:rsidR="00257517" w:rsidRDefault="00000000" w:rsidP="00924F57">
      <w:pPr>
        <w:pStyle w:val="Heading1"/>
      </w:pPr>
      <w:bookmarkStart w:id="7" w:name="_qndf3x77n1f1" w:colFirst="0" w:colLast="0"/>
      <w:bookmarkStart w:id="8" w:name="_Toc214896785"/>
      <w:bookmarkEnd w:id="7"/>
      <w:r>
        <w:t>Task 3 – Reflection on Unit 3: Opportunity Knocks</w:t>
      </w:r>
      <w:bookmarkEnd w:id="8"/>
      <w:r>
        <w:t xml:space="preserve"> </w:t>
      </w:r>
    </w:p>
    <w:p w14:paraId="6BE98896" w14:textId="77777777" w:rsidR="00257517" w:rsidRDefault="00000000" w:rsidP="00924F57">
      <w:pPr>
        <w:rPr>
          <w:highlight w:val="white"/>
        </w:rPr>
      </w:pPr>
      <w:r>
        <w:t>The Unit 3, Opportunity Knocks, contributed massively to my capacity in identifying and taking action on the opportunities that advance my personal and professional growth in health and social care. Changing perspective is one of the most important lessons that I gained. The exercises on seeing things differently helped me to see that there are usually opportunities available when I change my perception of situations. This is consistent with Mereuta and Duka (2024) perception that adaptability can only be relevant in a health and social care environment that is rapidly changing. I also gained a better insight into the idea of serendipity mindset, whic</w:t>
      </w:r>
      <w:r>
        <w:rPr>
          <w:highlight w:val="white"/>
        </w:rPr>
        <w:t>h focuses on finding positive opportunities even in cases when these opportunities are unintended. According to Busch (2024), serendipity is not just luck, but an attitude that is backed by curiosity, openness, and preparation. This made me realise that opportunities do come about unpredictably, in the form of new positions, training, or mentoring, when I am active.</w:t>
      </w:r>
    </w:p>
    <w:p w14:paraId="7929DCC6" w14:textId="77777777" w:rsidR="00257517" w:rsidRDefault="00000000" w:rsidP="00924F57">
      <w:pPr>
        <w:rPr>
          <w:highlight w:val="white"/>
        </w:rPr>
      </w:pPr>
      <w:r>
        <w:rPr>
          <w:highlight w:val="white"/>
        </w:rPr>
        <w:t xml:space="preserve">Stretch goals are another important concept and this motivates going beyond the comfort zones. </w:t>
      </w:r>
      <w:proofErr w:type="spellStart"/>
      <w:r>
        <w:rPr>
          <w:highlight w:val="white"/>
        </w:rPr>
        <w:t>Dzwigol</w:t>
      </w:r>
      <w:proofErr w:type="spellEnd"/>
      <w:r>
        <w:rPr>
          <w:highlight w:val="white"/>
        </w:rPr>
        <w:t xml:space="preserve"> </w:t>
      </w:r>
      <w:r w:rsidRPr="003C438D">
        <w:rPr>
          <w:i/>
          <w:iCs/>
          <w:highlight w:val="white"/>
        </w:rPr>
        <w:t>et al</w:t>
      </w:r>
      <w:r>
        <w:rPr>
          <w:highlight w:val="white"/>
        </w:rPr>
        <w:t>. (2023) state that big targets lead to innovation and development. Considering this, I reali</w:t>
      </w:r>
      <w:r w:rsidR="003C438D">
        <w:rPr>
          <w:highlight w:val="white"/>
        </w:rPr>
        <w:t>s</w:t>
      </w:r>
      <w:r>
        <w:rPr>
          <w:highlight w:val="white"/>
        </w:rPr>
        <w:t>ed that I can widen my professional opportunities by being ambitious, i.e., aiming at acquiring new qualifications or even taking on leadership roles. Lastly, the information on traditional and modern recruitment allowed me to reali</w:t>
      </w:r>
      <w:r w:rsidR="003C438D">
        <w:rPr>
          <w:highlight w:val="white"/>
        </w:rPr>
        <w:t>s</w:t>
      </w:r>
      <w:r>
        <w:rPr>
          <w:highlight w:val="white"/>
        </w:rPr>
        <w:t>e how digital applications can assist with improving a career (</w:t>
      </w:r>
      <w:proofErr w:type="spellStart"/>
      <w:r>
        <w:rPr>
          <w:highlight w:val="white"/>
        </w:rPr>
        <w:t>Bakalopulos</w:t>
      </w:r>
      <w:proofErr w:type="spellEnd"/>
      <w:r>
        <w:rPr>
          <w:highlight w:val="white"/>
        </w:rPr>
        <w:t xml:space="preserve">, 2024). Combined, these </w:t>
      </w:r>
      <w:r>
        <w:rPr>
          <w:highlight w:val="white"/>
        </w:rPr>
        <w:lastRenderedPageBreak/>
        <w:t>observations enhanced my sensibility on how to exploit opportunities in a strategic and confident way.</w:t>
      </w:r>
    </w:p>
    <w:p w14:paraId="5607828D" w14:textId="77777777" w:rsidR="00257517" w:rsidRDefault="00000000" w:rsidP="00924F57">
      <w:pPr>
        <w:rPr>
          <w:highlight w:val="white"/>
        </w:rPr>
      </w:pPr>
      <w:r>
        <w:rPr>
          <w:highlight w:val="white"/>
        </w:rPr>
        <w:t>Resilience and professional development in the field of health and social care is becoming more and more dependent on creating a good presence on the web. To present oneself as competent and relevant to the needs of the targeted sector, to be credible and match personal abilities with professional demands in a digital world where all clients, employers, and partners use the Internet to find information, establishing a professional identity can prove beneficial. The Five Cs of communication tools and various influencing tools can be used to nurture effective interaction as they shape the presentation of the professionals and how they interact with the audience. Social and websites promote the exchange and availability of information, access to updates, support, and communication among the service users, who receive information at their convenience and practitioners demonstrate expertise (</w:t>
      </w:r>
      <w:proofErr w:type="spellStart"/>
      <w:r>
        <w:rPr>
          <w:highlight w:val="white"/>
        </w:rPr>
        <w:t>Anawade</w:t>
      </w:r>
      <w:proofErr w:type="spellEnd"/>
      <w:r>
        <w:rPr>
          <w:highlight w:val="white"/>
        </w:rPr>
        <w:t xml:space="preserve"> </w:t>
      </w:r>
      <w:r w:rsidRPr="003C438D">
        <w:rPr>
          <w:i/>
          <w:iCs/>
          <w:highlight w:val="white"/>
        </w:rPr>
        <w:t>et al.,</w:t>
      </w:r>
      <w:r>
        <w:rPr>
          <w:highlight w:val="white"/>
        </w:rPr>
        <w:t xml:space="preserve"> 2024). Professional visibility is another beneficial side of blogging; it used to be an online journal but now it is an effective means of sharing knowledge, enhancing learning and supporting branded personality. All these digital strategies can make people more employable, help them reflect, and be ready to enter a new work environment.</w:t>
      </w:r>
    </w:p>
    <w:p w14:paraId="79284757" w14:textId="77777777" w:rsidR="00257517" w:rsidRDefault="00000000" w:rsidP="00924F57">
      <w:pPr>
        <w:pStyle w:val="Heading1"/>
      </w:pPr>
      <w:bookmarkStart w:id="9" w:name="_22trqg1y7s61" w:colFirst="0" w:colLast="0"/>
      <w:bookmarkStart w:id="10" w:name="_Toc214896786"/>
      <w:bookmarkEnd w:id="9"/>
      <w:r>
        <w:t>Task 4 – Reflection on Unit 4: The Pursuit of Happiness and Conclusion</w:t>
      </w:r>
      <w:bookmarkEnd w:id="10"/>
    </w:p>
    <w:p w14:paraId="1945D8EE" w14:textId="77777777" w:rsidR="00257517" w:rsidRDefault="00000000" w:rsidP="00924F57">
      <w:r>
        <w:t xml:space="preserve">Unit 4, The Pursuit of Happiness, helped me expand my science of wellbeing, resilience, and personal development in health and social care to a great extent. The exploration of limiting beliefs, the thoughts, subconscious and limiting to individual potential, was one of the most influential lessons to me. Being informed that beliefs like I am not good enough can define behaviour, confidence and decision-making allowed me to identify how these internal barriers may impact my future practice. This is consistent with the fact that Vadivel </w:t>
      </w:r>
      <w:r w:rsidRPr="003C438D">
        <w:rPr>
          <w:i/>
          <w:iCs/>
        </w:rPr>
        <w:t>et al</w:t>
      </w:r>
      <w:r>
        <w:t>. (2021) emphasi</w:t>
      </w:r>
      <w:r w:rsidR="003C438D">
        <w:t>s</w:t>
      </w:r>
      <w:r>
        <w:t>e the role of self-awareness in professional development. I started to recogni</w:t>
      </w:r>
      <w:r w:rsidR="003C438D">
        <w:t>s</w:t>
      </w:r>
      <w:r>
        <w:t>e that limiting beliefs could be the cause of a poor service and relationship with clients by detecting such indicators like self-doubt, stagnation, and defensiveness. Unit 4 also enhanced my knowledge about resilience which is the capacity to cope with stress, with change, and with difficulties. The 4S model, Support, Strategies, Sagacity, and Solution-seeking, made me consider the interaction between internal (self-esteem and emotional control) and external (social networks) factors to determine how resilience is determined. This is consistent with psychological theories of resilience that consider resiliency as both a personal and environmental phenomenon.</w:t>
      </w:r>
    </w:p>
    <w:p w14:paraId="279FF3E9" w14:textId="77777777" w:rsidR="00257517" w:rsidRDefault="00000000" w:rsidP="00924F57">
      <w:r>
        <w:t xml:space="preserve">The other important issue was the importance of grit, the determination one has to be to keep long-term objectives despite challenges. Grit is crucial in maintaining motivation and </w:t>
      </w:r>
      <w:r>
        <w:lastRenderedPageBreak/>
        <w:t>safeguarding wellbeing at times of emotional demand as required by health and social care. I also got to know that it is important to be able to recogni</w:t>
      </w:r>
      <w:r w:rsidR="003C438D">
        <w:t>s</w:t>
      </w:r>
      <w:r>
        <w:t>e feelings and not to allow them to dominate decision-making in order to maintain professional balance. The second topic in unit 4 was the increase in the role of technology in health and social care. I was able to understand how weak digital systems can be, including workforce limitations, uneven implementation, and worries about data privacy, and the future workforce needs to evolve through life-long learning. The insight on anti-fragility also allowed me to also value how certain systems become stronger because of pressure, which I can apply to my personal growth by seeing challenges as the opportunity to become stronger.</w:t>
      </w:r>
    </w:p>
    <w:p w14:paraId="3E5CF621" w14:textId="77777777" w:rsidR="00257517" w:rsidRDefault="00000000" w:rsidP="00924F57">
      <w:r>
        <w:t>On balance, the module has enhanced my self-awareness, professional confidence, and knowledge on global, technological and personal issues that define health and social care. The acquired knowledge which included personal branding to resilience has provided me with skills that will assist me in my future role as I will be able to communicate with confidence, embrace change, and make meaningful contributions in various care settings.</w:t>
      </w:r>
    </w:p>
    <w:p w14:paraId="0F5B2A94" w14:textId="77777777" w:rsidR="00257517" w:rsidRDefault="00000000" w:rsidP="00924F57">
      <w:pPr>
        <w:pStyle w:val="Heading1"/>
      </w:pPr>
      <w:bookmarkStart w:id="11" w:name="_vujix9iqcdei" w:colFirst="0" w:colLast="0"/>
      <w:bookmarkStart w:id="12" w:name="_Toc214896787"/>
      <w:bookmarkEnd w:id="11"/>
      <w:r>
        <w:t>Conclusion</w:t>
      </w:r>
      <w:bookmarkEnd w:id="12"/>
    </w:p>
    <w:p w14:paraId="377D3A65" w14:textId="77777777" w:rsidR="00257517" w:rsidRDefault="00000000" w:rsidP="00924F57">
      <w:r>
        <w:t>Numerous outcomes of the module Changemakers unit four have strengthened my self-concept as an aspiring health and social care professional. Unit 1 made my sense of identity stronger, as it made me more specific on what I wanted to be, develop my emotional intelligence, and understand the importance of a flexible, boundless career. Unit 2 helped me to increase my global awareness, highlighting the significance of various networks, digital communication, and collaboration. Unit 3 has provided me with the opportunity to identify opportunities by changing my mindset, chance, and strategic goal setting and shown the potential of digital presence in supporting employability. Lastly, Unit 4 helped reinforce my belief in resilience, limiting beliefs, and grit and reali</w:t>
      </w:r>
      <w:r w:rsidR="003C438D">
        <w:t>s</w:t>
      </w:r>
      <w:r>
        <w:t>e that challenges are opportunities to develop. Together, these findings have provided me with the self-understanding, flexibility, and communication competencies that can help me succeed in the contemporary health and social care setting and develop a meaningful, strong, and future-proof professional identity.</w:t>
      </w:r>
    </w:p>
    <w:p w14:paraId="5A360B3B" w14:textId="77777777" w:rsidR="00257517" w:rsidRDefault="00000000" w:rsidP="00924F57">
      <w:pPr>
        <w:pStyle w:val="Heading1"/>
      </w:pPr>
      <w:bookmarkStart w:id="13" w:name="_ypco55l95oef" w:colFirst="0" w:colLast="0"/>
      <w:bookmarkEnd w:id="13"/>
      <w:r>
        <w:br w:type="page"/>
      </w:r>
    </w:p>
    <w:p w14:paraId="6659CEC4" w14:textId="77777777" w:rsidR="00257517" w:rsidRDefault="00000000" w:rsidP="00924F57">
      <w:pPr>
        <w:pStyle w:val="Heading1"/>
      </w:pPr>
      <w:bookmarkStart w:id="14" w:name="_fxvnetl3hoaj" w:colFirst="0" w:colLast="0"/>
      <w:bookmarkStart w:id="15" w:name="_Toc214896788"/>
      <w:bookmarkEnd w:id="14"/>
      <w:r>
        <w:lastRenderedPageBreak/>
        <w:t>Reference list</w:t>
      </w:r>
      <w:bookmarkEnd w:id="15"/>
    </w:p>
    <w:p w14:paraId="1E5E2A78" w14:textId="77777777" w:rsidR="00924F57" w:rsidRDefault="00924F57" w:rsidP="00924F57">
      <w:proofErr w:type="spellStart"/>
      <w:r>
        <w:t>Anawade</w:t>
      </w:r>
      <w:proofErr w:type="spellEnd"/>
      <w:r>
        <w:t xml:space="preserve"> Sr, P.A., Sharma, D. and </w:t>
      </w:r>
      <w:proofErr w:type="spellStart"/>
      <w:r>
        <w:t>Gahane</w:t>
      </w:r>
      <w:proofErr w:type="spellEnd"/>
      <w:r>
        <w:t>, S., 2024. Connecting health and technology: a comprehensive review of social media and online communities in healthcare. Cureus, 16(3), p.e55361.</w:t>
      </w:r>
    </w:p>
    <w:p w14:paraId="1D8FFB56" w14:textId="77777777" w:rsidR="00924F57" w:rsidRDefault="00924F57" w:rsidP="00924F57">
      <w:proofErr w:type="spellStart"/>
      <w:r>
        <w:t>Bakalopulos</w:t>
      </w:r>
      <w:proofErr w:type="spellEnd"/>
      <w:r>
        <w:t>, I., 2024. The Evolution of Recruitment Markets: a comparative analysis of traditional vs. modern approaches and the impact of Generation Z.</w:t>
      </w:r>
    </w:p>
    <w:p w14:paraId="37A9DF7E" w14:textId="77777777" w:rsidR="00924F57" w:rsidRDefault="00924F57" w:rsidP="00924F57">
      <w:r>
        <w:t>Busch, C., 2024. Towards a theory of serendipity: A systematic review and conceptualization. Journal of Management Studies, 61(3), pp.1110-1151.</w:t>
      </w:r>
    </w:p>
    <w:p w14:paraId="0AEFC908" w14:textId="77777777" w:rsidR="00924F57" w:rsidRDefault="00924F57" w:rsidP="00924F57">
      <w:proofErr w:type="spellStart"/>
      <w:r>
        <w:t>Dzwigol</w:t>
      </w:r>
      <w:proofErr w:type="spellEnd"/>
      <w:r>
        <w:t xml:space="preserve">, H., </w:t>
      </w:r>
      <w:proofErr w:type="spellStart"/>
      <w:r>
        <w:t>Kwilinski</w:t>
      </w:r>
      <w:proofErr w:type="spellEnd"/>
      <w:r>
        <w:t>, A., Lyulyov, O. and Pimonenko, T., 2023. Renewable energy, knowledge spillover and innovation: capacity of environmental regulation. Energies, 16(3), p.1117.</w:t>
      </w:r>
    </w:p>
    <w:p w14:paraId="2BFFECBB" w14:textId="77777777" w:rsidR="00924F57" w:rsidRDefault="00924F57" w:rsidP="00924F57">
      <w:proofErr w:type="spellStart"/>
      <w:r>
        <w:t>Gunawong</w:t>
      </w:r>
      <w:proofErr w:type="spellEnd"/>
      <w:r>
        <w:t xml:space="preserve">, P. and </w:t>
      </w:r>
      <w:proofErr w:type="spellStart"/>
      <w:r>
        <w:t>Leerasiri</w:t>
      </w:r>
      <w:proofErr w:type="spellEnd"/>
      <w:r>
        <w:t>, W., 2022. Information sharing in solving an opium problem: Multiple-agency management with integration of online and offline channels. Sustainability, 14(13), p.8043.</w:t>
      </w:r>
    </w:p>
    <w:p w14:paraId="14299DF3" w14:textId="77777777" w:rsidR="00924F57" w:rsidRDefault="00924F57" w:rsidP="00924F57">
      <w:r>
        <w:t>Hopf, S.C., Crowe, K., Verdon, S., Blake, H.L. and McLeod, S., 2021. Advancing workplace diversity through the culturally responsive teamwork framework. American Journal of Speech-Language Pathology, 30(5), pp.1949-1961.</w:t>
      </w:r>
    </w:p>
    <w:p w14:paraId="1B9D28DB" w14:textId="77777777" w:rsidR="00924F57" w:rsidRDefault="00924F57" w:rsidP="00924F57">
      <w:r>
        <w:t xml:space="preserve">McMahon, M. and </w:t>
      </w:r>
      <w:proofErr w:type="spellStart"/>
      <w:r>
        <w:t>Abkhezr</w:t>
      </w:r>
      <w:proofErr w:type="spellEnd"/>
      <w:r>
        <w:t>, P., 2025. Career adaptability and career resilience: A systems perspective. International Journal for Educational and Vocational Guidance, pp.1-22.</w:t>
      </w:r>
    </w:p>
    <w:p w14:paraId="77350829" w14:textId="77777777" w:rsidR="00924F57" w:rsidRDefault="00924F57" w:rsidP="00924F57">
      <w:proofErr w:type="spellStart"/>
      <w:r>
        <w:t>Mereuţă</w:t>
      </w:r>
      <w:proofErr w:type="spellEnd"/>
      <w:r>
        <w:t xml:space="preserve">, I. and Duka, G., 2024. The adaptability of the human being to the rapid changes of contemporary society. </w:t>
      </w:r>
      <w:proofErr w:type="spellStart"/>
      <w:r>
        <w:t>Buletinul</w:t>
      </w:r>
      <w:proofErr w:type="spellEnd"/>
      <w:r>
        <w:t xml:space="preserve"> </w:t>
      </w:r>
      <w:proofErr w:type="spellStart"/>
      <w:r>
        <w:t>Academiei</w:t>
      </w:r>
      <w:proofErr w:type="spellEnd"/>
      <w:r>
        <w:t xml:space="preserve"> de </w:t>
      </w:r>
      <w:proofErr w:type="spellStart"/>
      <w:r>
        <w:t>Ştiinţe</w:t>
      </w:r>
      <w:proofErr w:type="spellEnd"/>
      <w:r>
        <w:t xml:space="preserve"> a </w:t>
      </w:r>
      <w:proofErr w:type="spellStart"/>
      <w:r>
        <w:t>Moldovei</w:t>
      </w:r>
      <w:proofErr w:type="spellEnd"/>
      <w:r>
        <w:t xml:space="preserve">. </w:t>
      </w:r>
      <w:proofErr w:type="spellStart"/>
      <w:r>
        <w:t>Ştiinţe</w:t>
      </w:r>
      <w:proofErr w:type="spellEnd"/>
      <w:r>
        <w:t xml:space="preserve"> </w:t>
      </w:r>
      <w:proofErr w:type="spellStart"/>
      <w:r>
        <w:t>Medicale</w:t>
      </w:r>
      <w:proofErr w:type="spellEnd"/>
      <w:r>
        <w:t>, 80(3), pp.258-268.</w:t>
      </w:r>
    </w:p>
    <w:p w14:paraId="48870C59" w14:textId="77777777" w:rsidR="00924F57" w:rsidRDefault="00924F57" w:rsidP="00924F57">
      <w:proofErr w:type="spellStart"/>
      <w:r>
        <w:t>Schimschal</w:t>
      </w:r>
      <w:proofErr w:type="spellEnd"/>
      <w:r>
        <w:t xml:space="preserve">, S.E., Visentin, D., </w:t>
      </w:r>
      <w:proofErr w:type="spellStart"/>
      <w:r>
        <w:t>Kornhaber</w:t>
      </w:r>
      <w:proofErr w:type="spellEnd"/>
      <w:r>
        <w:t>, R. and Cleary, M., 2022. Achieving long-term goals amidst uncertainty: an integrative model for the psychological resources of grit. The Journal of Continuing Education in Nursing, 53(8), pp.355-363.</w:t>
      </w:r>
    </w:p>
    <w:p w14:paraId="7FF18B1E" w14:textId="77777777" w:rsidR="00924F57" w:rsidRDefault="00924F57" w:rsidP="00924F57">
      <w:r>
        <w:t>Tiffin, P.A. and Roberts, R.D., 2024. The cross‐cutting edge: Medical selection and education viewed through the lens of emotional intelligence. Medical Education, 58(4), pp.382-391.</w:t>
      </w:r>
    </w:p>
    <w:p w14:paraId="70730777" w14:textId="77777777" w:rsidR="00924F57" w:rsidRDefault="00924F57" w:rsidP="00924F57">
      <w:r>
        <w:t xml:space="preserve">Vadivel, B., </w:t>
      </w:r>
      <w:proofErr w:type="spellStart"/>
      <w:r>
        <w:t>Namaziandost</w:t>
      </w:r>
      <w:proofErr w:type="spellEnd"/>
      <w:r>
        <w:t xml:space="preserve">, E. and </w:t>
      </w:r>
      <w:proofErr w:type="spellStart"/>
      <w:r>
        <w:t>Saeedian</w:t>
      </w:r>
      <w:proofErr w:type="spellEnd"/>
      <w:r>
        <w:t>, A., 2021, November. Progress in English language teaching through continuous professional development—teachers’ self-awareness, perception, and feedback. In Frontiers in Education (Vol. 6, p. 757285). Frontiers Media SA.</w:t>
      </w:r>
    </w:p>
    <w:p w14:paraId="07F24CF5" w14:textId="77777777" w:rsidR="00924F57" w:rsidRDefault="00924F57" w:rsidP="00924F57">
      <w:r>
        <w:lastRenderedPageBreak/>
        <w:t>Van Dijk, J., 2021. The network society. London: Sage.</w:t>
      </w:r>
    </w:p>
    <w:sectPr w:rsidR="00924F57">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53DD56" w14:textId="77777777" w:rsidR="005527AE" w:rsidRDefault="005527AE" w:rsidP="00924F57">
      <w:pPr>
        <w:spacing w:before="0" w:after="0" w:line="240" w:lineRule="auto"/>
      </w:pPr>
      <w:r>
        <w:separator/>
      </w:r>
    </w:p>
  </w:endnote>
  <w:endnote w:type="continuationSeparator" w:id="0">
    <w:p w14:paraId="11C76FDA" w14:textId="77777777" w:rsidR="005527AE" w:rsidRDefault="005527AE" w:rsidP="00924F5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4EAD8EA9-9057-4A3E-A76C-063E58F4B457}"/>
  </w:font>
  <w:font w:name="Cambria">
    <w:panose1 w:val="02040503050406030204"/>
    <w:charset w:val="00"/>
    <w:family w:val="roman"/>
    <w:pitch w:val="variable"/>
    <w:sig w:usb0="E00006FF" w:usb1="420024FF" w:usb2="02000000" w:usb3="00000000" w:csb0="0000019F" w:csb1="00000000"/>
    <w:embedRegular r:id="rId2" w:fontKey="{103FBB58-F53D-4FEC-989C-281F005A136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68560419"/>
      <w:docPartObj>
        <w:docPartGallery w:val="Page Numbers (Bottom of Page)"/>
        <w:docPartUnique/>
      </w:docPartObj>
    </w:sdtPr>
    <w:sdtEndPr>
      <w:rPr>
        <w:noProof/>
      </w:rPr>
    </w:sdtEndPr>
    <w:sdtContent>
      <w:p w14:paraId="0148A604" w14:textId="77777777" w:rsidR="00924F57" w:rsidRDefault="00924F5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B159130" w14:textId="77777777" w:rsidR="00924F57" w:rsidRDefault="00924F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CFAF98" w14:textId="77777777" w:rsidR="005527AE" w:rsidRDefault="005527AE" w:rsidP="00924F57">
      <w:pPr>
        <w:spacing w:before="0" w:after="0" w:line="240" w:lineRule="auto"/>
      </w:pPr>
      <w:r>
        <w:separator/>
      </w:r>
    </w:p>
  </w:footnote>
  <w:footnote w:type="continuationSeparator" w:id="0">
    <w:p w14:paraId="7157C78A" w14:textId="77777777" w:rsidR="005527AE" w:rsidRDefault="005527AE" w:rsidP="00924F57">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57517"/>
    <w:rsid w:val="000A4338"/>
    <w:rsid w:val="001E6846"/>
    <w:rsid w:val="00257517"/>
    <w:rsid w:val="003C438D"/>
    <w:rsid w:val="005456C7"/>
    <w:rsid w:val="005527AE"/>
    <w:rsid w:val="00924F57"/>
    <w:rsid w:val="00C71F15"/>
    <w:rsid w:val="00FD01F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75784E"/>
  <w15:docId w15:val="{E489EE09-ED43-463E-876A-87462812A9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color w:val="666666"/>
      <w:sz w:val="30"/>
      <w:szCs w:val="30"/>
    </w:rPr>
  </w:style>
  <w:style w:type="paragraph" w:styleId="Header">
    <w:name w:val="header"/>
    <w:basedOn w:val="Normal"/>
    <w:link w:val="HeaderChar"/>
    <w:uiPriority w:val="99"/>
    <w:unhideWhenUsed/>
    <w:rsid w:val="00924F57"/>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924F57"/>
  </w:style>
  <w:style w:type="paragraph" w:styleId="Footer">
    <w:name w:val="footer"/>
    <w:basedOn w:val="Normal"/>
    <w:link w:val="FooterChar"/>
    <w:uiPriority w:val="99"/>
    <w:unhideWhenUsed/>
    <w:rsid w:val="00924F57"/>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924F57"/>
  </w:style>
  <w:style w:type="paragraph" w:styleId="TOCHeading">
    <w:name w:val="TOC Heading"/>
    <w:basedOn w:val="Heading1"/>
    <w:next w:val="Normal"/>
    <w:uiPriority w:val="39"/>
    <w:unhideWhenUsed/>
    <w:qFormat/>
    <w:rsid w:val="00924F57"/>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924F57"/>
    <w:pPr>
      <w:spacing w:after="100"/>
    </w:pPr>
  </w:style>
  <w:style w:type="character" w:styleId="Hyperlink">
    <w:name w:val="Hyperlink"/>
    <w:basedOn w:val="DefaultParagraphFont"/>
    <w:uiPriority w:val="99"/>
    <w:unhideWhenUsed/>
    <w:rsid w:val="00924F5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A1F177-C0B1-4AEC-96B3-2FFF29AC53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9</Pages>
  <Words>2504</Words>
  <Characters>14276</Characters>
  <Application>Microsoft Office Word</Application>
  <DocSecurity>0</DocSecurity>
  <Lines>118</Lines>
  <Paragraphs>33</Paragraphs>
  <ScaleCrop>false</ScaleCrop>
  <Company/>
  <LinksUpToDate>false</LinksUpToDate>
  <CharactersWithSpaces>16747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Kinga Gisca (1916790)</cp:lastModifiedBy>
  <cp:revision>5</cp:revision>
  <dcterms:created xsi:type="dcterms:W3CDTF">2025-11-24T11:42:00Z</dcterms:created>
  <dcterms:modified xsi:type="dcterms:W3CDTF">2025-12-04T14:37:00Z</dcterms:modified>
</cp:coreProperties>
</file>