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EE845" w14:textId="6C06C10E" w:rsidR="00E33468" w:rsidRPr="002369C7" w:rsidRDefault="00C800AC" w:rsidP="00C800AC">
      <w:pPr>
        <w:jc w:val="center"/>
        <w:rPr>
          <w:i/>
          <w:iCs/>
          <w:sz w:val="24"/>
          <w:szCs w:val="24"/>
          <w:u w:val="single"/>
        </w:rPr>
      </w:pPr>
      <w:r w:rsidRPr="002369C7">
        <w:rPr>
          <w:i/>
          <w:iCs/>
          <w:sz w:val="24"/>
          <w:szCs w:val="24"/>
          <w:u w:val="single"/>
        </w:rPr>
        <w:t>To what extent is the International trade of battlefield / military relic material a matter of moral concern?</w:t>
      </w:r>
    </w:p>
    <w:p w14:paraId="7B08247C" w14:textId="77777777" w:rsidR="00C800AC" w:rsidRDefault="00C800AC" w:rsidP="00C800AC">
      <w:pPr>
        <w:jc w:val="center"/>
        <w:rPr>
          <w:sz w:val="24"/>
          <w:szCs w:val="24"/>
          <w:u w:val="single"/>
        </w:rPr>
      </w:pPr>
    </w:p>
    <w:p w14:paraId="023E10FD" w14:textId="629094FB" w:rsidR="00C800AC" w:rsidRDefault="00C800AC" w:rsidP="00C800AC">
      <w:r w:rsidRPr="00C800AC">
        <w:t>Due to increased public interest in conflict heritage, military collecting, and the material culture of war, the global commerce in battlefield and military relics has grown dramatically in recent decades. Weapons, uniforms, personal effects, and human remains are among the artefacts that move through marketplaces, museums, and private collections, frequently traversing international borders. Such a movement can support historical involvement, education, and preservation, but it also brings up difficult moral issues related to memory, ownership, and how to handle locations connected to death and violence.</w:t>
      </w:r>
      <w:r>
        <w:t xml:space="preserve"> </w:t>
      </w:r>
      <w:r w:rsidRPr="00C800AC">
        <w:t>As a result, the ethical ramifications of relic trading are complex. On the one hand, removing artefacts from their archaeological setting runs the risk of commodifying human pain and harming our understanding of the past. However, museums, historical organisations, and collectors frequently contribute to the preservation of artefacts that could otherwise decay or disappear completely. Thus, the conditions of recovery, the motivations for acquiring, and the interpretations and displays of artefacts all have a significant impact on the ethical relevance of relic exchange.</w:t>
      </w:r>
      <w:r w:rsidRPr="00C800AC">
        <w:br/>
      </w:r>
      <w:r w:rsidRPr="00C800AC">
        <w:br/>
        <w:t>The international trade in battlefield and military relics is therefore best understood as a conditional moral issue rather than an inherently unethical practice. Context affects its moral relevance, especially when it comes to issues of commemorative responsibility, archaeological integrity, and the interests of descendant groups. Circulating relics can sometimes promote historical involvement and preservation, but other times it can commodify pain and compromise the integrity of war sites. Understanding the trade in relics thus requires attention not only to the objects themselves but to the social, ethical, and cultural frameworks within which they are recovered, exchanged, and interpreted.</w:t>
      </w:r>
    </w:p>
    <w:p w14:paraId="480442F7" w14:textId="77777777" w:rsidR="00A276B0" w:rsidRDefault="00A276B0" w:rsidP="00C800AC"/>
    <w:p w14:paraId="393425A2" w14:textId="480AFA4B" w:rsidR="00A276B0" w:rsidRDefault="00A276B0" w:rsidP="00A276B0">
      <w:r w:rsidRPr="00A276B0">
        <w:t>It is important to think about why battlefield material has moral value in the first place before discussing ownership or legality issues. War artefacts are not neutral items; rather, they are symbols of memory, identity, and social significance, according to conflict archaeology. Nicholas Saunders argues that items such as bullets, shrapnel, uniforms, and fragments of military equipment function as “memory objects,” connected to the circumstances of their recovery and the experiences they represent.</w:t>
      </w:r>
      <w:r>
        <w:rPr>
          <w:rStyle w:val="FootnoteReference"/>
        </w:rPr>
        <w:footnoteReference w:id="1"/>
      </w:r>
      <w:r w:rsidRPr="00A276B0">
        <w:t xml:space="preserve"> Their connotations with aggression, survival, and death give them significance in addition to their physical appearance.</w:t>
      </w:r>
      <w:r>
        <w:t xml:space="preserve"> </w:t>
      </w:r>
    </w:p>
    <w:p w14:paraId="730DFD04" w14:textId="11E83147" w:rsidR="00A276B0" w:rsidRPr="00A276B0" w:rsidRDefault="00A276B0" w:rsidP="00A276B0">
      <w:r w:rsidRPr="00A276B0">
        <w:t>Saunders further suggests that objects from conflict zones operate as tangible links between past and present, allowing individuals and communities to construct relationships with traumatic history.</w:t>
      </w:r>
      <w:r>
        <w:rPr>
          <w:rStyle w:val="FootnoteReference"/>
        </w:rPr>
        <w:footnoteReference w:id="2"/>
      </w:r>
      <w:r w:rsidRPr="00A276B0">
        <w:t xml:space="preserve"> In this way, battlefield artefacts take part in continuing processes of interpretation and recollection rather than merely serving as a representation of past events. Therefore, the effects of their circulation, exhibition, or removal from their original setting go beyond the simple material transfer. It has an impact on who can assert control over that memory and how conflict is recalled.</w:t>
      </w:r>
      <w:r>
        <w:t xml:space="preserve"> </w:t>
      </w:r>
      <w:r w:rsidRPr="00A276B0">
        <w:t xml:space="preserve">This viewpoint is supported by more general heritage studies, which increasingly views contemporary conflict sites as components of memory landscapes rather than just places where past events took place. Van der Schriek, for instance, </w:t>
      </w:r>
      <w:r w:rsidRPr="00A276B0">
        <w:lastRenderedPageBreak/>
        <w:t>highlights how pilgrimage, memorialisation, and tourism frequently transform former battlegrounds into iconic locations.</w:t>
      </w:r>
      <w:r>
        <w:rPr>
          <w:rStyle w:val="FootnoteReference"/>
        </w:rPr>
        <w:footnoteReference w:id="3"/>
      </w:r>
      <w:r w:rsidRPr="00A276B0">
        <w:t xml:space="preserve"> Monuments and memorial customs impact how societies understand the past, while the tangible remnants of battle add to the cultural memory of combat. According to this concept, artefacts taken from these types of landscapes are part of a larger memorial setting rather than just being things dug out of the ground.</w:t>
      </w:r>
      <w:r w:rsidRPr="00A276B0">
        <w:br/>
      </w:r>
      <w:r w:rsidRPr="00A276B0">
        <w:br/>
        <w:t>When combined, these methods imply that the moral significance of battlefield artefacts stems from their function in balancing the connections between memory, history, and identity. Their importance stems from the meanings that survivors, descendants, and communities involved in the struggle have given them rather than just their scarcity or monetary worth. Therefore, the ethical discussion surrounding their trading cannot be boiled down to issues of ownership or legality. It instead asks whether the transportation of such items commodifies suffering, interferes with recollection processes, or separates artefacts from the historical circumstances that give them significance.</w:t>
      </w:r>
      <w:r>
        <w:t xml:space="preserve"> </w:t>
      </w:r>
      <w:r w:rsidRPr="00A276B0">
        <w:t>A basis for assessing the global trade in war material is provided by this understanding of relics. Such artefacts' circulation becomes morally sensitive, albeit not always undesirable, if they are essential to the formation of collective memory. How that circulation impacts the social and memorial roles they play determines the ethical standing of their commerce.</w:t>
      </w:r>
    </w:p>
    <w:p w14:paraId="53B7CFD6" w14:textId="77777777" w:rsidR="00A276B0" w:rsidRDefault="00A276B0" w:rsidP="00C800AC"/>
    <w:p w14:paraId="2398B580" w14:textId="5BF7F8BA" w:rsidR="002C5C91" w:rsidRPr="002C5C91" w:rsidRDefault="002C5C91" w:rsidP="002C5C91">
      <w:r w:rsidRPr="002C5C91">
        <w:t>One of the central moral concerns surrounding the international trade in battlefield relics lies in the potential disruption of archaeological context. Artefacts have significance through their temporal and spatial linkages with other material remains, according to conflict archaeology. Therefore, removing items from their original locations runs the risk of destroying the site's evidentiary value. War landscapes serve as intricate collections where artefacts, topography, and memory combine to create historical significance, as research on modern conflict archaeology emphasises.</w:t>
      </w:r>
      <w:r w:rsidR="00B60077">
        <w:rPr>
          <w:rStyle w:val="FootnoteReference"/>
        </w:rPr>
        <w:footnoteReference w:id="4"/>
      </w:r>
      <w:r w:rsidRPr="002C5C91">
        <w:t xml:space="preserve"> Relics may be removed from the settings that enable them to add to a more comprehensive understanding of history when they are removed for private collection or sale.</w:t>
      </w:r>
      <w:r>
        <w:t xml:space="preserve"> </w:t>
      </w:r>
      <w:r w:rsidRPr="002C5C91">
        <w:t>Concerns regarding the commercialisation of human suffering are also raised by the trade in relic material, in addition to the loss of archaeological knowledge. Items found on battlefields often come from places where violence, trauma, and death have shaped the environment. Such landscapes are not neutral historical locations, but rather places of mourning and remembrance, as heritage scholarship is beginning to acknowledge.</w:t>
      </w:r>
      <w:r w:rsidR="00B60077">
        <w:rPr>
          <w:rStyle w:val="FootnoteReference"/>
        </w:rPr>
        <w:footnoteReference w:id="5"/>
      </w:r>
      <w:r w:rsidR="00B60077">
        <w:t xml:space="preserve"> </w:t>
      </w:r>
      <w:r w:rsidRPr="002C5C91">
        <w:t>According to this viewpoint, turning relics into commodities runs the risk of turning remnants of human suffering into commodities that can be sold, thus undermining their commemorative value. Therefore, the ethical question goes beyond whether ownership is lawful to include the symbolic value ascribed to items connected to death and destruction.</w:t>
      </w:r>
      <w:r w:rsidRPr="002C5C91">
        <w:br/>
      </w:r>
      <w:r w:rsidRPr="002C5C91">
        <w:br/>
        <w:t>International legal frameworks that view cultural property associated with conflict as worthy of protection serve to further these concerns. The Hague Convention of 1954, for example, defines cultural property broadly to include objects of historical significance that contribute to the heritage of humanity.</w:t>
      </w:r>
      <w:r w:rsidR="00B60077">
        <w:rPr>
          <w:rStyle w:val="FootnoteReference"/>
        </w:rPr>
        <w:footnoteReference w:id="6"/>
      </w:r>
      <w:r w:rsidRPr="002C5C91">
        <w:t xml:space="preserve"> Although the convention's primary goal was to control behaviour during times of war, its fundamental ideas acknowledge that cultural artefacts associated with hostilities shouldn't be viewed as merely interchangeable goods. Such legal frameworks' </w:t>
      </w:r>
      <w:r w:rsidRPr="002C5C91">
        <w:lastRenderedPageBreak/>
        <w:t>existence shows that relic material's moral sensitivity is widely recognised on a global scale.</w:t>
      </w:r>
      <w:r>
        <w:t xml:space="preserve"> </w:t>
      </w:r>
      <w:r w:rsidRPr="002C5C91">
        <w:t>In actuality, the relics trade also crosses over into more general trends of theft and illegal excavation. Archaeological studies show that artefacts taken from historical sites frequently end up in black markets due to demand from collectors, tourism, or financial need. For example, research on looting around major heritage sites reveals that artefacts are often removed for sale, and their financial worth encourages more archaeological landscape disturbance.</w:t>
      </w:r>
      <w:r w:rsidR="000C3645">
        <w:rPr>
          <w:rStyle w:val="FootnoteReference"/>
        </w:rPr>
        <w:footnoteReference w:id="7"/>
      </w:r>
      <w:r w:rsidRPr="002C5C91">
        <w:t xml:space="preserve"> The existence of such markets emphasises how difficult it is to distinguish between legal collecting and activities that destroy historical evidence and damage sites, even though not all relic trade is unlawful. Therefore, the international movement of relics may even indirectly support practices that jeopardise the preservation of cultural heritage.</w:t>
      </w:r>
      <w:r w:rsidRPr="002C5C91">
        <w:br/>
      </w:r>
      <w:r w:rsidRPr="002C5C91">
        <w:br/>
        <w:t xml:space="preserve">When combined, these arguments imply that the trade in battlefield artefacts can raise legitimate ethical issues, especially when it compromises archaeological integrity, turns suffering into a commodity, or promotes unethical excavation. Therefore, it is impossible to evaluate the ethical significance of relic exchange solely based on market value or ownership rights. It must instead be assessed </w:t>
      </w:r>
      <w:r w:rsidR="00F5457A" w:rsidRPr="002C5C91">
        <w:t>considering</w:t>
      </w:r>
      <w:r w:rsidRPr="002C5C91">
        <w:t xml:space="preserve"> the larger cultural, historical, and commemorative roles that these kinds of objects play. Understanding these issues shows why the practice is still morally debatable in both archaeological and heritage discourse, but it does not necessarily mean that all relic trade is immoral.</w:t>
      </w:r>
    </w:p>
    <w:p w14:paraId="48741672" w14:textId="77777777" w:rsidR="002C5C91" w:rsidRDefault="002C5C91" w:rsidP="00C800AC"/>
    <w:p w14:paraId="2CD06611" w14:textId="3CA3A0CE" w:rsidR="00B9174D" w:rsidRDefault="00B9174D" w:rsidP="00B9174D">
      <w:r w:rsidRPr="00B9174D">
        <w:t>Although the international trade in battlefield relics presents valid ethical issues, it's also important to acknowledge the situations in which the circulation of such artefacts could be beneficial for historical and memorial purposes. Heritage scholarship increasingly emphasises the significance of context, interpretation, and institutional responsibility in determining whether such exchanges are morally problematic, as opposed to considering all relic movements as intrinsically exploitative. Therefore, the ethical standing of the relic trade is dependent on the circumstances surrounding the preservation, interpretation, and display of artefacts as well as on the act of removal or exchange.</w:t>
      </w:r>
      <w:r w:rsidRPr="00B9174D">
        <w:br/>
      </w:r>
      <w:r w:rsidRPr="00B9174D">
        <w:br/>
        <w:t>One of the strongest arguments in favour of the controlled circulation of relic material lies in the role museums and heritage institutions play in preserving and interpreting the past. In addition to storing artefacts, museums also tell stories that relate tangible proof to more general historical processes. According to Tonner, museums serve as "public spaces of memory, testimony, representation, and interpretation," enabling artefacts to expand on societal perceptions of the past rather than existing as standalone oddities.</w:t>
      </w:r>
      <w:r w:rsidR="007B2FE0">
        <w:rPr>
          <w:rStyle w:val="FootnoteReference"/>
        </w:rPr>
        <w:footnoteReference w:id="8"/>
      </w:r>
      <w:r w:rsidRPr="00B9174D">
        <w:t xml:space="preserve"> Within this framework, the movement of relics into museum collections may enhance their ethical significance rather than diminish it, particularly when interpretation foregrounds the human experiences associated with conflict. Rather than commodifying suffering, objects exhibited in this manner can act as witnesses to violence, strengthening remembrance.</w:t>
      </w:r>
      <w:r w:rsidR="006646B0">
        <w:t xml:space="preserve"> </w:t>
      </w:r>
      <w:r w:rsidRPr="00B9174D">
        <w:t xml:space="preserve">The educational potential of relic material further complicates blanket moral condemnation of its circulation. Material culture possesses a communicative power that written or visual sources alone often cannot replicate. People can interact both intellectually and emotionally with the past thanks to artefacts, which offer concrete links between audiences and historical events. One argument for heritage </w:t>
      </w:r>
      <w:r w:rsidRPr="00B9174D">
        <w:lastRenderedPageBreak/>
        <w:t>interpretation here is that by grounding narratives in tangible evidence, objects can elevate them and make conflict accounts more relatable and understandable to audiences who are not experts.</w:t>
      </w:r>
      <w:r w:rsidR="008C6E80">
        <w:rPr>
          <w:rStyle w:val="FootnoteReference"/>
        </w:rPr>
        <w:footnoteReference w:id="9"/>
      </w:r>
      <w:r w:rsidRPr="00B9174D">
        <w:t xml:space="preserve"> From this perspective, the international exchange of relics may contribute to historical understanding when objects are used responsibly within educational contexts. Instead of limiting material remains to their original locations, their cross-border movement can also increase access to conflict heritage, enabling multiple societies to engage with shared histories.</w:t>
      </w:r>
      <w:r w:rsidRPr="00B9174D">
        <w:br/>
      </w:r>
      <w:r w:rsidRPr="00B9174D">
        <w:br/>
        <w:t xml:space="preserve">The practical difficulties of preservation are another factor to </w:t>
      </w:r>
      <w:proofErr w:type="gramStart"/>
      <w:r w:rsidRPr="00B9174D">
        <w:t>take into account</w:t>
      </w:r>
      <w:proofErr w:type="gramEnd"/>
      <w:r w:rsidRPr="00B9174D">
        <w:t>. It has long been recognised in archaeological discussions that preserving artefacts in their original locations does not always ensure their safety. The survival of material remains can be threatened by construction, agriculture, uncontrolled tourism, and environmental degradation. Sometimes the only practical way to prevent artefacts from being destroyed is through removal and conservation. Heritage management writing on conservation and “managing change” frames preservation decisions as contextual trade-offs, where intervention may sometimes protect material evidence rather than erase it.</w:t>
      </w:r>
      <w:r w:rsidR="008C6E80">
        <w:rPr>
          <w:rStyle w:val="FootnoteReference"/>
        </w:rPr>
        <w:footnoteReference w:id="10"/>
      </w:r>
      <w:r w:rsidRPr="00B9174D">
        <w:t xml:space="preserve"> Within this structure, the recovery and subsequent circulation of relics may be justified when it ensures long-term survival and enables artefacts to contribute to historical knowledge.</w:t>
      </w:r>
      <w:r w:rsidRPr="00B9174D">
        <w:br/>
      </w:r>
      <w:r w:rsidRPr="00B9174D">
        <w:br/>
        <w:t>The role of private collectors also requires more nuanced consideration than is often assumed. Although collecting can undoubtedly promote theft and illegal excavation, research is beginning to show how collectors and archaeologists can work together to promote responsible artefact stewardship. Pitblado contends that in certain professional ethics frameworks, ethical collaboration is not only feasible but also something archaeologists ought to actively seek, especially when it aids in documenting privately held artefacts and lessens the loss of contextual information.</w:t>
      </w:r>
      <w:r w:rsidR="008C6E80">
        <w:rPr>
          <w:rStyle w:val="FootnoteReference"/>
        </w:rPr>
        <w:footnoteReference w:id="11"/>
      </w:r>
      <w:r w:rsidRPr="00B9174D">
        <w:t xml:space="preserve"> The risk that privately held items will vanish into unreachable markets can be decreased by using cooperative approaches to document, study, and contextualise them. A conditional argument is supported by this: private ownership is not always exploitative; rather, it can be morally justified when provenance transparency, documentation, and public-benefit interpretation are viewed as requirements rather than extras.</w:t>
      </w:r>
      <w:r w:rsidRPr="00B9174D">
        <w:br/>
      </w:r>
      <w:r w:rsidRPr="00B9174D">
        <w:br/>
        <w:t>Lastly, if circulation is handled to prevent top-down extraction and involve impacted communities, it can occasionally aid in remembrance and discussion. Debates about heritage ethics frequently emphasise that meaningful engagement with people who live with, inherit, or identify with contested pasts is essential to successful and legitimate heritage practice. They also highlight how the distinction between "top-down" and "bottom-up" approaches determines whether heritage interventions are viewed as respectful or extractive.</w:t>
      </w:r>
      <w:r w:rsidR="0074668C">
        <w:rPr>
          <w:rStyle w:val="FootnoteReference"/>
        </w:rPr>
        <w:footnoteReference w:id="12"/>
      </w:r>
      <w:r w:rsidRPr="00B9174D">
        <w:t xml:space="preserve"> In these circumstances, relic exchange could support commemorative initiatives, displays, or educational programs that prioritise victims, context, and moral treatment instead of turning artefacts into awards.</w:t>
      </w:r>
      <w:r w:rsidRPr="00B9174D">
        <w:br/>
      </w:r>
      <w:r w:rsidRPr="00B9174D">
        <w:br/>
        <w:t xml:space="preserve">When taken together, these arguments imply that the moral assessment of the relic trade is </w:t>
      </w:r>
      <w:r w:rsidRPr="00B9174D">
        <w:lastRenderedPageBreak/>
        <w:t>more complex than a straightforward conflict between exploitation and preservation. The way artefacts are handled, interpreted, and placed in context after being taken out of their original places determines the moral standing of relic circulation. Relics' movement may enhance public awareness of conflict if they are properly conserved, incorporated into narratives for education or remembrance, and documented in ways that maintain their historical significance.</w:t>
      </w:r>
    </w:p>
    <w:p w14:paraId="643AF58C" w14:textId="77777777" w:rsidR="006B07A4" w:rsidRDefault="006B07A4" w:rsidP="00B9174D"/>
    <w:p w14:paraId="411D6F22" w14:textId="7994BED9" w:rsidR="006B07A4" w:rsidRDefault="006B07A4" w:rsidP="006B07A4">
      <w:r w:rsidRPr="006B07A4">
        <w:t xml:space="preserve">The debate surrounding the international trade in battlefield and military relic material demonstrates that moral concern is </w:t>
      </w:r>
      <w:proofErr w:type="gramStart"/>
      <w:r w:rsidRPr="006B07A4">
        <w:t>real, but</w:t>
      </w:r>
      <w:proofErr w:type="gramEnd"/>
      <w:r w:rsidRPr="006B07A4">
        <w:t xml:space="preserve"> unevenly distributed across contexts. When the relic trade disrespects the deceased, permits illegal extraction, or compromises the evidential integrity of conflict landscapes, the strongest ethical objections are raised. Scholarship on conflict archaeology emphasises that contemporary war sites are complex contexts where memory, spatial context, and material remnants all interact rather than being merely object repositories.</w:t>
      </w:r>
      <w:r>
        <w:rPr>
          <w:rStyle w:val="FootnoteReference"/>
        </w:rPr>
        <w:footnoteReference w:id="13"/>
      </w:r>
      <w:r w:rsidRPr="006B07A4">
        <w:t xml:space="preserve"> In addition to removing an artefact from a location, the removal of relics without documenting provenance or maintaining context also destroys historical knowledge that could have been produced by meticulous documentation and interpretation. Therefore, the moral issue here is linked to the breakdown of historical accountability: artefacts become disconnected from the context of their creation and use, making them more difficult to understand and more susceptible to mythology.</w:t>
      </w:r>
      <w:r>
        <w:t xml:space="preserve"> </w:t>
      </w:r>
      <w:r w:rsidRPr="006B07A4">
        <w:t>This concern becomes sharper where relic material is entangled with human death and trauma. Foregrounding trauma in heritage views highlights how sites and artefacts linked to violence function within moral economies of grief and remembrance.</w:t>
      </w:r>
      <w:r>
        <w:rPr>
          <w:rStyle w:val="FootnoteReference"/>
        </w:rPr>
        <w:footnoteReference w:id="14"/>
      </w:r>
      <w:r w:rsidRPr="006B07A4">
        <w:t xml:space="preserve"> From this viewpoint, the transformation of battlefield remains into commodities risks converting traces of suffering into trophies or curiosities, particularly when objects are marketed without explanation, context, or sensitivity. The cultural framing of that circulation, whether it views war heritage as entertainment and consumption or as testimony and remembrance, is more ethically problematic than the actual distribution of the content. As the trade shifts away from respectful interpretation and toward item fetishisation, sensationalism, or the trivialisation of loss, moral concern grows in this context.</w:t>
      </w:r>
      <w:r w:rsidRPr="006B07A4">
        <w:br/>
      </w:r>
      <w:r w:rsidRPr="006B07A4">
        <w:br/>
        <w:t>Another problem is that the relic trade coexists with broader markets for cultural artefacts, which may encourage site destruction and looting. The economic worth of artefacts encourages frequent disturbance, as evidenced by studies of looting and vandalism at important historical sites. Artefacts can be removed and sold in local or tourist-facing shops.</w:t>
      </w:r>
      <w:r>
        <w:rPr>
          <w:rStyle w:val="FootnoteReference"/>
        </w:rPr>
        <w:footnoteReference w:id="15"/>
      </w:r>
      <w:r w:rsidRPr="006B07A4">
        <w:t xml:space="preserve"> This does not imply that the trade in relics is always unlawful, but it does point to a systemic ethical issue: the desire for items can foster an environment that makes harmful recovery techniques lucrative. Cultural material associated with conflict should not be regarded as a neutral, freely transferable matter, which is why legal frameworks like the Hague Convention position it as worthy of protection.</w:t>
      </w:r>
      <w:r w:rsidR="005F6E57">
        <w:rPr>
          <w:rStyle w:val="FootnoteReference"/>
        </w:rPr>
        <w:footnoteReference w:id="16"/>
      </w:r>
      <w:r w:rsidRPr="006B07A4">
        <w:t xml:space="preserve"> Therefore, when trade networks morph into illegal or unregulated extraction, where neither historical context nor the dignity of the deceased are preserved, the moral concern is increased.</w:t>
      </w:r>
      <w:r>
        <w:t xml:space="preserve"> </w:t>
      </w:r>
      <w:r w:rsidRPr="006B07A4">
        <w:t xml:space="preserve">However, moral assessment is not always correct. When artefacts are conserved and interpreted at establishments focused on public education and remembrance, the ethical standing of relic circulation is drastically altered. Because it offers a </w:t>
      </w:r>
      <w:r w:rsidRPr="006B07A4">
        <w:lastRenderedPageBreak/>
        <w:t>paradigm where collecting is not only acquisition but a duty to represent and explain the past, Tonner's claim that museums serve as public spaces of memory and testimony is useful in this context.</w:t>
      </w:r>
      <w:r>
        <w:rPr>
          <w:rStyle w:val="FootnoteReference"/>
        </w:rPr>
        <w:footnoteReference w:id="17"/>
      </w:r>
      <w:r w:rsidRPr="006B07A4">
        <w:t xml:space="preserve"> When institutions prioritise provenance, contextual explanation, and human experience, the transfer of relic material may actually increase ethical worth rather than decrease it. In a similar vein, suggestions for cooperation between archaeologists and collectors imply that, so long as openness, documentation, and the public good are regarded as duties, private ownership does not always imply immorality.</w:t>
      </w:r>
      <w:r w:rsidR="003F212A">
        <w:rPr>
          <w:rStyle w:val="FootnoteReference"/>
        </w:rPr>
        <w:footnoteReference w:id="18"/>
      </w:r>
      <w:r w:rsidRPr="006B07A4">
        <w:t xml:space="preserve"> In other words, the moral concern lies less in possession itself and more in whether possession contributes to the preservation of historical meaning or to its erosion.</w:t>
      </w:r>
      <w:r w:rsidRPr="006B07A4">
        <w:br/>
      </w:r>
      <w:r w:rsidRPr="006B07A4">
        <w:br/>
        <w:t>When taken as a whole, these factors suggest that, while not always or completely, the global trade in war artefacts is morally troubling. When relic exchange occurs within frameworks of documentation, conservation, education, and memorial, moral concern is diminished; it is highest when it destroys context, commodifies pain, or supports illegal extraction. Therefore, the degree to which the circulation of relics either upholds or weakens the historical, commemorative, and ethical duties associated with the material remains of war determines the depth of moral concern.</w:t>
      </w:r>
    </w:p>
    <w:p w14:paraId="2A2673F1" w14:textId="77777777" w:rsidR="006D1ED3" w:rsidRDefault="006D1ED3" w:rsidP="006B07A4"/>
    <w:p w14:paraId="0656AEA5" w14:textId="740467DA" w:rsidR="006D1ED3" w:rsidRPr="006B07A4" w:rsidRDefault="006D1ED3" w:rsidP="006B07A4">
      <w:r>
        <w:t>To conclude</w:t>
      </w:r>
      <w:r w:rsidRPr="006D1ED3">
        <w:t>, the international trade in battlefield and military relic material is a matter of moral concern to a significant extent, but not in a uniform or absolute way. Moral concern is greatest where relic exchange involves unrecorded extraction, the destruction of archaeological context, or the commodification of sites and objects bound up with death and trauma. In such cases, relic trading risks eroding historical accountability by severing objects from the circumstances that give them meaning, while also encouraging harmful practices through market demand. However, the movement of relic material is not inherently unethical. Where artefacts are recovered legally, documented transparently, conserved responsibly, and interpreted within frameworks of education and commemoration, circulation can support preservation and public understanding rather than exploit suffering. The crucial distinction, therefore, lies in whether relic trade upholds or undermines the ethical responsibilities attached to conflict heritage. The trade is morally troubling insofar as it encourages decontextualised collecting and disrespectful consumption, but it may be defensible when constrained by provenance, regulation, and a demonstrable public benefit.</w:t>
      </w:r>
    </w:p>
    <w:p w14:paraId="0048C360" w14:textId="77777777" w:rsidR="006B07A4" w:rsidRPr="00B9174D" w:rsidRDefault="006B07A4" w:rsidP="00B9174D"/>
    <w:p w14:paraId="3D89F527" w14:textId="77777777" w:rsidR="00B9174D" w:rsidRPr="00C800AC" w:rsidRDefault="00B9174D" w:rsidP="00C800AC"/>
    <w:p w14:paraId="1F54FA9A" w14:textId="77777777" w:rsidR="00C800AC" w:rsidRDefault="00C800AC" w:rsidP="00C800AC"/>
    <w:p w14:paraId="13CD0CE0" w14:textId="77777777" w:rsidR="005A343B" w:rsidRDefault="005A343B" w:rsidP="00C800AC"/>
    <w:p w14:paraId="3CBD680C" w14:textId="77777777" w:rsidR="005A343B" w:rsidRDefault="005A343B" w:rsidP="00C800AC"/>
    <w:p w14:paraId="38C62081" w14:textId="77777777" w:rsidR="005A343B" w:rsidRDefault="005A343B" w:rsidP="00C800AC"/>
    <w:p w14:paraId="36A7D9DD" w14:textId="77777777" w:rsidR="002A4CFC" w:rsidRDefault="002A4CFC" w:rsidP="000543C9"/>
    <w:p w14:paraId="2874FFBC" w14:textId="77777777" w:rsidR="002369C7" w:rsidRDefault="002369C7" w:rsidP="000543C9"/>
    <w:p w14:paraId="6B6B7BD2" w14:textId="00C9AEB9" w:rsidR="000543C9" w:rsidRPr="002369C7" w:rsidRDefault="000543C9" w:rsidP="000543C9">
      <w:pPr>
        <w:rPr>
          <w:i/>
          <w:iCs/>
          <w:sz w:val="28"/>
          <w:szCs w:val="28"/>
          <w:u w:val="single"/>
        </w:rPr>
      </w:pPr>
      <w:r w:rsidRPr="002369C7">
        <w:rPr>
          <w:i/>
          <w:iCs/>
          <w:sz w:val="28"/>
          <w:szCs w:val="28"/>
          <w:u w:val="single"/>
        </w:rPr>
        <w:t>Bibliography</w:t>
      </w:r>
    </w:p>
    <w:p w14:paraId="4D9711CB" w14:textId="77777777" w:rsidR="000543C9" w:rsidRDefault="000543C9" w:rsidP="000543C9">
      <w:pPr>
        <w:rPr>
          <w:i/>
          <w:iCs/>
          <w:sz w:val="24"/>
          <w:szCs w:val="24"/>
          <w:u w:val="single"/>
        </w:rPr>
      </w:pPr>
    </w:p>
    <w:p w14:paraId="50E6F7EF" w14:textId="544801AE" w:rsidR="000543C9" w:rsidRPr="002369C7" w:rsidRDefault="000543C9" w:rsidP="000543C9">
      <w:pPr>
        <w:pStyle w:val="ListParagraph"/>
        <w:numPr>
          <w:ilvl w:val="0"/>
          <w:numId w:val="1"/>
        </w:numPr>
        <w:rPr>
          <w:sz w:val="24"/>
          <w:szCs w:val="24"/>
        </w:rPr>
      </w:pPr>
      <w:r w:rsidRPr="002369C7">
        <w:rPr>
          <w:b/>
          <w:bCs/>
          <w:sz w:val="24"/>
          <w:szCs w:val="24"/>
        </w:rPr>
        <w:t>Bell, Nancy, and David McPhail</w:t>
      </w:r>
      <w:r w:rsidRPr="002369C7">
        <w:rPr>
          <w:sz w:val="24"/>
          <w:szCs w:val="24"/>
        </w:rPr>
        <w:t xml:space="preserve">, </w:t>
      </w:r>
      <w:r w:rsidRPr="002369C7">
        <w:rPr>
          <w:i/>
          <w:iCs/>
          <w:sz w:val="24"/>
          <w:szCs w:val="24"/>
        </w:rPr>
        <w:t>‘Managing Change: Preserving History’</w:t>
      </w:r>
      <w:r w:rsidRPr="002369C7">
        <w:rPr>
          <w:sz w:val="24"/>
          <w:szCs w:val="24"/>
        </w:rPr>
        <w:t xml:space="preserve">, Materials Today, 10.4 (2007), 50–56 </w:t>
      </w:r>
      <w:hyperlink r:id="rId7" w:history="1">
        <w:r w:rsidRPr="002369C7">
          <w:rPr>
            <w:rStyle w:val="Hyperlink"/>
            <w:sz w:val="24"/>
            <w:szCs w:val="24"/>
          </w:rPr>
          <w:t>https://doi.org/10.1016/S1369-7021(07)70050-0</w:t>
        </w:r>
      </w:hyperlink>
    </w:p>
    <w:p w14:paraId="47C26E21" w14:textId="43E9FD56" w:rsidR="000543C9" w:rsidRPr="002369C7" w:rsidRDefault="000543C9" w:rsidP="000543C9">
      <w:pPr>
        <w:pStyle w:val="ListParagraph"/>
        <w:numPr>
          <w:ilvl w:val="0"/>
          <w:numId w:val="1"/>
        </w:numPr>
        <w:rPr>
          <w:sz w:val="24"/>
          <w:szCs w:val="24"/>
        </w:rPr>
      </w:pPr>
      <w:r w:rsidRPr="002369C7">
        <w:rPr>
          <w:b/>
          <w:bCs/>
          <w:sz w:val="24"/>
          <w:szCs w:val="24"/>
        </w:rPr>
        <w:t>Crossland, Zoe</w:t>
      </w:r>
      <w:r w:rsidRPr="002369C7">
        <w:rPr>
          <w:sz w:val="24"/>
          <w:szCs w:val="24"/>
        </w:rPr>
        <w:t>, ‘</w:t>
      </w:r>
      <w:r w:rsidRPr="002369C7">
        <w:rPr>
          <w:i/>
          <w:iCs/>
          <w:sz w:val="24"/>
          <w:szCs w:val="24"/>
        </w:rPr>
        <w:t>The Archaeology of Contemporary Conflict’</w:t>
      </w:r>
      <w:r w:rsidRPr="002369C7">
        <w:rPr>
          <w:sz w:val="24"/>
          <w:szCs w:val="24"/>
        </w:rPr>
        <w:t xml:space="preserve">, in Timothy </w:t>
      </w:r>
      <w:proofErr w:type="spellStart"/>
      <w:r w:rsidRPr="002369C7">
        <w:rPr>
          <w:sz w:val="24"/>
          <w:szCs w:val="24"/>
        </w:rPr>
        <w:t>Insoll</w:t>
      </w:r>
      <w:proofErr w:type="spellEnd"/>
      <w:r w:rsidRPr="002369C7">
        <w:rPr>
          <w:sz w:val="24"/>
          <w:szCs w:val="24"/>
        </w:rPr>
        <w:t xml:space="preserve"> (ed.), The Oxford Handbook of the Archaeology of Ritual and Religion (Oxford, 2011; online </w:t>
      </w:r>
      <w:proofErr w:type="spellStart"/>
      <w:r w:rsidRPr="002369C7">
        <w:rPr>
          <w:sz w:val="24"/>
          <w:szCs w:val="24"/>
        </w:rPr>
        <w:t>edn</w:t>
      </w:r>
      <w:proofErr w:type="spellEnd"/>
      <w:r w:rsidRPr="002369C7">
        <w:rPr>
          <w:sz w:val="24"/>
          <w:szCs w:val="24"/>
        </w:rPr>
        <w:t xml:space="preserve">, Oxford Academic, 18 Sept. 2012) </w:t>
      </w:r>
      <w:hyperlink r:id="rId8" w:tgtFrame="_new" w:history="1">
        <w:r w:rsidRPr="002369C7">
          <w:rPr>
            <w:rStyle w:val="Hyperlink"/>
            <w:sz w:val="24"/>
            <w:szCs w:val="24"/>
            <w:u w:val="none"/>
          </w:rPr>
          <w:t>https://doi.org/10.1093/oxfordhb/9780199232444.013.0020</w:t>
        </w:r>
      </w:hyperlink>
    </w:p>
    <w:p w14:paraId="0907CDD2" w14:textId="528D7EAF" w:rsidR="000543C9" w:rsidRPr="002369C7" w:rsidRDefault="000543C9" w:rsidP="000543C9">
      <w:pPr>
        <w:pStyle w:val="ListParagraph"/>
        <w:numPr>
          <w:ilvl w:val="0"/>
          <w:numId w:val="1"/>
        </w:numPr>
        <w:rPr>
          <w:sz w:val="24"/>
          <w:szCs w:val="24"/>
        </w:rPr>
      </w:pPr>
      <w:proofErr w:type="spellStart"/>
      <w:r w:rsidRPr="002369C7">
        <w:rPr>
          <w:b/>
          <w:bCs/>
          <w:sz w:val="24"/>
          <w:szCs w:val="24"/>
        </w:rPr>
        <w:t>Feakins</w:t>
      </w:r>
      <w:proofErr w:type="spellEnd"/>
      <w:r w:rsidRPr="002369C7">
        <w:rPr>
          <w:b/>
          <w:bCs/>
          <w:sz w:val="24"/>
          <w:szCs w:val="24"/>
        </w:rPr>
        <w:t>, C., Barrett, E., and Bower, M.</w:t>
      </w:r>
      <w:r w:rsidRPr="002369C7">
        <w:rPr>
          <w:sz w:val="24"/>
          <w:szCs w:val="24"/>
        </w:rPr>
        <w:t>, ‘T</w:t>
      </w:r>
      <w:r w:rsidRPr="002369C7">
        <w:rPr>
          <w:i/>
          <w:iCs/>
          <w:sz w:val="24"/>
          <w:szCs w:val="24"/>
        </w:rPr>
        <w:t>rauma-heritage: towards a trauma-informed understanding of heritage’</w:t>
      </w:r>
      <w:r w:rsidRPr="002369C7">
        <w:rPr>
          <w:sz w:val="24"/>
          <w:szCs w:val="24"/>
        </w:rPr>
        <w:t xml:space="preserve">, International Journal of Heritage Studies, 30.8 (2024), 857–871 </w:t>
      </w:r>
      <w:hyperlink r:id="rId9" w:tgtFrame="_new" w:history="1">
        <w:r w:rsidRPr="002369C7">
          <w:rPr>
            <w:rStyle w:val="Hyperlink"/>
            <w:sz w:val="24"/>
            <w:szCs w:val="24"/>
            <w:u w:val="none"/>
          </w:rPr>
          <w:t>https://doi.org/10.1080/13527258.2024.2342286</w:t>
        </w:r>
      </w:hyperlink>
    </w:p>
    <w:p w14:paraId="0B6F9F00" w14:textId="0397F247" w:rsidR="000543C9" w:rsidRPr="002369C7" w:rsidRDefault="000543C9" w:rsidP="000543C9">
      <w:pPr>
        <w:pStyle w:val="ListParagraph"/>
        <w:numPr>
          <w:ilvl w:val="0"/>
          <w:numId w:val="1"/>
        </w:numPr>
        <w:rPr>
          <w:sz w:val="24"/>
          <w:szCs w:val="24"/>
        </w:rPr>
      </w:pPr>
      <w:r w:rsidRPr="002369C7">
        <w:rPr>
          <w:b/>
          <w:bCs/>
          <w:i/>
          <w:iCs/>
          <w:sz w:val="24"/>
          <w:szCs w:val="24"/>
        </w:rPr>
        <w:t>Hague Convention for the Protection of Cultural Property in the Event of Armed Conflict</w:t>
      </w:r>
      <w:r w:rsidRPr="002369C7">
        <w:rPr>
          <w:sz w:val="24"/>
          <w:szCs w:val="24"/>
        </w:rPr>
        <w:t xml:space="preserve"> (1954)</w:t>
      </w:r>
    </w:p>
    <w:p w14:paraId="54336ED5" w14:textId="6A59E384" w:rsidR="000543C9" w:rsidRPr="002369C7" w:rsidRDefault="000543C9" w:rsidP="000543C9">
      <w:pPr>
        <w:pStyle w:val="ListParagraph"/>
        <w:numPr>
          <w:ilvl w:val="0"/>
          <w:numId w:val="1"/>
        </w:numPr>
        <w:rPr>
          <w:sz w:val="24"/>
          <w:szCs w:val="24"/>
        </w:rPr>
      </w:pPr>
      <w:r w:rsidRPr="002369C7">
        <w:rPr>
          <w:b/>
          <w:bCs/>
          <w:sz w:val="24"/>
          <w:szCs w:val="24"/>
        </w:rPr>
        <w:t>History Associates Incorporated</w:t>
      </w:r>
      <w:r w:rsidRPr="002369C7">
        <w:rPr>
          <w:sz w:val="24"/>
          <w:szCs w:val="24"/>
        </w:rPr>
        <w:t>, ‘</w:t>
      </w:r>
      <w:r w:rsidRPr="002369C7">
        <w:rPr>
          <w:i/>
          <w:iCs/>
          <w:sz w:val="24"/>
          <w:szCs w:val="24"/>
        </w:rPr>
        <w:t>The Power of Artifacts to Elevate the Story’</w:t>
      </w:r>
      <w:r w:rsidRPr="002369C7">
        <w:rPr>
          <w:sz w:val="24"/>
          <w:szCs w:val="24"/>
        </w:rPr>
        <w:t xml:space="preserve"> (2024) </w:t>
      </w:r>
      <w:hyperlink r:id="rId10" w:tgtFrame="_new" w:history="1">
        <w:r w:rsidRPr="002369C7">
          <w:rPr>
            <w:rStyle w:val="Hyperlink"/>
            <w:sz w:val="24"/>
            <w:szCs w:val="24"/>
            <w:u w:val="none"/>
          </w:rPr>
          <w:t>https://www.historyassociates.com/the-power-of-artifacts-to-elevate-the-story/</w:t>
        </w:r>
      </w:hyperlink>
    </w:p>
    <w:p w14:paraId="542FC52F" w14:textId="32C0C85C" w:rsidR="000543C9" w:rsidRPr="002369C7" w:rsidRDefault="000543C9" w:rsidP="000543C9">
      <w:pPr>
        <w:pStyle w:val="ListParagraph"/>
        <w:numPr>
          <w:ilvl w:val="0"/>
          <w:numId w:val="1"/>
        </w:numPr>
        <w:rPr>
          <w:sz w:val="24"/>
          <w:szCs w:val="24"/>
        </w:rPr>
      </w:pPr>
      <w:r w:rsidRPr="002369C7">
        <w:rPr>
          <w:b/>
          <w:bCs/>
          <w:sz w:val="24"/>
          <w:szCs w:val="24"/>
        </w:rPr>
        <w:t>Ireland, Tracy, and John Schofield</w:t>
      </w:r>
      <w:r w:rsidRPr="002369C7">
        <w:rPr>
          <w:sz w:val="24"/>
          <w:szCs w:val="24"/>
        </w:rPr>
        <w:t xml:space="preserve">, </w:t>
      </w:r>
      <w:r w:rsidRPr="002369C7">
        <w:rPr>
          <w:i/>
          <w:iCs/>
          <w:sz w:val="24"/>
          <w:szCs w:val="24"/>
        </w:rPr>
        <w:t>The Ethics of Cultural Heritage</w:t>
      </w:r>
      <w:r w:rsidRPr="002369C7">
        <w:rPr>
          <w:sz w:val="24"/>
          <w:szCs w:val="24"/>
        </w:rPr>
        <w:t xml:space="preserve"> (Cham: Springer </w:t>
      </w:r>
      <w:proofErr w:type="spellStart"/>
      <w:r w:rsidRPr="002369C7">
        <w:rPr>
          <w:sz w:val="24"/>
          <w:szCs w:val="24"/>
        </w:rPr>
        <w:t>Science+Business</w:t>
      </w:r>
      <w:proofErr w:type="spellEnd"/>
      <w:r w:rsidRPr="002369C7">
        <w:rPr>
          <w:sz w:val="24"/>
          <w:szCs w:val="24"/>
        </w:rPr>
        <w:t xml:space="preserve"> Media, 2014)</w:t>
      </w:r>
    </w:p>
    <w:p w14:paraId="47AC73D1" w14:textId="12878B37" w:rsidR="000543C9" w:rsidRPr="002369C7" w:rsidRDefault="000543C9" w:rsidP="000543C9">
      <w:pPr>
        <w:pStyle w:val="ListParagraph"/>
        <w:numPr>
          <w:ilvl w:val="0"/>
          <w:numId w:val="1"/>
        </w:numPr>
        <w:rPr>
          <w:sz w:val="24"/>
          <w:szCs w:val="24"/>
        </w:rPr>
      </w:pPr>
      <w:r w:rsidRPr="002369C7">
        <w:rPr>
          <w:b/>
          <w:bCs/>
          <w:sz w:val="24"/>
          <w:szCs w:val="24"/>
        </w:rPr>
        <w:t>Pitblado, Bonnie L.</w:t>
      </w:r>
      <w:r w:rsidRPr="002369C7">
        <w:rPr>
          <w:sz w:val="24"/>
          <w:szCs w:val="24"/>
        </w:rPr>
        <w:t>, ‘</w:t>
      </w:r>
      <w:r w:rsidRPr="002369C7">
        <w:rPr>
          <w:i/>
          <w:iCs/>
          <w:sz w:val="24"/>
          <w:szCs w:val="24"/>
        </w:rPr>
        <w:t>How Archaeologists and Artifact Collectors Can—and Should—Collaborate to Comply with Legal and Ethical Antiquities Codes’</w:t>
      </w:r>
      <w:r w:rsidRPr="002369C7">
        <w:rPr>
          <w:sz w:val="24"/>
          <w:szCs w:val="24"/>
        </w:rPr>
        <w:t xml:space="preserve"> (Cambridge University Press, 2014)</w:t>
      </w:r>
    </w:p>
    <w:p w14:paraId="3DE3E74D" w14:textId="7DDD951E" w:rsidR="000543C9" w:rsidRPr="002369C7" w:rsidRDefault="000543C9" w:rsidP="000543C9">
      <w:pPr>
        <w:pStyle w:val="ListParagraph"/>
        <w:numPr>
          <w:ilvl w:val="0"/>
          <w:numId w:val="1"/>
        </w:numPr>
        <w:rPr>
          <w:sz w:val="24"/>
          <w:szCs w:val="24"/>
        </w:rPr>
      </w:pPr>
      <w:r w:rsidRPr="002369C7">
        <w:rPr>
          <w:b/>
          <w:bCs/>
          <w:sz w:val="24"/>
          <w:szCs w:val="24"/>
        </w:rPr>
        <w:t>Saunders, Nicholas</w:t>
      </w:r>
      <w:r w:rsidRPr="002369C7">
        <w:rPr>
          <w:sz w:val="24"/>
          <w:szCs w:val="24"/>
        </w:rPr>
        <w:t xml:space="preserve">, </w:t>
      </w:r>
      <w:r w:rsidR="002369C7" w:rsidRPr="002369C7">
        <w:rPr>
          <w:sz w:val="24"/>
          <w:szCs w:val="24"/>
        </w:rPr>
        <w:t>‘</w:t>
      </w:r>
      <w:r w:rsidRPr="002369C7">
        <w:rPr>
          <w:i/>
          <w:iCs/>
          <w:sz w:val="24"/>
          <w:szCs w:val="24"/>
        </w:rPr>
        <w:t>Culture, Conflict and Materiality: The Social Lives of Great War Objects</w:t>
      </w:r>
      <w:r w:rsidR="002369C7" w:rsidRPr="002369C7">
        <w:rPr>
          <w:i/>
          <w:iCs/>
          <w:sz w:val="24"/>
          <w:szCs w:val="24"/>
        </w:rPr>
        <w:t>’</w:t>
      </w:r>
      <w:r w:rsidRPr="002369C7">
        <w:rPr>
          <w:i/>
          <w:iCs/>
          <w:sz w:val="24"/>
          <w:szCs w:val="24"/>
        </w:rPr>
        <w:t xml:space="preserve"> </w:t>
      </w:r>
      <w:r w:rsidRPr="002369C7">
        <w:rPr>
          <w:sz w:val="24"/>
          <w:szCs w:val="24"/>
        </w:rPr>
        <w:t xml:space="preserve">(Bristol, 2005) </w:t>
      </w:r>
      <w:hyperlink r:id="rId11" w:tgtFrame="_new" w:history="1">
        <w:r w:rsidRPr="002369C7">
          <w:rPr>
            <w:rStyle w:val="Hyperlink"/>
            <w:sz w:val="24"/>
            <w:szCs w:val="24"/>
            <w:u w:val="none"/>
          </w:rPr>
          <w:t>https://www.academia.edu/7232006/Culture_Conflict_and_Materiality_the_social_lives_of_Great_War_objects</w:t>
        </w:r>
      </w:hyperlink>
    </w:p>
    <w:p w14:paraId="6B2D4EA9" w14:textId="021FEEB7" w:rsidR="000543C9" w:rsidRPr="002369C7" w:rsidRDefault="000543C9" w:rsidP="000543C9">
      <w:pPr>
        <w:pStyle w:val="ListParagraph"/>
        <w:numPr>
          <w:ilvl w:val="0"/>
          <w:numId w:val="1"/>
        </w:numPr>
        <w:rPr>
          <w:sz w:val="24"/>
          <w:szCs w:val="24"/>
        </w:rPr>
      </w:pPr>
      <w:r w:rsidRPr="002369C7">
        <w:rPr>
          <w:b/>
          <w:bCs/>
          <w:sz w:val="24"/>
          <w:szCs w:val="24"/>
        </w:rPr>
        <w:t>Tonner, Philip</w:t>
      </w:r>
      <w:r w:rsidRPr="002369C7">
        <w:rPr>
          <w:sz w:val="24"/>
          <w:szCs w:val="24"/>
        </w:rPr>
        <w:t>, ‘</w:t>
      </w:r>
      <w:r w:rsidRPr="002369C7">
        <w:rPr>
          <w:i/>
          <w:iCs/>
          <w:sz w:val="24"/>
          <w:szCs w:val="24"/>
        </w:rPr>
        <w:t>Museums, Ethics and Truth: Why Museums’ Collecting Policies Must Face up to the Problem of Testimony’</w:t>
      </w:r>
      <w:r w:rsidRPr="002369C7">
        <w:rPr>
          <w:sz w:val="24"/>
          <w:szCs w:val="24"/>
        </w:rPr>
        <w:t>, Royal Institute of Philosophy Supplement, 79 (2016), 159–177</w:t>
      </w:r>
    </w:p>
    <w:p w14:paraId="442F937E" w14:textId="73B990EF" w:rsidR="000543C9" w:rsidRPr="002369C7" w:rsidRDefault="000543C9" w:rsidP="000543C9">
      <w:pPr>
        <w:pStyle w:val="ListParagraph"/>
        <w:numPr>
          <w:ilvl w:val="0"/>
          <w:numId w:val="1"/>
        </w:numPr>
        <w:rPr>
          <w:sz w:val="24"/>
          <w:szCs w:val="24"/>
        </w:rPr>
      </w:pPr>
      <w:r w:rsidRPr="002369C7">
        <w:rPr>
          <w:b/>
          <w:bCs/>
          <w:sz w:val="24"/>
          <w:szCs w:val="24"/>
        </w:rPr>
        <w:t>Van der Schriek, Max</w:t>
      </w:r>
      <w:r w:rsidRPr="002369C7">
        <w:rPr>
          <w:sz w:val="24"/>
          <w:szCs w:val="24"/>
        </w:rPr>
        <w:t xml:space="preserve">, </w:t>
      </w:r>
      <w:r w:rsidR="002369C7" w:rsidRPr="002369C7">
        <w:rPr>
          <w:sz w:val="24"/>
          <w:szCs w:val="24"/>
        </w:rPr>
        <w:t>‘</w:t>
      </w:r>
      <w:r w:rsidRPr="002369C7">
        <w:rPr>
          <w:i/>
          <w:iCs/>
          <w:sz w:val="24"/>
          <w:szCs w:val="24"/>
        </w:rPr>
        <w:t>Archaeological Approaches to and Heritage Perspectives on Modern Conflict</w:t>
      </w:r>
      <w:r w:rsidR="002369C7" w:rsidRPr="002369C7">
        <w:rPr>
          <w:i/>
          <w:iCs/>
          <w:sz w:val="24"/>
          <w:szCs w:val="24"/>
        </w:rPr>
        <w:t>’</w:t>
      </w:r>
      <w:r w:rsidRPr="002369C7">
        <w:rPr>
          <w:sz w:val="24"/>
          <w:szCs w:val="24"/>
        </w:rPr>
        <w:t xml:space="preserve"> (London, 2022) </w:t>
      </w:r>
      <w:hyperlink r:id="rId12" w:tgtFrame="_new" w:history="1">
        <w:r w:rsidRPr="002369C7">
          <w:rPr>
            <w:rStyle w:val="Hyperlink"/>
            <w:sz w:val="24"/>
            <w:szCs w:val="24"/>
            <w:u w:val="none"/>
          </w:rPr>
          <w:t>https://doi.org/10.5117/9789463729857</w:t>
        </w:r>
      </w:hyperlink>
    </w:p>
    <w:p w14:paraId="703A2A67" w14:textId="1190ABCF" w:rsidR="000543C9" w:rsidRPr="002369C7" w:rsidRDefault="000543C9" w:rsidP="000543C9">
      <w:pPr>
        <w:pStyle w:val="ListParagraph"/>
        <w:numPr>
          <w:ilvl w:val="0"/>
          <w:numId w:val="1"/>
        </w:numPr>
        <w:rPr>
          <w:sz w:val="24"/>
          <w:szCs w:val="24"/>
        </w:rPr>
      </w:pPr>
      <w:r w:rsidRPr="002369C7">
        <w:rPr>
          <w:b/>
          <w:bCs/>
          <w:sz w:val="24"/>
          <w:szCs w:val="24"/>
        </w:rPr>
        <w:t xml:space="preserve">Vella, C., </w:t>
      </w:r>
      <w:proofErr w:type="spellStart"/>
      <w:r w:rsidRPr="002369C7">
        <w:rPr>
          <w:b/>
          <w:bCs/>
          <w:sz w:val="24"/>
          <w:szCs w:val="24"/>
        </w:rPr>
        <w:t>Bocancea</w:t>
      </w:r>
      <w:proofErr w:type="spellEnd"/>
      <w:r w:rsidRPr="002369C7">
        <w:rPr>
          <w:b/>
          <w:bCs/>
          <w:sz w:val="24"/>
          <w:szCs w:val="24"/>
        </w:rPr>
        <w:t>, E., Urban, T. M., Knodell, A. R., Tuttle, C. A., and Alcock, S. E.</w:t>
      </w:r>
      <w:r w:rsidRPr="002369C7">
        <w:rPr>
          <w:sz w:val="24"/>
          <w:szCs w:val="24"/>
        </w:rPr>
        <w:t>, ‘</w:t>
      </w:r>
      <w:r w:rsidRPr="002369C7">
        <w:rPr>
          <w:i/>
          <w:iCs/>
          <w:sz w:val="24"/>
          <w:szCs w:val="24"/>
        </w:rPr>
        <w:t>Looting and vandalism around a World Heritage Site: Documenting modern damage to archaeological heritage in Petra’s hinterland’</w:t>
      </w:r>
      <w:r w:rsidRPr="002369C7">
        <w:rPr>
          <w:sz w:val="24"/>
          <w:szCs w:val="24"/>
        </w:rPr>
        <w:t xml:space="preserve">, Journal of Field Archaeology, 40.2 (2015), 221–235 </w:t>
      </w:r>
      <w:hyperlink r:id="rId13" w:tgtFrame="_new" w:history="1">
        <w:r w:rsidRPr="002369C7">
          <w:rPr>
            <w:rStyle w:val="Hyperlink"/>
            <w:sz w:val="24"/>
            <w:szCs w:val="24"/>
            <w:u w:val="none"/>
          </w:rPr>
          <w:t>https://doi.org/10.1179/0093469015Z.000000000119</w:t>
        </w:r>
      </w:hyperlink>
    </w:p>
    <w:p w14:paraId="06938991" w14:textId="77777777" w:rsidR="000543C9" w:rsidRPr="002369C7" w:rsidRDefault="000543C9" w:rsidP="000543C9">
      <w:pPr>
        <w:rPr>
          <w:i/>
          <w:iCs/>
          <w:sz w:val="24"/>
          <w:szCs w:val="24"/>
          <w:u w:val="single"/>
        </w:rPr>
      </w:pPr>
    </w:p>
    <w:sectPr w:rsidR="000543C9" w:rsidRPr="002369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56799" w14:textId="77777777" w:rsidR="00BC5CE5" w:rsidRDefault="00BC5CE5" w:rsidP="00A276B0">
      <w:pPr>
        <w:spacing w:after="0" w:line="240" w:lineRule="auto"/>
      </w:pPr>
      <w:r>
        <w:separator/>
      </w:r>
    </w:p>
  </w:endnote>
  <w:endnote w:type="continuationSeparator" w:id="0">
    <w:p w14:paraId="360B62D5" w14:textId="77777777" w:rsidR="00BC5CE5" w:rsidRDefault="00BC5CE5" w:rsidP="00A27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C4842" w14:textId="77777777" w:rsidR="00BC5CE5" w:rsidRDefault="00BC5CE5" w:rsidP="00A276B0">
      <w:pPr>
        <w:spacing w:after="0" w:line="240" w:lineRule="auto"/>
      </w:pPr>
      <w:r>
        <w:separator/>
      </w:r>
    </w:p>
  </w:footnote>
  <w:footnote w:type="continuationSeparator" w:id="0">
    <w:p w14:paraId="7EB577B7" w14:textId="77777777" w:rsidR="00BC5CE5" w:rsidRDefault="00BC5CE5" w:rsidP="00A276B0">
      <w:pPr>
        <w:spacing w:after="0" w:line="240" w:lineRule="auto"/>
      </w:pPr>
      <w:r>
        <w:continuationSeparator/>
      </w:r>
    </w:p>
  </w:footnote>
  <w:footnote w:id="1">
    <w:p w14:paraId="6830D8F9" w14:textId="7C4BFE38" w:rsidR="00A276B0" w:rsidRPr="00F5457A" w:rsidRDefault="00A276B0">
      <w:pPr>
        <w:pStyle w:val="FootnoteText"/>
        <w:rPr>
          <w:sz w:val="18"/>
          <w:szCs w:val="18"/>
        </w:rPr>
      </w:pPr>
      <w:r w:rsidRPr="00F5457A">
        <w:rPr>
          <w:rStyle w:val="FootnoteReference"/>
          <w:sz w:val="18"/>
          <w:szCs w:val="18"/>
        </w:rPr>
        <w:footnoteRef/>
      </w:r>
      <w:r w:rsidRPr="00F5457A">
        <w:rPr>
          <w:sz w:val="18"/>
          <w:szCs w:val="18"/>
        </w:rPr>
        <w:t xml:space="preserve"> </w:t>
      </w:r>
      <w:r w:rsidR="00E3703F" w:rsidRPr="00F5457A">
        <w:rPr>
          <w:sz w:val="18"/>
          <w:szCs w:val="18"/>
        </w:rPr>
        <w:t>Nicholas J. Saunders, ‘The Social Lives of Great War Objects’, p. 4.</w:t>
      </w:r>
    </w:p>
  </w:footnote>
  <w:footnote w:id="2">
    <w:p w14:paraId="5856E9EE" w14:textId="7F92BCD6" w:rsidR="00A276B0" w:rsidRPr="00E3703F" w:rsidRDefault="00A276B0">
      <w:pPr>
        <w:pStyle w:val="FootnoteText"/>
      </w:pPr>
      <w:r w:rsidRPr="00F5457A">
        <w:rPr>
          <w:rStyle w:val="FootnoteReference"/>
          <w:sz w:val="18"/>
          <w:szCs w:val="18"/>
        </w:rPr>
        <w:footnoteRef/>
      </w:r>
      <w:r w:rsidRPr="00F5457A">
        <w:rPr>
          <w:sz w:val="18"/>
          <w:szCs w:val="18"/>
        </w:rPr>
        <w:t xml:space="preserve"> </w:t>
      </w:r>
      <w:r w:rsidR="00E3703F" w:rsidRPr="00F5457A">
        <w:rPr>
          <w:i/>
          <w:iCs/>
          <w:sz w:val="18"/>
          <w:szCs w:val="18"/>
        </w:rPr>
        <w:t xml:space="preserve">Ibid, </w:t>
      </w:r>
      <w:r w:rsidR="00E3703F" w:rsidRPr="00F5457A">
        <w:rPr>
          <w:sz w:val="18"/>
          <w:szCs w:val="18"/>
        </w:rPr>
        <w:t>p. 7</w:t>
      </w:r>
    </w:p>
  </w:footnote>
  <w:footnote w:id="3">
    <w:p w14:paraId="13B72DF0" w14:textId="40178226" w:rsidR="00A276B0" w:rsidRPr="00F5457A" w:rsidRDefault="00A276B0">
      <w:pPr>
        <w:pStyle w:val="FootnoteText"/>
        <w:rPr>
          <w:sz w:val="18"/>
          <w:szCs w:val="18"/>
        </w:rPr>
      </w:pPr>
      <w:r w:rsidRPr="00F5457A">
        <w:rPr>
          <w:rStyle w:val="FootnoteReference"/>
          <w:sz w:val="18"/>
          <w:szCs w:val="18"/>
        </w:rPr>
        <w:footnoteRef/>
      </w:r>
      <w:r w:rsidRPr="00F5457A">
        <w:rPr>
          <w:sz w:val="18"/>
          <w:szCs w:val="18"/>
        </w:rPr>
        <w:t xml:space="preserve"> </w:t>
      </w:r>
      <w:r w:rsidR="00E3703F" w:rsidRPr="00F5457A">
        <w:rPr>
          <w:sz w:val="18"/>
          <w:szCs w:val="18"/>
        </w:rPr>
        <w:t xml:space="preserve">Van der Schriek, </w:t>
      </w:r>
      <w:r w:rsidR="00E3703F" w:rsidRPr="00F5457A">
        <w:rPr>
          <w:i/>
          <w:iCs/>
          <w:sz w:val="18"/>
          <w:szCs w:val="18"/>
        </w:rPr>
        <w:t>Archaeological Approaches to and Heritage Perspectives on Modern Conflict</w:t>
      </w:r>
      <w:r w:rsidR="00E3703F" w:rsidRPr="00F5457A">
        <w:rPr>
          <w:sz w:val="18"/>
          <w:szCs w:val="18"/>
        </w:rPr>
        <w:t>, p. 33.</w:t>
      </w:r>
    </w:p>
  </w:footnote>
  <w:footnote w:id="4">
    <w:p w14:paraId="2F68FF6E" w14:textId="3B60BAF2" w:rsidR="00B60077" w:rsidRPr="00F5457A" w:rsidRDefault="00B60077">
      <w:pPr>
        <w:pStyle w:val="FootnoteText"/>
        <w:rPr>
          <w:sz w:val="18"/>
          <w:szCs w:val="18"/>
        </w:rPr>
      </w:pPr>
      <w:r w:rsidRPr="00F5457A">
        <w:rPr>
          <w:rStyle w:val="FootnoteReference"/>
          <w:sz w:val="18"/>
          <w:szCs w:val="18"/>
        </w:rPr>
        <w:footnoteRef/>
      </w:r>
      <w:r w:rsidRPr="00F5457A">
        <w:rPr>
          <w:sz w:val="18"/>
          <w:szCs w:val="18"/>
        </w:rPr>
        <w:t xml:space="preserve"> </w:t>
      </w:r>
      <w:r w:rsidR="006E0050" w:rsidRPr="00F5457A">
        <w:rPr>
          <w:sz w:val="18"/>
          <w:szCs w:val="18"/>
        </w:rPr>
        <w:t xml:space="preserve">Crossland, Zoe. </w:t>
      </w:r>
      <w:r w:rsidR="00306F85" w:rsidRPr="00F5457A">
        <w:rPr>
          <w:i/>
          <w:iCs/>
          <w:sz w:val="18"/>
          <w:szCs w:val="18"/>
        </w:rPr>
        <w:t>The Archaeology of Contemporary Conflict</w:t>
      </w:r>
      <w:r w:rsidR="00306F85" w:rsidRPr="00F5457A">
        <w:rPr>
          <w:sz w:val="18"/>
          <w:szCs w:val="18"/>
        </w:rPr>
        <w:t>, p</w:t>
      </w:r>
      <w:r w:rsidR="00637BD0" w:rsidRPr="00F5457A">
        <w:rPr>
          <w:sz w:val="18"/>
          <w:szCs w:val="18"/>
        </w:rPr>
        <w:t>p</w:t>
      </w:r>
      <w:r w:rsidR="00306F85" w:rsidRPr="00F5457A">
        <w:rPr>
          <w:sz w:val="18"/>
          <w:szCs w:val="18"/>
        </w:rPr>
        <w:t>.</w:t>
      </w:r>
      <w:r w:rsidR="00D7750B" w:rsidRPr="00F5457A">
        <w:rPr>
          <w:sz w:val="18"/>
          <w:szCs w:val="18"/>
        </w:rPr>
        <w:t xml:space="preserve"> 286-287</w:t>
      </w:r>
    </w:p>
  </w:footnote>
  <w:footnote w:id="5">
    <w:p w14:paraId="4B4612EC" w14:textId="45A75620" w:rsidR="00B60077" w:rsidRPr="00F5457A" w:rsidRDefault="00B60077">
      <w:pPr>
        <w:pStyle w:val="FootnoteText"/>
        <w:rPr>
          <w:sz w:val="18"/>
          <w:szCs w:val="18"/>
        </w:rPr>
      </w:pPr>
      <w:r w:rsidRPr="00F5457A">
        <w:rPr>
          <w:rStyle w:val="FootnoteReference"/>
          <w:sz w:val="18"/>
          <w:szCs w:val="18"/>
        </w:rPr>
        <w:footnoteRef/>
      </w:r>
      <w:r w:rsidRPr="00F5457A">
        <w:rPr>
          <w:sz w:val="18"/>
          <w:szCs w:val="18"/>
        </w:rPr>
        <w:t xml:space="preserve"> </w:t>
      </w:r>
      <w:proofErr w:type="spellStart"/>
      <w:r w:rsidR="00DC1CC1" w:rsidRPr="00F5457A">
        <w:rPr>
          <w:sz w:val="18"/>
          <w:szCs w:val="18"/>
        </w:rPr>
        <w:t>Feakins</w:t>
      </w:r>
      <w:proofErr w:type="spellEnd"/>
      <w:r w:rsidR="00DC1CC1" w:rsidRPr="00F5457A">
        <w:rPr>
          <w:sz w:val="18"/>
          <w:szCs w:val="18"/>
        </w:rPr>
        <w:t xml:space="preserve">, C. </w:t>
      </w:r>
      <w:r w:rsidR="008529F0" w:rsidRPr="00F5457A">
        <w:rPr>
          <w:sz w:val="18"/>
          <w:szCs w:val="18"/>
        </w:rPr>
        <w:t>Trauma-heritage: towards a trauma-informed understanding of heritage, pp.</w:t>
      </w:r>
      <w:r w:rsidR="00092BDB" w:rsidRPr="00F5457A">
        <w:rPr>
          <w:sz w:val="18"/>
          <w:szCs w:val="18"/>
        </w:rPr>
        <w:t xml:space="preserve"> 857-858</w:t>
      </w:r>
    </w:p>
  </w:footnote>
  <w:footnote w:id="6">
    <w:p w14:paraId="70633558" w14:textId="7E1441CF" w:rsidR="00B60077" w:rsidRDefault="00B60077">
      <w:pPr>
        <w:pStyle w:val="FootnoteText"/>
      </w:pPr>
      <w:r w:rsidRPr="00F5457A">
        <w:rPr>
          <w:rStyle w:val="FootnoteReference"/>
          <w:sz w:val="18"/>
          <w:szCs w:val="18"/>
        </w:rPr>
        <w:footnoteRef/>
      </w:r>
      <w:r w:rsidRPr="00F5457A">
        <w:rPr>
          <w:sz w:val="18"/>
          <w:szCs w:val="18"/>
        </w:rPr>
        <w:t xml:space="preserve"> </w:t>
      </w:r>
      <w:r w:rsidR="006D43D0" w:rsidRPr="00F5457A">
        <w:rPr>
          <w:i/>
          <w:iCs/>
          <w:sz w:val="18"/>
          <w:szCs w:val="18"/>
        </w:rPr>
        <w:t>Hague Convention for the Protection of Cultural Property in the Event of Armed Conflict</w:t>
      </w:r>
      <w:r w:rsidR="0096208D" w:rsidRPr="00F5457A">
        <w:rPr>
          <w:i/>
          <w:iCs/>
          <w:sz w:val="18"/>
          <w:szCs w:val="18"/>
        </w:rPr>
        <w:t>, Article 1</w:t>
      </w:r>
    </w:p>
  </w:footnote>
  <w:footnote w:id="7">
    <w:p w14:paraId="40C607D5" w14:textId="7D19F664" w:rsidR="000C3645" w:rsidRPr="000D3FA5" w:rsidRDefault="000C3645">
      <w:pPr>
        <w:pStyle w:val="FootnoteText"/>
        <w:rPr>
          <w:sz w:val="18"/>
          <w:szCs w:val="18"/>
        </w:rPr>
      </w:pPr>
      <w:r w:rsidRPr="000D3FA5">
        <w:rPr>
          <w:rStyle w:val="FootnoteReference"/>
          <w:sz w:val="18"/>
          <w:szCs w:val="18"/>
        </w:rPr>
        <w:footnoteRef/>
      </w:r>
      <w:r w:rsidRPr="000D3FA5">
        <w:rPr>
          <w:sz w:val="18"/>
          <w:szCs w:val="18"/>
        </w:rPr>
        <w:t xml:space="preserve"> </w:t>
      </w:r>
      <w:r w:rsidR="00F5457A" w:rsidRPr="000D3FA5">
        <w:rPr>
          <w:sz w:val="18"/>
          <w:szCs w:val="18"/>
        </w:rPr>
        <w:t>Vella et al.,</w:t>
      </w:r>
      <w:r w:rsidR="00F5457A" w:rsidRPr="000D3FA5">
        <w:rPr>
          <w:sz w:val="18"/>
          <w:szCs w:val="18"/>
        </w:rPr>
        <w:t xml:space="preserve"> </w:t>
      </w:r>
      <w:r w:rsidR="00F5457A" w:rsidRPr="000D3FA5">
        <w:rPr>
          <w:i/>
          <w:iCs/>
          <w:sz w:val="18"/>
          <w:szCs w:val="18"/>
        </w:rPr>
        <w:t>Looting and vandalism around a World Heritage Site: Documenting modern damage to archaeological heritage in Petra’s hinterland</w:t>
      </w:r>
      <w:r w:rsidR="00F5457A" w:rsidRPr="000D3FA5">
        <w:rPr>
          <w:i/>
          <w:iCs/>
          <w:sz w:val="18"/>
          <w:szCs w:val="18"/>
        </w:rPr>
        <w:t>,</w:t>
      </w:r>
      <w:r w:rsidR="00F5457A" w:rsidRPr="000D3FA5">
        <w:rPr>
          <w:sz w:val="18"/>
          <w:szCs w:val="18"/>
        </w:rPr>
        <w:t xml:space="preserve"> pp. 221–222.</w:t>
      </w:r>
    </w:p>
  </w:footnote>
  <w:footnote w:id="8">
    <w:p w14:paraId="79A84396" w14:textId="24F4781A" w:rsidR="007B2FE0" w:rsidRDefault="007B2FE0">
      <w:pPr>
        <w:pStyle w:val="FootnoteText"/>
      </w:pPr>
      <w:r w:rsidRPr="000D3FA5">
        <w:rPr>
          <w:rStyle w:val="FootnoteReference"/>
          <w:sz w:val="18"/>
          <w:szCs w:val="18"/>
        </w:rPr>
        <w:footnoteRef/>
      </w:r>
      <w:r w:rsidRPr="000D3FA5">
        <w:rPr>
          <w:sz w:val="18"/>
          <w:szCs w:val="18"/>
        </w:rPr>
        <w:t xml:space="preserve"> </w:t>
      </w:r>
      <w:r w:rsidR="000D3FA5" w:rsidRPr="000D3FA5">
        <w:rPr>
          <w:sz w:val="18"/>
          <w:szCs w:val="18"/>
        </w:rPr>
        <w:t>Philip Tonner, ‘Museums, Ethics and Truth: Why Museums’ Collecting Policies Must Face up to the Problem of Testimony’, pp. 159–177</w:t>
      </w:r>
    </w:p>
  </w:footnote>
  <w:footnote w:id="9">
    <w:p w14:paraId="29D20EC3" w14:textId="287FBEB3" w:rsidR="008C6E80" w:rsidRPr="008F4DC5" w:rsidRDefault="008C6E80">
      <w:pPr>
        <w:pStyle w:val="FootnoteText"/>
        <w:rPr>
          <w:sz w:val="18"/>
          <w:szCs w:val="18"/>
        </w:rPr>
      </w:pPr>
      <w:r w:rsidRPr="008F4DC5">
        <w:rPr>
          <w:rStyle w:val="FootnoteReference"/>
          <w:sz w:val="18"/>
          <w:szCs w:val="18"/>
        </w:rPr>
        <w:footnoteRef/>
      </w:r>
      <w:r w:rsidRPr="008F4DC5">
        <w:rPr>
          <w:sz w:val="18"/>
          <w:szCs w:val="18"/>
        </w:rPr>
        <w:t xml:space="preserve"> </w:t>
      </w:r>
      <w:r w:rsidR="003B42B3" w:rsidRPr="008F4DC5">
        <w:rPr>
          <w:i/>
          <w:iCs/>
          <w:sz w:val="18"/>
          <w:szCs w:val="18"/>
        </w:rPr>
        <w:t>The Power of Artifacts to Elevate the Story</w:t>
      </w:r>
    </w:p>
  </w:footnote>
  <w:footnote w:id="10">
    <w:p w14:paraId="517B3D6C" w14:textId="6280B0B9" w:rsidR="008C6E80" w:rsidRPr="008F4DC5" w:rsidRDefault="008C6E80">
      <w:pPr>
        <w:pStyle w:val="FootnoteText"/>
        <w:rPr>
          <w:sz w:val="18"/>
          <w:szCs w:val="18"/>
        </w:rPr>
      </w:pPr>
      <w:r w:rsidRPr="008F4DC5">
        <w:rPr>
          <w:rStyle w:val="FootnoteReference"/>
          <w:sz w:val="18"/>
          <w:szCs w:val="18"/>
        </w:rPr>
        <w:footnoteRef/>
      </w:r>
      <w:r w:rsidRPr="008F4DC5">
        <w:rPr>
          <w:sz w:val="18"/>
          <w:szCs w:val="18"/>
        </w:rPr>
        <w:t xml:space="preserve"> </w:t>
      </w:r>
      <w:r w:rsidR="002B3430" w:rsidRPr="008F4DC5">
        <w:rPr>
          <w:sz w:val="18"/>
          <w:szCs w:val="18"/>
        </w:rPr>
        <w:t xml:space="preserve">Bell, Nancy, and David McPhail. </w:t>
      </w:r>
      <w:r w:rsidR="002B3430" w:rsidRPr="008F4DC5">
        <w:rPr>
          <w:i/>
          <w:iCs/>
          <w:sz w:val="18"/>
          <w:szCs w:val="18"/>
        </w:rPr>
        <w:t>Managing Change: Preserving History</w:t>
      </w:r>
    </w:p>
  </w:footnote>
  <w:footnote w:id="11">
    <w:p w14:paraId="49EC88A1" w14:textId="6A234882" w:rsidR="008C6E80" w:rsidRPr="008F4DC5" w:rsidRDefault="008C6E80" w:rsidP="008C7E38">
      <w:pPr>
        <w:rPr>
          <w:sz w:val="18"/>
          <w:szCs w:val="18"/>
        </w:rPr>
      </w:pPr>
      <w:r w:rsidRPr="008F4DC5">
        <w:rPr>
          <w:rStyle w:val="FootnoteReference"/>
          <w:sz w:val="18"/>
          <w:szCs w:val="18"/>
        </w:rPr>
        <w:footnoteRef/>
      </w:r>
      <w:r w:rsidR="0074668C" w:rsidRPr="008F4DC5">
        <w:rPr>
          <w:sz w:val="18"/>
          <w:szCs w:val="18"/>
        </w:rPr>
        <w:t xml:space="preserve"> </w:t>
      </w:r>
      <w:r w:rsidR="0074668C" w:rsidRPr="008F4DC5">
        <w:rPr>
          <w:sz w:val="18"/>
          <w:szCs w:val="18"/>
        </w:rPr>
        <w:t xml:space="preserve">Bonnie L. Pitblado. 2014. </w:t>
      </w:r>
      <w:r w:rsidR="0074668C" w:rsidRPr="008F4DC5">
        <w:rPr>
          <w:i/>
          <w:iCs/>
          <w:sz w:val="18"/>
          <w:szCs w:val="18"/>
        </w:rPr>
        <w:t>‘How Archaeologists and Artifact Collectors Can—and Should—Collaborate to Comply with Legal and Ethical Antiquities Codes’</w:t>
      </w:r>
    </w:p>
  </w:footnote>
  <w:footnote w:id="12">
    <w:p w14:paraId="6C5CD0E1" w14:textId="1D9F4A2E" w:rsidR="0074668C" w:rsidRDefault="0074668C">
      <w:pPr>
        <w:pStyle w:val="FootnoteText"/>
      </w:pPr>
      <w:r w:rsidRPr="008F4DC5">
        <w:rPr>
          <w:rStyle w:val="FootnoteReference"/>
          <w:sz w:val="18"/>
          <w:szCs w:val="18"/>
        </w:rPr>
        <w:footnoteRef/>
      </w:r>
      <w:r w:rsidRPr="008F4DC5">
        <w:rPr>
          <w:sz w:val="18"/>
          <w:szCs w:val="18"/>
        </w:rPr>
        <w:t xml:space="preserve"> </w:t>
      </w:r>
      <w:r w:rsidRPr="008F4DC5">
        <w:rPr>
          <w:sz w:val="18"/>
          <w:szCs w:val="18"/>
        </w:rPr>
        <w:t>Ireland, Tracy, and John Schofiel</w:t>
      </w:r>
      <w:r w:rsidRPr="008F4DC5">
        <w:rPr>
          <w:sz w:val="18"/>
          <w:szCs w:val="18"/>
        </w:rPr>
        <w:t>d</w:t>
      </w:r>
      <w:r w:rsidRPr="008F4DC5">
        <w:rPr>
          <w:sz w:val="18"/>
          <w:szCs w:val="18"/>
        </w:rPr>
        <w:t>. ‘</w:t>
      </w:r>
      <w:r w:rsidRPr="008F4DC5">
        <w:rPr>
          <w:i/>
          <w:iCs/>
          <w:sz w:val="18"/>
          <w:szCs w:val="18"/>
        </w:rPr>
        <w:t>The Ethics of Cultural Heritage’</w:t>
      </w:r>
    </w:p>
  </w:footnote>
  <w:footnote w:id="13">
    <w:p w14:paraId="116339FB" w14:textId="69F77F58" w:rsidR="006B07A4" w:rsidRDefault="006B07A4">
      <w:pPr>
        <w:pStyle w:val="FootnoteText"/>
      </w:pPr>
      <w:r>
        <w:rPr>
          <w:rStyle w:val="FootnoteReference"/>
        </w:rPr>
        <w:footnoteRef/>
      </w:r>
      <w:r>
        <w:t xml:space="preserve"> </w:t>
      </w:r>
      <w:r w:rsidR="00774AA0" w:rsidRPr="00774AA0">
        <w:t>Zoe Crossland, ‘The Archaeology of Contemporary Conflict’, pp. 286–287.</w:t>
      </w:r>
    </w:p>
  </w:footnote>
  <w:footnote w:id="14">
    <w:p w14:paraId="513B9700" w14:textId="35F08FCD" w:rsidR="006B07A4" w:rsidRDefault="006B07A4">
      <w:pPr>
        <w:pStyle w:val="FootnoteText"/>
      </w:pPr>
      <w:r>
        <w:rPr>
          <w:rStyle w:val="FootnoteReference"/>
        </w:rPr>
        <w:footnoteRef/>
      </w:r>
      <w:r>
        <w:t xml:space="preserve"> </w:t>
      </w:r>
      <w:proofErr w:type="spellStart"/>
      <w:r w:rsidR="00774AA0" w:rsidRPr="00774AA0">
        <w:t>Feakins</w:t>
      </w:r>
      <w:proofErr w:type="spellEnd"/>
      <w:r w:rsidR="00774AA0" w:rsidRPr="00774AA0">
        <w:t>, Barrett &amp; Bower, ‘Trauma-heritage: towards a trauma-informed understanding of heritage’, pp. 857–858.</w:t>
      </w:r>
    </w:p>
  </w:footnote>
  <w:footnote w:id="15">
    <w:p w14:paraId="0BD18056" w14:textId="7298EE7D" w:rsidR="006B07A4" w:rsidRDefault="006B07A4">
      <w:pPr>
        <w:pStyle w:val="FootnoteText"/>
      </w:pPr>
      <w:r>
        <w:rPr>
          <w:rStyle w:val="FootnoteReference"/>
        </w:rPr>
        <w:footnoteRef/>
      </w:r>
      <w:r>
        <w:t xml:space="preserve"> </w:t>
      </w:r>
      <w:r w:rsidR="00774AA0" w:rsidRPr="00774AA0">
        <w:t>Vella et al., ‘Looting and vandalism around a World Heritage Site’, pp. 221–222.</w:t>
      </w:r>
    </w:p>
  </w:footnote>
  <w:footnote w:id="16">
    <w:p w14:paraId="5A198FA5" w14:textId="1DA7C6A4" w:rsidR="005F6E57" w:rsidRDefault="005F6E57">
      <w:pPr>
        <w:pStyle w:val="FootnoteText"/>
      </w:pPr>
      <w:r>
        <w:rPr>
          <w:rStyle w:val="FootnoteReference"/>
        </w:rPr>
        <w:footnoteRef/>
      </w:r>
      <w:r>
        <w:t xml:space="preserve"> </w:t>
      </w:r>
      <w:r w:rsidR="00900EAE" w:rsidRPr="00900EAE">
        <w:t>Hague Convention for the Protection of Cultural Property in the Event of Armed Conflict (1954), Article 1</w:t>
      </w:r>
    </w:p>
  </w:footnote>
  <w:footnote w:id="17">
    <w:p w14:paraId="5F8E82A3" w14:textId="01455942" w:rsidR="006B07A4" w:rsidRDefault="006B07A4">
      <w:pPr>
        <w:pStyle w:val="FootnoteText"/>
      </w:pPr>
      <w:r>
        <w:rPr>
          <w:rStyle w:val="FootnoteReference"/>
        </w:rPr>
        <w:footnoteRef/>
      </w:r>
      <w:r>
        <w:t xml:space="preserve"> </w:t>
      </w:r>
      <w:r w:rsidR="00900EAE" w:rsidRPr="000D3FA5">
        <w:rPr>
          <w:i/>
          <w:iCs/>
        </w:rPr>
        <w:t xml:space="preserve">Philip Tonner, </w:t>
      </w:r>
      <w:r w:rsidR="00900EAE">
        <w:rPr>
          <w:i/>
          <w:iCs/>
        </w:rPr>
        <w:t xml:space="preserve">2016, </w:t>
      </w:r>
      <w:r w:rsidR="00900EAE" w:rsidRPr="000D3FA5">
        <w:rPr>
          <w:i/>
          <w:iCs/>
        </w:rPr>
        <w:t>‘Museums, Ethics and Truth: Why Museums’ Collecting Policies Must Face up to the Problem of Testimony’</w:t>
      </w:r>
    </w:p>
  </w:footnote>
  <w:footnote w:id="18">
    <w:p w14:paraId="5A6A8D48" w14:textId="7508368A" w:rsidR="003F212A" w:rsidRDefault="003F212A">
      <w:pPr>
        <w:pStyle w:val="FootnoteText"/>
      </w:pPr>
      <w:r>
        <w:rPr>
          <w:rStyle w:val="FootnoteReference"/>
        </w:rPr>
        <w:footnoteRef/>
      </w:r>
      <w:r>
        <w:t xml:space="preserve"> </w:t>
      </w:r>
      <w:r w:rsidR="00E67A97" w:rsidRPr="00E67A97">
        <w:t>Bonnie L. Pitblado, ‘How Archaeologists and Artifact Collectors Can—and Should—Collaborate…’,</w:t>
      </w:r>
      <w:r w:rsidR="00E67A97">
        <w:t xml:space="preserve"> p. 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58491B"/>
    <w:multiLevelType w:val="hybridMultilevel"/>
    <w:tmpl w:val="541880F0"/>
    <w:lvl w:ilvl="0" w:tplc="C516625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8E0644"/>
    <w:multiLevelType w:val="hybridMultilevel"/>
    <w:tmpl w:val="02D63482"/>
    <w:lvl w:ilvl="0" w:tplc="E43A386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7986704">
    <w:abstractNumId w:val="1"/>
  </w:num>
  <w:num w:numId="2" w16cid:durableId="38476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0AC"/>
    <w:rsid w:val="0000410C"/>
    <w:rsid w:val="00037A20"/>
    <w:rsid w:val="000471FF"/>
    <w:rsid w:val="000543C9"/>
    <w:rsid w:val="00092BDB"/>
    <w:rsid w:val="000C3645"/>
    <w:rsid w:val="000D3FA5"/>
    <w:rsid w:val="001442F7"/>
    <w:rsid w:val="00187CF7"/>
    <w:rsid w:val="001C610B"/>
    <w:rsid w:val="002369C7"/>
    <w:rsid w:val="002617CC"/>
    <w:rsid w:val="00261848"/>
    <w:rsid w:val="00261AB0"/>
    <w:rsid w:val="002A3EA5"/>
    <w:rsid w:val="002A4CFC"/>
    <w:rsid w:val="002B10CA"/>
    <w:rsid w:val="002B3430"/>
    <w:rsid w:val="002C5C91"/>
    <w:rsid w:val="00306F85"/>
    <w:rsid w:val="00346A95"/>
    <w:rsid w:val="00370E32"/>
    <w:rsid w:val="003B42B3"/>
    <w:rsid w:val="003C2823"/>
    <w:rsid w:val="003C2D93"/>
    <w:rsid w:val="003D55B4"/>
    <w:rsid w:val="003F212A"/>
    <w:rsid w:val="003F7771"/>
    <w:rsid w:val="00433466"/>
    <w:rsid w:val="00461B6C"/>
    <w:rsid w:val="00471D59"/>
    <w:rsid w:val="00480F28"/>
    <w:rsid w:val="00540A48"/>
    <w:rsid w:val="00545C1D"/>
    <w:rsid w:val="005A343B"/>
    <w:rsid w:val="005A76C8"/>
    <w:rsid w:val="005B3D44"/>
    <w:rsid w:val="005F4BBE"/>
    <w:rsid w:val="005F6E57"/>
    <w:rsid w:val="00607105"/>
    <w:rsid w:val="00637BD0"/>
    <w:rsid w:val="006646B0"/>
    <w:rsid w:val="006760C6"/>
    <w:rsid w:val="006A1EF5"/>
    <w:rsid w:val="006A577F"/>
    <w:rsid w:val="006B07A4"/>
    <w:rsid w:val="006B492B"/>
    <w:rsid w:val="006D0418"/>
    <w:rsid w:val="006D1ED3"/>
    <w:rsid w:val="006D43D0"/>
    <w:rsid w:val="006E0050"/>
    <w:rsid w:val="006F3316"/>
    <w:rsid w:val="0074668C"/>
    <w:rsid w:val="00774AA0"/>
    <w:rsid w:val="007B2FE0"/>
    <w:rsid w:val="007C4B58"/>
    <w:rsid w:val="008529F0"/>
    <w:rsid w:val="008C6E80"/>
    <w:rsid w:val="008C7E38"/>
    <w:rsid w:val="008F4DC5"/>
    <w:rsid w:val="00900EAE"/>
    <w:rsid w:val="00945010"/>
    <w:rsid w:val="0096208D"/>
    <w:rsid w:val="009D3DE1"/>
    <w:rsid w:val="00A04C7F"/>
    <w:rsid w:val="00A276B0"/>
    <w:rsid w:val="00AA5798"/>
    <w:rsid w:val="00B15B25"/>
    <w:rsid w:val="00B60077"/>
    <w:rsid w:val="00B9174D"/>
    <w:rsid w:val="00BA5F01"/>
    <w:rsid w:val="00BC5CE5"/>
    <w:rsid w:val="00BE4844"/>
    <w:rsid w:val="00BF2F1F"/>
    <w:rsid w:val="00C75DE9"/>
    <w:rsid w:val="00C800AC"/>
    <w:rsid w:val="00CB48C6"/>
    <w:rsid w:val="00D7750B"/>
    <w:rsid w:val="00D84B03"/>
    <w:rsid w:val="00DC1CC1"/>
    <w:rsid w:val="00E05381"/>
    <w:rsid w:val="00E33468"/>
    <w:rsid w:val="00E3703F"/>
    <w:rsid w:val="00E67A97"/>
    <w:rsid w:val="00E749F6"/>
    <w:rsid w:val="00EE4B9C"/>
    <w:rsid w:val="00F5457A"/>
    <w:rsid w:val="00F6083A"/>
    <w:rsid w:val="00F6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CFE28"/>
  <w15:chartTrackingRefBased/>
  <w15:docId w15:val="{DE1139EE-CC4E-49B1-90C2-0942CBC04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0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00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00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00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00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00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00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00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00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0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00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00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00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00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00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00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00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00AC"/>
    <w:rPr>
      <w:rFonts w:eastAsiaTheme="majorEastAsia" w:cstheme="majorBidi"/>
      <w:color w:val="272727" w:themeColor="text1" w:themeTint="D8"/>
    </w:rPr>
  </w:style>
  <w:style w:type="paragraph" w:styleId="Title">
    <w:name w:val="Title"/>
    <w:basedOn w:val="Normal"/>
    <w:next w:val="Normal"/>
    <w:link w:val="TitleChar"/>
    <w:uiPriority w:val="10"/>
    <w:qFormat/>
    <w:rsid w:val="00C800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00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00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00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00AC"/>
    <w:pPr>
      <w:spacing w:before="160"/>
      <w:jc w:val="center"/>
    </w:pPr>
    <w:rPr>
      <w:i/>
      <w:iCs/>
      <w:color w:val="404040" w:themeColor="text1" w:themeTint="BF"/>
    </w:rPr>
  </w:style>
  <w:style w:type="character" w:customStyle="1" w:styleId="QuoteChar">
    <w:name w:val="Quote Char"/>
    <w:basedOn w:val="DefaultParagraphFont"/>
    <w:link w:val="Quote"/>
    <w:uiPriority w:val="29"/>
    <w:rsid w:val="00C800AC"/>
    <w:rPr>
      <w:i/>
      <w:iCs/>
      <w:color w:val="404040" w:themeColor="text1" w:themeTint="BF"/>
    </w:rPr>
  </w:style>
  <w:style w:type="paragraph" w:styleId="ListParagraph">
    <w:name w:val="List Paragraph"/>
    <w:basedOn w:val="Normal"/>
    <w:uiPriority w:val="34"/>
    <w:qFormat/>
    <w:rsid w:val="00C800AC"/>
    <w:pPr>
      <w:ind w:left="720"/>
      <w:contextualSpacing/>
    </w:pPr>
  </w:style>
  <w:style w:type="character" w:styleId="IntenseEmphasis">
    <w:name w:val="Intense Emphasis"/>
    <w:basedOn w:val="DefaultParagraphFont"/>
    <w:uiPriority w:val="21"/>
    <w:qFormat/>
    <w:rsid w:val="00C800AC"/>
    <w:rPr>
      <w:i/>
      <w:iCs/>
      <w:color w:val="0F4761" w:themeColor="accent1" w:themeShade="BF"/>
    </w:rPr>
  </w:style>
  <w:style w:type="paragraph" w:styleId="IntenseQuote">
    <w:name w:val="Intense Quote"/>
    <w:basedOn w:val="Normal"/>
    <w:next w:val="Normal"/>
    <w:link w:val="IntenseQuoteChar"/>
    <w:uiPriority w:val="30"/>
    <w:qFormat/>
    <w:rsid w:val="00C800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00AC"/>
    <w:rPr>
      <w:i/>
      <w:iCs/>
      <w:color w:val="0F4761" w:themeColor="accent1" w:themeShade="BF"/>
    </w:rPr>
  </w:style>
  <w:style w:type="character" w:styleId="IntenseReference">
    <w:name w:val="Intense Reference"/>
    <w:basedOn w:val="DefaultParagraphFont"/>
    <w:uiPriority w:val="32"/>
    <w:qFormat/>
    <w:rsid w:val="00C800AC"/>
    <w:rPr>
      <w:b/>
      <w:bCs/>
      <w:smallCaps/>
      <w:color w:val="0F4761" w:themeColor="accent1" w:themeShade="BF"/>
      <w:spacing w:val="5"/>
    </w:rPr>
  </w:style>
  <w:style w:type="paragraph" w:styleId="FootnoteText">
    <w:name w:val="footnote text"/>
    <w:basedOn w:val="Normal"/>
    <w:link w:val="FootnoteTextChar"/>
    <w:uiPriority w:val="99"/>
    <w:semiHidden/>
    <w:unhideWhenUsed/>
    <w:rsid w:val="00A276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76B0"/>
    <w:rPr>
      <w:sz w:val="20"/>
      <w:szCs w:val="20"/>
    </w:rPr>
  </w:style>
  <w:style w:type="character" w:styleId="FootnoteReference">
    <w:name w:val="footnote reference"/>
    <w:basedOn w:val="DefaultParagraphFont"/>
    <w:uiPriority w:val="99"/>
    <w:semiHidden/>
    <w:unhideWhenUsed/>
    <w:rsid w:val="00A276B0"/>
    <w:rPr>
      <w:vertAlign w:val="superscript"/>
    </w:rPr>
  </w:style>
  <w:style w:type="paragraph" w:styleId="NormalWeb">
    <w:name w:val="Normal (Web)"/>
    <w:basedOn w:val="Normal"/>
    <w:uiPriority w:val="99"/>
    <w:semiHidden/>
    <w:unhideWhenUsed/>
    <w:rsid w:val="00E3703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E3703F"/>
  </w:style>
  <w:style w:type="character" w:styleId="Hyperlink">
    <w:name w:val="Hyperlink"/>
    <w:basedOn w:val="DefaultParagraphFont"/>
    <w:uiPriority w:val="99"/>
    <w:unhideWhenUsed/>
    <w:rsid w:val="00E3703F"/>
    <w:rPr>
      <w:color w:val="467886" w:themeColor="hyperlink"/>
      <w:u w:val="single"/>
    </w:rPr>
  </w:style>
  <w:style w:type="character" w:styleId="UnresolvedMention">
    <w:name w:val="Unresolved Mention"/>
    <w:basedOn w:val="DefaultParagraphFont"/>
    <w:uiPriority w:val="99"/>
    <w:semiHidden/>
    <w:unhideWhenUsed/>
    <w:rsid w:val="00E3703F"/>
    <w:rPr>
      <w:color w:val="605E5C"/>
      <w:shd w:val="clear" w:color="auto" w:fill="E1DFDD"/>
    </w:rPr>
  </w:style>
  <w:style w:type="paragraph" w:styleId="Header">
    <w:name w:val="header"/>
    <w:basedOn w:val="Normal"/>
    <w:link w:val="HeaderChar"/>
    <w:uiPriority w:val="99"/>
    <w:semiHidden/>
    <w:unhideWhenUsed/>
    <w:rsid w:val="006760C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760C6"/>
  </w:style>
  <w:style w:type="paragraph" w:styleId="Footer">
    <w:name w:val="footer"/>
    <w:basedOn w:val="Normal"/>
    <w:link w:val="FooterChar"/>
    <w:uiPriority w:val="99"/>
    <w:semiHidden/>
    <w:unhideWhenUsed/>
    <w:rsid w:val="006760C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76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xfordhb/9780199232444.013.0020" TargetMode="External"/><Relationship Id="rId13" Type="http://schemas.openxmlformats.org/officeDocument/2006/relationships/hyperlink" Target="https://doi.org/10.1179/0093469015Z.000000000119" TargetMode="External"/><Relationship Id="rId3" Type="http://schemas.openxmlformats.org/officeDocument/2006/relationships/settings" Target="settings.xml"/><Relationship Id="rId7" Type="http://schemas.openxmlformats.org/officeDocument/2006/relationships/hyperlink" Target="https://doi.org/10.1016/S1369-7021(07)70050-0" TargetMode="External"/><Relationship Id="rId12" Type="http://schemas.openxmlformats.org/officeDocument/2006/relationships/hyperlink" Target="https://doi.org/10.5117/978946372985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demia.edu/7232006/Culture_Conflict_and_Materiality_the_social_lives_of_Great_War_object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istoryassociates.com/the-power-of-artifacts-to-elevate-the-story/" TargetMode="External"/><Relationship Id="rId4" Type="http://schemas.openxmlformats.org/officeDocument/2006/relationships/webSettings" Target="webSettings.xml"/><Relationship Id="rId9" Type="http://schemas.openxmlformats.org/officeDocument/2006/relationships/hyperlink" Target="https://doi.org/10.1080/13527258.2024.234228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TotalTime>
  <Pages>7</Pages>
  <Words>3396</Words>
  <Characters>19363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22714</CharactersWithSpaces>
  <SharedDoc>false</SharedDoc>
  <HLinks>
    <vt:vector size="24" baseType="variant">
      <vt:variant>
        <vt:i4>458818</vt:i4>
      </vt:variant>
      <vt:variant>
        <vt:i4>9</vt:i4>
      </vt:variant>
      <vt:variant>
        <vt:i4>0</vt:i4>
      </vt:variant>
      <vt:variant>
        <vt:i4>5</vt:i4>
      </vt:variant>
      <vt:variant>
        <vt:lpwstr>https://doi.org/10.1080/13527258.2024.2342286</vt:lpwstr>
      </vt:variant>
      <vt:variant>
        <vt:lpwstr/>
      </vt:variant>
      <vt:variant>
        <vt:i4>3145838</vt:i4>
      </vt:variant>
      <vt:variant>
        <vt:i4>6</vt:i4>
      </vt:variant>
      <vt:variant>
        <vt:i4>0</vt:i4>
      </vt:variant>
      <vt:variant>
        <vt:i4>5</vt:i4>
      </vt:variant>
      <vt:variant>
        <vt:lpwstr>https://doi.org/10.1093/oxfordhb/9780199232444.013.0020</vt:lpwstr>
      </vt:variant>
      <vt:variant>
        <vt:lpwstr/>
      </vt:variant>
      <vt:variant>
        <vt:i4>1376336</vt:i4>
      </vt:variant>
      <vt:variant>
        <vt:i4>3</vt:i4>
      </vt:variant>
      <vt:variant>
        <vt:i4>0</vt:i4>
      </vt:variant>
      <vt:variant>
        <vt:i4>5</vt:i4>
      </vt:variant>
      <vt:variant>
        <vt:lpwstr>https://doi.org/10.5117/9789463729857</vt:lpwstr>
      </vt:variant>
      <vt:variant>
        <vt:lpwstr/>
      </vt:variant>
      <vt:variant>
        <vt:i4>851982</vt:i4>
      </vt:variant>
      <vt:variant>
        <vt:i4>0</vt:i4>
      </vt:variant>
      <vt:variant>
        <vt:i4>0</vt:i4>
      </vt:variant>
      <vt:variant>
        <vt:i4>5</vt:i4>
      </vt:variant>
      <vt:variant>
        <vt:lpwstr>https://www.academia.edu/7232006/Culture_Conflict_and_Materiality_the_social_lives_of_Great_War_objects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59</cp:revision>
  <dcterms:created xsi:type="dcterms:W3CDTF">2026-02-22T12:52:00Z</dcterms:created>
  <dcterms:modified xsi:type="dcterms:W3CDTF">2026-02-22T20:09:00Z</dcterms:modified>
</cp:coreProperties>
</file>