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02">
      <w:pPr>
        <w:rPr>
          <w:rFonts w:ascii="EB Garamond" w:cs="EB Garamond" w:eastAsia="EB Garamond" w:hAnsi="EB Garamond"/>
        </w:rPr>
      </w:pPr>
      <w:r w:rsidDel="00000000" w:rsidR="00000000" w:rsidRPr="00000000">
        <w:rPr>
          <w:rFonts w:ascii="EB Garamond" w:cs="EB Garamond" w:eastAsia="EB Garamond" w:hAnsi="EB Garamond"/>
          <w:rtl w:val="0"/>
        </w:rPr>
        <w:t xml:space="preserve">Within this essay I plan to discuss the crimes committed by each individual, and identify whether  the actus reus and mens rea was met in order to advise them of their potential criminal liability, along with any defences that may apply. </w:t>
      </w:r>
    </w:p>
    <w:p w:rsidR="00000000" w:rsidDel="00000000" w:rsidP="00000000" w:rsidRDefault="00000000" w:rsidRPr="00000000" w14:paraId="00000003">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04">
      <w:pPr>
        <w:rPr>
          <w:rFonts w:ascii="EB Garamond" w:cs="EB Garamond" w:eastAsia="EB Garamond" w:hAnsi="EB Garamond"/>
        </w:rPr>
      </w:pPr>
      <w:r w:rsidDel="00000000" w:rsidR="00000000" w:rsidRPr="00000000">
        <w:rPr>
          <w:rFonts w:ascii="EB Garamond" w:cs="EB Garamond" w:eastAsia="EB Garamond" w:hAnsi="EB Garamond"/>
          <w:rtl w:val="0"/>
        </w:rPr>
        <w:t xml:space="preserve">For a person to be found guilty of committing a crime, it has to be proved that the offender  has both committed a guilty mind with a guilty act, which is known as the mens rea and the actus reus. The men’s rea is known as the mental element of a crime and the actus reus is known as the physical part of a criminal offence. (</w:t>
      </w:r>
      <w:r w:rsidDel="00000000" w:rsidR="00000000" w:rsidRPr="00000000">
        <w:rPr>
          <w:rFonts w:ascii="EB Garamond" w:cs="EB Garamond" w:eastAsia="EB Garamond" w:hAnsi="EB Garamond"/>
          <w:color w:val="1155cc"/>
          <w:u w:val="single"/>
          <w:rtl w:val="0"/>
        </w:rPr>
        <w:t xml:space="preserve">iclr.uk,2023</w:t>
      </w:r>
      <w:r w:rsidDel="00000000" w:rsidR="00000000" w:rsidRPr="00000000">
        <w:rPr>
          <w:rFonts w:ascii="EB Garamond" w:cs="EB Garamond" w:eastAsia="EB Garamond" w:hAnsi="EB Garamond"/>
          <w:rtl w:val="0"/>
        </w:rPr>
        <w:t xml:space="preserve">) Both the actus reus and mens rea have to be identified in order for the defendant to be prosecuted for their accused crimes. </w:t>
      </w:r>
    </w:p>
    <w:p w:rsidR="00000000" w:rsidDel="00000000" w:rsidP="00000000" w:rsidRDefault="00000000" w:rsidRPr="00000000" w14:paraId="00000005">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06">
      <w:pPr>
        <w:rPr>
          <w:rFonts w:ascii="EB Garamond" w:cs="EB Garamond" w:eastAsia="EB Garamond" w:hAnsi="EB Garamond"/>
        </w:rPr>
      </w:pPr>
      <w:r w:rsidDel="00000000" w:rsidR="00000000" w:rsidRPr="00000000">
        <w:rPr>
          <w:rFonts w:ascii="EB Garamond" w:cs="EB Garamond" w:eastAsia="EB Garamond" w:hAnsi="EB Garamond"/>
          <w:rtl w:val="0"/>
        </w:rPr>
        <w:t xml:space="preserve">Under section 1 TA 1968, theft is described as taking property belonging to another with the intention of  permanently depriving the person, and appropriation of the rights over the owner's property. </w:t>
      </w:r>
      <w:r w:rsidDel="00000000" w:rsidR="00000000" w:rsidRPr="00000000">
        <w:rPr>
          <w:rFonts w:ascii="EB Garamond" w:cs="EB Garamond" w:eastAsia="EB Garamond" w:hAnsi="EB Garamond"/>
          <w:color w:val="1155cc"/>
          <w:u w:val="single"/>
          <w:rtl w:val="0"/>
        </w:rPr>
        <w:t xml:space="preserve">(cps.gov.uk, 2022</w:t>
      </w:r>
      <w:r w:rsidDel="00000000" w:rsidR="00000000" w:rsidRPr="00000000">
        <w:rPr>
          <w:rFonts w:ascii="EB Garamond" w:cs="EB Garamond" w:eastAsia="EB Garamond" w:hAnsi="EB Garamond"/>
          <w:rtl w:val="0"/>
        </w:rPr>
        <w:t xml:space="preserve">) Theft is also the depriving of someone’s property without the use of any force or harm. (</w:t>
      </w:r>
      <w:r w:rsidDel="00000000" w:rsidR="00000000" w:rsidRPr="00000000">
        <w:rPr>
          <w:rFonts w:ascii="EB Garamond" w:cs="EB Garamond" w:eastAsia="EB Garamond" w:hAnsi="EB Garamond"/>
          <w:color w:val="1155cc"/>
          <w:u w:val="single"/>
          <w:rtl w:val="0"/>
        </w:rPr>
        <w:t xml:space="preserve">council.org.uk,2023</w:t>
      </w:r>
      <w:r w:rsidDel="00000000" w:rsidR="00000000" w:rsidRPr="00000000">
        <w:rPr>
          <w:rFonts w:ascii="EB Garamond" w:cs="EB Garamond" w:eastAsia="EB Garamond" w:hAnsi="EB Garamond"/>
          <w:rtl w:val="0"/>
        </w:rPr>
        <w:t xml:space="preserve">) Paula had committed an act of theft after she had stolen a luxury gift that had been gifted to her friend Christine. Paula had always been very  jealous of Christine’s luxury possessions, which led her to commit a deviant and criminal act. Paula stole Christine’s bag with the intention of permanently depriving the item from her, as Paula had hid the bag under her coat, with the expectation of putting the bag in her car to drive off with  after the party. The mens rea has been identified within this case as Paula had the criminal intention to steal the bag and had planned how she would remove and deprive Christine of the item. The actus reus was identified as Paula had acted of her intention and plan, by hiding the bag under her coat and removing it from the property. As Paula had tried to take Christine’s bag outside, she heard people nearby, and hid the bag under the car, again with the intention to put the bag in the car after the party. Paula had rationally planned another way to successfully take the bag, without getting caught by guests, by hiding it under her car. This again proves the guilty mind and acts as Paula is continuing to carry out her intention of stealing the bag, and overcoming risks whilst taking the bag out of the property. In the end, Paula managed to drive off with the bag after the party, so her plan and acts  had successfully worked to take the bag. The maximum sentence for a general theft can be up to 7 years custody, but to properly determine the offence category the court will assess the culpability and harm during the offence. “ The level of culpability is determined by weighing up all the factors of the case to determine the offender’s role and the extent to which the offending was planned and the sophistication with which it was carried out.’’ (</w:t>
      </w:r>
      <w:r w:rsidDel="00000000" w:rsidR="00000000" w:rsidRPr="00000000">
        <w:rPr>
          <w:rFonts w:ascii="EB Garamond" w:cs="EB Garamond" w:eastAsia="EB Garamond" w:hAnsi="EB Garamond"/>
          <w:color w:val="1155cc"/>
          <w:u w:val="single"/>
          <w:rtl w:val="0"/>
        </w:rPr>
        <w:t xml:space="preserve">council.org.uk,2016</w:t>
      </w:r>
      <w:r w:rsidDel="00000000" w:rsidR="00000000" w:rsidRPr="00000000">
        <w:rPr>
          <w:rFonts w:ascii="EB Garamond" w:cs="EB Garamond" w:eastAsia="EB Garamond" w:hAnsi="EB Garamond"/>
          <w:rtl w:val="0"/>
        </w:rPr>
        <w:t xml:space="preserve">) </w:t>
      </w:r>
    </w:p>
    <w:p w:rsidR="00000000" w:rsidDel="00000000" w:rsidP="00000000" w:rsidRDefault="00000000" w:rsidRPr="00000000" w14:paraId="00000007">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08">
      <w:pPr>
        <w:rPr>
          <w:rFonts w:ascii="EB Garamond" w:cs="EB Garamond" w:eastAsia="EB Garamond" w:hAnsi="EB Garamond"/>
          <w:sz w:val="26"/>
          <w:szCs w:val="26"/>
        </w:rPr>
      </w:pPr>
      <w:r w:rsidDel="00000000" w:rsidR="00000000" w:rsidRPr="00000000">
        <w:rPr>
          <w:rFonts w:ascii="EB Garamond" w:cs="EB Garamond" w:eastAsia="EB Garamond" w:hAnsi="EB Garamond"/>
          <w:rtl w:val="0"/>
        </w:rPr>
        <w:t xml:space="preserve">Within the case of R V Small (Adrian) 1987,  a defendant was charged with theft after he took someone’s car after he thought it had been abandoned, as it was left for over a week with the keys inside of the vehicle. (</w:t>
      </w:r>
      <w:r w:rsidDel="00000000" w:rsidR="00000000" w:rsidRPr="00000000">
        <w:rPr>
          <w:rFonts w:ascii="EB Garamond" w:cs="EB Garamond" w:eastAsia="EB Garamond" w:hAnsi="EB Garamond"/>
          <w:color w:val="1155cc"/>
          <w:u w:val="single"/>
          <w:rtl w:val="0"/>
        </w:rPr>
        <w:t xml:space="preserve">www.lawteacher,2021</w:t>
      </w:r>
      <w:r w:rsidDel="00000000" w:rsidR="00000000" w:rsidRPr="00000000">
        <w:rPr>
          <w:rFonts w:ascii="EB Garamond" w:cs="EB Garamond" w:eastAsia="EB Garamond" w:hAnsi="EB Garamond"/>
          <w:rtl w:val="0"/>
        </w:rPr>
        <w:t xml:space="preserve">) The R V Small case is somewhat similar to the case of Paula, as they had both committed an act of theft. Within both cases the defendants had assumed the appropriation over someone else’s property, with the intention to permanently deprive the person of the item. The defendants had also  formed the necessary men’s rea and actus reus as they had planned to steal someone else’s property and acted on that thought, proceeding to steal the possessions. </w:t>
      </w:r>
      <w:r w:rsidDel="00000000" w:rsidR="00000000" w:rsidRPr="00000000">
        <w:rPr>
          <w:rtl w:val="0"/>
        </w:rPr>
      </w:r>
    </w:p>
    <w:p w:rsidR="00000000" w:rsidDel="00000000" w:rsidP="00000000" w:rsidRDefault="00000000" w:rsidRPr="00000000" w14:paraId="00000009">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0A">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0B">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0C">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0D">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0E">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0F">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0">
      <w:pPr>
        <w:rPr>
          <w:rFonts w:ascii="EB Garamond" w:cs="EB Garamond" w:eastAsia="EB Garamond" w:hAnsi="EB Garamond"/>
        </w:rPr>
      </w:pPr>
      <w:r w:rsidDel="00000000" w:rsidR="00000000" w:rsidRPr="00000000">
        <w:rPr>
          <w:rFonts w:ascii="EB Garamond" w:cs="EB Garamond" w:eastAsia="EB Garamond" w:hAnsi="EB Garamond"/>
          <w:rtl w:val="0"/>
        </w:rPr>
        <w:t xml:space="preserve">Involuntary intoxication is when the defendant's drink was spiked and produced by others, without the defendant's knowledge or consent. Involuntary intoxication may be taken into consideration and seen as a defence, but it will be decided whether the defendant met and formed the necessary men’s rea of  the offence, which again is the mental element of a criminal offence. (</w:t>
      </w:r>
      <w:r w:rsidDel="00000000" w:rsidR="00000000" w:rsidRPr="00000000">
        <w:rPr>
          <w:rFonts w:ascii="EB Garamond" w:cs="EB Garamond" w:eastAsia="EB Garamond" w:hAnsi="EB Garamond"/>
          <w:color w:val="1155cc"/>
          <w:u w:val="single"/>
          <w:rtl w:val="0"/>
        </w:rPr>
        <w:t xml:space="preserve">lexisnexis.uk,2020</w:t>
      </w:r>
      <w:r w:rsidDel="00000000" w:rsidR="00000000" w:rsidRPr="00000000">
        <w:rPr>
          <w:rFonts w:ascii="EB Garamond" w:cs="EB Garamond" w:eastAsia="EB Garamond" w:hAnsi="EB Garamond"/>
          <w:rtl w:val="0"/>
        </w:rPr>
        <w:t xml:space="preserve">) During Christine’s surprise party, Harriet was spiked with vodka by another guest Leon, whilst she had gone to the toilet. As Harriet was allergic to the vodka, it had caused Harriet to suffer from hallucinations after drinking the tampered drink. The hallucinations made Harriet believe that the property was on fire, which she reacted in an aggressive manner, damaging the house  in an attempt to escape the property. Harriet had smashed the bi-folded doors of Christine's property, and had also hit a guest Daniel in the face, leaving him with a broken cheek bone. I believe that Harriet did intentionally hit Daniel in the face, whilst trying to escape the property, but she did not mean to cause  serious injury. But as Harriet was acting in an aggressive manner whilst damaging the property, the assault may be seen as intentional with intent to injure. If Harriet did not intentionally hit Daniel, it would have to be proved that she acted out due to a  certain state of mind, which would be due to substance intoxication and seen as diminished responsibility. (</w:t>
      </w:r>
      <w:r w:rsidDel="00000000" w:rsidR="00000000" w:rsidRPr="00000000">
        <w:rPr>
          <w:rFonts w:ascii="EB Garamond" w:cs="EB Garamond" w:eastAsia="EB Garamond" w:hAnsi="EB Garamond"/>
          <w:color w:val="1155cc"/>
          <w:u w:val="single"/>
          <w:rtl w:val="0"/>
        </w:rPr>
        <w:t xml:space="preserve">criminaldefense.com,2022</w:t>
      </w:r>
      <w:r w:rsidDel="00000000" w:rsidR="00000000" w:rsidRPr="00000000">
        <w:rPr>
          <w:rFonts w:ascii="EB Garamond" w:cs="EB Garamond" w:eastAsia="EB Garamond" w:hAnsi="EB Garamond"/>
          <w:rtl w:val="0"/>
        </w:rPr>
        <w:t xml:space="preserve">)  Diminished responsibility refers to an unstable mental state which can be used as a defence to prove that the defendant should be seen less answerable for the crime committed due to their mental capacity, during the offence. If the defendant was able to claim diminished responsibility on the basis of substance intoxication, this may be a mitigating factor to the defendant receiving a shorter prison sentence, and they would not be classed as insane. (</w:t>
      </w:r>
      <w:r w:rsidDel="00000000" w:rsidR="00000000" w:rsidRPr="00000000">
        <w:rPr>
          <w:rFonts w:ascii="EB Garamond" w:cs="EB Garamond" w:eastAsia="EB Garamond" w:hAnsi="EB Garamond"/>
          <w:color w:val="1155cc"/>
          <w:u w:val="single"/>
          <w:rtl w:val="0"/>
        </w:rPr>
        <w:t xml:space="preserve">wikipedia.org,2023</w:t>
      </w:r>
      <w:r w:rsidDel="00000000" w:rsidR="00000000" w:rsidRPr="00000000">
        <w:rPr>
          <w:rFonts w:ascii="EB Garamond" w:cs="EB Garamond" w:eastAsia="EB Garamond" w:hAnsi="EB Garamond"/>
          <w:rtl w:val="0"/>
        </w:rPr>
        <w:t xml:space="preserve">)</w:t>
      </w:r>
    </w:p>
    <w:p w:rsidR="00000000" w:rsidDel="00000000" w:rsidP="00000000" w:rsidRDefault="00000000" w:rsidRPr="00000000" w14:paraId="00000011">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2">
      <w:pPr>
        <w:rPr>
          <w:rFonts w:ascii="EB Garamond" w:cs="EB Garamond" w:eastAsia="EB Garamond" w:hAnsi="EB Garamond"/>
        </w:rPr>
      </w:pPr>
      <w:r w:rsidDel="00000000" w:rsidR="00000000" w:rsidRPr="00000000">
        <w:rPr>
          <w:rFonts w:ascii="EB Garamond" w:cs="EB Garamond" w:eastAsia="EB Garamond" w:hAnsi="EB Garamond"/>
          <w:rtl w:val="0"/>
        </w:rPr>
        <w:t xml:space="preserve"> Within this case you can see that Harriet is suffering after being spiked with alcohol and it needs to be taken into consideration that Harriet is also allergic to the substance, which will likely be more of an interference with her actions.  You can also identify the loss of control that Harriet is suffering from as she is recklessly damaging the property in order to save herself from what she thinks is a burning building. I do believe that the men’s rea and actus reus has been met within this case even though Harriets actions can be justified on certain levels. The men’s rea was proved as Harriet had thought how she would escape the building which was by damaging the property. Again, her actions were heightened due to the intoxication but she still committed a crime by damaging the property and also the assault of a guest, even if it was not intentional to injure. Harriet could have also escaped the property without any damage done to the property or to a guest. The actus reus was also identified once Harriet had caused the damage to the property, as she had acted on her reckless idea to get out of the house. Under the criminal damage act 1971, a person without lawful excuse, destroys or intends to damage the property of another whether it is reckless shall be found guilty of a criminal offence. (</w:t>
      </w:r>
      <w:r w:rsidDel="00000000" w:rsidR="00000000" w:rsidRPr="00000000">
        <w:rPr>
          <w:rFonts w:ascii="EB Garamond" w:cs="EB Garamond" w:eastAsia="EB Garamond" w:hAnsi="EB Garamond"/>
          <w:color w:val="1155cc"/>
          <w:u w:val="single"/>
          <w:rtl w:val="0"/>
        </w:rPr>
        <w:t xml:space="preserve">gov.uk, 1971</w:t>
      </w:r>
      <w:r w:rsidDel="00000000" w:rsidR="00000000" w:rsidRPr="00000000">
        <w:rPr>
          <w:rFonts w:ascii="EB Garamond" w:cs="EB Garamond" w:eastAsia="EB Garamond" w:hAnsi="EB Garamond"/>
          <w:rtl w:val="0"/>
        </w:rPr>
        <w:t xml:space="preserve">) Within the case of R v G, there were two defendants who were 11 and 12 years of age  which had caused around £1 million worth of damage to a property. The defendants were camping out without their parents permission when they had set newspapers on fire behind the property of a shop building. When the defendants had left the scene they had left the newspapers behind a wheelie bin, which later caught on fire and the fire spread across the building. The two young boys went to trial and it was accepted that they did not understand or appreciate the risks of the fire spreading, or did not intend for any damage to be done. However, it was very obvious of the potential risks, and they had formed the necessary men’s rea of the offence, so the defendants were convicted by the jury. (</w:t>
      </w:r>
      <w:hyperlink r:id="rId7">
        <w:r w:rsidDel="00000000" w:rsidR="00000000" w:rsidRPr="00000000">
          <w:rPr>
            <w:rFonts w:ascii="EB Garamond" w:cs="EB Garamond" w:eastAsia="EB Garamond" w:hAnsi="EB Garamond"/>
            <w:color w:val="1155cc"/>
            <w:u w:val="single"/>
            <w:rtl w:val="0"/>
          </w:rPr>
          <w:t xml:space="preserve">www.lawteacher</w:t>
        </w:r>
      </w:hyperlink>
      <w:r w:rsidDel="00000000" w:rsidR="00000000" w:rsidRPr="00000000">
        <w:rPr>
          <w:rFonts w:ascii="EB Garamond" w:cs="EB Garamond" w:eastAsia="EB Garamond" w:hAnsi="EB Garamond"/>
          <w:color w:val="1155cc"/>
          <w:u w:val="single"/>
          <w:rtl w:val="0"/>
        </w:rPr>
        <w:t xml:space="preserve">, 2021</w:t>
      </w:r>
      <w:r w:rsidDel="00000000" w:rsidR="00000000" w:rsidRPr="00000000">
        <w:rPr>
          <w:rFonts w:ascii="EB Garamond" w:cs="EB Garamond" w:eastAsia="EB Garamond" w:hAnsi="EB Garamond"/>
          <w:rtl w:val="0"/>
        </w:rPr>
        <w:t xml:space="preserve">) The R v G case is similar in regards to the case of the property damage Harriet caused to  Chrsitine’s property. Similarly, in both cases the defendants had both caused property damage whether it was intentional or not. The defendants had also both committed the damage to the properties when the outcomes were very obvious proving the men’s rea within the offences. The young boys of the R V G case, both had their ages taken into consideration due to their mental  capacity and lack of awareness during the crime. Likewise, due to Harriets intoxication it would have to be taken into consideration that her actions may be due to the unstable mental state she was under during the offence.  </w:t>
      </w:r>
    </w:p>
    <w:p w:rsidR="00000000" w:rsidDel="00000000" w:rsidP="00000000" w:rsidRDefault="00000000" w:rsidRPr="00000000" w14:paraId="00000013">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4">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5">
      <w:pPr>
        <w:rPr>
          <w:rFonts w:ascii="EB Garamond" w:cs="EB Garamond" w:eastAsia="EB Garamond" w:hAnsi="EB Garamond"/>
        </w:rPr>
      </w:pPr>
      <w:r w:rsidDel="00000000" w:rsidR="00000000" w:rsidRPr="00000000">
        <w:rPr>
          <w:rFonts w:ascii="EB Garamond" w:cs="EB Garamond" w:eastAsia="EB Garamond" w:hAnsi="EB Garamond"/>
          <w:rtl w:val="0"/>
        </w:rPr>
        <w:t xml:space="preserve">In summary, within the case I have been able to identify the potential criminal liabilities for each offence, along with the proof of the men’s rea and actus reus being formed within the crimes. </w:t>
      </w:r>
    </w:p>
    <w:p w:rsidR="00000000" w:rsidDel="00000000" w:rsidP="00000000" w:rsidRDefault="00000000" w:rsidRPr="00000000" w14:paraId="00000016">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7">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8">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9">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1A">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1B">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1C">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1D">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1E">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1F">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0">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1">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2">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3">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4">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5">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6">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7">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8">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9">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A">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B">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C">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D">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E">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2F">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30">
      <w:pPr>
        <w:rPr>
          <w:rFonts w:ascii="EB Garamond" w:cs="EB Garamond" w:eastAsia="EB Garamond" w:hAnsi="EB Garamond"/>
          <w:u w:val="single"/>
        </w:rPr>
      </w:pPr>
      <w:r w:rsidDel="00000000" w:rsidR="00000000" w:rsidRPr="00000000">
        <w:rPr>
          <w:rFonts w:ascii="EB Garamond" w:cs="EB Garamond" w:eastAsia="EB Garamond" w:hAnsi="EB Garamond"/>
          <w:u w:val="single"/>
          <w:rtl w:val="0"/>
        </w:rPr>
        <w:t xml:space="preserve">Reference list </w:t>
      </w:r>
    </w:p>
    <w:p w:rsidR="00000000" w:rsidDel="00000000" w:rsidP="00000000" w:rsidRDefault="00000000" w:rsidRPr="00000000" w14:paraId="00000031">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32">
      <w:pPr>
        <w:rPr>
          <w:rFonts w:ascii="EB Garamond" w:cs="EB Garamond" w:eastAsia="EB Garamond" w:hAnsi="EB Garamond"/>
          <w:u w:val="single"/>
        </w:rPr>
      </w:pPr>
      <w:r w:rsidDel="00000000" w:rsidR="00000000" w:rsidRPr="00000000">
        <w:rPr>
          <w:rtl w:val="0"/>
        </w:rPr>
      </w:r>
    </w:p>
    <w:p w:rsidR="00000000" w:rsidDel="00000000" w:rsidP="00000000" w:rsidRDefault="00000000" w:rsidRPr="00000000" w14:paraId="00000033">
      <w:pPr>
        <w:rPr>
          <w:rFonts w:ascii="EB Garamond" w:cs="EB Garamond" w:eastAsia="EB Garamond" w:hAnsi="EB Garamond"/>
        </w:rPr>
      </w:pP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color w:val="1155cc"/>
          <w:u w:val="single"/>
          <w:rtl w:val="0"/>
        </w:rPr>
        <w:t xml:space="preserve">www.iclr.co.uk/knowledege /glossary/mens-rea-and-actus-reus/</w:t>
      </w:r>
      <w:r w:rsidDel="00000000" w:rsidR="00000000" w:rsidRPr="00000000">
        <w:rPr>
          <w:rFonts w:ascii="EB Garamond" w:cs="EB Garamond" w:eastAsia="EB Garamond" w:hAnsi="EB Garamond"/>
          <w:rtl w:val="0"/>
        </w:rPr>
        <w:t xml:space="preserve">)  (2023)</w:t>
      </w:r>
    </w:p>
    <w:p w:rsidR="00000000" w:rsidDel="00000000" w:rsidP="00000000" w:rsidRDefault="00000000" w:rsidRPr="00000000" w14:paraId="00000034">
      <w:pPr>
        <w:ind w:left="720" w:firstLine="0"/>
        <w:rPr>
          <w:rFonts w:ascii="EB Garamond" w:cs="EB Garamond" w:eastAsia="EB Garamond" w:hAnsi="EB Garamond"/>
        </w:rPr>
      </w:pPr>
      <w:r w:rsidDel="00000000" w:rsidR="00000000" w:rsidRPr="00000000">
        <w:rPr>
          <w:rtl w:val="0"/>
        </w:rPr>
      </w:r>
    </w:p>
    <w:p w:rsidR="00000000" w:rsidDel="00000000" w:rsidP="00000000" w:rsidRDefault="00000000" w:rsidRPr="00000000" w14:paraId="00000035">
      <w:pPr>
        <w:rPr>
          <w:rFonts w:ascii="EB Garamond" w:cs="EB Garamond" w:eastAsia="EB Garamond" w:hAnsi="EB Garamond"/>
        </w:rPr>
      </w:pPr>
      <w:r w:rsidDel="00000000" w:rsidR="00000000" w:rsidRPr="00000000">
        <w:rPr>
          <w:rFonts w:ascii="EB Garamond" w:cs="EB Garamond" w:eastAsia="EB Garamond" w:hAnsi="EB Garamond"/>
          <w:rtl w:val="0"/>
        </w:rPr>
        <w:t xml:space="preserve">  (</w:t>
      </w:r>
      <w:hyperlink r:id="rId8">
        <w:r w:rsidDel="00000000" w:rsidR="00000000" w:rsidRPr="00000000">
          <w:rPr>
            <w:rFonts w:ascii="EB Garamond" w:cs="EB Garamond" w:eastAsia="EB Garamond" w:hAnsi="EB Garamond"/>
            <w:color w:val="1155cc"/>
            <w:u w:val="single"/>
            <w:rtl w:val="0"/>
          </w:rPr>
          <w:t xml:space="preserve">www.cps.gov.uk/legal-guidance/theft-act-offences</w:t>
        </w:r>
      </w:hyperlink>
      <w:r w:rsidDel="00000000" w:rsidR="00000000" w:rsidRPr="00000000">
        <w:rPr>
          <w:rFonts w:ascii="EB Garamond" w:cs="EB Garamond" w:eastAsia="EB Garamond" w:hAnsi="EB Garamond"/>
          <w:rtl w:val="0"/>
        </w:rPr>
        <w:t xml:space="preserve">) ( 2022)</w:t>
      </w:r>
    </w:p>
    <w:p w:rsidR="00000000" w:rsidDel="00000000" w:rsidP="00000000" w:rsidRDefault="00000000" w:rsidRPr="00000000" w14:paraId="00000036">
      <w:pPr>
        <w:ind w:left="720" w:firstLine="0"/>
        <w:rPr>
          <w:rFonts w:ascii="EB Garamond" w:cs="EB Garamond" w:eastAsia="EB Garamond" w:hAnsi="EB Garamond"/>
        </w:rPr>
      </w:pPr>
      <w:r w:rsidDel="00000000" w:rsidR="00000000" w:rsidRPr="00000000">
        <w:rPr>
          <w:rtl w:val="0"/>
        </w:rPr>
      </w:r>
    </w:p>
    <w:p w:rsidR="00000000" w:rsidDel="00000000" w:rsidP="00000000" w:rsidRDefault="00000000" w:rsidRPr="00000000" w14:paraId="00000037">
      <w:pPr>
        <w:rPr>
          <w:rFonts w:ascii="EB Garamond" w:cs="EB Garamond" w:eastAsia="EB Garamond" w:hAnsi="EB Garamond"/>
        </w:rPr>
      </w:pPr>
      <w:r w:rsidDel="00000000" w:rsidR="00000000" w:rsidRPr="00000000">
        <w:rPr>
          <w:rFonts w:ascii="EB Garamond" w:cs="EB Garamond" w:eastAsia="EB Garamond" w:hAnsi="EB Garamond"/>
          <w:rtl w:val="0"/>
        </w:rPr>
        <w:t xml:space="preserve">  (</w:t>
      </w:r>
      <w:hyperlink r:id="rId9">
        <w:r w:rsidDel="00000000" w:rsidR="00000000" w:rsidRPr="00000000">
          <w:rPr>
            <w:rFonts w:ascii="EB Garamond" w:cs="EB Garamond" w:eastAsia="EB Garamond" w:hAnsi="EB Garamond"/>
            <w:color w:val="1155cc"/>
            <w:u w:val="single"/>
            <w:rtl w:val="0"/>
          </w:rPr>
          <w:t xml:space="preserve">www.sentencingcouncil.org.uk/outlines/general-theft/</w:t>
        </w:r>
      </w:hyperlink>
      <w:r w:rsidDel="00000000" w:rsidR="00000000" w:rsidRPr="00000000">
        <w:rPr>
          <w:rFonts w:ascii="EB Garamond" w:cs="EB Garamond" w:eastAsia="EB Garamond" w:hAnsi="EB Garamond"/>
          <w:rtl w:val="0"/>
        </w:rPr>
        <w:t xml:space="preserve">) (2023)</w:t>
      </w:r>
    </w:p>
    <w:p w:rsidR="00000000" w:rsidDel="00000000" w:rsidP="00000000" w:rsidRDefault="00000000" w:rsidRPr="00000000" w14:paraId="00000038">
      <w:pPr>
        <w:ind w:left="720" w:firstLine="0"/>
        <w:rPr>
          <w:rFonts w:ascii="EB Garamond" w:cs="EB Garamond" w:eastAsia="EB Garamond" w:hAnsi="EB Garamond"/>
        </w:rPr>
      </w:pPr>
      <w:r w:rsidDel="00000000" w:rsidR="00000000" w:rsidRPr="00000000">
        <w:rPr>
          <w:rtl w:val="0"/>
        </w:rPr>
      </w:r>
    </w:p>
    <w:p w:rsidR="00000000" w:rsidDel="00000000" w:rsidP="00000000" w:rsidRDefault="00000000" w:rsidRPr="00000000" w14:paraId="00000039">
      <w:pPr>
        <w:rPr>
          <w:rFonts w:ascii="EB Garamond" w:cs="EB Garamond" w:eastAsia="EB Garamond" w:hAnsi="EB Garamond"/>
        </w:rPr>
      </w:pPr>
      <w:r w:rsidDel="00000000" w:rsidR="00000000" w:rsidRPr="00000000">
        <w:rPr>
          <w:rFonts w:ascii="EB Garamond" w:cs="EB Garamond" w:eastAsia="EB Garamond" w:hAnsi="EB Garamond"/>
          <w:rtl w:val="0"/>
        </w:rPr>
        <w:t xml:space="preserve">  (</w:t>
      </w:r>
      <w:hyperlink r:id="rId10">
        <w:r w:rsidDel="00000000" w:rsidR="00000000" w:rsidRPr="00000000">
          <w:rPr>
            <w:rFonts w:ascii="EB Garamond" w:cs="EB Garamond" w:eastAsia="EB Garamond" w:hAnsi="EB Garamond"/>
            <w:color w:val="1155cc"/>
            <w:u w:val="single"/>
            <w:rtl w:val="0"/>
          </w:rPr>
          <w:t xml:space="preserve">www.sentencingcouncil.org.uk/offences/magistrates-court/item/theft-general/</w:t>
        </w:r>
      </w:hyperlink>
      <w:r w:rsidDel="00000000" w:rsidR="00000000" w:rsidRPr="00000000">
        <w:rPr>
          <w:rFonts w:ascii="EB Garamond" w:cs="EB Garamond" w:eastAsia="EB Garamond" w:hAnsi="EB Garamond"/>
          <w:rtl w:val="0"/>
        </w:rPr>
        <w:t xml:space="preserve">) (2016)</w:t>
      </w:r>
    </w:p>
    <w:p w:rsidR="00000000" w:rsidDel="00000000" w:rsidP="00000000" w:rsidRDefault="00000000" w:rsidRPr="00000000" w14:paraId="0000003A">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3B">
      <w:pPr>
        <w:rPr>
          <w:rFonts w:ascii="EB Garamond" w:cs="EB Garamond" w:eastAsia="EB Garamond" w:hAnsi="EB Garamond"/>
        </w:rPr>
      </w:pP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color w:val="1155cc"/>
          <w:u w:val="single"/>
          <w:rtl w:val="0"/>
        </w:rPr>
        <w:t xml:space="preserve">www.lawteacher.net/cases/theft-cases.php</w:t>
      </w:r>
      <w:r w:rsidDel="00000000" w:rsidR="00000000" w:rsidRPr="00000000">
        <w:rPr>
          <w:rFonts w:ascii="EB Garamond" w:cs="EB Garamond" w:eastAsia="EB Garamond" w:hAnsi="EB Garamond"/>
          <w:rtl w:val="0"/>
        </w:rPr>
        <w:t xml:space="preserve">)   (2021)                   </w:t>
      </w:r>
    </w:p>
    <w:p w:rsidR="00000000" w:rsidDel="00000000" w:rsidP="00000000" w:rsidRDefault="00000000" w:rsidRPr="00000000" w14:paraId="0000003C">
      <w:pPr>
        <w:ind w:left="720" w:firstLine="0"/>
        <w:rPr>
          <w:rFonts w:ascii="EB Garamond" w:cs="EB Garamond" w:eastAsia="EB Garamond" w:hAnsi="EB Garamond"/>
        </w:rPr>
      </w:pPr>
      <w:r w:rsidDel="00000000" w:rsidR="00000000" w:rsidRPr="00000000">
        <w:rPr>
          <w:rFonts w:ascii="EB Garamond" w:cs="EB Garamond" w:eastAsia="EB Garamond" w:hAnsi="EB Garamond"/>
          <w:rtl w:val="0"/>
        </w:rPr>
        <w:t xml:space="preserve">                                                                                                                      </w:t>
      </w:r>
    </w:p>
    <w:p w:rsidR="00000000" w:rsidDel="00000000" w:rsidP="00000000" w:rsidRDefault="00000000" w:rsidRPr="00000000" w14:paraId="0000003D">
      <w:pPr>
        <w:rPr>
          <w:rFonts w:ascii="EB Garamond" w:cs="EB Garamond" w:eastAsia="EB Garamond" w:hAnsi="EB Garamond"/>
        </w:rPr>
      </w:pPr>
      <w:r w:rsidDel="00000000" w:rsidR="00000000" w:rsidRPr="00000000">
        <w:rPr>
          <w:rFonts w:ascii="EB Garamond" w:cs="EB Garamond" w:eastAsia="EB Garamond" w:hAnsi="EB Garamond"/>
          <w:rtl w:val="0"/>
        </w:rPr>
        <w:t xml:space="preserve">                 (</w:t>
      </w:r>
      <w:hyperlink r:id="rId11">
        <w:r w:rsidDel="00000000" w:rsidR="00000000" w:rsidRPr="00000000">
          <w:rPr>
            <w:rFonts w:ascii="EB Garamond" w:cs="EB Garamond" w:eastAsia="EB Garamond" w:hAnsi="EB Garamond"/>
            <w:color w:val="1155cc"/>
            <w:u w:val="single"/>
            <w:rtl w:val="0"/>
          </w:rPr>
          <w:t xml:space="preserve">www.lexisnexis.co.uk/legal/commentary/halsburys-laws-of-england/criminal-law/involuntary-intoxication</w:t>
        </w:r>
      </w:hyperlink>
      <w:r w:rsidDel="00000000" w:rsidR="00000000" w:rsidRPr="00000000">
        <w:rPr>
          <w:rFonts w:ascii="EB Garamond" w:cs="EB Garamond" w:eastAsia="EB Garamond" w:hAnsi="EB Garamond"/>
          <w:rtl w:val="0"/>
        </w:rPr>
        <w:t xml:space="preserve">) (2020)</w:t>
      </w:r>
    </w:p>
    <w:p w:rsidR="00000000" w:rsidDel="00000000" w:rsidP="00000000" w:rsidRDefault="00000000" w:rsidRPr="00000000" w14:paraId="0000003E">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3F">
      <w:pPr>
        <w:rPr>
          <w:rFonts w:ascii="EB Garamond" w:cs="EB Garamond" w:eastAsia="EB Garamond" w:hAnsi="EB Garamond"/>
        </w:rPr>
      </w:pPr>
      <w:r w:rsidDel="00000000" w:rsidR="00000000" w:rsidRPr="00000000">
        <w:rPr>
          <w:rFonts w:ascii="EB Garamond" w:cs="EB Garamond" w:eastAsia="EB Garamond" w:hAnsi="EB Garamond"/>
          <w:rtl w:val="0"/>
        </w:rPr>
        <w:t xml:space="preserve">(</w:t>
      </w:r>
      <w:hyperlink r:id="rId12">
        <w:r w:rsidDel="00000000" w:rsidR="00000000" w:rsidRPr="00000000">
          <w:rPr>
            <w:rFonts w:ascii="EB Garamond" w:cs="EB Garamond" w:eastAsia="EB Garamond" w:hAnsi="EB Garamond"/>
            <w:color w:val="1155cc"/>
            <w:u w:val="single"/>
            <w:rtl w:val="0"/>
          </w:rPr>
          <w:t xml:space="preserve">https://en.wikipedia.org/wiki/intoxication_defense</w:t>
        </w:r>
      </w:hyperlink>
      <w:r w:rsidDel="00000000" w:rsidR="00000000" w:rsidRPr="00000000">
        <w:rPr>
          <w:rFonts w:ascii="EB Garamond" w:cs="EB Garamond" w:eastAsia="EB Garamond" w:hAnsi="EB Garamond"/>
          <w:rtl w:val="0"/>
        </w:rPr>
        <w:t xml:space="preserve">) (2022)</w:t>
      </w:r>
    </w:p>
    <w:p w:rsidR="00000000" w:rsidDel="00000000" w:rsidP="00000000" w:rsidRDefault="00000000" w:rsidRPr="00000000" w14:paraId="00000040">
      <w:pPr>
        <w:ind w:left="720" w:firstLine="0"/>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1">
      <w:pPr>
        <w:rPr>
          <w:rFonts w:ascii="EB Garamond" w:cs="EB Garamond" w:eastAsia="EB Garamond" w:hAnsi="EB Garamond"/>
        </w:rPr>
      </w:pPr>
      <w:r w:rsidDel="00000000" w:rsidR="00000000" w:rsidRPr="00000000">
        <w:rPr>
          <w:rFonts w:ascii="EB Garamond" w:cs="EB Garamond" w:eastAsia="EB Garamond" w:hAnsi="EB Garamond"/>
          <w:rtl w:val="0"/>
        </w:rPr>
        <w:t xml:space="preserve">(</w:t>
      </w:r>
      <w:hyperlink r:id="rId13">
        <w:r w:rsidDel="00000000" w:rsidR="00000000" w:rsidRPr="00000000">
          <w:rPr>
            <w:rFonts w:ascii="EB Garamond" w:cs="EB Garamond" w:eastAsia="EB Garamond" w:hAnsi="EB Garamond"/>
            <w:color w:val="1155cc"/>
            <w:u w:val="single"/>
            <w:rtl w:val="0"/>
          </w:rPr>
          <w:t xml:space="preserve">www.criminaldefenselawyer.com/resources</w:t>
        </w:r>
      </w:hyperlink>
      <w:r w:rsidDel="00000000" w:rsidR="00000000" w:rsidRPr="00000000">
        <w:rPr>
          <w:rFonts w:ascii="EB Garamond" w:cs="EB Garamond" w:eastAsia="EB Garamond" w:hAnsi="EB Garamond"/>
          <w:rtl w:val="0"/>
        </w:rPr>
        <w:t xml:space="preserve">) (2023)</w:t>
      </w:r>
    </w:p>
    <w:p w:rsidR="00000000" w:rsidDel="00000000" w:rsidP="00000000" w:rsidRDefault="00000000" w:rsidRPr="00000000" w14:paraId="00000042">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3">
      <w:pPr>
        <w:rPr>
          <w:rFonts w:ascii="EB Garamond" w:cs="EB Garamond" w:eastAsia="EB Garamond" w:hAnsi="EB Garamond"/>
        </w:rPr>
      </w:pPr>
      <w:r w:rsidDel="00000000" w:rsidR="00000000" w:rsidRPr="00000000">
        <w:rPr>
          <w:rFonts w:ascii="EB Garamond" w:cs="EB Garamond" w:eastAsia="EB Garamond" w:hAnsi="EB Garamond"/>
          <w:rtl w:val="0"/>
        </w:rPr>
        <w:t xml:space="preserve">(</w:t>
      </w:r>
      <w:hyperlink r:id="rId14">
        <w:r w:rsidDel="00000000" w:rsidR="00000000" w:rsidRPr="00000000">
          <w:rPr>
            <w:rFonts w:ascii="EB Garamond" w:cs="EB Garamond" w:eastAsia="EB Garamond" w:hAnsi="EB Garamond"/>
            <w:color w:val="1155cc"/>
            <w:u w:val="single"/>
            <w:rtl w:val="0"/>
          </w:rPr>
          <w:t xml:space="preserve">www.legislation.gov.uk/ukpga/1971/48/contents</w:t>
        </w:r>
      </w:hyperlink>
      <w:r w:rsidDel="00000000" w:rsidR="00000000" w:rsidRPr="00000000">
        <w:rPr>
          <w:rFonts w:ascii="EB Garamond" w:cs="EB Garamond" w:eastAsia="EB Garamond" w:hAnsi="EB Garamond"/>
          <w:rtl w:val="0"/>
        </w:rPr>
        <w:t xml:space="preserve">) (1971)</w:t>
      </w:r>
    </w:p>
    <w:p w:rsidR="00000000" w:rsidDel="00000000" w:rsidP="00000000" w:rsidRDefault="00000000" w:rsidRPr="00000000" w14:paraId="00000044">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5">
      <w:pPr>
        <w:rPr>
          <w:rFonts w:ascii="EB Garamond" w:cs="EB Garamond" w:eastAsia="EB Garamond" w:hAnsi="EB Garamond"/>
        </w:rPr>
      </w:pPr>
      <w:r w:rsidDel="00000000" w:rsidR="00000000" w:rsidRPr="00000000">
        <w:rPr>
          <w:rFonts w:ascii="EB Garamond" w:cs="EB Garamond" w:eastAsia="EB Garamond" w:hAnsi="EB Garamond"/>
          <w:rtl w:val="0"/>
        </w:rPr>
        <w:t xml:space="preserve">.(</w:t>
      </w:r>
      <w:hyperlink r:id="rId15">
        <w:r w:rsidDel="00000000" w:rsidR="00000000" w:rsidRPr="00000000">
          <w:rPr>
            <w:rFonts w:ascii="EB Garamond" w:cs="EB Garamond" w:eastAsia="EB Garamond" w:hAnsi="EB Garamond"/>
            <w:color w:val="1155cc"/>
            <w:u w:val="single"/>
            <w:rtl w:val="0"/>
          </w:rPr>
          <w:t xml:space="preserve">www.lawteacher.net/cases/r-v-g-recklessness.php</w:t>
        </w:r>
      </w:hyperlink>
      <w:r w:rsidDel="00000000" w:rsidR="00000000" w:rsidRPr="00000000">
        <w:rPr>
          <w:rFonts w:ascii="EB Garamond" w:cs="EB Garamond" w:eastAsia="EB Garamond" w:hAnsi="EB Garamond"/>
          <w:rtl w:val="0"/>
        </w:rPr>
        <w:t xml:space="preserve">) (2021)</w:t>
      </w:r>
    </w:p>
    <w:p w:rsidR="00000000" w:rsidDel="00000000" w:rsidP="00000000" w:rsidRDefault="00000000" w:rsidRPr="00000000" w14:paraId="00000046">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7">
      <w:pPr>
        <w:rPr>
          <w:rFonts w:ascii="EB Garamond" w:cs="EB Garamond" w:eastAsia="EB Garamond" w:hAnsi="EB Garamond"/>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lexisnexis.co.uk/legal/commentary/halsburys-laws-of-england/criminal-law/involuntary-intoxication" TargetMode="External"/><Relationship Id="rId10" Type="http://schemas.openxmlformats.org/officeDocument/2006/relationships/hyperlink" Target="http://www.sentencingcouncil.org.uk/offences/magistrates-court/item/theft-general/" TargetMode="External"/><Relationship Id="rId13" Type="http://schemas.openxmlformats.org/officeDocument/2006/relationships/hyperlink" Target="http://www.criminaldefenselawyer.com/resources" TargetMode="External"/><Relationship Id="rId12" Type="http://schemas.openxmlformats.org/officeDocument/2006/relationships/hyperlink" Target="https://en.wikipedia.org/wiki/intoxication_defens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entencingcouncil.org.uk/outlines/general-theft/" TargetMode="External"/><Relationship Id="rId15" Type="http://schemas.openxmlformats.org/officeDocument/2006/relationships/hyperlink" Target="http://www.lawteacher.net/cases/r-v-g-recklessness.php" TargetMode="External"/><Relationship Id="rId14" Type="http://schemas.openxmlformats.org/officeDocument/2006/relationships/hyperlink" Target="http://www.legislation.gov.uk/ukpga/1971/48/content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lawteacher" TargetMode="External"/><Relationship Id="rId8" Type="http://schemas.openxmlformats.org/officeDocument/2006/relationships/hyperlink" Target="http://www.cps.gov.uk/legal-guidance/theft-act-offenc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z1JpeXRjbRL3X/9Jhp+vhNKZpA==">CgMxLjA4AHIhMTF5ajNHMDZxbFBwSmV6ZHJEQ05fMUxWZjl0VEUtUm92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