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B5F86" w14:textId="77777777" w:rsidR="00A82FF3" w:rsidRDefault="00F2104C" w:rsidP="00F2104C">
      <w:pPr>
        <w:jc w:val="center"/>
        <w:rPr>
          <w:rFonts w:ascii="Arial" w:hAnsi="Arial" w:cs="Arial"/>
          <w:b/>
        </w:rPr>
      </w:pPr>
      <w:r>
        <w:rPr>
          <w:rFonts w:ascii="Arial" w:hAnsi="Arial" w:cs="Arial"/>
          <w:b/>
        </w:rPr>
        <w:t>Reflective account: Multi-stakeholder working</w:t>
      </w:r>
    </w:p>
    <w:p w14:paraId="3F9C7351" w14:textId="77777777" w:rsidR="00F2104C" w:rsidRDefault="00F2104C" w:rsidP="00F2104C">
      <w:pPr>
        <w:jc w:val="center"/>
      </w:pPr>
      <w:r>
        <w:t>Rhodri Clyburn 2112536</w:t>
      </w:r>
    </w:p>
    <w:p w14:paraId="786695D6" w14:textId="77777777" w:rsidR="00F2104C" w:rsidRPr="00F2104C" w:rsidRDefault="00F2104C" w:rsidP="00F2104C">
      <w:pPr>
        <w:rPr>
          <w:rFonts w:cstheme="minorHAnsi"/>
        </w:rPr>
      </w:pPr>
    </w:p>
    <w:p w14:paraId="128F2F21" w14:textId="77777777" w:rsidR="00F2104C" w:rsidRPr="00B613F7" w:rsidRDefault="00F40FEE" w:rsidP="00F2104C">
      <w:pPr>
        <w:rPr>
          <w:rFonts w:cstheme="minorHAnsi"/>
          <w:b/>
        </w:rPr>
      </w:pPr>
      <w:r w:rsidRPr="00B613F7">
        <w:rPr>
          <w:rFonts w:cstheme="minorHAnsi"/>
          <w:b/>
        </w:rPr>
        <w:t>Introduction</w:t>
      </w:r>
    </w:p>
    <w:p w14:paraId="1A0FBD43" w14:textId="38ACBF39" w:rsidR="002D7702" w:rsidRDefault="00293AB8" w:rsidP="00F2104C">
      <w:pPr>
        <w:rPr>
          <w:rFonts w:cstheme="minorHAnsi"/>
        </w:rPr>
      </w:pPr>
      <w:r>
        <w:rPr>
          <w:rFonts w:cstheme="minorHAnsi"/>
        </w:rPr>
        <w:t>The green inhaler platform is a project identified as a</w:t>
      </w:r>
      <w:r w:rsidR="002D7702">
        <w:rPr>
          <w:rFonts w:cstheme="minorHAnsi"/>
        </w:rPr>
        <w:t>n</w:t>
      </w:r>
      <w:r>
        <w:rPr>
          <w:rFonts w:cstheme="minorHAnsi"/>
        </w:rPr>
        <w:t xml:space="preserve"> intervention to help NHS Wales deliver its </w:t>
      </w:r>
      <w:r w:rsidR="00B870C7">
        <w:rPr>
          <w:rFonts w:cstheme="minorHAnsi"/>
        </w:rPr>
        <w:t xml:space="preserve">aim </w:t>
      </w:r>
      <w:r>
        <w:rPr>
          <w:rFonts w:cstheme="minorHAnsi"/>
        </w:rPr>
        <w:t xml:space="preserve">of </w:t>
      </w:r>
      <w:r w:rsidR="002D7702">
        <w:rPr>
          <w:rFonts w:cstheme="minorHAnsi"/>
        </w:rPr>
        <w:t>reducing</w:t>
      </w:r>
      <w:r>
        <w:rPr>
          <w:rFonts w:cstheme="minorHAnsi"/>
        </w:rPr>
        <w:t xml:space="preserve"> greenhouse gas emission</w:t>
      </w:r>
      <w:r w:rsidR="002D7702">
        <w:rPr>
          <w:rFonts w:cstheme="minorHAnsi"/>
        </w:rPr>
        <w:t>s</w:t>
      </w:r>
      <w:r>
        <w:rPr>
          <w:rFonts w:cstheme="minorHAnsi"/>
        </w:rPr>
        <w:t xml:space="preserve"> to net-zero by 2030 (Carbon Trust, 2021). </w:t>
      </w:r>
      <w:r w:rsidR="00BD0817">
        <w:rPr>
          <w:rFonts w:cstheme="minorHAnsi"/>
        </w:rPr>
        <w:t xml:space="preserve">The intention of the project is to implement a proof of concept platform within Cardiff and Vale University Health Board (CAV UHB), and spread nationally if found to be effective by making the case for integration with the NHS Wales app as part of the digital service for patients and public (DSPP) programme and national e-medicine programme. For the purpose of this essay I will be concentrating on the initial part of the project, with the local creation of the programme within CAV UHB. </w:t>
      </w:r>
    </w:p>
    <w:p w14:paraId="68DC76A0" w14:textId="1B189DA4" w:rsidR="002D7702" w:rsidRDefault="002D7702" w:rsidP="00F2104C">
      <w:pPr>
        <w:rPr>
          <w:rFonts w:cstheme="minorHAnsi"/>
        </w:rPr>
      </w:pPr>
    </w:p>
    <w:p w14:paraId="1A646F3A" w14:textId="1754F308" w:rsidR="00B613F7" w:rsidRPr="00B613F7" w:rsidRDefault="00B613F7" w:rsidP="00F2104C">
      <w:pPr>
        <w:rPr>
          <w:rFonts w:cstheme="minorHAnsi"/>
          <w:b/>
        </w:rPr>
      </w:pPr>
      <w:r w:rsidRPr="00B613F7">
        <w:rPr>
          <w:rFonts w:cstheme="minorHAnsi"/>
          <w:b/>
        </w:rPr>
        <w:t>Stakeholder Analysis</w:t>
      </w:r>
    </w:p>
    <w:p w14:paraId="6CBFB64F" w14:textId="42CA799F" w:rsidR="002D7702" w:rsidRPr="002D7702" w:rsidRDefault="002D7702" w:rsidP="00F2104C">
      <w:pPr>
        <w:rPr>
          <w:rFonts w:cstheme="minorHAnsi"/>
        </w:rPr>
      </w:pPr>
      <w:r w:rsidRPr="002D7702">
        <w:rPr>
          <w:rFonts w:cstheme="minorHAnsi"/>
        </w:rPr>
        <w:t xml:space="preserve">The stakeholder roles </w:t>
      </w:r>
      <w:r w:rsidR="00414CF3">
        <w:rPr>
          <w:rFonts w:cstheme="minorHAnsi"/>
        </w:rPr>
        <w:t xml:space="preserve">I </w:t>
      </w:r>
      <w:r w:rsidRPr="002D7702">
        <w:rPr>
          <w:rFonts w:cstheme="minorHAnsi"/>
        </w:rPr>
        <w:t>identified as part of the green inhaler platform are:</w:t>
      </w:r>
    </w:p>
    <w:p w14:paraId="11C1DAE8" w14:textId="77777777" w:rsidR="002D7702" w:rsidRPr="00E33FFC" w:rsidRDefault="002D7702"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Respiratory specialists (consultants, nurses and allied healthcare professionals)</w:t>
      </w:r>
    </w:p>
    <w:p w14:paraId="54F7A077" w14:textId="77777777" w:rsidR="002D7702" w:rsidRPr="00E33FFC" w:rsidRDefault="002D7702"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Primary care healthcare workers (GP, practice managers, pharmacists)</w:t>
      </w:r>
    </w:p>
    <w:p w14:paraId="3AD3D92F" w14:textId="07D1CB63" w:rsidR="002D7702" w:rsidRPr="00E33FFC" w:rsidRDefault="002D7702"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Community pharmacists and technicians</w:t>
      </w:r>
    </w:p>
    <w:p w14:paraId="167443DF" w14:textId="08FADA39" w:rsidR="00A10603" w:rsidRPr="00E33FFC"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Public representatives</w:t>
      </w:r>
    </w:p>
    <w:p w14:paraId="3ABACC6B" w14:textId="79D60ADA" w:rsidR="00B539A5" w:rsidRPr="00E33FFC"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 xml:space="preserve">IT </w:t>
      </w:r>
      <w:proofErr w:type="gramStart"/>
      <w:r w:rsidRPr="00E33FFC">
        <w:rPr>
          <w:rFonts w:asciiTheme="minorHAnsi" w:hAnsiTheme="minorHAnsi" w:cstheme="minorHAnsi"/>
          <w:sz w:val="22"/>
          <w:szCs w:val="22"/>
        </w:rPr>
        <w:t>-  CAV</w:t>
      </w:r>
      <w:proofErr w:type="gramEnd"/>
      <w:r w:rsidRPr="00E33FFC">
        <w:rPr>
          <w:rFonts w:asciiTheme="minorHAnsi" w:hAnsiTheme="minorHAnsi" w:cstheme="minorHAnsi"/>
          <w:sz w:val="22"/>
          <w:szCs w:val="22"/>
        </w:rPr>
        <w:t xml:space="preserve"> UHB</w:t>
      </w:r>
    </w:p>
    <w:p w14:paraId="21157AE6" w14:textId="24C8FF40" w:rsidR="00B539A5" w:rsidRPr="00E33FFC" w:rsidRDefault="00B539A5" w:rsidP="00B539A5">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Director of Pharmacy and Medicines Management CAV UHB</w:t>
      </w:r>
    </w:p>
    <w:p w14:paraId="4DF4F18C" w14:textId="6B01BC09" w:rsidR="00B539A5" w:rsidRPr="00E33FFC" w:rsidRDefault="00B539A5" w:rsidP="00B539A5">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Director of Digital Transformation</w:t>
      </w:r>
    </w:p>
    <w:p w14:paraId="4703204A" w14:textId="6955541D" w:rsidR="00B539A5" w:rsidRPr="00E33FFC"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All Wales Therapeutics and Toxicology Centre (AWTTC)</w:t>
      </w:r>
    </w:p>
    <w:p w14:paraId="0988D2C7" w14:textId="21381AD4" w:rsidR="00B539A5" w:rsidRPr="00E33FFC"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Digital Health and Care Wales (DHCW)</w:t>
      </w:r>
    </w:p>
    <w:p w14:paraId="006A07CB" w14:textId="1934680A" w:rsidR="00B539A5" w:rsidRDefault="00B539A5" w:rsidP="002D7702">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 xml:space="preserve">Digital services for patients and the public (DSPP) </w:t>
      </w:r>
    </w:p>
    <w:p w14:paraId="0A88018E" w14:textId="10990809" w:rsidR="00395DE3" w:rsidRPr="00E33FFC" w:rsidRDefault="00395DE3" w:rsidP="002D7702">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Other healthcare professionals</w:t>
      </w:r>
    </w:p>
    <w:p w14:paraId="1DAEA792" w14:textId="77777777" w:rsidR="00B539A5" w:rsidRPr="00B539A5" w:rsidRDefault="00B539A5" w:rsidP="00B539A5">
      <w:pPr>
        <w:ind w:left="360"/>
        <w:rPr>
          <w:rFonts w:cstheme="minorHAnsi"/>
        </w:rPr>
      </w:pPr>
    </w:p>
    <w:p w14:paraId="6592433F" w14:textId="799D4453" w:rsidR="00293AB8" w:rsidRPr="002D7702" w:rsidRDefault="00B539A5" w:rsidP="00F2104C">
      <w:pPr>
        <w:rPr>
          <w:rFonts w:cstheme="minorHAnsi"/>
        </w:rPr>
      </w:pPr>
      <w:r>
        <w:rPr>
          <w:rFonts w:cstheme="minorHAnsi"/>
        </w:rPr>
        <w:t>To understand how to best engage and communicate with the different stakeholders</w:t>
      </w:r>
      <w:r w:rsidR="00312C21">
        <w:rPr>
          <w:rFonts w:cstheme="minorHAnsi"/>
        </w:rPr>
        <w:t>,</w:t>
      </w:r>
      <w:r>
        <w:rPr>
          <w:rFonts w:cstheme="minorHAnsi"/>
        </w:rPr>
        <w:t xml:space="preserve"> </w:t>
      </w:r>
      <w:r w:rsidR="002D7702" w:rsidRPr="002D7702">
        <w:rPr>
          <w:rFonts w:cstheme="minorHAnsi"/>
        </w:rPr>
        <w:t>I have conducted a stakeholder analysis</w:t>
      </w:r>
      <w:r>
        <w:rPr>
          <w:rFonts w:cstheme="minorHAnsi"/>
        </w:rPr>
        <w:t xml:space="preserve">. The analysis </w:t>
      </w:r>
      <w:r w:rsidR="000A372B">
        <w:rPr>
          <w:rFonts w:cstheme="minorHAnsi"/>
        </w:rPr>
        <w:t xml:space="preserve">map contains four </w:t>
      </w:r>
      <w:r w:rsidR="00B03AB7">
        <w:rPr>
          <w:rFonts w:cstheme="minorHAnsi"/>
        </w:rPr>
        <w:t>quadrant</w:t>
      </w:r>
      <w:r w:rsidR="000A372B">
        <w:rPr>
          <w:rFonts w:cstheme="minorHAnsi"/>
        </w:rPr>
        <w:t xml:space="preserve"> groups, separated based on their level of interest in the project and their level of influence</w:t>
      </w:r>
      <w:r w:rsidR="005924DC">
        <w:rPr>
          <w:rFonts w:cstheme="minorHAnsi"/>
        </w:rPr>
        <w:t xml:space="preserve"> (East London NHS trust, 2019)</w:t>
      </w:r>
      <w:r w:rsidR="000A372B">
        <w:rPr>
          <w:rFonts w:cstheme="minorHAnsi"/>
        </w:rPr>
        <w:t xml:space="preserve">. </w:t>
      </w:r>
      <w:r w:rsidR="00B03AB7">
        <w:rPr>
          <w:rFonts w:cstheme="minorHAnsi"/>
        </w:rPr>
        <w:t>This helps identify the varying levels of involvement for stakeholders</w:t>
      </w:r>
      <w:r w:rsidR="00312C21">
        <w:rPr>
          <w:rFonts w:cstheme="minorHAnsi"/>
        </w:rPr>
        <w:t xml:space="preserve"> (see figure 1)</w:t>
      </w:r>
      <w:r w:rsidR="00B03AB7">
        <w:rPr>
          <w:rFonts w:cstheme="minorHAnsi"/>
        </w:rPr>
        <w:t xml:space="preserve">. </w:t>
      </w:r>
    </w:p>
    <w:p w14:paraId="46A4D4EA" w14:textId="33E9027D" w:rsidR="00312C21" w:rsidRDefault="00312C21" w:rsidP="00312C21">
      <w:pPr>
        <w:rPr>
          <w:rFonts w:cstheme="minorHAnsi"/>
        </w:rPr>
      </w:pPr>
      <w:r>
        <w:rPr>
          <w:rFonts w:cstheme="minorHAnsi"/>
        </w:rPr>
        <w:t xml:space="preserve">The quadrant enables the separation of stakeholders to decide on how to involve and manage these groups. This </w:t>
      </w:r>
      <w:r>
        <w:rPr>
          <w:rFonts w:cstheme="minorHAnsi"/>
        </w:rPr>
        <w:t>analysis,</w:t>
      </w:r>
      <w:r>
        <w:rPr>
          <w:rFonts w:cstheme="minorHAnsi"/>
        </w:rPr>
        <w:t xml:space="preserve"> however, doesn’t consider the attitudes of individuals to the proposed projects. Although there is a national mandate set out in the NHS de-carbonisation strategy, individual attitudes towards climate change may be different, depending on their environment and political views, which is underestimated in society (Abeles </w:t>
      </w:r>
      <w:r>
        <w:rPr>
          <w:rFonts w:cstheme="minorHAnsi"/>
          <w:i/>
        </w:rPr>
        <w:t>et al.</w:t>
      </w:r>
      <w:r>
        <w:rPr>
          <w:rFonts w:cstheme="minorHAnsi"/>
        </w:rPr>
        <w:t xml:space="preserve"> 2019). Understanding the attitudes of all stakeholders needs to be taken into account. I think the best way of doing this is by presenting a clear case for change to all stakeholders followed by an anonymous survey. This way, individuals are informed on the case and can provide their informed views anonymously. I think results will be interesting as we know for instance, there is considerable difference between views and beliefs o</w:t>
      </w:r>
      <w:r>
        <w:rPr>
          <w:rFonts w:cstheme="minorHAnsi"/>
        </w:rPr>
        <w:t xml:space="preserve">n </w:t>
      </w:r>
      <w:r>
        <w:rPr>
          <w:rFonts w:cstheme="minorHAnsi"/>
        </w:rPr>
        <w:t>vaccination between healthcare professionals and the public, and that there are variety of individual, societal and political factors that affect attitudes (</w:t>
      </w:r>
      <w:proofErr w:type="spellStart"/>
      <w:r>
        <w:rPr>
          <w:rFonts w:cstheme="minorHAnsi"/>
        </w:rPr>
        <w:t>Yaqub</w:t>
      </w:r>
      <w:proofErr w:type="spellEnd"/>
      <w:r>
        <w:rPr>
          <w:rFonts w:cstheme="minorHAnsi"/>
          <w:i/>
        </w:rPr>
        <w:t xml:space="preserve"> et al. </w:t>
      </w:r>
      <w:r>
        <w:rPr>
          <w:rFonts w:cstheme="minorHAnsi"/>
        </w:rPr>
        <w:t xml:space="preserve">2014). </w:t>
      </w:r>
    </w:p>
    <w:p w14:paraId="372AA253" w14:textId="77777777" w:rsidR="00293AB8" w:rsidRPr="002D7702" w:rsidRDefault="00293AB8" w:rsidP="00F2104C">
      <w:pPr>
        <w:rPr>
          <w:rFonts w:cstheme="minorHAnsi"/>
        </w:rPr>
      </w:pPr>
    </w:p>
    <w:p w14:paraId="6EC5A63F" w14:textId="49B3B3AB" w:rsidR="00312C21" w:rsidRDefault="00312C21" w:rsidP="00312C21">
      <w:pPr>
        <w:pStyle w:val="Caption"/>
        <w:keepNext/>
      </w:pPr>
      <w:r>
        <w:lastRenderedPageBreak/>
        <w:t xml:space="preserve">Figure </w:t>
      </w:r>
      <w:fldSimple w:instr=" SEQ Figure \* ARABIC ">
        <w:r>
          <w:rPr>
            <w:noProof/>
          </w:rPr>
          <w:t>1</w:t>
        </w:r>
      </w:fldSimple>
    </w:p>
    <w:tbl>
      <w:tblPr>
        <w:tblStyle w:val="TableGrid"/>
        <w:tblW w:w="0" w:type="auto"/>
        <w:tblBorders>
          <w:top w:val="none" w:sz="0" w:space="0" w:color="auto"/>
          <w:right w:val="none" w:sz="0" w:space="0" w:color="auto"/>
        </w:tblBorders>
        <w:tblLook w:val="04A0" w:firstRow="1" w:lastRow="0" w:firstColumn="1" w:lastColumn="0" w:noHBand="0" w:noVBand="1"/>
      </w:tblPr>
      <w:tblGrid>
        <w:gridCol w:w="4508"/>
        <w:gridCol w:w="4508"/>
      </w:tblGrid>
      <w:tr w:rsidR="00B03AB7" w14:paraId="04284CAE" w14:textId="77777777" w:rsidTr="00395DE3">
        <w:tc>
          <w:tcPr>
            <w:tcW w:w="4508" w:type="dxa"/>
            <w:shd w:val="clear" w:color="auto" w:fill="FFC000" w:themeFill="accent4"/>
          </w:tcPr>
          <w:p w14:paraId="25E16429" w14:textId="1AA2DA10" w:rsidR="00B03AB7" w:rsidRPr="00395DE3" w:rsidRDefault="00B03AB7" w:rsidP="00B03AB7">
            <w:pPr>
              <w:jc w:val="center"/>
              <w:rPr>
                <w:rFonts w:cstheme="minorHAnsi"/>
                <w:b/>
              </w:rPr>
            </w:pPr>
            <w:r w:rsidRPr="00395DE3">
              <w:rPr>
                <w:rFonts w:cstheme="minorHAnsi"/>
                <w:b/>
              </w:rPr>
              <w:t>Keep group satisfied</w:t>
            </w:r>
          </w:p>
          <w:p w14:paraId="7DB489A4" w14:textId="0F8066AA" w:rsidR="00395DE3" w:rsidRDefault="00395DE3" w:rsidP="00395DE3">
            <w:pPr>
              <w:pStyle w:val="ListParagraph"/>
              <w:numPr>
                <w:ilvl w:val="0"/>
                <w:numId w:val="4"/>
              </w:numPr>
              <w:rPr>
                <w:rFonts w:asciiTheme="minorHAnsi" w:hAnsiTheme="minorHAnsi" w:cstheme="minorHAnsi"/>
                <w:sz w:val="22"/>
                <w:szCs w:val="22"/>
              </w:rPr>
            </w:pPr>
            <w:r w:rsidRPr="00395DE3">
              <w:rPr>
                <w:rFonts w:asciiTheme="minorHAnsi" w:hAnsiTheme="minorHAnsi" w:cstheme="minorHAnsi"/>
                <w:sz w:val="22"/>
                <w:szCs w:val="22"/>
              </w:rPr>
              <w:t>Director of Pharmacy and Medicines Management CAV UHB</w:t>
            </w:r>
          </w:p>
          <w:p w14:paraId="4C1F743F" w14:textId="599CAD7B" w:rsidR="00395DE3" w:rsidRPr="00E33FFC" w:rsidRDefault="00395DE3" w:rsidP="00395DE3">
            <w:pPr>
              <w:pStyle w:val="ListParagraph"/>
              <w:numPr>
                <w:ilvl w:val="0"/>
                <w:numId w:val="4"/>
              </w:numPr>
              <w:rPr>
                <w:rFonts w:asciiTheme="minorHAnsi" w:hAnsiTheme="minorHAnsi" w:cstheme="minorHAnsi"/>
                <w:sz w:val="22"/>
                <w:szCs w:val="22"/>
              </w:rPr>
            </w:pPr>
            <w:r w:rsidRPr="00E33FFC">
              <w:rPr>
                <w:rFonts w:asciiTheme="minorHAnsi" w:hAnsiTheme="minorHAnsi" w:cstheme="minorHAnsi"/>
                <w:sz w:val="22"/>
                <w:szCs w:val="22"/>
              </w:rPr>
              <w:t>Director of Digital Transformation</w:t>
            </w:r>
          </w:p>
          <w:p w14:paraId="490CB8D5" w14:textId="458AE975" w:rsidR="00395DE3" w:rsidRPr="00E33FFC" w:rsidRDefault="00395DE3" w:rsidP="00395DE3">
            <w:pPr>
              <w:pStyle w:val="ListParagraph"/>
              <w:numPr>
                <w:ilvl w:val="0"/>
                <w:numId w:val="4"/>
              </w:numPr>
              <w:rPr>
                <w:rFonts w:asciiTheme="minorHAnsi" w:hAnsiTheme="minorHAnsi" w:cstheme="minorHAnsi"/>
                <w:sz w:val="22"/>
                <w:szCs w:val="22"/>
              </w:rPr>
            </w:pPr>
            <w:r w:rsidRPr="00E33FFC">
              <w:rPr>
                <w:rFonts w:asciiTheme="minorHAnsi" w:hAnsiTheme="minorHAnsi" w:cstheme="minorHAnsi"/>
                <w:sz w:val="22"/>
                <w:szCs w:val="22"/>
              </w:rPr>
              <w:t>All Wales Therapeutics and Toxicology Centre (AWTTC)</w:t>
            </w:r>
          </w:p>
          <w:p w14:paraId="46791924" w14:textId="77777777" w:rsidR="00B03AB7" w:rsidRDefault="00395DE3" w:rsidP="00395DE3">
            <w:pPr>
              <w:pStyle w:val="ListParagraph"/>
              <w:numPr>
                <w:ilvl w:val="0"/>
                <w:numId w:val="4"/>
              </w:numPr>
              <w:rPr>
                <w:rFonts w:asciiTheme="minorHAnsi" w:hAnsiTheme="minorHAnsi" w:cstheme="minorHAnsi"/>
                <w:sz w:val="22"/>
                <w:szCs w:val="22"/>
              </w:rPr>
            </w:pPr>
            <w:r w:rsidRPr="00E33FFC">
              <w:rPr>
                <w:rFonts w:asciiTheme="minorHAnsi" w:hAnsiTheme="minorHAnsi" w:cstheme="minorHAnsi"/>
                <w:sz w:val="22"/>
                <w:szCs w:val="22"/>
              </w:rPr>
              <w:t>Digital Health and Care Wales (DHCW)</w:t>
            </w:r>
          </w:p>
          <w:p w14:paraId="7F7FD8DF" w14:textId="2EC66201" w:rsidR="004F0BD1" w:rsidRPr="00395DE3" w:rsidRDefault="004F0BD1" w:rsidP="00395DE3">
            <w:pPr>
              <w:pStyle w:val="ListParagraph"/>
              <w:numPr>
                <w:ilvl w:val="0"/>
                <w:numId w:val="4"/>
              </w:numPr>
              <w:rPr>
                <w:rFonts w:asciiTheme="minorHAnsi" w:hAnsiTheme="minorHAnsi" w:cstheme="minorHAnsi"/>
                <w:sz w:val="22"/>
                <w:szCs w:val="22"/>
              </w:rPr>
            </w:pPr>
            <w:r w:rsidRPr="00E33FFC">
              <w:rPr>
                <w:rFonts w:asciiTheme="minorHAnsi" w:hAnsiTheme="minorHAnsi" w:cstheme="minorHAnsi"/>
                <w:sz w:val="22"/>
                <w:szCs w:val="22"/>
              </w:rPr>
              <w:t>Digital services for patients and the public (DSPP)</w:t>
            </w:r>
          </w:p>
        </w:tc>
        <w:tc>
          <w:tcPr>
            <w:tcW w:w="4508" w:type="dxa"/>
            <w:shd w:val="clear" w:color="auto" w:fill="A8D08D" w:themeFill="accent6" w:themeFillTint="99"/>
          </w:tcPr>
          <w:p w14:paraId="39EC1016" w14:textId="77777777" w:rsidR="00B03AB7" w:rsidRPr="00395DE3" w:rsidRDefault="00B03AB7" w:rsidP="00B03AB7">
            <w:pPr>
              <w:jc w:val="center"/>
              <w:rPr>
                <w:rFonts w:cstheme="minorHAnsi"/>
                <w:b/>
              </w:rPr>
            </w:pPr>
            <w:r w:rsidRPr="00395DE3">
              <w:rPr>
                <w:rFonts w:cstheme="minorHAnsi"/>
                <w:b/>
              </w:rPr>
              <w:t>Manage group</w:t>
            </w:r>
          </w:p>
          <w:p w14:paraId="3031DBE8" w14:textId="19710835" w:rsidR="00395DE3" w:rsidRDefault="00395DE3" w:rsidP="00395DE3">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 xml:space="preserve">IT </w:t>
            </w:r>
            <w:proofErr w:type="gramStart"/>
            <w:r w:rsidRPr="00E33FFC">
              <w:rPr>
                <w:rFonts w:asciiTheme="minorHAnsi" w:hAnsiTheme="minorHAnsi" w:cstheme="minorHAnsi"/>
                <w:sz w:val="22"/>
                <w:szCs w:val="22"/>
              </w:rPr>
              <w:t>-  CAV</w:t>
            </w:r>
            <w:proofErr w:type="gramEnd"/>
            <w:r w:rsidRPr="00E33FFC">
              <w:rPr>
                <w:rFonts w:asciiTheme="minorHAnsi" w:hAnsiTheme="minorHAnsi" w:cstheme="minorHAnsi"/>
                <w:sz w:val="22"/>
                <w:szCs w:val="22"/>
              </w:rPr>
              <w:t xml:space="preserve"> UHB</w:t>
            </w:r>
          </w:p>
          <w:p w14:paraId="7A9F9E84" w14:textId="77777777" w:rsidR="00395DE3" w:rsidRDefault="00395DE3" w:rsidP="00395DE3">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 xml:space="preserve">Respiratory specialists (consultants, nurses and allied healthcare professionals) </w:t>
            </w:r>
          </w:p>
          <w:p w14:paraId="66AFDFC4" w14:textId="375F858F" w:rsidR="00395DE3" w:rsidRPr="00395DE3" w:rsidRDefault="00395DE3" w:rsidP="004F0BD1">
            <w:pPr>
              <w:pStyle w:val="ListParagraph"/>
              <w:rPr>
                <w:rFonts w:asciiTheme="minorHAnsi" w:hAnsiTheme="minorHAnsi" w:cstheme="minorHAnsi"/>
                <w:sz w:val="22"/>
                <w:szCs w:val="22"/>
              </w:rPr>
            </w:pPr>
          </w:p>
        </w:tc>
      </w:tr>
      <w:tr w:rsidR="00B03AB7" w14:paraId="371D8CD4" w14:textId="77777777" w:rsidTr="00395DE3">
        <w:tc>
          <w:tcPr>
            <w:tcW w:w="4508" w:type="dxa"/>
            <w:shd w:val="clear" w:color="auto" w:fill="C9C9C9" w:themeFill="accent3" w:themeFillTint="99"/>
          </w:tcPr>
          <w:p w14:paraId="08889E4F" w14:textId="2F52FD20" w:rsidR="00B03AB7" w:rsidRPr="00312C21" w:rsidRDefault="00B03AB7" w:rsidP="00312C21">
            <w:pPr>
              <w:jc w:val="center"/>
              <w:rPr>
                <w:rFonts w:cstheme="minorHAnsi"/>
                <w:b/>
              </w:rPr>
            </w:pPr>
            <w:r w:rsidRPr="00395DE3">
              <w:rPr>
                <w:rFonts w:cstheme="minorHAnsi"/>
                <w:b/>
              </w:rPr>
              <w:t>Monitor group</w:t>
            </w:r>
          </w:p>
          <w:p w14:paraId="018264E6" w14:textId="2E251F0B" w:rsidR="00395DE3" w:rsidRDefault="00395DE3" w:rsidP="00395DE3">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Other healthcare professionals</w:t>
            </w:r>
          </w:p>
          <w:p w14:paraId="6124AED4" w14:textId="6ECB3A20" w:rsidR="00FF3EC6" w:rsidRPr="00E33FFC" w:rsidRDefault="00FF3EC6" w:rsidP="00395DE3">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General members of the public</w:t>
            </w:r>
          </w:p>
          <w:p w14:paraId="0C5D7DC0" w14:textId="21532854" w:rsidR="00B03AB7" w:rsidRDefault="00B03AB7" w:rsidP="00395DE3">
            <w:pPr>
              <w:rPr>
                <w:rFonts w:cstheme="minorHAnsi"/>
              </w:rPr>
            </w:pPr>
          </w:p>
          <w:p w14:paraId="0E3EE1E1" w14:textId="1D6C3388" w:rsidR="00312C21" w:rsidRDefault="00312C21" w:rsidP="00395DE3">
            <w:pPr>
              <w:rPr>
                <w:rFonts w:cstheme="minorHAnsi"/>
              </w:rPr>
            </w:pPr>
          </w:p>
          <w:p w14:paraId="5B01A41F" w14:textId="77777777" w:rsidR="00312C21" w:rsidRDefault="00312C21" w:rsidP="00395DE3">
            <w:pPr>
              <w:rPr>
                <w:rFonts w:cstheme="minorHAnsi"/>
              </w:rPr>
            </w:pPr>
          </w:p>
          <w:p w14:paraId="21CEFA16" w14:textId="77777777" w:rsidR="00B03AB7" w:rsidRDefault="00B03AB7" w:rsidP="00B03AB7">
            <w:pPr>
              <w:jc w:val="center"/>
              <w:rPr>
                <w:rFonts w:cstheme="minorHAnsi"/>
              </w:rPr>
            </w:pPr>
          </w:p>
          <w:p w14:paraId="60A0F159" w14:textId="77777777" w:rsidR="00B03AB7" w:rsidRDefault="00B03AB7" w:rsidP="00B613F7">
            <w:pPr>
              <w:rPr>
                <w:rFonts w:cstheme="minorHAnsi"/>
              </w:rPr>
            </w:pPr>
          </w:p>
          <w:p w14:paraId="191266F6" w14:textId="0581D3A4" w:rsidR="00FF3EC6" w:rsidRDefault="00FF3EC6" w:rsidP="00B613F7">
            <w:pPr>
              <w:rPr>
                <w:rFonts w:cstheme="minorHAnsi"/>
              </w:rPr>
            </w:pPr>
          </w:p>
        </w:tc>
        <w:tc>
          <w:tcPr>
            <w:tcW w:w="4508" w:type="dxa"/>
            <w:shd w:val="clear" w:color="auto" w:fill="B4C6E7" w:themeFill="accent1" w:themeFillTint="66"/>
          </w:tcPr>
          <w:p w14:paraId="1097B6A9" w14:textId="77777777" w:rsidR="00B03AB7" w:rsidRPr="00395DE3" w:rsidRDefault="00B03AB7" w:rsidP="00B03AB7">
            <w:pPr>
              <w:jc w:val="center"/>
              <w:rPr>
                <w:rFonts w:cstheme="minorHAnsi"/>
                <w:b/>
              </w:rPr>
            </w:pPr>
            <w:r w:rsidRPr="00395DE3">
              <w:rPr>
                <w:rFonts w:cstheme="minorHAnsi"/>
                <w:b/>
              </w:rPr>
              <w:t>Keep group informed</w:t>
            </w:r>
          </w:p>
          <w:p w14:paraId="41682D04" w14:textId="5493CBEB" w:rsidR="00395DE3" w:rsidRDefault="00395DE3" w:rsidP="00395DE3">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Primary care healthcare workers (GP, practice managers, pharmacists)</w:t>
            </w:r>
          </w:p>
          <w:p w14:paraId="174CB3F2" w14:textId="1AD0868D" w:rsidR="00395DE3" w:rsidRPr="00E33FFC" w:rsidRDefault="00395DE3" w:rsidP="00395DE3">
            <w:pPr>
              <w:pStyle w:val="ListParagraph"/>
              <w:numPr>
                <w:ilvl w:val="0"/>
                <w:numId w:val="3"/>
              </w:numPr>
              <w:rPr>
                <w:rFonts w:asciiTheme="minorHAnsi" w:hAnsiTheme="minorHAnsi" w:cstheme="minorHAnsi"/>
                <w:sz w:val="22"/>
                <w:szCs w:val="22"/>
              </w:rPr>
            </w:pPr>
            <w:r w:rsidRPr="00E33FFC">
              <w:rPr>
                <w:rFonts w:asciiTheme="minorHAnsi" w:hAnsiTheme="minorHAnsi" w:cstheme="minorHAnsi"/>
                <w:sz w:val="22"/>
                <w:szCs w:val="22"/>
              </w:rPr>
              <w:t>Public representatives</w:t>
            </w:r>
          </w:p>
          <w:p w14:paraId="4502CB91" w14:textId="691A7F28" w:rsidR="00395DE3" w:rsidRPr="00E33FFC" w:rsidRDefault="00395DE3" w:rsidP="00395DE3">
            <w:pPr>
              <w:pStyle w:val="ListParagraph"/>
              <w:rPr>
                <w:rFonts w:asciiTheme="minorHAnsi" w:hAnsiTheme="minorHAnsi" w:cstheme="minorHAnsi"/>
                <w:sz w:val="22"/>
                <w:szCs w:val="22"/>
              </w:rPr>
            </w:pPr>
          </w:p>
          <w:p w14:paraId="7204A43C" w14:textId="544F71DC" w:rsidR="00395DE3" w:rsidRDefault="00395DE3" w:rsidP="00395DE3">
            <w:pPr>
              <w:rPr>
                <w:rFonts w:cstheme="minorHAnsi"/>
              </w:rPr>
            </w:pPr>
          </w:p>
        </w:tc>
      </w:tr>
    </w:tbl>
    <w:p w14:paraId="5DAD2909" w14:textId="06CFF372" w:rsidR="00293AB8" w:rsidRPr="00395DE3" w:rsidRDefault="00395DE3" w:rsidP="00F2104C">
      <w:pPr>
        <w:rPr>
          <w:rFonts w:cstheme="minorHAnsi"/>
          <w:b/>
        </w:rPr>
      </w:pPr>
      <w:r w:rsidRPr="00395DE3">
        <w:rPr>
          <w:rFonts w:cstheme="minorHAnsi"/>
          <w:b/>
          <w:noProof/>
        </w:rPr>
        <mc:AlternateContent>
          <mc:Choice Requires="wps">
            <w:drawing>
              <wp:anchor distT="0" distB="0" distL="114300" distR="114300" simplePos="0" relativeHeight="251666432" behindDoc="0" locked="0" layoutInCell="1" allowOverlap="1" wp14:anchorId="3AA399A9" wp14:editId="3875EDF3">
                <wp:simplePos x="0" y="0"/>
                <wp:positionH relativeFrom="column">
                  <wp:posOffset>5668735</wp:posOffset>
                </wp:positionH>
                <wp:positionV relativeFrom="paragraph">
                  <wp:posOffset>-84696</wp:posOffset>
                </wp:positionV>
                <wp:extent cx="212141" cy="153328"/>
                <wp:effectExtent l="0" t="27623" r="46038" b="46037"/>
                <wp:wrapNone/>
                <wp:docPr id="5" name="Isosceles Triangle 5"/>
                <wp:cNvGraphicFramePr/>
                <a:graphic xmlns:a="http://schemas.openxmlformats.org/drawingml/2006/main">
                  <a:graphicData uri="http://schemas.microsoft.com/office/word/2010/wordprocessingShape">
                    <wps:wsp>
                      <wps:cNvSpPr/>
                      <wps:spPr>
                        <a:xfrm rot="5400000">
                          <a:off x="0" y="0"/>
                          <a:ext cx="212141" cy="153328"/>
                        </a:xfrm>
                        <a:prstGeom prst="triangl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ABCC86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26" type="#_x0000_t5" style="position:absolute;margin-left:446.35pt;margin-top:-6.65pt;width:16.7pt;height:12.05pt;rotation:90;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" fillcolor="black [3200]" strokecolor="black [1600]" strokeweight="1pt"/>
            </w:pict>
          </mc:Fallback>
        </mc:AlternateContent>
      </w:r>
      <w:r w:rsidRPr="00395DE3">
        <w:rPr>
          <w:rFonts w:cstheme="minorHAnsi"/>
          <w:b/>
          <w:noProof/>
        </w:rPr>
        <mc:AlternateContent>
          <mc:Choice Requires="wps">
            <w:drawing>
              <wp:anchor distT="0" distB="0" distL="114300" distR="114300" simplePos="0" relativeHeight="251664384" behindDoc="0" locked="0" layoutInCell="1" allowOverlap="1" wp14:anchorId="30145E94" wp14:editId="5B37AD6C">
                <wp:simplePos x="0" y="0"/>
                <wp:positionH relativeFrom="column">
                  <wp:posOffset>-102413</wp:posOffset>
                </wp:positionH>
                <wp:positionV relativeFrom="paragraph">
                  <wp:posOffset>-2681097</wp:posOffset>
                </wp:positionV>
                <wp:extent cx="212141" cy="124358"/>
                <wp:effectExtent l="19050" t="19050" r="35560" b="28575"/>
                <wp:wrapNone/>
                <wp:docPr id="4" name="Isosceles Triangle 4"/>
                <wp:cNvGraphicFramePr/>
                <a:graphic xmlns:a="http://schemas.openxmlformats.org/drawingml/2006/main">
                  <a:graphicData uri="http://schemas.microsoft.com/office/word/2010/wordprocessingShape">
                    <wps:wsp>
                      <wps:cNvSpPr/>
                      <wps:spPr>
                        <a:xfrm>
                          <a:off x="0" y="0"/>
                          <a:ext cx="212141" cy="124358"/>
                        </a:xfrm>
                        <a:prstGeom prst="triangl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ACE2FD" id="Isosceles Triangle 4" o:spid="_x0000_s1026" type="#_x0000_t5" style="position:absolute;margin-left:-8.05pt;margin-top:-211.1pt;width:16.7pt;height:9.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" fillcolor="black [3200]" strokecolor="black [1600]" strokeweight="1pt"/>
            </w:pict>
          </mc:Fallback>
        </mc:AlternateContent>
      </w:r>
      <w:r w:rsidRPr="00395DE3">
        <w:rPr>
          <w:rFonts w:cstheme="minorHAnsi"/>
          <w:b/>
          <w:noProof/>
        </w:rPr>
        <mc:AlternateContent>
          <mc:Choice Requires="wps">
            <w:drawing>
              <wp:anchor distT="0" distB="0" distL="114300" distR="114300" simplePos="0" relativeHeight="251661312" behindDoc="0" locked="0" layoutInCell="1" allowOverlap="1" wp14:anchorId="5A49BBD7" wp14:editId="5446039A">
                <wp:simplePos x="0" y="0"/>
                <wp:positionH relativeFrom="leftMargin">
                  <wp:posOffset>217336</wp:posOffset>
                </wp:positionH>
                <wp:positionV relativeFrom="paragraph">
                  <wp:posOffset>-1471892</wp:posOffset>
                </wp:positionV>
                <wp:extent cx="849315" cy="362268"/>
                <wp:effectExtent l="0" t="4127" r="4127" b="4128"/>
                <wp:wrapNone/>
                <wp:docPr id="3" name="Text Box 3"/>
                <wp:cNvGraphicFramePr/>
                <a:graphic xmlns:a="http://schemas.openxmlformats.org/drawingml/2006/main">
                  <a:graphicData uri="http://schemas.microsoft.com/office/word/2010/wordprocessingShape">
                    <wps:wsp>
                      <wps:cNvSpPr txBox="1"/>
                      <wps:spPr>
                        <a:xfrm rot="16200000">
                          <a:off x="0" y="0"/>
                          <a:ext cx="849315" cy="362268"/>
                        </a:xfrm>
                        <a:prstGeom prst="rect">
                          <a:avLst/>
                        </a:prstGeom>
                        <a:solidFill>
                          <a:schemeClr val="lt1"/>
                        </a:solidFill>
                        <a:ln w="6350">
                          <a:noFill/>
                        </a:ln>
                      </wps:spPr>
                      <wps:txbx>
                        <w:txbxContent>
                          <w:p w14:paraId="60571E26" w14:textId="55225EE0" w:rsidR="00B03AB7" w:rsidRPr="00395DE3" w:rsidRDefault="00B03AB7">
                            <w:pPr>
                              <w:rPr>
                                <w:b/>
                              </w:rPr>
                            </w:pPr>
                            <w:r w:rsidRPr="00395DE3">
                              <w:rPr>
                                <w:b/>
                              </w:rPr>
                              <w:t>Influence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49BBD7" id="_x0000_t202" coordsize="21600,21600" o:spt="202" path="m,l,21600r21600,l21600,xe">
                <v:stroke joinstyle="miter"/>
                <v:path gradientshapeok="t" o:connecttype="rect"/>
              </v:shapetype>
              <v:shape id="Text Box 3" o:spid="_x0000_s1026" type="#_x0000_t202" style="position:absolute;margin-left:17.1pt;margin-top:-115.9pt;width:66.9pt;height:28.55pt;rotation:-90;z-index:251661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" fillcolor="white [3201]" stroked="f" strokeweight=".5pt">
                <v:textbox>
                  <w:txbxContent>
                    <w:p w14:paraId="60571E26" w14:textId="55225EE0" w:rsidR="00B03AB7" w:rsidRPr="00395DE3" w:rsidRDefault="00B03AB7">
                      <w:pPr>
                        <w:rPr>
                          <w:b/>
                        </w:rPr>
                      </w:pPr>
                      <w:r w:rsidRPr="00395DE3">
                        <w:rPr>
                          <w:b/>
                        </w:rPr>
                        <w:t>Influence</w:t>
                      </w:r>
                    </w:p>
                  </w:txbxContent>
                </v:textbox>
                <w10:wrap anchorx="margin"/>
              </v:shape>
            </w:pict>
          </mc:Fallback>
        </mc:AlternateContent>
      </w:r>
      <w:r w:rsidR="00B03AB7" w:rsidRPr="00395DE3">
        <w:rPr>
          <w:rFonts w:cstheme="minorHAnsi"/>
          <w:b/>
          <w:noProof/>
        </w:rPr>
        <mc:AlternateContent>
          <mc:Choice Requires="wps">
            <w:drawing>
              <wp:anchor distT="45720" distB="45720" distL="114300" distR="114300" simplePos="0" relativeHeight="251663360" behindDoc="0" locked="0" layoutInCell="1" allowOverlap="1" wp14:anchorId="3ECC0653" wp14:editId="7A5AD97C">
                <wp:simplePos x="0" y="0"/>
                <wp:positionH relativeFrom="column">
                  <wp:posOffset>2552700</wp:posOffset>
                </wp:positionH>
                <wp:positionV relativeFrom="paragraph">
                  <wp:posOffset>82550</wp:posOffset>
                </wp:positionV>
                <wp:extent cx="685800"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solidFill>
                          <a:srgbClr val="FFFFFF"/>
                        </a:solidFill>
                        <a:ln w="9525">
                          <a:noFill/>
                          <a:miter lim="800000"/>
                          <a:headEnd/>
                          <a:tailEnd/>
                        </a:ln>
                      </wps:spPr>
                      <wps:txbx>
                        <w:txbxContent>
                          <w:p w14:paraId="042B87A6" w14:textId="28680D13" w:rsidR="00B03AB7" w:rsidRPr="00395DE3" w:rsidRDefault="00B03AB7">
                            <w:pPr>
                              <w:rPr>
                                <w:b/>
                              </w:rPr>
                            </w:pPr>
                            <w:r w:rsidRPr="00395DE3">
                              <w:rPr>
                                <w:b/>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CC0653" id="Text Box 2" o:spid="_x0000_s1027" type="#_x0000_t202" style="position:absolute;margin-left:201pt;margin-top:6.5pt;width:54pt;height:2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" stroked="f">
                <v:textbox>
                  <w:txbxContent>
                    <w:p w14:paraId="042B87A6" w14:textId="28680D13" w:rsidR="00B03AB7" w:rsidRPr="00395DE3" w:rsidRDefault="00B03AB7">
                      <w:pPr>
                        <w:rPr>
                          <w:b/>
                        </w:rPr>
                      </w:pPr>
                      <w:r w:rsidRPr="00395DE3">
                        <w:rPr>
                          <w:b/>
                        </w:rPr>
                        <w:t>Interest</w:t>
                      </w:r>
                    </w:p>
                  </w:txbxContent>
                </v:textbox>
                <w10:wrap type="square"/>
              </v:shape>
            </w:pict>
          </mc:Fallback>
        </mc:AlternateContent>
      </w:r>
    </w:p>
    <w:p w14:paraId="570C35EE" w14:textId="1F4F5416" w:rsidR="00293AB8" w:rsidRDefault="00293AB8" w:rsidP="00F2104C">
      <w:pPr>
        <w:rPr>
          <w:rFonts w:cstheme="minorHAnsi"/>
        </w:rPr>
      </w:pPr>
    </w:p>
    <w:p w14:paraId="56518FAB" w14:textId="120173DB" w:rsidR="00B613F7" w:rsidRDefault="00B613F7" w:rsidP="00F2104C">
      <w:pPr>
        <w:rPr>
          <w:rFonts w:cstheme="minorHAnsi"/>
        </w:rPr>
      </w:pPr>
    </w:p>
    <w:p w14:paraId="09A42A61" w14:textId="6CA8B1CF" w:rsidR="00B613F7" w:rsidRPr="00414CF3" w:rsidRDefault="00B613F7" w:rsidP="00F2104C">
      <w:pPr>
        <w:rPr>
          <w:rFonts w:cstheme="minorHAnsi"/>
          <w:b/>
        </w:rPr>
      </w:pPr>
      <w:r w:rsidRPr="00B613F7">
        <w:rPr>
          <w:rFonts w:cstheme="minorHAnsi"/>
          <w:b/>
        </w:rPr>
        <w:t>Engagement with Stakeholders</w:t>
      </w:r>
    </w:p>
    <w:p w14:paraId="1C8265A2" w14:textId="38D0A883" w:rsidR="00B613F7" w:rsidRPr="00B613F7" w:rsidRDefault="00B613F7" w:rsidP="00F2104C">
      <w:pPr>
        <w:rPr>
          <w:rFonts w:cstheme="minorHAnsi"/>
          <w:i/>
        </w:rPr>
      </w:pPr>
      <w:r w:rsidRPr="00B613F7">
        <w:rPr>
          <w:rFonts w:cstheme="minorHAnsi"/>
          <w:i/>
        </w:rPr>
        <w:t>High influence and high interest</w:t>
      </w:r>
    </w:p>
    <w:p w14:paraId="37DD8E5F" w14:textId="12CD2C14" w:rsidR="00B613F7" w:rsidRDefault="003A0251" w:rsidP="00F2104C">
      <w:pPr>
        <w:rPr>
          <w:rFonts w:cstheme="minorHAnsi"/>
        </w:rPr>
      </w:pPr>
      <w:r>
        <w:rPr>
          <w:rFonts w:cstheme="minorHAnsi"/>
        </w:rPr>
        <w:t>In my own experience t</w:t>
      </w:r>
      <w:r w:rsidR="009460C5">
        <w:rPr>
          <w:rFonts w:cstheme="minorHAnsi"/>
        </w:rPr>
        <w:t>his stakeholder group must be managed very carefully. These</w:t>
      </w:r>
      <w:r>
        <w:rPr>
          <w:rFonts w:cstheme="minorHAnsi"/>
        </w:rPr>
        <w:t xml:space="preserve"> individuals</w:t>
      </w:r>
      <w:r w:rsidR="009460C5">
        <w:rPr>
          <w:rFonts w:cstheme="minorHAnsi"/>
        </w:rPr>
        <w:t xml:space="preserve"> should be sufficiently involved in the project in order to enable a successful outcome. </w:t>
      </w:r>
      <w:r w:rsidR="00732C6D">
        <w:rPr>
          <w:rFonts w:cstheme="minorHAnsi"/>
        </w:rPr>
        <w:t xml:space="preserve">This group have </w:t>
      </w:r>
      <w:r w:rsidR="004F0BD1">
        <w:rPr>
          <w:rFonts w:cstheme="minorHAnsi"/>
        </w:rPr>
        <w:t xml:space="preserve">expertise and influence to ensure the product is effective and clinically correct. They should be actively involved in building the solution, as well as its content and decision processes. </w:t>
      </w:r>
      <w:r w:rsidR="00304447">
        <w:rPr>
          <w:rFonts w:cstheme="minorHAnsi"/>
        </w:rPr>
        <w:t>One particularly key stakeholder group is the respiratory specialists. Involvement, but in particular</w:t>
      </w:r>
      <w:r w:rsidR="00414CF3">
        <w:rPr>
          <w:rFonts w:cstheme="minorHAnsi"/>
        </w:rPr>
        <w:t xml:space="preserve">, </w:t>
      </w:r>
      <w:r w:rsidR="00304447">
        <w:rPr>
          <w:rFonts w:cstheme="minorHAnsi"/>
        </w:rPr>
        <w:t>endorsement by this group is essential for providing public and healthcare professionals confidence in th</w:t>
      </w:r>
      <w:r w:rsidR="00414CF3">
        <w:rPr>
          <w:rFonts w:cstheme="minorHAnsi"/>
        </w:rPr>
        <w:t>is</w:t>
      </w:r>
      <w:r w:rsidR="00304447">
        <w:rPr>
          <w:rFonts w:cstheme="minorHAnsi"/>
        </w:rPr>
        <w:t xml:space="preserve"> decision tool</w:t>
      </w:r>
      <w:r w:rsidR="00414CF3">
        <w:rPr>
          <w:rFonts w:cstheme="minorHAnsi"/>
        </w:rPr>
        <w:t xml:space="preserve"> (Ahluwalia </w:t>
      </w:r>
      <w:r w:rsidR="00414CF3">
        <w:rPr>
          <w:rFonts w:cstheme="minorHAnsi"/>
          <w:i/>
          <w:iCs/>
        </w:rPr>
        <w:t xml:space="preserve">et al. </w:t>
      </w:r>
      <w:r w:rsidR="00414CF3">
        <w:rPr>
          <w:rFonts w:cstheme="minorHAnsi"/>
        </w:rPr>
        <w:t>2021)</w:t>
      </w:r>
      <w:r w:rsidR="00304447">
        <w:rPr>
          <w:rFonts w:cstheme="minorHAnsi"/>
        </w:rPr>
        <w:t>.</w:t>
      </w:r>
      <w:r>
        <w:rPr>
          <w:rFonts w:cstheme="minorHAnsi"/>
        </w:rPr>
        <w:t xml:space="preserve"> A feeling of ownership of the system will also be beneficial</w:t>
      </w:r>
      <w:r w:rsidR="00155BFE">
        <w:rPr>
          <w:rFonts w:cstheme="minorHAnsi"/>
        </w:rPr>
        <w:t xml:space="preserve"> (Department for Business Innovation &amp; Skills</w:t>
      </w:r>
      <w:r w:rsidR="00CD261A">
        <w:rPr>
          <w:rFonts w:cstheme="minorHAnsi"/>
        </w:rPr>
        <w:t>, 2012)</w:t>
      </w:r>
      <w:r>
        <w:rPr>
          <w:rFonts w:cstheme="minorHAnsi"/>
        </w:rPr>
        <w:t xml:space="preserve">; encouraging participation </w:t>
      </w:r>
      <w:r w:rsidR="00CD261A">
        <w:rPr>
          <w:rFonts w:cstheme="minorHAnsi"/>
        </w:rPr>
        <w:t xml:space="preserve">and decision making </w:t>
      </w:r>
      <w:r>
        <w:rPr>
          <w:rFonts w:cstheme="minorHAnsi"/>
        </w:rPr>
        <w:t>in the development as well as</w:t>
      </w:r>
      <w:r w:rsidR="00CD261A">
        <w:rPr>
          <w:rFonts w:cstheme="minorHAnsi"/>
        </w:rPr>
        <w:t xml:space="preserve"> the implementation process</w:t>
      </w:r>
      <w:r>
        <w:rPr>
          <w:rFonts w:cstheme="minorHAnsi"/>
        </w:rPr>
        <w:t xml:space="preserve">. </w:t>
      </w:r>
    </w:p>
    <w:p w14:paraId="5D8F9311" w14:textId="2E300D4C" w:rsidR="00030752" w:rsidRDefault="00304447" w:rsidP="00F2104C">
      <w:pPr>
        <w:rPr>
          <w:rFonts w:cstheme="minorHAnsi"/>
        </w:rPr>
      </w:pPr>
      <w:r>
        <w:rPr>
          <w:rFonts w:cstheme="minorHAnsi"/>
        </w:rPr>
        <w:t>This group needs to meet regularly, with</w:t>
      </w:r>
      <w:r w:rsidR="00CD261A">
        <w:rPr>
          <w:rFonts w:cstheme="minorHAnsi"/>
        </w:rPr>
        <w:t xml:space="preserve"> the</w:t>
      </w:r>
      <w:r>
        <w:rPr>
          <w:rFonts w:cstheme="minorHAnsi"/>
        </w:rPr>
        <w:t xml:space="preserve"> frequency and type of meetings changing </w:t>
      </w:r>
      <w:r w:rsidR="00CD261A">
        <w:rPr>
          <w:rFonts w:cstheme="minorHAnsi"/>
        </w:rPr>
        <w:t>depending on</w:t>
      </w:r>
      <w:r>
        <w:rPr>
          <w:rFonts w:cstheme="minorHAnsi"/>
        </w:rPr>
        <w:t xml:space="preserve"> the progress and the </w:t>
      </w:r>
      <w:r w:rsidR="00CD261A">
        <w:rPr>
          <w:rFonts w:cstheme="minorHAnsi"/>
        </w:rPr>
        <w:t xml:space="preserve">stage of the </w:t>
      </w:r>
      <w:r>
        <w:rPr>
          <w:rFonts w:cstheme="minorHAnsi"/>
        </w:rPr>
        <w:t>pro</w:t>
      </w:r>
      <w:r w:rsidR="00CD261A">
        <w:rPr>
          <w:rFonts w:cstheme="minorHAnsi"/>
        </w:rPr>
        <w:t>ject</w:t>
      </w:r>
      <w:r>
        <w:rPr>
          <w:rFonts w:cstheme="minorHAnsi"/>
        </w:rPr>
        <w:t xml:space="preserve">. This ensures that stakeholder time is utilised optimally for the progress of the project and is not wasted unnecessarily. </w:t>
      </w:r>
      <w:r w:rsidR="00CD261A">
        <w:rPr>
          <w:rFonts w:cstheme="minorHAnsi"/>
        </w:rPr>
        <w:t>Decisions regarding frequency should be made openly, demonstrating transparency and understanding amongst the group</w:t>
      </w:r>
      <w:r w:rsidR="00414CF3">
        <w:rPr>
          <w:rFonts w:cstheme="minorHAnsi"/>
        </w:rPr>
        <w:t>,</w:t>
      </w:r>
      <w:r w:rsidR="00CD261A">
        <w:rPr>
          <w:rFonts w:cstheme="minorHAnsi"/>
        </w:rPr>
        <w:t xml:space="preserve"> as I have </w:t>
      </w:r>
      <w:r w:rsidR="00030752">
        <w:rPr>
          <w:rFonts w:cstheme="minorHAnsi"/>
        </w:rPr>
        <w:t>had</w:t>
      </w:r>
      <w:r w:rsidR="00CD261A">
        <w:rPr>
          <w:rFonts w:cstheme="minorHAnsi"/>
        </w:rPr>
        <w:t xml:space="preserve"> experience of sending the wrong messages before by making meetings less frequent and subsequently </w:t>
      </w:r>
      <w:r w:rsidR="00030752">
        <w:rPr>
          <w:rFonts w:cstheme="minorHAnsi"/>
        </w:rPr>
        <w:t xml:space="preserve">an individual was confused and felt left out. </w:t>
      </w:r>
    </w:p>
    <w:p w14:paraId="56035847" w14:textId="79079574" w:rsidR="00B613F7" w:rsidRDefault="00304447" w:rsidP="00F2104C">
      <w:pPr>
        <w:rPr>
          <w:rFonts w:cstheme="minorHAnsi"/>
        </w:rPr>
      </w:pPr>
      <w:r>
        <w:rPr>
          <w:rFonts w:cstheme="minorHAnsi"/>
        </w:rPr>
        <w:t xml:space="preserve">Engagement should take different forms with key decision-making meetings and regular in-depth updates to ensure that the group is fully informed on progress. </w:t>
      </w:r>
    </w:p>
    <w:p w14:paraId="32FD6CA4" w14:textId="6FB3C68E" w:rsidR="00A6461E" w:rsidRDefault="00A6461E" w:rsidP="00F2104C">
      <w:pPr>
        <w:rPr>
          <w:rFonts w:cstheme="minorHAnsi"/>
        </w:rPr>
      </w:pPr>
      <w:r>
        <w:rPr>
          <w:rFonts w:cstheme="minorHAnsi"/>
        </w:rPr>
        <w:t>A criticism of the make up of this stakeholder group, especially if it is making many of the key decisions, is that there is no patient/ public or lay representation.</w:t>
      </w:r>
      <w:r w:rsidR="00D2165E">
        <w:rPr>
          <w:rFonts w:cstheme="minorHAnsi"/>
        </w:rPr>
        <w:t xml:space="preserve"> This may impact on how</w:t>
      </w:r>
      <w:r w:rsidR="00322202">
        <w:rPr>
          <w:rFonts w:cstheme="minorHAnsi"/>
        </w:rPr>
        <w:t xml:space="preserve"> well </w:t>
      </w:r>
      <w:r w:rsidR="00322202">
        <w:rPr>
          <w:rFonts w:cstheme="minorHAnsi"/>
        </w:rPr>
        <w:lastRenderedPageBreak/>
        <w:t>represented the patient and public views are considered (O’Shea, 2017). This can, however, be seen as “tokenism” with little impact coming from such patient representation</w:t>
      </w:r>
      <w:r>
        <w:rPr>
          <w:rFonts w:cstheme="minorHAnsi"/>
        </w:rPr>
        <w:t xml:space="preserve"> </w:t>
      </w:r>
      <w:r w:rsidR="00322202">
        <w:rPr>
          <w:rFonts w:cstheme="minorHAnsi"/>
        </w:rPr>
        <w:t>(Coulter, 2002)</w:t>
      </w:r>
    </w:p>
    <w:p w14:paraId="1888B161" w14:textId="24C4215A" w:rsidR="00B613F7" w:rsidRPr="00B613F7" w:rsidRDefault="00B613F7" w:rsidP="00F2104C">
      <w:pPr>
        <w:rPr>
          <w:rFonts w:cstheme="minorHAnsi"/>
          <w:i/>
        </w:rPr>
      </w:pPr>
      <w:r w:rsidRPr="00B613F7">
        <w:rPr>
          <w:rFonts w:cstheme="minorHAnsi"/>
          <w:i/>
        </w:rPr>
        <w:t>Low influence and high interest</w:t>
      </w:r>
    </w:p>
    <w:p w14:paraId="134044C7" w14:textId="3D579ED6" w:rsidR="00B613F7" w:rsidRDefault="00304447" w:rsidP="00F2104C">
      <w:pPr>
        <w:rPr>
          <w:rFonts w:cstheme="minorHAnsi"/>
        </w:rPr>
      </w:pPr>
      <w:r>
        <w:rPr>
          <w:rFonts w:cstheme="minorHAnsi"/>
        </w:rPr>
        <w:t xml:space="preserve">The stakeholders of this group are going to be the main end-users of the system, and ultimately </w:t>
      </w:r>
      <w:r w:rsidR="0096764C">
        <w:rPr>
          <w:rFonts w:cstheme="minorHAnsi"/>
        </w:rPr>
        <w:t xml:space="preserve">if they do not like and use the system then the system will not be used successfully. This stakeholder group can provide a great deal of useful information and feedback. They do not need to be involved in key decisions, but there may be certain decisions they could help with, obtained through surveys or engagement events. </w:t>
      </w:r>
      <w:r w:rsidR="00030752">
        <w:rPr>
          <w:rFonts w:cstheme="minorHAnsi"/>
        </w:rPr>
        <w:t xml:space="preserve">However, these individuals may not have the clinical and technical expertise necessary to make informed decisions or </w:t>
      </w:r>
      <w:r w:rsidR="00414CF3">
        <w:rPr>
          <w:rFonts w:cstheme="minorHAnsi"/>
        </w:rPr>
        <w:t xml:space="preserve">optimal </w:t>
      </w:r>
      <w:r w:rsidR="00030752">
        <w:rPr>
          <w:rFonts w:cstheme="minorHAnsi"/>
        </w:rPr>
        <w:t xml:space="preserve">recommendations. I have had this issue with a previous project, in asking for recommendations for users regarding a system. I hadn’t engaged sufficiently with the user group prior to implementation, and as a consequence, users provided feedback that wasn’t helpful because it was clear they didn’t understand the aim of the project or the technical limits of the solution. </w:t>
      </w:r>
    </w:p>
    <w:p w14:paraId="68A10139" w14:textId="76FE296F" w:rsidR="00F83535" w:rsidRDefault="00F83535" w:rsidP="00F2104C">
      <w:pPr>
        <w:rPr>
          <w:rFonts w:cstheme="minorHAnsi"/>
        </w:rPr>
      </w:pPr>
      <w:r>
        <w:rPr>
          <w:rFonts w:cstheme="minorHAnsi"/>
        </w:rPr>
        <w:t xml:space="preserve">Engagement with this group can take place through multiple forms: through newsletters, engagement events, pilot feedback sessions and surveys. </w:t>
      </w:r>
      <w:r w:rsidR="00FF3EC6">
        <w:rPr>
          <w:rFonts w:cstheme="minorHAnsi"/>
        </w:rPr>
        <w:t xml:space="preserve">Testimonials can help with communication as well as help the public understand the potential usefulness of the system. </w:t>
      </w:r>
      <w:r w:rsidR="00312C21">
        <w:rPr>
          <w:rFonts w:cstheme="minorHAnsi"/>
        </w:rPr>
        <w:t xml:space="preserve">Communication style however should be consistent, providing different communication methods every month can be confusing. </w:t>
      </w:r>
    </w:p>
    <w:p w14:paraId="0C4A9415" w14:textId="77777777" w:rsidR="00B613F7" w:rsidRDefault="00B613F7" w:rsidP="00F2104C">
      <w:pPr>
        <w:rPr>
          <w:rFonts w:cstheme="minorHAnsi"/>
        </w:rPr>
      </w:pPr>
    </w:p>
    <w:p w14:paraId="1509CBFC" w14:textId="0D686618" w:rsidR="00B613F7" w:rsidRPr="00B613F7" w:rsidRDefault="00B613F7" w:rsidP="00F2104C">
      <w:pPr>
        <w:rPr>
          <w:rFonts w:cstheme="minorHAnsi"/>
          <w:i/>
        </w:rPr>
      </w:pPr>
      <w:r w:rsidRPr="00B613F7">
        <w:rPr>
          <w:rFonts w:cstheme="minorHAnsi"/>
          <w:i/>
        </w:rPr>
        <w:t>Low influence and low interest</w:t>
      </w:r>
    </w:p>
    <w:p w14:paraId="792168E1" w14:textId="23CEEDDF" w:rsidR="00B613F7" w:rsidRDefault="00FF3EC6" w:rsidP="00F2104C">
      <w:pPr>
        <w:rPr>
          <w:rFonts w:cstheme="minorHAnsi"/>
        </w:rPr>
      </w:pPr>
      <w:r>
        <w:rPr>
          <w:rFonts w:cstheme="minorHAnsi"/>
        </w:rPr>
        <w:t>This group, although</w:t>
      </w:r>
      <w:r w:rsidR="00312C21">
        <w:rPr>
          <w:rFonts w:cstheme="minorHAnsi"/>
        </w:rPr>
        <w:t xml:space="preserve"> are </w:t>
      </w:r>
      <w:r>
        <w:rPr>
          <w:rFonts w:cstheme="minorHAnsi"/>
        </w:rPr>
        <w:t>the stakeholder group that requires the least effort</w:t>
      </w:r>
      <w:r w:rsidR="00312C21">
        <w:rPr>
          <w:rFonts w:cstheme="minorHAnsi"/>
        </w:rPr>
        <w:t>,</w:t>
      </w:r>
      <w:r>
        <w:rPr>
          <w:rFonts w:cstheme="minorHAnsi"/>
        </w:rPr>
        <w:t xml:space="preserve"> are still potentially an important group to involve. If they have an overall understanding of the project or its existence they can help signpost potential users to it, as well as seek it out themselves should their circumstances change. As a population, we all have an incentive to improve the environmental impact of healthcare</w:t>
      </w:r>
      <w:r w:rsidR="00312C21">
        <w:rPr>
          <w:rFonts w:cstheme="minorHAnsi"/>
        </w:rPr>
        <w:t>,</w:t>
      </w:r>
      <w:r>
        <w:rPr>
          <w:rFonts w:cstheme="minorHAnsi"/>
        </w:rPr>
        <w:t xml:space="preserve"> and by engaging with this group we ensure that this can be optimised. This may also provide valuable feedback on engagement as well as attitudes of healthcare professionals and public attitudes to inhalers and their environmental impact. Engagement should be easily accessible and succinct through posters or newsletters, with signposting or links to more detailed information should these stakeholders need it. A survey will help with understanding baseline attitudes or inhaler use figures. </w:t>
      </w:r>
    </w:p>
    <w:p w14:paraId="19AF974B" w14:textId="77777777" w:rsidR="00B613F7" w:rsidRDefault="00B613F7" w:rsidP="00F2104C">
      <w:pPr>
        <w:rPr>
          <w:rFonts w:cstheme="minorHAnsi"/>
        </w:rPr>
      </w:pPr>
    </w:p>
    <w:p w14:paraId="43D25ADA" w14:textId="23685064" w:rsidR="00B613F7" w:rsidRPr="00B613F7" w:rsidRDefault="00B613F7" w:rsidP="00F2104C">
      <w:pPr>
        <w:rPr>
          <w:rFonts w:cstheme="minorHAnsi"/>
          <w:i/>
        </w:rPr>
      </w:pPr>
      <w:r w:rsidRPr="00B613F7">
        <w:rPr>
          <w:rFonts w:cstheme="minorHAnsi"/>
          <w:i/>
        </w:rPr>
        <w:t>Low interest and high influence</w:t>
      </w:r>
    </w:p>
    <w:p w14:paraId="5488D149" w14:textId="65754E0F" w:rsidR="00FF3EC6" w:rsidRDefault="007C0FE5" w:rsidP="00F2104C">
      <w:pPr>
        <w:rPr>
          <w:rFonts w:cstheme="minorHAnsi"/>
        </w:rPr>
      </w:pPr>
      <w:r>
        <w:rPr>
          <w:rFonts w:cstheme="minorHAnsi"/>
        </w:rPr>
        <w:t xml:space="preserve">This group of stakeholders are an important group as they will often have the final say on certain high-level decisions. As such, the communication strategy needs to </w:t>
      </w:r>
      <w:r w:rsidR="000844F7">
        <w:rPr>
          <w:rFonts w:cstheme="minorHAnsi"/>
        </w:rPr>
        <w:t xml:space="preserve">be </w:t>
      </w:r>
      <w:r>
        <w:rPr>
          <w:rFonts w:cstheme="minorHAnsi"/>
        </w:rPr>
        <w:t xml:space="preserve">planned and consistent throughout the lifetime of the project. </w:t>
      </w:r>
      <w:r w:rsidR="000844F7">
        <w:rPr>
          <w:rFonts w:cstheme="minorHAnsi"/>
        </w:rPr>
        <w:t>Each stakeholder may require different frequency and type of communication. For example, I am accountable to the director of pharmacy, who may want quarterly updates on progress and delivery of objectives, whilst DHCW and DSPP only need to be aware of the project initiation and then communicated when the proof of concept project has been completed. Having an open communication plan for each stakeholder within this group will be beneficial, which can be altered at any time</w:t>
      </w:r>
      <w:r w:rsidR="003A0251">
        <w:rPr>
          <w:rFonts w:cstheme="minorHAnsi"/>
        </w:rPr>
        <w:t xml:space="preserve"> based on feedback from that stakeholder. </w:t>
      </w:r>
    </w:p>
    <w:p w14:paraId="630CCB1B" w14:textId="54885648" w:rsidR="00FF3EC6" w:rsidRDefault="00414CF3" w:rsidP="00F2104C">
      <w:pPr>
        <w:rPr>
          <w:rFonts w:cstheme="minorHAnsi"/>
        </w:rPr>
      </w:pPr>
      <w:r>
        <w:rPr>
          <w:rFonts w:cstheme="minorHAnsi"/>
        </w:rPr>
        <w:lastRenderedPageBreak/>
        <w:t>The PRINCE2 function of “manage by exception” will be a good communication plan to set with the director of Pharmacy, as he will not need to know the detail of every decision, action or progress</w:t>
      </w:r>
      <w:r w:rsidR="00312C21">
        <w:rPr>
          <w:rFonts w:cstheme="minorHAnsi"/>
        </w:rPr>
        <w:t>,</w:t>
      </w:r>
      <w:r>
        <w:rPr>
          <w:rFonts w:cstheme="minorHAnsi"/>
        </w:rPr>
        <w:t xml:space="preserve"> but will want to know if set tolerances within the project are broken (Bentley, 2010). </w:t>
      </w:r>
    </w:p>
    <w:p w14:paraId="31FCBCC4" w14:textId="77777777" w:rsidR="00414CF3" w:rsidRDefault="00414CF3" w:rsidP="00F2104C">
      <w:pPr>
        <w:rPr>
          <w:rFonts w:cstheme="minorHAnsi"/>
        </w:rPr>
      </w:pPr>
    </w:p>
    <w:p w14:paraId="4A4643AC" w14:textId="561ACD9F" w:rsidR="00FF3EC6" w:rsidRPr="00414CF3" w:rsidRDefault="00414CF3" w:rsidP="00F2104C">
      <w:pPr>
        <w:rPr>
          <w:rFonts w:cstheme="minorHAnsi"/>
          <w:i/>
          <w:iCs/>
        </w:rPr>
      </w:pPr>
      <w:r w:rsidRPr="00414CF3">
        <w:rPr>
          <w:rFonts w:cstheme="minorHAnsi"/>
          <w:i/>
          <w:iCs/>
        </w:rPr>
        <w:t>Decision Making</w:t>
      </w:r>
    </w:p>
    <w:p w14:paraId="544A155A" w14:textId="69D820FF" w:rsidR="00ED4288" w:rsidRDefault="00782DAA" w:rsidP="00F2104C">
      <w:pPr>
        <w:rPr>
          <w:rFonts w:cstheme="minorHAnsi"/>
        </w:rPr>
      </w:pPr>
      <w:r>
        <w:rPr>
          <w:rFonts w:cstheme="minorHAnsi"/>
        </w:rPr>
        <w:t xml:space="preserve">I have discussed how stakeholders or groups of stakeholders should be involved in making key decisions. </w:t>
      </w:r>
      <w:r w:rsidR="00312C21">
        <w:rPr>
          <w:rFonts w:cstheme="minorHAnsi"/>
        </w:rPr>
        <w:t>T</w:t>
      </w:r>
      <w:r>
        <w:rPr>
          <w:rFonts w:cstheme="minorHAnsi"/>
        </w:rPr>
        <w:t>he dynamic</w:t>
      </w:r>
      <w:r w:rsidR="00312C21">
        <w:rPr>
          <w:rFonts w:cstheme="minorHAnsi"/>
        </w:rPr>
        <w:t>, however,</w:t>
      </w:r>
      <w:r>
        <w:rPr>
          <w:rFonts w:cstheme="minorHAnsi"/>
        </w:rPr>
        <w:t xml:space="preserve"> of how </w:t>
      </w:r>
      <w:r w:rsidR="00312C21">
        <w:rPr>
          <w:rFonts w:cstheme="minorHAnsi"/>
        </w:rPr>
        <w:t xml:space="preserve">decisions </w:t>
      </w:r>
      <w:r>
        <w:rPr>
          <w:rFonts w:cstheme="minorHAnsi"/>
        </w:rPr>
        <w:t>are made in groups can be of concern.</w:t>
      </w:r>
      <w:r w:rsidR="00312C21">
        <w:rPr>
          <w:rFonts w:cstheme="minorHAnsi"/>
        </w:rPr>
        <w:t xml:space="preserve"> </w:t>
      </w:r>
      <w:r w:rsidR="00A6461E">
        <w:rPr>
          <w:rFonts w:cstheme="minorHAnsi"/>
        </w:rPr>
        <w:t xml:space="preserve">“Groupthink” is a term used to express the hastily made decisions of cohesive groups, without benefiting from due critique or differing of </w:t>
      </w:r>
      <w:r w:rsidR="00414CF3">
        <w:rPr>
          <w:rFonts w:cstheme="minorHAnsi"/>
        </w:rPr>
        <w:t>opinions</w:t>
      </w:r>
      <w:r w:rsidR="00A6461E">
        <w:rPr>
          <w:rFonts w:cstheme="minorHAnsi"/>
        </w:rPr>
        <w:t>.</w:t>
      </w:r>
      <w:r w:rsidR="00312C21">
        <w:rPr>
          <w:rFonts w:cstheme="minorHAnsi"/>
        </w:rPr>
        <w:t xml:space="preserve"> </w:t>
      </w:r>
      <w:r w:rsidR="00ED4288">
        <w:rPr>
          <w:rFonts w:cstheme="minorHAnsi"/>
        </w:rPr>
        <w:t>An environment needs to be established where views can be expressed openly and disagreements can be made</w:t>
      </w:r>
      <w:r w:rsidR="00481C71">
        <w:rPr>
          <w:rFonts w:cstheme="minorHAnsi"/>
        </w:rPr>
        <w:t xml:space="preserve"> (</w:t>
      </w:r>
      <w:proofErr w:type="spellStart"/>
      <w:r w:rsidR="00481C71">
        <w:rPr>
          <w:rFonts w:cstheme="minorHAnsi"/>
        </w:rPr>
        <w:t>Heffern</w:t>
      </w:r>
      <w:proofErr w:type="spellEnd"/>
      <w:r w:rsidR="00481C71">
        <w:rPr>
          <w:rFonts w:cstheme="minorHAnsi"/>
        </w:rPr>
        <w:t>, 2020)</w:t>
      </w:r>
      <w:r w:rsidR="00ED4288">
        <w:rPr>
          <w:rFonts w:cstheme="minorHAnsi"/>
        </w:rPr>
        <w:t xml:space="preserve">. </w:t>
      </w:r>
      <w:r w:rsidR="00537E72">
        <w:rPr>
          <w:rFonts w:cstheme="minorHAnsi"/>
        </w:rPr>
        <w:t xml:space="preserve">Ensuring that group or team engagement is multi-disciplinary also helps minimise potential partisan risks, ensuring individuals represent different experiences and perspectives to help the power and efficacy of the project (Hall </w:t>
      </w:r>
      <w:r w:rsidR="00537E72">
        <w:rPr>
          <w:rFonts w:cstheme="minorHAnsi"/>
          <w:i/>
        </w:rPr>
        <w:t xml:space="preserve">et al. </w:t>
      </w:r>
      <w:r w:rsidR="00537E72">
        <w:rPr>
          <w:rFonts w:cstheme="minorHAnsi"/>
        </w:rPr>
        <w:t xml:space="preserve">2018). </w:t>
      </w:r>
      <w:r w:rsidR="00ED4288">
        <w:rPr>
          <w:rFonts w:cstheme="minorHAnsi"/>
        </w:rPr>
        <w:t>The wider picture of climate change can be an emotive subject (</w:t>
      </w:r>
      <w:r w:rsidR="00312C21">
        <w:rPr>
          <w:rFonts w:cstheme="minorHAnsi"/>
        </w:rPr>
        <w:t xml:space="preserve">Davidson and </w:t>
      </w:r>
      <w:proofErr w:type="spellStart"/>
      <w:r w:rsidR="00312C21">
        <w:rPr>
          <w:rFonts w:cstheme="minorHAnsi"/>
        </w:rPr>
        <w:t>Kecinski</w:t>
      </w:r>
      <w:proofErr w:type="spellEnd"/>
      <w:r w:rsidR="00312C21">
        <w:rPr>
          <w:rFonts w:cstheme="minorHAnsi"/>
        </w:rPr>
        <w:t>, 2022</w:t>
      </w:r>
      <w:r w:rsidR="00ED4288">
        <w:rPr>
          <w:rFonts w:cstheme="minorHAnsi"/>
        </w:rPr>
        <w:t xml:space="preserve">), which can prevent individuals from voicing concerns; believing they will be viewed negatively be colleagues. </w:t>
      </w:r>
      <w:r>
        <w:rPr>
          <w:rFonts w:cstheme="minorHAnsi"/>
        </w:rPr>
        <w:t>I have utilised, within a pharmacist only team, a technique of appointing a rotating devil’s advocate within meetings, ensuring that decisions haven’t been made li</w:t>
      </w:r>
      <w:r w:rsidR="00312C21">
        <w:rPr>
          <w:rFonts w:cstheme="minorHAnsi"/>
        </w:rPr>
        <w:t>ghtly,</w:t>
      </w:r>
      <w:r>
        <w:rPr>
          <w:rFonts w:cstheme="minorHAnsi"/>
        </w:rPr>
        <w:t xml:space="preserve"> and that decision making stands up to reasonable scrutiny. This technique helped ensure that decisions are not made prematurely within a group of people who have the same healthcare role. I will utilise this technique within some stakeholder engagement events if the multi-disciplinary groups do not</w:t>
      </w:r>
      <w:r w:rsidR="00A6461E">
        <w:rPr>
          <w:rFonts w:cstheme="minorHAnsi"/>
        </w:rPr>
        <w:t xml:space="preserve"> feel like they can openly criticise or dispute decisions. </w:t>
      </w:r>
      <w:r w:rsidR="00322202">
        <w:rPr>
          <w:rFonts w:cstheme="minorHAnsi"/>
        </w:rPr>
        <w:t xml:space="preserve">Decisions within groups will be made based on consensus once differing views are heard and critiqued. </w:t>
      </w:r>
    </w:p>
    <w:p w14:paraId="02E7A51F" w14:textId="0BB64B51" w:rsidR="00B613F7" w:rsidRPr="00B613F7" w:rsidRDefault="00B613F7" w:rsidP="00F2104C">
      <w:pPr>
        <w:rPr>
          <w:rFonts w:cstheme="minorHAnsi"/>
          <w:b/>
        </w:rPr>
      </w:pPr>
    </w:p>
    <w:p w14:paraId="6B74069E" w14:textId="4BA89792" w:rsidR="00B613F7" w:rsidRPr="00B613F7" w:rsidRDefault="00B613F7" w:rsidP="00F2104C">
      <w:pPr>
        <w:rPr>
          <w:rFonts w:cstheme="minorHAnsi"/>
          <w:b/>
        </w:rPr>
      </w:pPr>
      <w:r w:rsidRPr="00B613F7">
        <w:rPr>
          <w:rFonts w:cstheme="minorHAnsi"/>
          <w:b/>
        </w:rPr>
        <w:t>Conclusion</w:t>
      </w:r>
    </w:p>
    <w:p w14:paraId="1DCBA192" w14:textId="39820297" w:rsidR="00B613F7" w:rsidRDefault="00322202" w:rsidP="00F2104C">
      <w:pPr>
        <w:rPr>
          <w:rFonts w:cstheme="minorHAnsi"/>
        </w:rPr>
      </w:pPr>
      <w:r>
        <w:rPr>
          <w:rFonts w:cstheme="minorHAnsi"/>
        </w:rPr>
        <w:t xml:space="preserve">This essay sets out a stakeholder engagement outline, with critical reflections. Stakeholder management and engagement is essential for the optimal management of a project.  It is likely that the engagement process will have to be adaptive and change depending on the stage and progress of the project. </w:t>
      </w:r>
    </w:p>
    <w:p w14:paraId="245EE764" w14:textId="77777777" w:rsidR="00B613F7" w:rsidRPr="00B613F7" w:rsidRDefault="00B613F7" w:rsidP="00F2104C">
      <w:pPr>
        <w:rPr>
          <w:rFonts w:cstheme="minorHAnsi"/>
        </w:rPr>
      </w:pPr>
    </w:p>
    <w:p w14:paraId="167CC758" w14:textId="1A082EB5" w:rsidR="00293AB8" w:rsidRPr="00B613F7" w:rsidRDefault="00293AB8" w:rsidP="00F2104C">
      <w:pPr>
        <w:rPr>
          <w:rFonts w:cstheme="minorHAnsi"/>
          <w:b/>
        </w:rPr>
      </w:pPr>
      <w:r w:rsidRPr="00B613F7">
        <w:rPr>
          <w:rFonts w:cstheme="minorHAnsi"/>
          <w:b/>
        </w:rPr>
        <w:t>References</w:t>
      </w:r>
    </w:p>
    <w:p w14:paraId="46F488A1" w14:textId="14FFD450" w:rsidR="00CC7709" w:rsidRPr="00414CF3" w:rsidRDefault="004F59DA" w:rsidP="00F2104C">
      <w:pPr>
        <w:rPr>
          <w:rFonts w:cstheme="minorHAnsi"/>
          <w:sz w:val="20"/>
          <w:szCs w:val="20"/>
          <w:shd w:val="clear" w:color="auto" w:fill="FFFFFF"/>
        </w:rPr>
      </w:pPr>
      <w:r w:rsidRPr="00414CF3">
        <w:rPr>
          <w:rFonts w:cstheme="minorHAnsi"/>
          <w:sz w:val="20"/>
          <w:szCs w:val="20"/>
          <w:shd w:val="clear" w:color="auto" w:fill="FFFFFF"/>
        </w:rPr>
        <w:t>A</w:t>
      </w:r>
      <w:r w:rsidR="00CC7709" w:rsidRPr="00414CF3">
        <w:rPr>
          <w:rFonts w:cstheme="minorHAnsi"/>
          <w:sz w:val="20"/>
          <w:szCs w:val="20"/>
          <w:shd w:val="clear" w:color="auto" w:fill="FFFFFF"/>
        </w:rPr>
        <w:t>beles, A.T. </w:t>
      </w:r>
      <w:r w:rsidR="00CC7709" w:rsidRPr="00414CF3">
        <w:rPr>
          <w:rFonts w:cstheme="minorHAnsi"/>
          <w:i/>
          <w:iCs/>
          <w:sz w:val="20"/>
          <w:szCs w:val="20"/>
          <w:shd w:val="clear" w:color="auto" w:fill="FFFFFF"/>
        </w:rPr>
        <w:t>et al.</w:t>
      </w:r>
      <w:r w:rsidR="00CC7709" w:rsidRPr="00414CF3">
        <w:rPr>
          <w:rFonts w:cstheme="minorHAnsi"/>
          <w:sz w:val="20"/>
          <w:szCs w:val="20"/>
          <w:shd w:val="clear" w:color="auto" w:fill="FFFFFF"/>
        </w:rPr>
        <w:t> (2019) ‘Perception of public opinion on global warming and the role of opinion deviance’, </w:t>
      </w:r>
      <w:r w:rsidR="00CC7709" w:rsidRPr="00414CF3">
        <w:rPr>
          <w:rFonts w:cstheme="minorHAnsi"/>
          <w:i/>
          <w:iCs/>
          <w:sz w:val="20"/>
          <w:szCs w:val="20"/>
          <w:shd w:val="clear" w:color="auto" w:fill="FFFFFF"/>
        </w:rPr>
        <w:t>Journal of environmental psychology</w:t>
      </w:r>
      <w:r w:rsidR="00CC7709" w:rsidRPr="00414CF3">
        <w:rPr>
          <w:rFonts w:cstheme="minorHAnsi"/>
          <w:sz w:val="20"/>
          <w:szCs w:val="20"/>
          <w:shd w:val="clear" w:color="auto" w:fill="FFFFFF"/>
        </w:rPr>
        <w:t>, 63, pp. 118–129.</w:t>
      </w:r>
    </w:p>
    <w:p w14:paraId="0740C0B6" w14:textId="11563D46" w:rsidR="00414CF3" w:rsidRPr="00312C21" w:rsidRDefault="00414CF3" w:rsidP="00414CF3">
      <w:pPr>
        <w:spacing w:after="0" w:line="240" w:lineRule="auto"/>
        <w:rPr>
          <w:rFonts w:eastAsia="Times New Roman" w:cstheme="minorHAnsi"/>
          <w:color w:val="000000" w:themeColor="text1"/>
          <w:sz w:val="20"/>
          <w:szCs w:val="20"/>
          <w:shd w:val="clear" w:color="auto" w:fill="FFFFFF"/>
          <w:lang w:eastAsia="en-GB"/>
        </w:rPr>
      </w:pPr>
      <w:r w:rsidRPr="00414CF3">
        <w:rPr>
          <w:rFonts w:eastAsia="Times New Roman" w:cstheme="minorHAnsi"/>
          <w:color w:val="000000" w:themeColor="text1"/>
          <w:sz w:val="20"/>
          <w:szCs w:val="20"/>
          <w:shd w:val="clear" w:color="auto" w:fill="FFFFFF"/>
          <w:lang w:eastAsia="en-GB"/>
        </w:rPr>
        <w:t>Ahluwalia, S.C. </w:t>
      </w:r>
      <w:r w:rsidRPr="00414CF3">
        <w:rPr>
          <w:rFonts w:eastAsia="Times New Roman" w:cstheme="minorHAnsi"/>
          <w:i/>
          <w:iCs/>
          <w:color w:val="000000" w:themeColor="text1"/>
          <w:sz w:val="20"/>
          <w:szCs w:val="20"/>
          <w:shd w:val="clear" w:color="auto" w:fill="FFFFFF"/>
          <w:lang w:eastAsia="en-GB"/>
        </w:rPr>
        <w:t>et al.</w:t>
      </w:r>
      <w:r w:rsidRPr="00414CF3">
        <w:rPr>
          <w:rFonts w:eastAsia="Times New Roman" w:cstheme="minorHAnsi"/>
          <w:color w:val="000000" w:themeColor="text1"/>
          <w:sz w:val="20"/>
          <w:szCs w:val="20"/>
          <w:shd w:val="clear" w:color="auto" w:fill="FFFFFF"/>
          <w:lang w:eastAsia="en-GB"/>
        </w:rPr>
        <w:t> (2021) ‘Trust in experts, not trust in national leadership, leads to greater uptake of recommended actions during the COVID‐19 pandemic’, </w:t>
      </w:r>
      <w:r w:rsidRPr="00414CF3">
        <w:rPr>
          <w:rFonts w:eastAsia="Times New Roman" w:cstheme="minorHAnsi"/>
          <w:i/>
          <w:iCs/>
          <w:color w:val="000000" w:themeColor="text1"/>
          <w:sz w:val="20"/>
          <w:szCs w:val="20"/>
          <w:shd w:val="clear" w:color="auto" w:fill="FFFFFF"/>
          <w:lang w:eastAsia="en-GB"/>
        </w:rPr>
        <w:t>Risk, hazards &amp; crisis in public policy</w:t>
      </w:r>
      <w:r w:rsidRPr="00414CF3">
        <w:rPr>
          <w:rFonts w:eastAsia="Times New Roman" w:cstheme="minorHAnsi"/>
          <w:color w:val="000000" w:themeColor="text1"/>
          <w:sz w:val="20"/>
          <w:szCs w:val="20"/>
          <w:shd w:val="clear" w:color="auto" w:fill="FFFFFF"/>
          <w:lang w:eastAsia="en-GB"/>
        </w:rPr>
        <w:t>, 12(3), pp. 283–302. </w:t>
      </w:r>
    </w:p>
    <w:p w14:paraId="34796FDC" w14:textId="31C52510" w:rsidR="00414CF3" w:rsidRPr="00312C21" w:rsidRDefault="00414CF3" w:rsidP="00414CF3">
      <w:pPr>
        <w:spacing w:after="0" w:line="240" w:lineRule="auto"/>
        <w:rPr>
          <w:rFonts w:eastAsia="Times New Roman" w:cstheme="minorHAnsi"/>
          <w:color w:val="000000" w:themeColor="text1"/>
          <w:sz w:val="20"/>
          <w:szCs w:val="20"/>
          <w:shd w:val="clear" w:color="auto" w:fill="FFFFFF"/>
          <w:lang w:eastAsia="en-GB"/>
        </w:rPr>
      </w:pPr>
    </w:p>
    <w:p w14:paraId="732B9DFE" w14:textId="27511C88" w:rsidR="00414CF3" w:rsidRPr="00312C21" w:rsidRDefault="00414CF3" w:rsidP="00414CF3">
      <w:pPr>
        <w:spacing w:after="0" w:line="240" w:lineRule="auto"/>
        <w:rPr>
          <w:rFonts w:eastAsia="Times New Roman" w:cstheme="minorHAnsi"/>
          <w:color w:val="000000" w:themeColor="text1"/>
          <w:sz w:val="20"/>
          <w:szCs w:val="20"/>
          <w:lang w:eastAsia="en-GB"/>
        </w:rPr>
      </w:pPr>
      <w:r w:rsidRPr="00414CF3">
        <w:rPr>
          <w:rFonts w:eastAsia="Times New Roman" w:cstheme="minorHAnsi"/>
          <w:color w:val="000000" w:themeColor="text1"/>
          <w:sz w:val="20"/>
          <w:szCs w:val="20"/>
          <w:shd w:val="clear" w:color="auto" w:fill="FFFFFF"/>
          <w:lang w:eastAsia="en-GB"/>
        </w:rPr>
        <w:t>Bentley, C. (2010) </w:t>
      </w:r>
      <w:r w:rsidRPr="00414CF3">
        <w:rPr>
          <w:rFonts w:eastAsia="Times New Roman" w:cstheme="minorHAnsi"/>
          <w:i/>
          <w:iCs/>
          <w:color w:val="000000" w:themeColor="text1"/>
          <w:sz w:val="20"/>
          <w:szCs w:val="20"/>
          <w:shd w:val="clear" w:color="auto" w:fill="FFFFFF"/>
          <w:lang w:eastAsia="en-GB"/>
        </w:rPr>
        <w:t>PRINCE2 a practical handbook</w:t>
      </w:r>
      <w:r w:rsidRPr="00414CF3">
        <w:rPr>
          <w:rFonts w:eastAsia="Times New Roman" w:cstheme="minorHAnsi"/>
          <w:color w:val="000000" w:themeColor="text1"/>
          <w:sz w:val="20"/>
          <w:szCs w:val="20"/>
          <w:shd w:val="clear" w:color="auto" w:fill="FFFFFF"/>
          <w:lang w:eastAsia="en-GB"/>
        </w:rPr>
        <w:t>. 3rd ed. Amsterdam: Elsevier/Butterworth-Heinemann.</w:t>
      </w:r>
    </w:p>
    <w:p w14:paraId="57EE0406" w14:textId="77777777" w:rsidR="00414CF3" w:rsidRPr="00414CF3" w:rsidRDefault="00414CF3" w:rsidP="00414CF3">
      <w:pPr>
        <w:spacing w:after="0" w:line="240" w:lineRule="auto"/>
        <w:rPr>
          <w:rFonts w:eastAsia="Times New Roman" w:cstheme="minorHAnsi"/>
          <w:sz w:val="20"/>
          <w:szCs w:val="20"/>
          <w:lang w:eastAsia="en-GB"/>
        </w:rPr>
      </w:pPr>
    </w:p>
    <w:p w14:paraId="4BF844D9" w14:textId="1058D5E6" w:rsidR="00293AB8" w:rsidRPr="00414CF3" w:rsidRDefault="00293AB8" w:rsidP="00293AB8">
      <w:pPr>
        <w:rPr>
          <w:rFonts w:cstheme="minorHAnsi"/>
          <w:sz w:val="20"/>
          <w:szCs w:val="20"/>
        </w:rPr>
      </w:pPr>
      <w:r w:rsidRPr="00414CF3">
        <w:rPr>
          <w:rFonts w:cstheme="minorHAnsi"/>
          <w:sz w:val="20"/>
          <w:szCs w:val="20"/>
        </w:rPr>
        <w:t xml:space="preserve">Carbon Trust. (2021) ‘NHS Wales Decarbonisation Strategic Delivery Plan’, </w:t>
      </w:r>
      <w:r w:rsidRPr="00414CF3">
        <w:rPr>
          <w:rFonts w:cstheme="minorHAnsi"/>
          <w:i/>
          <w:sz w:val="20"/>
          <w:szCs w:val="20"/>
        </w:rPr>
        <w:t xml:space="preserve">NHS Wales Shared Services Partnership. </w:t>
      </w:r>
      <w:r w:rsidRPr="00414CF3">
        <w:rPr>
          <w:rFonts w:cstheme="minorHAnsi"/>
          <w:sz w:val="20"/>
          <w:szCs w:val="20"/>
        </w:rPr>
        <w:t xml:space="preserve">Available at: </w:t>
      </w:r>
      <w:hyperlink r:id="rId5" w:history="1">
        <w:r w:rsidRPr="00414CF3">
          <w:rPr>
            <w:rStyle w:val="Hyperlink"/>
            <w:rFonts w:cstheme="minorHAnsi"/>
            <w:color w:val="auto"/>
            <w:sz w:val="20"/>
            <w:szCs w:val="20"/>
          </w:rPr>
          <w:t>https://gov.wales/sites/default/files/publications/2021-03/nhs-wales-decarbonisation-strategic-delivery-plan-2021-2030-summary.pdf</w:t>
        </w:r>
      </w:hyperlink>
      <w:r w:rsidRPr="00414CF3">
        <w:rPr>
          <w:rFonts w:cstheme="minorHAnsi"/>
          <w:sz w:val="20"/>
          <w:szCs w:val="20"/>
        </w:rPr>
        <w:t xml:space="preserve"> </w:t>
      </w:r>
    </w:p>
    <w:p w14:paraId="3B12A2CF" w14:textId="340CEA47" w:rsidR="00322202" w:rsidRDefault="00322202" w:rsidP="00293AB8">
      <w:pPr>
        <w:rPr>
          <w:rFonts w:cstheme="minorHAnsi"/>
          <w:sz w:val="20"/>
          <w:szCs w:val="20"/>
          <w:shd w:val="clear" w:color="auto" w:fill="FFFFFF"/>
        </w:rPr>
      </w:pPr>
      <w:r w:rsidRPr="00414CF3">
        <w:rPr>
          <w:rFonts w:cstheme="minorHAnsi"/>
          <w:sz w:val="20"/>
          <w:szCs w:val="20"/>
          <w:shd w:val="clear" w:color="auto" w:fill="FFFFFF"/>
        </w:rPr>
        <w:t>Coulter, A. (2002) ‘Involving patients: representation or representativeness?’, </w:t>
      </w:r>
      <w:r w:rsidRPr="00414CF3">
        <w:rPr>
          <w:rFonts w:cstheme="minorHAnsi"/>
          <w:i/>
          <w:iCs/>
          <w:sz w:val="20"/>
          <w:szCs w:val="20"/>
          <w:shd w:val="clear" w:color="auto" w:fill="FFFFFF"/>
        </w:rPr>
        <w:t xml:space="preserve">Health </w:t>
      </w:r>
      <w:proofErr w:type="gramStart"/>
      <w:r w:rsidRPr="00414CF3">
        <w:rPr>
          <w:rFonts w:cstheme="minorHAnsi"/>
          <w:i/>
          <w:iCs/>
          <w:sz w:val="20"/>
          <w:szCs w:val="20"/>
          <w:shd w:val="clear" w:color="auto" w:fill="FFFFFF"/>
        </w:rPr>
        <w:t>expectations :</w:t>
      </w:r>
      <w:proofErr w:type="gramEnd"/>
      <w:r w:rsidRPr="00414CF3">
        <w:rPr>
          <w:rFonts w:cstheme="minorHAnsi"/>
          <w:i/>
          <w:iCs/>
          <w:sz w:val="20"/>
          <w:szCs w:val="20"/>
          <w:shd w:val="clear" w:color="auto" w:fill="FFFFFF"/>
        </w:rPr>
        <w:t xml:space="preserve"> an international journal of public participation in health care and health policy</w:t>
      </w:r>
      <w:r w:rsidRPr="00414CF3">
        <w:rPr>
          <w:rFonts w:cstheme="minorHAnsi"/>
          <w:sz w:val="20"/>
          <w:szCs w:val="20"/>
          <w:shd w:val="clear" w:color="auto" w:fill="FFFFFF"/>
        </w:rPr>
        <w:t>, 5(1), pp. 1–1</w:t>
      </w:r>
      <w:r w:rsidR="00312C21">
        <w:rPr>
          <w:rFonts w:cstheme="minorHAnsi"/>
          <w:sz w:val="20"/>
          <w:szCs w:val="20"/>
          <w:shd w:val="clear" w:color="auto" w:fill="FFFFFF"/>
        </w:rPr>
        <w:t>.</w:t>
      </w:r>
    </w:p>
    <w:p w14:paraId="0576A7B8" w14:textId="77777777" w:rsidR="00312C21" w:rsidRPr="00312C21" w:rsidRDefault="00312C21" w:rsidP="00312C21">
      <w:pPr>
        <w:spacing w:after="0" w:line="240" w:lineRule="auto"/>
        <w:rPr>
          <w:rFonts w:eastAsia="Times New Roman" w:cstheme="minorHAnsi"/>
          <w:color w:val="000000" w:themeColor="text1"/>
          <w:sz w:val="20"/>
          <w:szCs w:val="20"/>
          <w:lang w:eastAsia="en-GB"/>
        </w:rPr>
      </w:pPr>
      <w:r w:rsidRPr="00312C21">
        <w:rPr>
          <w:rFonts w:eastAsia="Times New Roman" w:cstheme="minorHAnsi"/>
          <w:color w:val="000000" w:themeColor="text1"/>
          <w:sz w:val="20"/>
          <w:szCs w:val="20"/>
          <w:shd w:val="clear" w:color="auto" w:fill="FFFFFF"/>
          <w:lang w:eastAsia="en-GB"/>
        </w:rPr>
        <w:lastRenderedPageBreak/>
        <w:t xml:space="preserve">Davidson, D.J. and </w:t>
      </w:r>
      <w:proofErr w:type="spellStart"/>
      <w:r w:rsidRPr="00312C21">
        <w:rPr>
          <w:rFonts w:eastAsia="Times New Roman" w:cstheme="minorHAnsi"/>
          <w:color w:val="000000" w:themeColor="text1"/>
          <w:sz w:val="20"/>
          <w:szCs w:val="20"/>
          <w:shd w:val="clear" w:color="auto" w:fill="FFFFFF"/>
          <w:lang w:eastAsia="en-GB"/>
        </w:rPr>
        <w:t>Kecinski</w:t>
      </w:r>
      <w:proofErr w:type="spellEnd"/>
      <w:r w:rsidRPr="00312C21">
        <w:rPr>
          <w:rFonts w:eastAsia="Times New Roman" w:cstheme="minorHAnsi"/>
          <w:color w:val="000000" w:themeColor="text1"/>
          <w:sz w:val="20"/>
          <w:szCs w:val="20"/>
          <w:shd w:val="clear" w:color="auto" w:fill="FFFFFF"/>
          <w:lang w:eastAsia="en-GB"/>
        </w:rPr>
        <w:t>, M. (2022) ‘Emotional pathways to climate change responses’, </w:t>
      </w:r>
      <w:r w:rsidRPr="00312C21">
        <w:rPr>
          <w:rFonts w:eastAsia="Times New Roman" w:cstheme="minorHAnsi"/>
          <w:i/>
          <w:iCs/>
          <w:color w:val="000000" w:themeColor="text1"/>
          <w:sz w:val="20"/>
          <w:szCs w:val="20"/>
          <w:shd w:val="clear" w:color="auto" w:fill="FFFFFF"/>
          <w:lang w:eastAsia="en-GB"/>
        </w:rPr>
        <w:t>Wiley interdisciplinary reviews. Climate change</w:t>
      </w:r>
      <w:r w:rsidRPr="00312C21">
        <w:rPr>
          <w:rFonts w:eastAsia="Times New Roman" w:cstheme="minorHAnsi"/>
          <w:color w:val="000000" w:themeColor="text1"/>
          <w:sz w:val="20"/>
          <w:szCs w:val="20"/>
          <w:shd w:val="clear" w:color="auto" w:fill="FFFFFF"/>
          <w:lang w:eastAsia="en-GB"/>
        </w:rPr>
        <w:t>, 13(2).</w:t>
      </w:r>
    </w:p>
    <w:p w14:paraId="0CC125ED" w14:textId="77777777" w:rsidR="00312C21" w:rsidRPr="00414CF3" w:rsidRDefault="00312C21" w:rsidP="00293AB8">
      <w:pPr>
        <w:rPr>
          <w:rFonts w:cstheme="minorHAnsi"/>
          <w:sz w:val="20"/>
          <w:szCs w:val="20"/>
        </w:rPr>
      </w:pPr>
    </w:p>
    <w:p w14:paraId="41B02C0E" w14:textId="79348691" w:rsidR="00CD261A" w:rsidRPr="00414CF3" w:rsidRDefault="00CD261A" w:rsidP="00293AB8">
      <w:pPr>
        <w:rPr>
          <w:rFonts w:cstheme="minorHAnsi"/>
          <w:i/>
          <w:sz w:val="20"/>
          <w:szCs w:val="20"/>
        </w:rPr>
      </w:pPr>
      <w:r w:rsidRPr="00414CF3">
        <w:rPr>
          <w:rFonts w:cstheme="minorHAnsi"/>
          <w:sz w:val="20"/>
          <w:szCs w:val="20"/>
        </w:rPr>
        <w:t xml:space="preserve">Department for Business Innovation &amp; Skills. (2012) ‘Moving to Employee Ownership, A Brief Guide for Employees’, </w:t>
      </w:r>
      <w:r w:rsidRPr="00414CF3">
        <w:rPr>
          <w:rFonts w:cstheme="minorHAnsi"/>
          <w:i/>
          <w:sz w:val="20"/>
          <w:szCs w:val="20"/>
        </w:rPr>
        <w:t xml:space="preserve">UK Government. </w:t>
      </w:r>
    </w:p>
    <w:p w14:paraId="3F2AFB56" w14:textId="04536C3D" w:rsidR="005924DC" w:rsidRPr="00414CF3" w:rsidRDefault="005924DC" w:rsidP="00293AB8">
      <w:pPr>
        <w:rPr>
          <w:rFonts w:cstheme="minorHAnsi"/>
          <w:sz w:val="20"/>
          <w:szCs w:val="20"/>
        </w:rPr>
      </w:pPr>
      <w:r w:rsidRPr="00414CF3">
        <w:rPr>
          <w:rFonts w:cstheme="minorHAnsi"/>
          <w:sz w:val="20"/>
          <w:szCs w:val="20"/>
        </w:rPr>
        <w:t xml:space="preserve">East London NHS Trust. (2019) ‘Stakeholder Mapping’, </w:t>
      </w:r>
      <w:r w:rsidRPr="00414CF3">
        <w:rPr>
          <w:rFonts w:cstheme="minorHAnsi"/>
          <w:i/>
          <w:sz w:val="20"/>
          <w:szCs w:val="20"/>
        </w:rPr>
        <w:t xml:space="preserve">East London NHS trust. </w:t>
      </w:r>
      <w:r w:rsidRPr="00414CF3">
        <w:rPr>
          <w:rFonts w:cstheme="minorHAnsi"/>
          <w:sz w:val="20"/>
          <w:szCs w:val="20"/>
        </w:rPr>
        <w:t xml:space="preserve">Available at: </w:t>
      </w:r>
      <w:hyperlink r:id="rId6" w:history="1">
        <w:r w:rsidRPr="00414CF3">
          <w:rPr>
            <w:rStyle w:val="Hyperlink"/>
            <w:rFonts w:cstheme="minorHAnsi"/>
            <w:color w:val="auto"/>
            <w:sz w:val="20"/>
            <w:szCs w:val="20"/>
          </w:rPr>
          <w:t>https://qi.elft.nhs.uk/wp-content/uploads/2019/11/2.-Stakeholder-Mapping-Tool.pptx.pdf</w:t>
        </w:r>
      </w:hyperlink>
    </w:p>
    <w:p w14:paraId="0F6C1DD4" w14:textId="44B0F452" w:rsidR="00537E72" w:rsidRPr="00414CF3" w:rsidRDefault="00537E72" w:rsidP="00293AB8">
      <w:pPr>
        <w:rPr>
          <w:rFonts w:cstheme="minorHAnsi"/>
          <w:sz w:val="20"/>
          <w:szCs w:val="20"/>
        </w:rPr>
      </w:pPr>
      <w:r w:rsidRPr="00414CF3">
        <w:rPr>
          <w:rFonts w:cstheme="minorHAnsi"/>
          <w:sz w:val="20"/>
          <w:szCs w:val="20"/>
          <w:shd w:val="clear" w:color="auto" w:fill="FFFFFF"/>
        </w:rPr>
        <w:t>Hall, K.L. </w:t>
      </w:r>
      <w:r w:rsidRPr="00414CF3">
        <w:rPr>
          <w:rFonts w:cstheme="minorHAnsi"/>
          <w:i/>
          <w:iCs/>
          <w:sz w:val="20"/>
          <w:szCs w:val="20"/>
          <w:shd w:val="clear" w:color="auto" w:fill="FFFFFF"/>
        </w:rPr>
        <w:t>et al.</w:t>
      </w:r>
      <w:r w:rsidRPr="00414CF3">
        <w:rPr>
          <w:rFonts w:cstheme="minorHAnsi"/>
          <w:sz w:val="20"/>
          <w:szCs w:val="20"/>
          <w:shd w:val="clear" w:color="auto" w:fill="FFFFFF"/>
        </w:rPr>
        <w:t> (2018) ‘The Science of Team Science: A Review of the Empirical Evidence and Research Gaps on Collaboration in Science’, </w:t>
      </w:r>
      <w:r w:rsidRPr="00414CF3">
        <w:rPr>
          <w:rFonts w:cstheme="minorHAnsi"/>
          <w:i/>
          <w:iCs/>
          <w:sz w:val="20"/>
          <w:szCs w:val="20"/>
          <w:shd w:val="clear" w:color="auto" w:fill="FFFFFF"/>
        </w:rPr>
        <w:t>The American psychologist</w:t>
      </w:r>
      <w:r w:rsidRPr="00414CF3">
        <w:rPr>
          <w:rFonts w:cstheme="minorHAnsi"/>
          <w:sz w:val="20"/>
          <w:szCs w:val="20"/>
          <w:shd w:val="clear" w:color="auto" w:fill="FFFFFF"/>
        </w:rPr>
        <w:t>, 73(4), pp. 532–548.</w:t>
      </w:r>
    </w:p>
    <w:p w14:paraId="2FD0659B" w14:textId="5A4F3A6D" w:rsidR="00481C71" w:rsidRPr="00414CF3" w:rsidRDefault="00481C71" w:rsidP="00293AB8">
      <w:pPr>
        <w:rPr>
          <w:rFonts w:cstheme="minorHAnsi"/>
          <w:sz w:val="20"/>
          <w:szCs w:val="20"/>
          <w:shd w:val="clear" w:color="auto" w:fill="FFFFFF"/>
        </w:rPr>
      </w:pPr>
      <w:proofErr w:type="spellStart"/>
      <w:r w:rsidRPr="00414CF3">
        <w:rPr>
          <w:rFonts w:cstheme="minorHAnsi"/>
          <w:sz w:val="20"/>
          <w:szCs w:val="20"/>
          <w:shd w:val="clear" w:color="auto" w:fill="FFFFFF"/>
        </w:rPr>
        <w:t>Heffern</w:t>
      </w:r>
      <w:proofErr w:type="spellEnd"/>
      <w:r w:rsidRPr="00414CF3">
        <w:rPr>
          <w:rFonts w:cstheme="minorHAnsi"/>
          <w:sz w:val="20"/>
          <w:szCs w:val="20"/>
          <w:shd w:val="clear" w:color="auto" w:fill="FFFFFF"/>
        </w:rPr>
        <w:t>, S.J. (2020) </w:t>
      </w:r>
      <w:r w:rsidRPr="00414CF3">
        <w:rPr>
          <w:rFonts w:cstheme="minorHAnsi"/>
          <w:i/>
          <w:iCs/>
          <w:sz w:val="20"/>
          <w:szCs w:val="20"/>
          <w:shd w:val="clear" w:color="auto" w:fill="FFFFFF"/>
        </w:rPr>
        <w:t>Collaboration and Stakeholder Engagement in Healthcare Transformation</w:t>
      </w:r>
      <w:r w:rsidRPr="00414CF3">
        <w:rPr>
          <w:rFonts w:cstheme="minorHAnsi"/>
          <w:sz w:val="20"/>
          <w:szCs w:val="20"/>
          <w:shd w:val="clear" w:color="auto" w:fill="FFFFFF"/>
        </w:rPr>
        <w:t>. ProQuest Dissertations Publishing.</w:t>
      </w:r>
    </w:p>
    <w:p w14:paraId="2C814BC7" w14:textId="08D30A3A" w:rsidR="00322202" w:rsidRPr="00414CF3" w:rsidRDefault="00322202" w:rsidP="00293AB8">
      <w:pPr>
        <w:rPr>
          <w:rFonts w:cstheme="minorHAnsi"/>
          <w:sz w:val="20"/>
          <w:szCs w:val="20"/>
        </w:rPr>
      </w:pPr>
      <w:r w:rsidRPr="00414CF3">
        <w:rPr>
          <w:rFonts w:cstheme="minorHAnsi"/>
          <w:sz w:val="20"/>
          <w:szCs w:val="20"/>
          <w:shd w:val="clear" w:color="auto" w:fill="FFFFFF"/>
        </w:rPr>
        <w:t>O’Shea, A., Chambers, M. and Boaz, A. (2017) ‘Whose voices? Patient and public involvement in clinical commissioning’, </w:t>
      </w:r>
      <w:r w:rsidRPr="00414CF3">
        <w:rPr>
          <w:rFonts w:cstheme="minorHAnsi"/>
          <w:i/>
          <w:iCs/>
          <w:sz w:val="20"/>
          <w:szCs w:val="20"/>
          <w:shd w:val="clear" w:color="auto" w:fill="FFFFFF"/>
        </w:rPr>
        <w:t xml:space="preserve">Health </w:t>
      </w:r>
      <w:proofErr w:type="gramStart"/>
      <w:r w:rsidRPr="00414CF3">
        <w:rPr>
          <w:rFonts w:cstheme="minorHAnsi"/>
          <w:i/>
          <w:iCs/>
          <w:sz w:val="20"/>
          <w:szCs w:val="20"/>
          <w:shd w:val="clear" w:color="auto" w:fill="FFFFFF"/>
        </w:rPr>
        <w:t>expectations :</w:t>
      </w:r>
      <w:proofErr w:type="gramEnd"/>
      <w:r w:rsidRPr="00414CF3">
        <w:rPr>
          <w:rFonts w:cstheme="minorHAnsi"/>
          <w:i/>
          <w:iCs/>
          <w:sz w:val="20"/>
          <w:szCs w:val="20"/>
          <w:shd w:val="clear" w:color="auto" w:fill="FFFFFF"/>
        </w:rPr>
        <w:t xml:space="preserve"> an international journal of public participation in health care and health policy</w:t>
      </w:r>
      <w:r w:rsidRPr="00414CF3">
        <w:rPr>
          <w:rFonts w:cstheme="minorHAnsi"/>
          <w:sz w:val="20"/>
          <w:szCs w:val="20"/>
          <w:shd w:val="clear" w:color="auto" w:fill="FFFFFF"/>
        </w:rPr>
        <w:t>, 20(3), pp. 484–494.</w:t>
      </w:r>
    </w:p>
    <w:p w14:paraId="4C4D0DBE" w14:textId="77777777" w:rsidR="005924DC" w:rsidRPr="005924DC" w:rsidRDefault="005924DC" w:rsidP="00293AB8">
      <w:pPr>
        <w:rPr>
          <w:rFonts w:cstheme="minorHAnsi"/>
          <w:color w:val="000000" w:themeColor="text1"/>
          <w:sz w:val="20"/>
          <w:szCs w:val="20"/>
        </w:rPr>
      </w:pPr>
    </w:p>
    <w:p w14:paraId="0E76166C" w14:textId="77777777" w:rsidR="00293AB8" w:rsidRPr="00F2104C" w:rsidRDefault="00293AB8" w:rsidP="00F2104C">
      <w:pPr>
        <w:rPr>
          <w:rFonts w:cstheme="minorHAnsi"/>
        </w:rPr>
      </w:pPr>
    </w:p>
    <w:p w14:paraId="6346DBB0" w14:textId="77777777" w:rsidR="00F2104C" w:rsidRDefault="00F2104C" w:rsidP="00F2104C">
      <w:pPr>
        <w:rPr>
          <w:rFonts w:ascii="Arial" w:hAnsi="Arial" w:cs="Arial"/>
          <w:sz w:val="24"/>
          <w:szCs w:val="24"/>
        </w:rPr>
      </w:pPr>
    </w:p>
    <w:p w14:paraId="3066E075" w14:textId="77777777" w:rsidR="00F2104C" w:rsidRDefault="00F2104C" w:rsidP="00F2104C"/>
    <w:sectPr w:rsidR="00F21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02C58"/>
    <w:multiLevelType w:val="hybridMultilevel"/>
    <w:tmpl w:val="1B84EA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B7C3CAC"/>
    <w:multiLevelType w:val="hybridMultilevel"/>
    <w:tmpl w:val="99DC2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18755C"/>
    <w:multiLevelType w:val="hybridMultilevel"/>
    <w:tmpl w:val="40348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04C"/>
    <w:rsid w:val="00030752"/>
    <w:rsid w:val="000844F7"/>
    <w:rsid w:val="000A372B"/>
    <w:rsid w:val="00155BFE"/>
    <w:rsid w:val="00254209"/>
    <w:rsid w:val="00293AB8"/>
    <w:rsid w:val="002D7702"/>
    <w:rsid w:val="00304447"/>
    <w:rsid w:val="00312C21"/>
    <w:rsid w:val="00322202"/>
    <w:rsid w:val="00395DE3"/>
    <w:rsid w:val="003A0251"/>
    <w:rsid w:val="00414CF3"/>
    <w:rsid w:val="00477E3E"/>
    <w:rsid w:val="00481C71"/>
    <w:rsid w:val="004F0BD1"/>
    <w:rsid w:val="004F59DA"/>
    <w:rsid w:val="00537E72"/>
    <w:rsid w:val="005924DC"/>
    <w:rsid w:val="00624030"/>
    <w:rsid w:val="00732C6D"/>
    <w:rsid w:val="00782DAA"/>
    <w:rsid w:val="007C0FE5"/>
    <w:rsid w:val="009460C5"/>
    <w:rsid w:val="0096764C"/>
    <w:rsid w:val="00A0075B"/>
    <w:rsid w:val="00A10603"/>
    <w:rsid w:val="00A6461E"/>
    <w:rsid w:val="00B03AB7"/>
    <w:rsid w:val="00B539A5"/>
    <w:rsid w:val="00B613F7"/>
    <w:rsid w:val="00B870C7"/>
    <w:rsid w:val="00BD0817"/>
    <w:rsid w:val="00CC2B07"/>
    <w:rsid w:val="00CC7709"/>
    <w:rsid w:val="00CD261A"/>
    <w:rsid w:val="00D2165E"/>
    <w:rsid w:val="00E23C53"/>
    <w:rsid w:val="00E33FFC"/>
    <w:rsid w:val="00ED4288"/>
    <w:rsid w:val="00F2104C"/>
    <w:rsid w:val="00F40FEE"/>
    <w:rsid w:val="00F83535"/>
    <w:rsid w:val="00FF3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54304"/>
  <w15:chartTrackingRefBased/>
  <w15:docId w15:val="{5703FC6D-E590-4C2D-9A11-235F22C64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104C"/>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93AB8"/>
    <w:rPr>
      <w:color w:val="0000FF"/>
      <w:u w:val="single"/>
    </w:rPr>
  </w:style>
  <w:style w:type="character" w:styleId="CommentReference">
    <w:name w:val="annotation reference"/>
    <w:basedOn w:val="DefaultParagraphFont"/>
    <w:uiPriority w:val="99"/>
    <w:semiHidden/>
    <w:unhideWhenUsed/>
    <w:rsid w:val="00BD0817"/>
    <w:rPr>
      <w:sz w:val="16"/>
      <w:szCs w:val="16"/>
    </w:rPr>
  </w:style>
  <w:style w:type="paragraph" w:styleId="CommentText">
    <w:name w:val="annotation text"/>
    <w:basedOn w:val="Normal"/>
    <w:link w:val="CommentTextChar"/>
    <w:uiPriority w:val="99"/>
    <w:semiHidden/>
    <w:unhideWhenUsed/>
    <w:rsid w:val="00BD0817"/>
    <w:pPr>
      <w:spacing w:line="240" w:lineRule="auto"/>
    </w:pPr>
    <w:rPr>
      <w:sz w:val="20"/>
      <w:szCs w:val="20"/>
    </w:rPr>
  </w:style>
  <w:style w:type="character" w:customStyle="1" w:styleId="CommentTextChar">
    <w:name w:val="Comment Text Char"/>
    <w:basedOn w:val="DefaultParagraphFont"/>
    <w:link w:val="CommentText"/>
    <w:uiPriority w:val="99"/>
    <w:semiHidden/>
    <w:rsid w:val="00BD0817"/>
    <w:rPr>
      <w:sz w:val="20"/>
      <w:szCs w:val="20"/>
    </w:rPr>
  </w:style>
  <w:style w:type="paragraph" w:styleId="CommentSubject">
    <w:name w:val="annotation subject"/>
    <w:basedOn w:val="CommentText"/>
    <w:next w:val="CommentText"/>
    <w:link w:val="CommentSubjectChar"/>
    <w:uiPriority w:val="99"/>
    <w:semiHidden/>
    <w:unhideWhenUsed/>
    <w:rsid w:val="00BD0817"/>
    <w:rPr>
      <w:b/>
      <w:bCs/>
    </w:rPr>
  </w:style>
  <w:style w:type="character" w:customStyle="1" w:styleId="CommentSubjectChar">
    <w:name w:val="Comment Subject Char"/>
    <w:basedOn w:val="CommentTextChar"/>
    <w:link w:val="CommentSubject"/>
    <w:uiPriority w:val="99"/>
    <w:semiHidden/>
    <w:rsid w:val="00BD0817"/>
    <w:rPr>
      <w:b/>
      <w:bCs/>
      <w:sz w:val="20"/>
      <w:szCs w:val="20"/>
    </w:rPr>
  </w:style>
  <w:style w:type="paragraph" w:styleId="BalloonText">
    <w:name w:val="Balloon Text"/>
    <w:basedOn w:val="Normal"/>
    <w:link w:val="BalloonTextChar"/>
    <w:uiPriority w:val="99"/>
    <w:semiHidden/>
    <w:unhideWhenUsed/>
    <w:rsid w:val="00BD08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0817"/>
    <w:rPr>
      <w:rFonts w:ascii="Segoe UI" w:hAnsi="Segoe UI" w:cs="Segoe UI"/>
      <w:sz w:val="18"/>
      <w:szCs w:val="18"/>
    </w:rPr>
  </w:style>
  <w:style w:type="table" w:styleId="TableGrid">
    <w:name w:val="Table Grid"/>
    <w:basedOn w:val="TableNormal"/>
    <w:uiPriority w:val="39"/>
    <w:rsid w:val="00B03A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12C2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251884">
      <w:bodyDiv w:val="1"/>
      <w:marLeft w:val="0"/>
      <w:marRight w:val="0"/>
      <w:marTop w:val="0"/>
      <w:marBottom w:val="0"/>
      <w:divBdr>
        <w:top w:val="none" w:sz="0" w:space="0" w:color="auto"/>
        <w:left w:val="none" w:sz="0" w:space="0" w:color="auto"/>
        <w:bottom w:val="none" w:sz="0" w:space="0" w:color="auto"/>
        <w:right w:val="none" w:sz="0" w:space="0" w:color="auto"/>
      </w:divBdr>
    </w:div>
    <w:div w:id="1874226248">
      <w:bodyDiv w:val="1"/>
      <w:marLeft w:val="0"/>
      <w:marRight w:val="0"/>
      <w:marTop w:val="0"/>
      <w:marBottom w:val="0"/>
      <w:divBdr>
        <w:top w:val="none" w:sz="0" w:space="0" w:color="auto"/>
        <w:left w:val="none" w:sz="0" w:space="0" w:color="auto"/>
        <w:bottom w:val="none" w:sz="0" w:space="0" w:color="auto"/>
        <w:right w:val="none" w:sz="0" w:space="0" w:color="auto"/>
      </w:divBdr>
    </w:div>
    <w:div w:id="1886865226">
      <w:bodyDiv w:val="1"/>
      <w:marLeft w:val="0"/>
      <w:marRight w:val="0"/>
      <w:marTop w:val="0"/>
      <w:marBottom w:val="0"/>
      <w:divBdr>
        <w:top w:val="none" w:sz="0" w:space="0" w:color="auto"/>
        <w:left w:val="none" w:sz="0" w:space="0" w:color="auto"/>
        <w:bottom w:val="none" w:sz="0" w:space="0" w:color="auto"/>
        <w:right w:val="none" w:sz="0" w:space="0" w:color="auto"/>
      </w:divBdr>
    </w:div>
    <w:div w:id="2012364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qi.elft.nhs.uk/wp-content/uploads/2019/11/2.-Stakeholder-Mapping-Tool.pptx.pdf" TargetMode="External"/><Relationship Id="rId5" Type="http://schemas.openxmlformats.org/officeDocument/2006/relationships/hyperlink" Target="https://gov.wales/sites/default/files/publications/2021-03/nhs-wales-decarbonisation-strategic-delivery-plan-2021-2030-summary.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5</Pages>
  <Words>1912</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12786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Clyburn (Cardiff and Vale UHB - Pharmacy)</dc:creator>
  <cp:keywords/>
  <dc:description/>
  <cp:lastModifiedBy>rhodri.clyburn@gmail.com</cp:lastModifiedBy>
  <cp:revision>4</cp:revision>
  <dcterms:created xsi:type="dcterms:W3CDTF">2022-06-09T17:52:00Z</dcterms:created>
  <dcterms:modified xsi:type="dcterms:W3CDTF">2022-06-09T18:24:00Z</dcterms:modified>
</cp:coreProperties>
</file>