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8D711" w14:textId="77777777" w:rsidR="0013621C" w:rsidRDefault="0013621C"/>
    <w:p w14:paraId="080387B8" w14:textId="5FDD347D" w:rsidR="00585BB1" w:rsidRPr="00190E74" w:rsidRDefault="00D201A9" w:rsidP="00585BB1">
      <w:pPr>
        <w:rPr>
          <w:b/>
          <w:bCs/>
          <w:color w:val="0C11FF"/>
          <w:sz w:val="28"/>
          <w:szCs w:val="28"/>
          <w:u w:val="single"/>
        </w:rPr>
      </w:pPr>
      <w:r w:rsidRPr="00190E74">
        <w:rPr>
          <w:b/>
          <w:bCs/>
          <w:color w:val="0C11FF"/>
          <w:sz w:val="28"/>
          <w:szCs w:val="28"/>
          <w:u w:val="single"/>
        </w:rPr>
        <w:t xml:space="preserve">Why is </w:t>
      </w:r>
      <w:r w:rsidR="00585BB1" w:rsidRPr="00190E74">
        <w:rPr>
          <w:b/>
          <w:bCs/>
          <w:color w:val="0C11FF"/>
          <w:sz w:val="28"/>
          <w:szCs w:val="28"/>
          <w:u w:val="single"/>
        </w:rPr>
        <w:t>Language development</w:t>
      </w:r>
      <w:r w:rsidRPr="00190E74">
        <w:rPr>
          <w:b/>
          <w:bCs/>
          <w:color w:val="0C11FF"/>
          <w:sz w:val="28"/>
          <w:szCs w:val="28"/>
          <w:u w:val="single"/>
        </w:rPr>
        <w:t xml:space="preserve"> important for </w:t>
      </w:r>
      <w:proofErr w:type="gramStart"/>
      <w:r w:rsidRPr="00190E74">
        <w:rPr>
          <w:b/>
          <w:bCs/>
          <w:color w:val="0C11FF"/>
          <w:sz w:val="28"/>
          <w:szCs w:val="28"/>
          <w:u w:val="single"/>
        </w:rPr>
        <w:t>children</w:t>
      </w:r>
      <w:proofErr w:type="gramEnd"/>
    </w:p>
    <w:p w14:paraId="0F2538E6" w14:textId="77777777" w:rsidR="00585BB1" w:rsidRPr="00190E74" w:rsidRDefault="00585BB1" w:rsidP="00585BB1">
      <w:pPr>
        <w:rPr>
          <w:b/>
          <w:bCs/>
          <w:color w:val="0C11FF"/>
          <w:sz w:val="28"/>
          <w:szCs w:val="28"/>
          <w:u w:val="single"/>
        </w:rPr>
      </w:pPr>
    </w:p>
    <w:p w14:paraId="6254E731" w14:textId="5C8C1F86" w:rsidR="00983656" w:rsidRPr="00EA08AE" w:rsidRDefault="00AC5DA5" w:rsidP="00983656">
      <w:pPr>
        <w:rPr>
          <w:color w:val="000000" w:themeColor="text1"/>
        </w:rPr>
      </w:pPr>
      <w:r w:rsidRPr="00AC5DA5">
        <w:rPr>
          <w:color w:val="000000" w:themeColor="text1"/>
        </w:rPr>
        <w:t xml:space="preserve">Through hundreds of hours of interaction with adults, children's speech develops from babble to words to simple phrases. Studies show that when babies begin to understand words, their vocabulary expands quickly. </w:t>
      </w:r>
      <w:r w:rsidR="00983656">
        <w:rPr>
          <w:color w:val="000000"/>
        </w:rPr>
        <w:t>(Department for Education, 2022)</w:t>
      </w:r>
    </w:p>
    <w:p w14:paraId="6E361EBC" w14:textId="77777777" w:rsidR="00983656" w:rsidRPr="00190E74" w:rsidRDefault="00983656" w:rsidP="00983656">
      <w:pPr>
        <w:rPr>
          <w:b/>
          <w:bCs/>
          <w:color w:val="0C11FF"/>
          <w:sz w:val="28"/>
          <w:szCs w:val="28"/>
          <w:u w:val="single"/>
        </w:rPr>
      </w:pPr>
    </w:p>
    <w:p w14:paraId="2D460DA1" w14:textId="03854175" w:rsidR="00983656" w:rsidRDefault="00983656" w:rsidP="00983656">
      <w:pPr>
        <w:rPr>
          <w:rFonts w:eastAsia="Times New Roman"/>
          <w:color w:val="0B0C0C"/>
          <w:kern w:val="0"/>
          <w:lang w:eastAsia="en-GB"/>
          <w14:ligatures w14:val="none"/>
        </w:rPr>
      </w:pPr>
      <w:r>
        <w:rPr>
          <w:rFonts w:eastAsia="Times New Roman"/>
          <w:color w:val="0B0C0C"/>
          <w:kern w:val="0"/>
          <w:lang w:eastAsia="en-GB"/>
          <w14:ligatures w14:val="none"/>
        </w:rPr>
        <w:t xml:space="preserve">  </w:t>
      </w:r>
      <w:r w:rsidR="0093096A" w:rsidRPr="0093096A">
        <w:rPr>
          <w:rFonts w:eastAsia="Times New Roman"/>
          <w:color w:val="0B0C0C"/>
          <w:kern w:val="0"/>
          <w:lang w:eastAsia="en-GB"/>
          <w14:ligatures w14:val="none"/>
        </w:rPr>
        <w:t xml:space="preserve">By the age of one year, children can recognise about fifty words; by the age of three, they can recognise 1,000 words; and by the age of five, they can recognise 10,000 words. </w:t>
      </w:r>
      <w:r w:rsidRPr="00930330">
        <w:rPr>
          <w:color w:val="000000"/>
        </w:rPr>
        <w:t>(Department for Education, 2022)</w:t>
      </w:r>
    </w:p>
    <w:p w14:paraId="7385B293" w14:textId="77777777" w:rsidR="00983656" w:rsidRPr="00190E74" w:rsidRDefault="00983656" w:rsidP="00983656">
      <w:pPr>
        <w:rPr>
          <w:b/>
          <w:bCs/>
          <w:color w:val="0C11FF"/>
          <w:sz w:val="28"/>
          <w:szCs w:val="28"/>
          <w:u w:val="single"/>
        </w:rPr>
      </w:pPr>
    </w:p>
    <w:p w14:paraId="6B20B07A" w14:textId="206821E7" w:rsidR="00983656" w:rsidRDefault="00983656" w:rsidP="00983656">
      <w:pPr>
        <w:rPr>
          <w:color w:val="000000"/>
        </w:rPr>
      </w:pPr>
      <w:r>
        <w:rPr>
          <w:color w:val="000000"/>
        </w:rPr>
        <w:t xml:space="preserve">   </w:t>
      </w:r>
      <w:r w:rsidR="0045786B" w:rsidRPr="0045786B">
        <w:rPr>
          <w:color w:val="000000"/>
        </w:rPr>
        <w:t xml:space="preserve">Children's language skills are linked to their overall development and are a predictor of their performance in school. As their speaking and listening abilities develop, children create the foundation for literacy, as well as for understanding spoken and visual clues and, eventually, for reading and writing. </w:t>
      </w:r>
      <w:r w:rsidRPr="00930330">
        <w:rPr>
          <w:color w:val="000000"/>
        </w:rPr>
        <w:t>(Department for Education, 2022)</w:t>
      </w:r>
    </w:p>
    <w:p w14:paraId="29243A4A" w14:textId="77777777" w:rsidR="00983656" w:rsidRDefault="00983656" w:rsidP="00983656">
      <w:pPr>
        <w:rPr>
          <w:color w:val="000000"/>
        </w:rPr>
      </w:pPr>
    </w:p>
    <w:p w14:paraId="6DDCF874" w14:textId="77777777" w:rsidR="00983656" w:rsidRDefault="00983656" w:rsidP="00983656">
      <w:pPr>
        <w:rPr>
          <w:color w:val="000000"/>
        </w:rPr>
      </w:pPr>
      <w:r>
        <w:rPr>
          <w:color w:val="000000"/>
        </w:rPr>
        <w:t xml:space="preserve">    </w:t>
      </w:r>
      <w:r w:rsidRPr="000742AE">
        <w:rPr>
          <w:color w:val="000000"/>
        </w:rPr>
        <w:t>Cognitive and language development are intimately related. Making links between words and concepts, processing complex information, and honing problem-solving techniques are all part of learning a language. Learning to speak helps kids develop cognitive skills like reasoning, memory, and focus—all of which are critical for learning and doing well in school.</w:t>
      </w:r>
    </w:p>
    <w:p w14:paraId="35C55351" w14:textId="7EF1E270" w:rsidR="0085789B" w:rsidRPr="00190E74" w:rsidRDefault="00C9496F" w:rsidP="00585BB1">
      <w:pPr>
        <w:rPr>
          <w:b/>
          <w:bCs/>
          <w:color w:val="0C11FF"/>
          <w:sz w:val="28"/>
          <w:szCs w:val="28"/>
          <w:u w:val="single"/>
        </w:rPr>
      </w:pPr>
      <w:r>
        <w:rPr>
          <w:noProof/>
          <w:color w:val="000000"/>
        </w:rPr>
        <w:drawing>
          <wp:anchor distT="0" distB="0" distL="114300" distR="114300" simplePos="0" relativeHeight="251662336" behindDoc="0" locked="0" layoutInCell="1" allowOverlap="1" wp14:anchorId="2088E3A4" wp14:editId="7A581904">
            <wp:simplePos x="0" y="0"/>
            <wp:positionH relativeFrom="column">
              <wp:posOffset>-751205</wp:posOffset>
            </wp:positionH>
            <wp:positionV relativeFrom="paragraph">
              <wp:posOffset>214630</wp:posOffset>
            </wp:positionV>
            <wp:extent cx="2426970" cy="1616075"/>
            <wp:effectExtent l="0" t="0" r="0" b="0"/>
            <wp:wrapSquare wrapText="bothSides"/>
            <wp:docPr id="1816334187" name="Picture 1" descr="A child with his mouth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334187" name="Picture 1" descr="A child with his mouth ope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426970" cy="1616075"/>
                    </a:xfrm>
                    <a:prstGeom prst="rect">
                      <a:avLst/>
                    </a:prstGeom>
                  </pic:spPr>
                </pic:pic>
              </a:graphicData>
            </a:graphic>
            <wp14:sizeRelH relativeFrom="page">
              <wp14:pctWidth>0</wp14:pctWidth>
            </wp14:sizeRelH>
            <wp14:sizeRelV relativeFrom="page">
              <wp14:pctHeight>0</wp14:pctHeight>
            </wp14:sizeRelV>
          </wp:anchor>
        </w:drawing>
      </w:r>
    </w:p>
    <w:p w14:paraId="485981C6" w14:textId="77777777" w:rsidR="00AC0077" w:rsidRPr="00190E74" w:rsidRDefault="00AC0077" w:rsidP="00585BB1">
      <w:pPr>
        <w:rPr>
          <w:b/>
          <w:bCs/>
          <w:color w:val="0C11FF"/>
          <w:sz w:val="28"/>
          <w:szCs w:val="28"/>
          <w:u w:val="single"/>
        </w:rPr>
      </w:pPr>
    </w:p>
    <w:p w14:paraId="6F5B1E5A" w14:textId="77777777" w:rsidR="00476AB8" w:rsidRDefault="00476AB8" w:rsidP="00585BB1">
      <w:pPr>
        <w:rPr>
          <w:color w:val="000000"/>
        </w:rPr>
      </w:pPr>
    </w:p>
    <w:p w14:paraId="4411BADE" w14:textId="77777777" w:rsidR="00476AB8" w:rsidRDefault="00476AB8" w:rsidP="00585BB1">
      <w:pPr>
        <w:rPr>
          <w:color w:val="000000"/>
        </w:rPr>
      </w:pPr>
    </w:p>
    <w:p w14:paraId="2077C9C2" w14:textId="77777777" w:rsidR="00476AB8" w:rsidRDefault="00476AB8" w:rsidP="00585BB1">
      <w:pPr>
        <w:rPr>
          <w:color w:val="000000"/>
        </w:rPr>
      </w:pPr>
    </w:p>
    <w:p w14:paraId="1404A22C" w14:textId="77777777" w:rsidR="00476AB8" w:rsidRDefault="00476AB8" w:rsidP="00585BB1">
      <w:pPr>
        <w:rPr>
          <w:color w:val="000000"/>
        </w:rPr>
      </w:pPr>
    </w:p>
    <w:p w14:paraId="531D87E5" w14:textId="77777777" w:rsidR="00476AB8" w:rsidRDefault="00476AB8" w:rsidP="00585BB1">
      <w:pPr>
        <w:rPr>
          <w:color w:val="000000"/>
        </w:rPr>
      </w:pPr>
    </w:p>
    <w:p w14:paraId="45B70832" w14:textId="77777777" w:rsidR="00476AB8" w:rsidRDefault="00476AB8" w:rsidP="00585BB1">
      <w:pPr>
        <w:rPr>
          <w:color w:val="000000"/>
        </w:rPr>
      </w:pPr>
    </w:p>
    <w:p w14:paraId="35FFA2AC" w14:textId="77777777" w:rsidR="00C9496F" w:rsidRDefault="00C9496F" w:rsidP="00585BB1">
      <w:pPr>
        <w:rPr>
          <w:color w:val="000000"/>
        </w:rPr>
      </w:pPr>
    </w:p>
    <w:p w14:paraId="32F22B29" w14:textId="77777777" w:rsidR="00C9496F" w:rsidRDefault="00C9496F" w:rsidP="00585BB1">
      <w:pPr>
        <w:rPr>
          <w:color w:val="000000"/>
        </w:rPr>
      </w:pPr>
    </w:p>
    <w:p w14:paraId="44594AAD" w14:textId="77777777" w:rsidR="00226339" w:rsidRDefault="00226339" w:rsidP="00226339">
      <w:r>
        <w:t xml:space="preserve">       </w:t>
      </w:r>
    </w:p>
    <w:p w14:paraId="7737A733" w14:textId="525FE822" w:rsidR="00226339" w:rsidRDefault="00226339" w:rsidP="00226339">
      <w:r w:rsidRPr="00F51A62">
        <w:t>Collaboration and social engagement with adults and peers are facilitated by language. Children can converse, negotiate, share ideas, and work together on projects using language. To foster good social-emotional growth and overall wellbeing, effective communication skills are crucial for navigating social settings, settling disputes, and forming connections.</w:t>
      </w:r>
    </w:p>
    <w:p w14:paraId="2D1654D4" w14:textId="77777777" w:rsidR="00226339" w:rsidRDefault="00226339" w:rsidP="00226339"/>
    <w:p w14:paraId="4CC101E3" w14:textId="1FA52100" w:rsidR="00226339" w:rsidRDefault="008C6C99" w:rsidP="00226339">
      <w:pPr>
        <w:rPr>
          <w:color w:val="000000"/>
        </w:rPr>
      </w:pPr>
      <w:r w:rsidRPr="008C6C99">
        <w:t xml:space="preserve">It's possible that children from poorer homes don't get as many chances to grow their vocabulary. However, research suggests that a lot may be done throughout early childhood to avoid differences in young children's language development. </w:t>
      </w:r>
      <w:r w:rsidR="00226339" w:rsidRPr="00930330">
        <w:rPr>
          <w:color w:val="000000"/>
        </w:rPr>
        <w:t>(Department for Education, 2022)</w:t>
      </w:r>
    </w:p>
    <w:p w14:paraId="6F9399EE" w14:textId="77777777" w:rsidR="00226339" w:rsidRDefault="00226339" w:rsidP="00226339">
      <w:pPr>
        <w:rPr>
          <w:color w:val="000000"/>
        </w:rPr>
      </w:pPr>
    </w:p>
    <w:p w14:paraId="0C8528AA" w14:textId="50B7FB0E" w:rsidR="00226339" w:rsidRDefault="00226339" w:rsidP="00226339">
      <w:pPr>
        <w:rPr>
          <w:color w:val="000000"/>
        </w:rPr>
      </w:pPr>
      <w:r>
        <w:rPr>
          <w:color w:val="000000"/>
        </w:rPr>
        <w:t xml:space="preserve">   </w:t>
      </w:r>
      <w:r w:rsidRPr="00D56208">
        <w:rPr>
          <w:color w:val="000000"/>
        </w:rPr>
        <w:t xml:space="preserve">When infants </w:t>
      </w:r>
      <w:r w:rsidR="00D55B47">
        <w:rPr>
          <w:color w:val="000000"/>
        </w:rPr>
        <w:t>are</w:t>
      </w:r>
      <w:r w:rsidR="00D55B47" w:rsidRPr="00D55B47">
        <w:rPr>
          <w:color w:val="000000"/>
        </w:rPr>
        <w:t xml:space="preserve"> exposed to interesting, language-rich situations that provide them the chance to learn new words, they develop strong language skills as they grow older. Taking part in hands-on activities facilitates learning and provides a structure for studying new words. For example</w:t>
      </w:r>
      <w:r w:rsidRPr="00D56208">
        <w:rPr>
          <w:color w:val="000000"/>
        </w:rPr>
        <w:t xml:space="preserve">, youngsters </w:t>
      </w:r>
      <w:r w:rsidR="00767F16" w:rsidRPr="00767F16">
        <w:rPr>
          <w:color w:val="000000"/>
        </w:rPr>
        <w:t xml:space="preserve">find learning </w:t>
      </w:r>
      <w:r w:rsidR="0047458D">
        <w:rPr>
          <w:color w:val="000000"/>
        </w:rPr>
        <w:t>v</w:t>
      </w:r>
      <w:r w:rsidR="0047458D" w:rsidRPr="0047458D">
        <w:rPr>
          <w:color w:val="000000"/>
        </w:rPr>
        <w:t xml:space="preserve">egetable names are simpler to remember when they touch or taste them. </w:t>
      </w:r>
      <w:r w:rsidRPr="00930330">
        <w:rPr>
          <w:color w:val="000000"/>
        </w:rPr>
        <w:t>(Department for Education, 2022)</w:t>
      </w:r>
    </w:p>
    <w:p w14:paraId="207274CF" w14:textId="77777777" w:rsidR="00C9496F" w:rsidRDefault="00C9496F" w:rsidP="00585BB1">
      <w:pPr>
        <w:rPr>
          <w:color w:val="000000"/>
        </w:rPr>
      </w:pPr>
    </w:p>
    <w:p w14:paraId="62AA5FF1" w14:textId="44FED548" w:rsidR="001D5F78" w:rsidRDefault="007A1171" w:rsidP="001D5F78">
      <w:pPr>
        <w:rPr>
          <w:color w:val="000000"/>
        </w:rPr>
      </w:pPr>
      <w:r w:rsidRPr="007A1171">
        <w:t xml:space="preserve">The ability to communicate is one of the most vital aspects of human life. Communication is </w:t>
      </w:r>
      <w:r w:rsidR="00550C9B" w:rsidRPr="007A1171">
        <w:t>how</w:t>
      </w:r>
      <w:r w:rsidRPr="007A1171">
        <w:t xml:space="preserve"> people engage with one another and exchange messages, data, and feelings. </w:t>
      </w:r>
      <w:r w:rsidR="001D5F78" w:rsidRPr="002A2791">
        <w:t xml:space="preserve">Language is a method </w:t>
      </w:r>
      <w:r w:rsidR="00550C9B" w:rsidRPr="00550C9B">
        <w:t xml:space="preserve">through which dialogue </w:t>
      </w:r>
      <w:r w:rsidR="001D5F78" w:rsidRPr="002A2791">
        <w:t>takes place.</w:t>
      </w:r>
      <w:r w:rsidR="001D5F78" w:rsidRPr="002A2791">
        <w:rPr>
          <w:color w:val="000000"/>
        </w:rPr>
        <w:t xml:space="preserve"> </w:t>
      </w:r>
      <w:r w:rsidR="001D5F78">
        <w:rPr>
          <w:color w:val="000000"/>
        </w:rPr>
        <w:t>(Communication theory, 2021)</w:t>
      </w:r>
    </w:p>
    <w:p w14:paraId="3D2F81E2" w14:textId="77777777" w:rsidR="001D5F78" w:rsidRDefault="001D5F78" w:rsidP="001D5F78">
      <w:pPr>
        <w:rPr>
          <w:color w:val="000000"/>
        </w:rPr>
      </w:pPr>
      <w:r>
        <w:rPr>
          <w:noProof/>
        </w:rPr>
        <w:drawing>
          <wp:anchor distT="0" distB="0" distL="114300" distR="114300" simplePos="0" relativeHeight="251664384" behindDoc="0" locked="0" layoutInCell="1" allowOverlap="1" wp14:anchorId="62969311" wp14:editId="4594D675">
            <wp:simplePos x="0" y="0"/>
            <wp:positionH relativeFrom="column">
              <wp:posOffset>-743585</wp:posOffset>
            </wp:positionH>
            <wp:positionV relativeFrom="paragraph">
              <wp:posOffset>241935</wp:posOffset>
            </wp:positionV>
            <wp:extent cx="2571750" cy="1819275"/>
            <wp:effectExtent l="0" t="0" r="6350" b="0"/>
            <wp:wrapSquare wrapText="bothSides"/>
            <wp:docPr id="1737889099" name="Picture 1" descr="A child shouting into a mega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032129" name="Picture 1" descr="A child shouting into a megapho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71750" cy="1819275"/>
                    </a:xfrm>
                    <a:prstGeom prst="rect">
                      <a:avLst/>
                    </a:prstGeom>
                  </pic:spPr>
                </pic:pic>
              </a:graphicData>
            </a:graphic>
            <wp14:sizeRelH relativeFrom="page">
              <wp14:pctWidth>0</wp14:pctWidth>
            </wp14:sizeRelH>
            <wp14:sizeRelV relativeFrom="page">
              <wp14:pctHeight>0</wp14:pctHeight>
            </wp14:sizeRelV>
          </wp:anchor>
        </w:drawing>
      </w:r>
    </w:p>
    <w:p w14:paraId="069D7BFD" w14:textId="77777777" w:rsidR="001D5F78" w:rsidRDefault="001D5F78" w:rsidP="00585BB1">
      <w:pPr>
        <w:rPr>
          <w:color w:val="000000"/>
        </w:rPr>
      </w:pPr>
    </w:p>
    <w:p w14:paraId="1E9B47BE" w14:textId="77777777" w:rsidR="00A647D1" w:rsidRDefault="00A647D1" w:rsidP="00585BB1">
      <w:pPr>
        <w:rPr>
          <w:color w:val="000000"/>
        </w:rPr>
      </w:pPr>
    </w:p>
    <w:p w14:paraId="3A2958B7" w14:textId="77777777" w:rsidR="00A647D1" w:rsidRDefault="00A647D1" w:rsidP="00585BB1">
      <w:pPr>
        <w:rPr>
          <w:color w:val="000000"/>
        </w:rPr>
      </w:pPr>
    </w:p>
    <w:p w14:paraId="4B3F04F4" w14:textId="77777777" w:rsidR="00A647D1" w:rsidRDefault="00A647D1" w:rsidP="00585BB1">
      <w:pPr>
        <w:rPr>
          <w:color w:val="000000"/>
        </w:rPr>
      </w:pPr>
    </w:p>
    <w:p w14:paraId="67990DBA" w14:textId="77777777" w:rsidR="00A647D1" w:rsidRDefault="00A647D1" w:rsidP="00585BB1">
      <w:pPr>
        <w:rPr>
          <w:color w:val="000000"/>
        </w:rPr>
      </w:pPr>
    </w:p>
    <w:p w14:paraId="0DC5D073" w14:textId="77777777" w:rsidR="00A647D1" w:rsidRDefault="00A647D1" w:rsidP="00585BB1">
      <w:pPr>
        <w:rPr>
          <w:color w:val="000000"/>
        </w:rPr>
      </w:pPr>
    </w:p>
    <w:p w14:paraId="708D3B14" w14:textId="77777777" w:rsidR="00A647D1" w:rsidRDefault="00A647D1" w:rsidP="00585BB1">
      <w:pPr>
        <w:rPr>
          <w:color w:val="000000"/>
        </w:rPr>
      </w:pPr>
    </w:p>
    <w:p w14:paraId="742A3227" w14:textId="77777777" w:rsidR="00A647D1" w:rsidRDefault="00A647D1" w:rsidP="00585BB1">
      <w:pPr>
        <w:rPr>
          <w:color w:val="000000"/>
        </w:rPr>
      </w:pPr>
    </w:p>
    <w:p w14:paraId="67650460" w14:textId="77777777" w:rsidR="00A647D1" w:rsidRDefault="00A647D1" w:rsidP="00585BB1">
      <w:pPr>
        <w:rPr>
          <w:color w:val="000000"/>
        </w:rPr>
      </w:pPr>
    </w:p>
    <w:p w14:paraId="42AB4F6E" w14:textId="77777777" w:rsidR="00A647D1" w:rsidRDefault="00A647D1" w:rsidP="00585BB1">
      <w:pPr>
        <w:rPr>
          <w:color w:val="000000"/>
        </w:rPr>
      </w:pPr>
    </w:p>
    <w:p w14:paraId="11A19985" w14:textId="77777777" w:rsidR="00A647D1" w:rsidRDefault="00A647D1" w:rsidP="00585BB1">
      <w:pPr>
        <w:rPr>
          <w:color w:val="000000"/>
        </w:rPr>
      </w:pPr>
    </w:p>
    <w:p w14:paraId="1B65B40D" w14:textId="77777777" w:rsidR="00A647D1" w:rsidRDefault="00A647D1" w:rsidP="00585BB1">
      <w:pPr>
        <w:rPr>
          <w:color w:val="000000"/>
        </w:rPr>
      </w:pPr>
    </w:p>
    <w:p w14:paraId="1885F8D0" w14:textId="2D8C0DB4" w:rsidR="00A647D1" w:rsidRDefault="00E43D42" w:rsidP="00A647D1">
      <w:pPr>
        <w:rPr>
          <w:color w:val="000000"/>
        </w:rPr>
      </w:pPr>
      <w:r>
        <w:t xml:space="preserve"> </w:t>
      </w:r>
      <w:r w:rsidR="00BA114B" w:rsidRPr="00BA114B">
        <w:t xml:space="preserve">Language used in communication can be verbal, such as when reading, writing, and speaking, or non-verbal, like when utilising signs, body language, or facial expressions. Even with so many routes for communication, sometimes messages are misunderstood or incomplete. </w:t>
      </w:r>
      <w:r w:rsidR="00A647D1">
        <w:rPr>
          <w:color w:val="000000"/>
        </w:rPr>
        <w:t>(Communication theory, 2021)</w:t>
      </w:r>
    </w:p>
    <w:p w14:paraId="387F44F4" w14:textId="77777777" w:rsidR="00455236" w:rsidRDefault="00455236" w:rsidP="00A647D1">
      <w:pPr>
        <w:rPr>
          <w:color w:val="000000"/>
        </w:rPr>
      </w:pPr>
    </w:p>
    <w:p w14:paraId="66A70007" w14:textId="4E94EC45" w:rsidR="00A647D1" w:rsidRDefault="00A647D1" w:rsidP="00A647D1">
      <w:pPr>
        <w:rPr>
          <w:color w:val="000000"/>
        </w:rPr>
      </w:pPr>
      <w:r>
        <w:rPr>
          <w:color w:val="000000"/>
        </w:rPr>
        <w:t xml:space="preserve">  </w:t>
      </w:r>
      <w:r w:rsidR="00FF23C3" w:rsidRPr="00FF23C3">
        <w:rPr>
          <w:color w:val="000000"/>
        </w:rPr>
        <w:t xml:space="preserve">Language barriers are those parts of language use that lead to miscommunication or a complete breakdown. Linguistic traits that hinder comprehension are referred to as language barriers. Numerous factors, such as differences in the language user's country or location, reading proficiency, and educational background, could be to blame for this. </w:t>
      </w:r>
      <w:r>
        <w:rPr>
          <w:color w:val="000000"/>
        </w:rPr>
        <w:t>(Communication theory, 2021)</w:t>
      </w:r>
    </w:p>
    <w:p w14:paraId="2FB8FCC9" w14:textId="77777777" w:rsidR="00A647D1" w:rsidRDefault="00A647D1" w:rsidP="00A647D1">
      <w:pPr>
        <w:rPr>
          <w:color w:val="000000"/>
        </w:rPr>
      </w:pPr>
    </w:p>
    <w:p w14:paraId="66C6889A" w14:textId="77777777" w:rsidR="00A647D1" w:rsidRDefault="00A647D1" w:rsidP="00A647D1">
      <w:pPr>
        <w:rPr>
          <w:color w:val="000000"/>
        </w:rPr>
      </w:pPr>
      <w:r>
        <w:t xml:space="preserve">  </w:t>
      </w:r>
      <w:r w:rsidRPr="00DA587D">
        <w:t>Language development can be impacted by cultural and linguistic differences among carers, educators, and the local community, especially for children from immigrant or minority backgrounds.</w:t>
      </w:r>
      <w:r>
        <w:t xml:space="preserve"> </w:t>
      </w:r>
      <w:r>
        <w:rPr>
          <w:color w:val="000000"/>
        </w:rPr>
        <w:t>(</w:t>
      </w:r>
      <w:proofErr w:type="spellStart"/>
      <w:r>
        <w:rPr>
          <w:color w:val="000000"/>
        </w:rPr>
        <w:t>Toppelberg</w:t>
      </w:r>
      <w:proofErr w:type="spellEnd"/>
      <w:r>
        <w:rPr>
          <w:color w:val="000000"/>
        </w:rPr>
        <w:t xml:space="preserve"> and Collins, 2010)</w:t>
      </w:r>
    </w:p>
    <w:p w14:paraId="69737720" w14:textId="77777777" w:rsidR="00A647D1" w:rsidRDefault="00A647D1" w:rsidP="00A647D1">
      <w:pPr>
        <w:rPr>
          <w:color w:val="000000"/>
        </w:rPr>
      </w:pPr>
    </w:p>
    <w:p w14:paraId="0DADF825" w14:textId="75AC7A10" w:rsidR="00A647D1" w:rsidRDefault="00A647D1" w:rsidP="00A647D1">
      <w:pPr>
        <w:rPr>
          <w:color w:val="000000"/>
        </w:rPr>
      </w:pPr>
      <w:r>
        <w:rPr>
          <w:color w:val="000000"/>
        </w:rPr>
        <w:t xml:space="preserve">  </w:t>
      </w:r>
      <w:r w:rsidR="008D6BC9" w:rsidRPr="008D6BC9">
        <w:rPr>
          <w:color w:val="000000"/>
        </w:rPr>
        <w:t xml:space="preserve">To guarantee children get the </w:t>
      </w:r>
      <w:r w:rsidRPr="00DA587D">
        <w:rPr>
          <w:color w:val="000000"/>
        </w:rPr>
        <w:t xml:space="preserve">necessary </w:t>
      </w:r>
      <w:r w:rsidR="008D6BC9" w:rsidRPr="008D6BC9">
        <w:rPr>
          <w:color w:val="000000"/>
        </w:rPr>
        <w:t xml:space="preserve">assistance with </w:t>
      </w:r>
      <w:r w:rsidRPr="00DA587D">
        <w:rPr>
          <w:color w:val="000000"/>
        </w:rPr>
        <w:t>effectively develop their language abilities, it is often necessary to take a diverse strategy to addressing these hurdles. This approach should involve families, educators, healthcare experts, lawmakers, and communities.</w:t>
      </w:r>
      <w:r>
        <w:rPr>
          <w:color w:val="000000"/>
        </w:rPr>
        <w:t xml:space="preserve"> (Department for Education, 2022)</w:t>
      </w:r>
    </w:p>
    <w:p w14:paraId="0005A0FF" w14:textId="027046C3" w:rsidR="00A647D1" w:rsidRDefault="00BE4BD6" w:rsidP="00585BB1">
      <w:pPr>
        <w:rPr>
          <w:color w:val="000000"/>
        </w:rPr>
      </w:pPr>
      <w:r>
        <w:rPr>
          <w:noProof/>
          <w:color w:val="000000"/>
        </w:rPr>
        <w:drawing>
          <wp:anchor distT="0" distB="0" distL="114300" distR="114300" simplePos="0" relativeHeight="251666432" behindDoc="0" locked="0" layoutInCell="1" allowOverlap="1" wp14:anchorId="28574710" wp14:editId="1A1E4CCA">
            <wp:simplePos x="0" y="0"/>
            <wp:positionH relativeFrom="column">
              <wp:posOffset>-841375</wp:posOffset>
            </wp:positionH>
            <wp:positionV relativeFrom="paragraph">
              <wp:posOffset>190500</wp:posOffset>
            </wp:positionV>
            <wp:extent cx="2841625" cy="1477645"/>
            <wp:effectExtent l="0" t="0" r="3175" b="0"/>
            <wp:wrapSquare wrapText="bothSides"/>
            <wp:docPr id="530726922" name="Picture 2" descr="A person and a child rea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726922" name="Picture 2" descr="A person and a child reading a book&#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1625" cy="1477645"/>
                    </a:xfrm>
                    <a:prstGeom prst="rect">
                      <a:avLst/>
                    </a:prstGeom>
                  </pic:spPr>
                </pic:pic>
              </a:graphicData>
            </a:graphic>
            <wp14:sizeRelH relativeFrom="page">
              <wp14:pctWidth>0</wp14:pctWidth>
            </wp14:sizeRelH>
            <wp14:sizeRelV relativeFrom="page">
              <wp14:pctHeight>0</wp14:pctHeight>
            </wp14:sizeRelV>
          </wp:anchor>
        </w:drawing>
      </w:r>
    </w:p>
    <w:p w14:paraId="4C8B731F" w14:textId="77777777" w:rsidR="00476AB8" w:rsidRDefault="00476AB8" w:rsidP="00585BB1">
      <w:pPr>
        <w:rPr>
          <w:color w:val="000000"/>
        </w:rPr>
      </w:pPr>
    </w:p>
    <w:p w14:paraId="63202B53" w14:textId="77777777" w:rsidR="00476AB8" w:rsidRDefault="00476AB8" w:rsidP="00585BB1">
      <w:pPr>
        <w:rPr>
          <w:color w:val="000000"/>
        </w:rPr>
      </w:pPr>
    </w:p>
    <w:p w14:paraId="5E0DE060" w14:textId="77777777" w:rsidR="00476AB8" w:rsidRDefault="00476AB8" w:rsidP="00585BB1">
      <w:pPr>
        <w:rPr>
          <w:color w:val="000000"/>
        </w:rPr>
      </w:pPr>
    </w:p>
    <w:p w14:paraId="36736791" w14:textId="77777777" w:rsidR="00476AB8" w:rsidRDefault="00476AB8" w:rsidP="00585BB1">
      <w:pPr>
        <w:rPr>
          <w:color w:val="000000"/>
        </w:rPr>
      </w:pPr>
    </w:p>
    <w:p w14:paraId="6463873A" w14:textId="77777777" w:rsidR="00476AB8" w:rsidRDefault="00476AB8" w:rsidP="00585BB1">
      <w:pPr>
        <w:rPr>
          <w:color w:val="000000"/>
        </w:rPr>
      </w:pPr>
    </w:p>
    <w:p w14:paraId="07117B8B" w14:textId="77777777" w:rsidR="00476AB8" w:rsidRDefault="00476AB8" w:rsidP="00585BB1">
      <w:pPr>
        <w:rPr>
          <w:color w:val="000000"/>
        </w:rPr>
      </w:pPr>
    </w:p>
    <w:p w14:paraId="2A8DF926" w14:textId="77777777" w:rsidR="00476AB8" w:rsidRDefault="00476AB8" w:rsidP="00585BB1">
      <w:pPr>
        <w:rPr>
          <w:color w:val="000000"/>
        </w:rPr>
      </w:pPr>
    </w:p>
    <w:p w14:paraId="2E25C16A" w14:textId="77777777" w:rsidR="00476AB8" w:rsidRDefault="00476AB8" w:rsidP="00585BB1">
      <w:pPr>
        <w:rPr>
          <w:color w:val="000000"/>
        </w:rPr>
      </w:pPr>
    </w:p>
    <w:p w14:paraId="2DCD6DA0" w14:textId="77777777" w:rsidR="0034788E" w:rsidRDefault="0034788E" w:rsidP="0034788E">
      <w:pPr>
        <w:rPr>
          <w:color w:val="000000"/>
        </w:rPr>
      </w:pPr>
    </w:p>
    <w:p w14:paraId="5CBD0A0C" w14:textId="77777777" w:rsidR="0034788E" w:rsidRDefault="0034788E" w:rsidP="0034788E">
      <w:pPr>
        <w:rPr>
          <w:color w:val="000000"/>
        </w:rPr>
      </w:pPr>
    </w:p>
    <w:p w14:paraId="3C2C0899" w14:textId="76A8C0B9" w:rsidR="0034788E" w:rsidRDefault="0034788E" w:rsidP="0034788E">
      <w:pPr>
        <w:rPr>
          <w:color w:val="000000"/>
        </w:rPr>
      </w:pPr>
      <w:r>
        <w:rPr>
          <w:color w:val="000000"/>
        </w:rPr>
        <w:lastRenderedPageBreak/>
        <w:t xml:space="preserve">    </w:t>
      </w:r>
      <w:r w:rsidRPr="00AC6D54">
        <w:rPr>
          <w:color w:val="000000"/>
        </w:rPr>
        <w:t>It is possible that schools and other educational environments do not provide sufficient support for language development due to insufficient teaching techniques, curricula, or educational policies.</w:t>
      </w:r>
      <w:r>
        <w:rPr>
          <w:color w:val="000000"/>
        </w:rPr>
        <w:t xml:space="preserve"> (OECD, 2019)</w:t>
      </w:r>
    </w:p>
    <w:p w14:paraId="0052A024" w14:textId="77777777" w:rsidR="0034788E" w:rsidRDefault="0034788E" w:rsidP="0034788E">
      <w:pPr>
        <w:rPr>
          <w:color w:val="000000"/>
        </w:rPr>
      </w:pPr>
    </w:p>
    <w:p w14:paraId="7CD62E49" w14:textId="4940F7D2" w:rsidR="0034788E" w:rsidRDefault="0034788E" w:rsidP="0034788E">
      <w:pPr>
        <w:rPr>
          <w:color w:val="000000"/>
        </w:rPr>
      </w:pPr>
      <w:r>
        <w:t xml:space="preserve">    </w:t>
      </w:r>
      <w:r w:rsidRPr="00AC6D54">
        <w:t>Throughout the entirety of a person's life, from childhood to adulthood, the development of language is significantly influenced by social interaction</w:t>
      </w:r>
      <w:r>
        <w:t xml:space="preserve">. </w:t>
      </w:r>
      <w:r w:rsidRPr="005B2552">
        <w:t>Attempts at language acquisition are provided with instant feedback and reinforcement through social interactions. When a child tries to communicate, whether through babbling, words, or sentences, the responses they receive from others help reinforce correct language use and encourage further language development</w:t>
      </w:r>
      <w:r w:rsidR="00DA1538">
        <w:t xml:space="preserve">. </w:t>
      </w:r>
      <w:r w:rsidR="00DA1538" w:rsidRPr="00DA1538">
        <w:rPr>
          <w:color w:val="000000"/>
        </w:rPr>
        <w:t xml:space="preserve"> </w:t>
      </w:r>
      <w:r w:rsidR="00DA1538">
        <w:rPr>
          <w:color w:val="000000"/>
        </w:rPr>
        <w:t>(Allen and Kelly, 2015)</w:t>
      </w:r>
      <w:r w:rsidR="00AA629F">
        <w:rPr>
          <w:color w:val="000000"/>
        </w:rPr>
        <w:t xml:space="preserve"> </w:t>
      </w:r>
    </w:p>
    <w:p w14:paraId="36065D82" w14:textId="77777777" w:rsidR="00592B66" w:rsidRDefault="00592B66" w:rsidP="0034788E">
      <w:pPr>
        <w:rPr>
          <w:color w:val="000000"/>
        </w:rPr>
      </w:pPr>
    </w:p>
    <w:p w14:paraId="4231B3FA" w14:textId="77777777" w:rsidR="007B35E8" w:rsidRDefault="007B35E8" w:rsidP="007B35E8">
      <w:pPr>
        <w:rPr>
          <w:color w:val="000000"/>
        </w:rPr>
      </w:pPr>
      <w:r w:rsidRPr="005B2552">
        <w:rPr>
          <w:color w:val="000000"/>
        </w:rPr>
        <w:t>It is possible for governments to develop policies concerning language education in schools. These policies may include requirements for language instruction, bilingual education programmes, language immersion efforts, and support for the preservation of heritage languages.</w:t>
      </w:r>
      <w:r>
        <w:rPr>
          <w:color w:val="000000"/>
        </w:rPr>
        <w:t xml:space="preserve"> </w:t>
      </w:r>
      <w:r w:rsidRPr="007A1794">
        <w:rPr>
          <w:color w:val="000000"/>
        </w:rPr>
        <w:t>Supporting multilingualism, building inclusive linguistic environments, and encouraging equitable access to excellent language education are all important goals that can be accomplished through the implementation of language development policies.</w:t>
      </w:r>
      <w:r>
        <w:rPr>
          <w:color w:val="000000"/>
        </w:rPr>
        <w:t xml:space="preserve"> (Cleave, 2020)</w:t>
      </w:r>
    </w:p>
    <w:p w14:paraId="5F794DF3" w14:textId="1EB7DD92" w:rsidR="002057A9" w:rsidRPr="00D93151" w:rsidRDefault="002057A9" w:rsidP="002057A9">
      <w:pPr>
        <w:rPr>
          <w:color w:val="000000"/>
        </w:rPr>
      </w:pPr>
    </w:p>
    <w:p w14:paraId="4502BB1B" w14:textId="08887C0C" w:rsidR="002057A9" w:rsidRDefault="002057A9" w:rsidP="00751525">
      <w:r>
        <w:rPr>
          <w:color w:val="000000"/>
        </w:rPr>
        <w:t xml:space="preserve"> </w:t>
      </w:r>
      <w:r w:rsidR="00E43D42">
        <w:rPr>
          <w:color w:val="000000"/>
        </w:rPr>
        <w:t xml:space="preserve">  </w:t>
      </w:r>
      <w:r w:rsidRPr="00D93151">
        <w:rPr>
          <w:color w:val="000000"/>
        </w:rPr>
        <w:t xml:space="preserve">Primary legislation, sometimes known as "statutes," is where most of the laws that pertain to the Welsh language can be found. These laws can be generated by either the United Kingdom </w:t>
      </w:r>
      <w:r w:rsidR="00751525" w:rsidRPr="00751525">
        <w:rPr>
          <w:color w:val="000000"/>
        </w:rPr>
        <w:t>Legislature, or Senedd Cymru. The Welsh Language Act 1993 (the 1993 Act) and the Welsh Language (Wales) Measure 2011 (the Measure) are the main statutes that have provisions pertaining to the Welsh language</w:t>
      </w:r>
      <w:r>
        <w:rPr>
          <w:color w:val="000000"/>
        </w:rPr>
        <w:t xml:space="preserve">. </w:t>
      </w:r>
      <w:r w:rsidR="00530D19">
        <w:rPr>
          <w:color w:val="000000"/>
        </w:rPr>
        <w:t xml:space="preserve">(Welsh </w:t>
      </w:r>
      <w:r w:rsidR="00455236">
        <w:rPr>
          <w:color w:val="000000"/>
        </w:rPr>
        <w:t>Government,</w:t>
      </w:r>
      <w:r w:rsidR="00530D19">
        <w:rPr>
          <w:color w:val="000000"/>
        </w:rPr>
        <w:t xml:space="preserve"> 2020)</w:t>
      </w:r>
    </w:p>
    <w:p w14:paraId="2FF625EE" w14:textId="0B1306FB" w:rsidR="00476AB8" w:rsidRPr="00C65EBA" w:rsidRDefault="0043284C" w:rsidP="00585BB1">
      <w:r>
        <w:rPr>
          <w:color w:val="000000"/>
        </w:rPr>
        <w:t xml:space="preserve">   </w:t>
      </w:r>
    </w:p>
    <w:p w14:paraId="64B20C2F" w14:textId="746D7160" w:rsidR="00C65EBA" w:rsidRDefault="00C65EBA" w:rsidP="00C65EBA">
      <w:r w:rsidRPr="003A36EE">
        <w:t xml:space="preserve">Jerome Bruner, a prominent psychologist, is credited with developing a theory of language development that is commonly referred to as the "Language Acquisition Support System" (CLASS). This theory is part of his broader framework of "scaffolding," which </w:t>
      </w:r>
      <w:r w:rsidR="00EB2170" w:rsidRPr="00EB2170">
        <w:t>highlights how social connection and environmental support are important for the development of cognition.</w:t>
      </w:r>
      <w:r w:rsidRPr="003A36EE">
        <w:t xml:space="preserve"> including language acquisition. Bruner's ideas have significantly contributed to our understanding of how children learn language.</w:t>
      </w:r>
      <w:r>
        <w:t xml:space="preserve"> </w:t>
      </w:r>
      <w:r>
        <w:rPr>
          <w:color w:val="000000"/>
        </w:rPr>
        <w:t>(Pound,2016)</w:t>
      </w:r>
    </w:p>
    <w:p w14:paraId="2C575779" w14:textId="77777777" w:rsidR="00476AB8" w:rsidRDefault="00476AB8" w:rsidP="00585BB1">
      <w:pPr>
        <w:rPr>
          <w:color w:val="000000"/>
        </w:rPr>
      </w:pPr>
    </w:p>
    <w:p w14:paraId="3943685A" w14:textId="77777777" w:rsidR="00FB0280" w:rsidRDefault="00FB0280" w:rsidP="00FB0280">
      <w:r w:rsidRPr="0069050E">
        <w:t>The importance of context in language learning was emphasised by Bruner, who proposed that the most effective way to comprehend and acquire a language is by circumstances that are relevant and authentic. He advocated for providing children with rich, interactive experiences that allow them to use language in purposeful ways and make connections between language and their everyday experiences.</w:t>
      </w:r>
      <w:r>
        <w:t xml:space="preserve"> </w:t>
      </w:r>
      <w:r>
        <w:rPr>
          <w:color w:val="000000"/>
        </w:rPr>
        <w:t>(Mcleod, S. 2023)</w:t>
      </w:r>
    </w:p>
    <w:p w14:paraId="7DEAF199" w14:textId="50D348C8" w:rsidR="00FB0280" w:rsidRDefault="002F587F" w:rsidP="00585BB1">
      <w:pPr>
        <w:rPr>
          <w:color w:val="000000"/>
        </w:rPr>
      </w:pPr>
      <w:r>
        <w:rPr>
          <w:color w:val="000000"/>
        </w:rPr>
        <w:t xml:space="preserve"> </w:t>
      </w:r>
    </w:p>
    <w:p w14:paraId="4D8573EF" w14:textId="327F2081" w:rsidR="00E16B8E" w:rsidRDefault="003C487D" w:rsidP="00E2575A">
      <w:pPr>
        <w:rPr>
          <w:color w:val="000000"/>
        </w:rPr>
      </w:pPr>
      <w:r w:rsidRPr="003C487D">
        <w:rPr>
          <w:color w:val="000000"/>
        </w:rPr>
        <w:t>Vygotsky concluded that language is a cultural instrument that acts as a mediator for social interactions and changes cognitive processes. He argued that language not only reflects the culture in which it is used but also actively influences how individuals think, learn, and perceive the world around them. Through language, individuals access cultural knowledge, engage in social activities, and participate in shared meaning-making practices.</w:t>
      </w:r>
      <w:r w:rsidR="005712DF">
        <w:rPr>
          <w:color w:val="000000"/>
        </w:rPr>
        <w:t xml:space="preserve"> (Mcleod, 2024) </w:t>
      </w:r>
    </w:p>
    <w:p w14:paraId="5208DCED" w14:textId="77777777" w:rsidR="000F3858" w:rsidRDefault="000F3858" w:rsidP="00585BB1">
      <w:pPr>
        <w:rPr>
          <w:color w:val="000000"/>
        </w:rPr>
      </w:pPr>
    </w:p>
    <w:p w14:paraId="434732F6" w14:textId="77777777" w:rsidR="000F3858" w:rsidRDefault="000F3858" w:rsidP="00585BB1">
      <w:pPr>
        <w:rPr>
          <w:color w:val="000000"/>
        </w:rPr>
      </w:pPr>
    </w:p>
    <w:p w14:paraId="0C135777" w14:textId="77777777" w:rsidR="000F3858" w:rsidRDefault="000F3858" w:rsidP="00585BB1">
      <w:pPr>
        <w:rPr>
          <w:color w:val="000000"/>
        </w:rPr>
      </w:pPr>
    </w:p>
    <w:p w14:paraId="2BF304BC" w14:textId="77777777" w:rsidR="000F3858" w:rsidRDefault="000F3858" w:rsidP="00585BB1">
      <w:pPr>
        <w:rPr>
          <w:color w:val="000000"/>
        </w:rPr>
      </w:pPr>
    </w:p>
    <w:p w14:paraId="25DDCD93" w14:textId="62A2A93C" w:rsidR="00875225" w:rsidRPr="00875225" w:rsidRDefault="006355F4" w:rsidP="00585BB1">
      <w:pPr>
        <w:rPr>
          <w:color w:val="000000"/>
          <w:shd w:val="clear" w:color="auto" w:fill="FFFFFF"/>
        </w:rPr>
      </w:pPr>
      <w:r>
        <w:rPr>
          <w:color w:val="000000"/>
        </w:rPr>
        <w:t xml:space="preserve">The difference between Vygotsky and bruners theory is that </w:t>
      </w:r>
      <w:r w:rsidR="00822E78" w:rsidRPr="00822E78">
        <w:rPr>
          <w:color w:val="000000"/>
        </w:rPr>
        <w:t>Vygotsky viewed language as a tool for communication, thought</w:t>
      </w:r>
      <w:r>
        <w:rPr>
          <w:color w:val="000000"/>
        </w:rPr>
        <w:t xml:space="preserve"> </w:t>
      </w:r>
      <w:r w:rsidR="00822E78" w:rsidRPr="00822E78">
        <w:rPr>
          <w:color w:val="000000"/>
        </w:rPr>
        <w:t>and the transfer of cultural values</w:t>
      </w:r>
      <w:r w:rsidR="00A13AEC">
        <w:rPr>
          <w:color w:val="000000"/>
        </w:rPr>
        <w:t xml:space="preserve"> </w:t>
      </w:r>
      <w:r w:rsidR="00822E78" w:rsidRPr="00822E78">
        <w:rPr>
          <w:color w:val="000000"/>
        </w:rPr>
        <w:t xml:space="preserve">and he placed a significant amount of importance on the function that language plays in the development of cognitive abilities. </w:t>
      </w:r>
      <w:r w:rsidR="00A13AEC">
        <w:rPr>
          <w:color w:val="000000"/>
        </w:rPr>
        <w:t xml:space="preserve">Vygotsky </w:t>
      </w:r>
      <w:r w:rsidR="00822E78" w:rsidRPr="00822E78">
        <w:rPr>
          <w:color w:val="000000"/>
        </w:rPr>
        <w:t>argued that language mediates social interactions and shapes cognitive processes, such as problem-solving and reasoning</w:t>
      </w:r>
      <w:r w:rsidR="00E33C6C">
        <w:rPr>
          <w:color w:val="000000"/>
        </w:rPr>
        <w:t>.</w:t>
      </w:r>
      <w:r>
        <w:rPr>
          <w:color w:val="000000"/>
        </w:rPr>
        <w:t xml:space="preserve"> </w:t>
      </w:r>
      <w:r w:rsidR="00875225">
        <w:rPr>
          <w:color w:val="000000"/>
        </w:rPr>
        <w:t xml:space="preserve"> </w:t>
      </w:r>
      <w:r w:rsidR="00802ABA" w:rsidRPr="00802ABA">
        <w:rPr>
          <w:color w:val="000000"/>
          <w:shd w:val="clear" w:color="auto" w:fill="FFFFFF"/>
        </w:rPr>
        <w:t>According to Vygotsky, language is developed for communication purposes through social interactions</w:t>
      </w:r>
      <w:r w:rsidR="00845075">
        <w:rPr>
          <w:color w:val="000000"/>
          <w:shd w:val="clear" w:color="auto" w:fill="FFFFFF"/>
        </w:rPr>
        <w:t xml:space="preserve"> </w:t>
      </w:r>
      <w:r w:rsidR="00D71F3A">
        <w:rPr>
          <w:color w:val="000000"/>
          <w:shd w:val="clear" w:color="auto" w:fill="FFFFFF"/>
        </w:rPr>
        <w:t xml:space="preserve">and </w:t>
      </w:r>
      <w:r w:rsidR="00D71F3A" w:rsidRPr="00802ABA">
        <w:rPr>
          <w:color w:val="000000"/>
          <w:shd w:val="clear" w:color="auto" w:fill="FFFFFF"/>
        </w:rPr>
        <w:t>language</w:t>
      </w:r>
      <w:r w:rsidR="00802ABA" w:rsidRPr="00802ABA">
        <w:rPr>
          <w:color w:val="000000"/>
          <w:shd w:val="clear" w:color="auto" w:fill="FFFFFF"/>
        </w:rPr>
        <w:t xml:space="preserve"> is man's most useful means of interaction with the outside world.</w:t>
      </w:r>
      <w:r w:rsidR="00875225">
        <w:rPr>
          <w:color w:val="000000"/>
          <w:shd w:val="clear" w:color="auto" w:fill="FFFFFF"/>
        </w:rPr>
        <w:t xml:space="preserve">” </w:t>
      </w:r>
      <w:r w:rsidR="00E5054C">
        <w:rPr>
          <w:color w:val="000000"/>
        </w:rPr>
        <w:t>(Mcleod, 2024)</w:t>
      </w:r>
    </w:p>
    <w:p w14:paraId="6ADF11D2" w14:textId="608F8224" w:rsidR="000F3858" w:rsidRDefault="006355F4" w:rsidP="00585BB1">
      <w:pPr>
        <w:rPr>
          <w:color w:val="000000"/>
        </w:rPr>
      </w:pPr>
      <w:r w:rsidRPr="006355F4">
        <w:rPr>
          <w:color w:val="000000"/>
        </w:rPr>
        <w:t>Bruner acknowledged the significance of language in the process of cognitive growth; nonetheless, his theory primarily concentrated on the narrative and symbolic parts of language. He emphasized the role of storytelling, narrative structures, and cultural narratives in organizing experiences and constructing meaning.</w:t>
      </w:r>
      <w:r w:rsidR="00B00908">
        <w:rPr>
          <w:color w:val="000000"/>
        </w:rPr>
        <w:t xml:space="preserve">  </w:t>
      </w:r>
      <w:r w:rsidR="00D71F3A" w:rsidRPr="00D71F3A">
        <w:rPr>
          <w:color w:val="000000"/>
          <w:shd w:val="clear" w:color="auto" w:fill="FFFFFF"/>
        </w:rPr>
        <w:t xml:space="preserve">According to Bruner, children can express themselves in more sophisticated ways as they get older, which is essentially how they think, and the spiral curriculum should take this into </w:t>
      </w:r>
      <w:r w:rsidR="00D71F3A" w:rsidRPr="00D71F3A">
        <w:rPr>
          <w:color w:val="000000"/>
          <w:shd w:val="clear" w:color="auto" w:fill="FFFFFF"/>
        </w:rPr>
        <w:t>account.</w:t>
      </w:r>
      <w:r w:rsidR="00727D25">
        <w:rPr>
          <w:color w:val="000000"/>
          <w:shd w:val="clear" w:color="auto" w:fill="FFFFFF"/>
        </w:rPr>
        <w:t xml:space="preserve"> </w:t>
      </w:r>
      <w:r w:rsidR="00727D25">
        <w:rPr>
          <w:color w:val="000000"/>
        </w:rPr>
        <w:t>(Mcleod, 2023)</w:t>
      </w:r>
    </w:p>
    <w:p w14:paraId="42DB7AC9" w14:textId="77777777" w:rsidR="00114899" w:rsidRDefault="00114899" w:rsidP="00585BB1">
      <w:pPr>
        <w:rPr>
          <w:color w:val="000000"/>
        </w:rPr>
      </w:pPr>
    </w:p>
    <w:p w14:paraId="463315DC" w14:textId="77777777" w:rsidR="00ED5D01" w:rsidRDefault="00ED5D01" w:rsidP="003D2AD0">
      <w:pPr>
        <w:pStyle w:val="Heading1"/>
        <w:spacing w:before="0" w:after="240" w:line="540" w:lineRule="atLeast"/>
        <w:rPr>
          <w:rFonts w:ascii="Calibri" w:hAnsi="Calibri" w:cs="Calibri"/>
          <w:color w:val="000000"/>
          <w:sz w:val="36"/>
          <w:szCs w:val="36"/>
        </w:rPr>
      </w:pPr>
    </w:p>
    <w:p w14:paraId="55EF66FF" w14:textId="77777777" w:rsidR="00655E23" w:rsidRDefault="00655E23" w:rsidP="003D2AD0">
      <w:pPr>
        <w:pStyle w:val="Heading1"/>
        <w:spacing w:before="0" w:after="240" w:line="540" w:lineRule="atLeast"/>
        <w:rPr>
          <w:rFonts w:ascii="Calibri" w:hAnsi="Calibri" w:cs="Calibri"/>
          <w:color w:val="000000"/>
          <w:sz w:val="36"/>
          <w:szCs w:val="36"/>
        </w:rPr>
      </w:pPr>
    </w:p>
    <w:p w14:paraId="61F7E400" w14:textId="77777777" w:rsidR="00655E23" w:rsidRDefault="00655E23" w:rsidP="003D2AD0">
      <w:pPr>
        <w:pStyle w:val="Heading1"/>
        <w:spacing w:before="0" w:after="240" w:line="540" w:lineRule="atLeast"/>
        <w:rPr>
          <w:rFonts w:ascii="Calibri" w:hAnsi="Calibri" w:cs="Calibri"/>
          <w:color w:val="000000"/>
          <w:sz w:val="36"/>
          <w:szCs w:val="36"/>
        </w:rPr>
      </w:pPr>
    </w:p>
    <w:p w14:paraId="3D6BBD8D" w14:textId="77777777" w:rsidR="00655E23" w:rsidRPr="00655E23" w:rsidRDefault="00655E23" w:rsidP="00655E23"/>
    <w:p w14:paraId="58941065" w14:textId="3106AF00" w:rsidR="003D2AD0" w:rsidRPr="00EF2394" w:rsidRDefault="003D2AD0" w:rsidP="003D2AD0">
      <w:pPr>
        <w:pStyle w:val="Heading1"/>
        <w:spacing w:before="0" w:after="240" w:line="540" w:lineRule="atLeast"/>
        <w:rPr>
          <w:rFonts w:ascii="Calibri" w:hAnsi="Calibri" w:cs="Calibri"/>
          <w:color w:val="000000"/>
          <w:sz w:val="36"/>
          <w:szCs w:val="36"/>
        </w:rPr>
      </w:pPr>
      <w:r w:rsidRPr="00EF2394">
        <w:rPr>
          <w:rFonts w:ascii="Calibri" w:hAnsi="Calibri" w:cs="Calibri"/>
          <w:color w:val="000000"/>
          <w:sz w:val="36"/>
          <w:szCs w:val="36"/>
        </w:rPr>
        <w:t>Reference list</w:t>
      </w:r>
    </w:p>
    <w:p w14:paraId="4345E4CF"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r w:rsidRPr="00EF2394">
        <w:rPr>
          <w:rFonts w:ascii="Calibri" w:hAnsi="Calibri" w:cs="Calibri"/>
          <w:color w:val="000000"/>
        </w:rPr>
        <w:t xml:space="preserve">Allen, </w:t>
      </w:r>
      <w:proofErr w:type="gramStart"/>
      <w:r w:rsidRPr="00EF2394">
        <w:rPr>
          <w:rFonts w:ascii="Calibri" w:hAnsi="Calibri" w:cs="Calibri"/>
          <w:color w:val="000000"/>
        </w:rPr>
        <w:t>L.</w:t>
      </w:r>
      <w:proofErr w:type="gramEnd"/>
      <w:r w:rsidRPr="00EF2394">
        <w:rPr>
          <w:rFonts w:ascii="Calibri" w:hAnsi="Calibri" w:cs="Calibri"/>
          <w:color w:val="000000"/>
        </w:rPr>
        <w:t xml:space="preserve"> and Kelly, B.B. (2015).</w:t>
      </w:r>
      <w:r w:rsidRPr="00EF2394">
        <w:rPr>
          <w:rStyle w:val="apple-converted-space"/>
          <w:rFonts w:ascii="Calibri" w:eastAsiaTheme="majorEastAsia" w:hAnsi="Calibri" w:cs="Calibri"/>
          <w:color w:val="000000"/>
        </w:rPr>
        <w:t> </w:t>
      </w:r>
      <w:r w:rsidRPr="00EF2394">
        <w:rPr>
          <w:rFonts w:ascii="Calibri" w:hAnsi="Calibri" w:cs="Calibri"/>
          <w:i/>
          <w:iCs/>
          <w:color w:val="000000"/>
        </w:rPr>
        <w:t xml:space="preserve">Child Development and Early </w:t>
      </w:r>
      <w:proofErr w:type="gramStart"/>
      <w:r w:rsidRPr="00EF2394">
        <w:rPr>
          <w:rFonts w:ascii="Calibri" w:hAnsi="Calibri" w:cs="Calibri"/>
          <w:i/>
          <w:iCs/>
          <w:color w:val="000000"/>
        </w:rPr>
        <w:t>Learning</w:t>
      </w:r>
      <w:r w:rsidRPr="00EF2394">
        <w:rPr>
          <w:rStyle w:val="apple-converted-space"/>
          <w:rFonts w:ascii="Calibri" w:eastAsiaTheme="majorEastAsia" w:hAnsi="Calibri" w:cs="Calibri"/>
          <w:i/>
          <w:iCs/>
          <w:color w:val="000000"/>
        </w:rPr>
        <w:t> </w:t>
      </w:r>
      <w:r w:rsidRPr="00EF2394">
        <w:rPr>
          <w:rFonts w:ascii="Calibri" w:hAnsi="Calibri" w:cs="Calibri"/>
          <w:color w:val="000000"/>
        </w:rPr>
        <w:t>.</w:t>
      </w:r>
      <w:proofErr w:type="gramEnd"/>
      <w:r w:rsidRPr="00EF2394">
        <w:rPr>
          <w:rFonts w:ascii="Calibri" w:hAnsi="Calibri" w:cs="Calibri"/>
          <w:color w:val="000000"/>
        </w:rPr>
        <w:t xml:space="preserve"> [online] nih.gov. Available at: https://www.ncbi.nlm.nih.gov/books/NBK310550/ [Accessed 16 May 2024].</w:t>
      </w:r>
    </w:p>
    <w:p w14:paraId="6B67A52D"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r w:rsidRPr="00EF2394">
        <w:rPr>
          <w:rFonts w:ascii="Calibri" w:hAnsi="Calibri" w:cs="Calibri"/>
          <w:color w:val="000000"/>
        </w:rPr>
        <w:t>Cleave, E. (2020).</w:t>
      </w:r>
      <w:r w:rsidRPr="00EF2394">
        <w:rPr>
          <w:rStyle w:val="apple-converted-space"/>
          <w:rFonts w:ascii="Calibri" w:eastAsiaTheme="majorEastAsia" w:hAnsi="Calibri" w:cs="Calibri"/>
          <w:color w:val="000000"/>
        </w:rPr>
        <w:t> </w:t>
      </w:r>
      <w:r w:rsidRPr="00EF2394">
        <w:rPr>
          <w:rFonts w:ascii="Calibri" w:hAnsi="Calibri" w:cs="Calibri"/>
          <w:i/>
          <w:iCs/>
          <w:color w:val="000000"/>
        </w:rPr>
        <w:t xml:space="preserve">Language, </w:t>
      </w:r>
      <w:proofErr w:type="gramStart"/>
      <w:r w:rsidRPr="00EF2394">
        <w:rPr>
          <w:rFonts w:ascii="Calibri" w:hAnsi="Calibri" w:cs="Calibri"/>
          <w:i/>
          <w:iCs/>
          <w:color w:val="000000"/>
        </w:rPr>
        <w:t>education</w:t>
      </w:r>
      <w:proofErr w:type="gramEnd"/>
      <w:r w:rsidRPr="00EF2394">
        <w:rPr>
          <w:rFonts w:ascii="Calibri" w:hAnsi="Calibri" w:cs="Calibri"/>
          <w:i/>
          <w:iCs/>
          <w:color w:val="000000"/>
        </w:rPr>
        <w:t xml:space="preserve"> and social justice: International strategies for systems change in multilingual schools AUTHOR</w:t>
      </w:r>
      <w:r w:rsidRPr="00EF2394">
        <w:rPr>
          <w:rFonts w:ascii="Calibri" w:hAnsi="Calibri" w:cs="Calibri"/>
          <w:color w:val="000000"/>
        </w:rPr>
        <w:t>. [online] Available at: https://www.bell-foundation.org.uk/app/uploads/2020/06/Churchill-Report-2020-FV-web.pdf [Accessed 15 May 2024].</w:t>
      </w:r>
    </w:p>
    <w:p w14:paraId="0238903C"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r w:rsidRPr="00EF2394">
        <w:rPr>
          <w:rFonts w:ascii="Calibri" w:hAnsi="Calibri" w:cs="Calibri"/>
          <w:color w:val="000000"/>
        </w:rPr>
        <w:t>Communication theory (2021).</w:t>
      </w:r>
      <w:r w:rsidRPr="00EF2394">
        <w:rPr>
          <w:rStyle w:val="apple-converted-space"/>
          <w:rFonts w:ascii="Calibri" w:eastAsiaTheme="majorEastAsia" w:hAnsi="Calibri" w:cs="Calibri"/>
          <w:color w:val="000000"/>
        </w:rPr>
        <w:t> </w:t>
      </w:r>
      <w:r w:rsidRPr="00EF2394">
        <w:rPr>
          <w:rFonts w:ascii="Calibri" w:hAnsi="Calibri" w:cs="Calibri"/>
          <w:i/>
          <w:iCs/>
          <w:color w:val="000000"/>
        </w:rPr>
        <w:t>Language Barriers in Communication</w:t>
      </w:r>
      <w:r w:rsidRPr="00EF2394">
        <w:rPr>
          <w:rFonts w:ascii="Calibri" w:hAnsi="Calibri" w:cs="Calibri"/>
          <w:color w:val="000000"/>
        </w:rPr>
        <w:t>. [online] Communication Theory. Available at: https://www.communicationtheory.org/language-barriers-in-communication/ [Accessed 15 May 2024].</w:t>
      </w:r>
    </w:p>
    <w:p w14:paraId="4F01FC07"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r w:rsidRPr="00EF2394">
        <w:rPr>
          <w:rFonts w:ascii="Calibri" w:hAnsi="Calibri" w:cs="Calibri"/>
          <w:color w:val="000000"/>
        </w:rPr>
        <w:t>Department For Education (2023).</w:t>
      </w:r>
      <w:r w:rsidRPr="00EF2394">
        <w:rPr>
          <w:rStyle w:val="apple-converted-space"/>
          <w:rFonts w:ascii="Calibri" w:eastAsiaTheme="majorEastAsia" w:hAnsi="Calibri" w:cs="Calibri"/>
          <w:color w:val="000000"/>
        </w:rPr>
        <w:t> </w:t>
      </w:r>
      <w:r w:rsidRPr="00EF2394">
        <w:rPr>
          <w:rFonts w:ascii="Calibri" w:hAnsi="Calibri" w:cs="Calibri"/>
          <w:i/>
          <w:iCs/>
          <w:color w:val="000000"/>
        </w:rPr>
        <w:t>Exploring Language - Help for Early Years Providers - GOV.UK</w:t>
      </w:r>
      <w:r w:rsidRPr="00EF2394">
        <w:rPr>
          <w:rFonts w:ascii="Calibri" w:hAnsi="Calibri" w:cs="Calibri"/>
          <w:color w:val="000000"/>
        </w:rPr>
        <w:t>. [online] help-for-early-years-providers.education.gov.uk. Available at: https://help-for-early-years-providers.education.gov.uk/communication-and-language/exploring-language [Accessed 30 Apr. 2024].</w:t>
      </w:r>
    </w:p>
    <w:p w14:paraId="1A2E7529"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r w:rsidRPr="00EF2394">
        <w:rPr>
          <w:rFonts w:ascii="Calibri" w:hAnsi="Calibri" w:cs="Calibri"/>
          <w:color w:val="000000"/>
        </w:rPr>
        <w:lastRenderedPageBreak/>
        <w:t>Department for Education (2021).</w:t>
      </w:r>
      <w:r w:rsidRPr="00EF2394">
        <w:rPr>
          <w:rStyle w:val="apple-converted-space"/>
          <w:rFonts w:ascii="Calibri" w:eastAsiaTheme="majorEastAsia" w:hAnsi="Calibri" w:cs="Calibri"/>
          <w:color w:val="000000"/>
        </w:rPr>
        <w:t> </w:t>
      </w:r>
      <w:r w:rsidRPr="00EF2394">
        <w:rPr>
          <w:rFonts w:ascii="Calibri" w:hAnsi="Calibri" w:cs="Calibri"/>
          <w:i/>
          <w:iCs/>
          <w:color w:val="000000"/>
        </w:rPr>
        <w:t>Meeting the Needs of All Children - Help for Early Years Providers - GOV.UK</w:t>
      </w:r>
      <w:r w:rsidRPr="00EF2394">
        <w:rPr>
          <w:rFonts w:ascii="Calibri" w:hAnsi="Calibri" w:cs="Calibri"/>
          <w:color w:val="000000"/>
        </w:rPr>
        <w:t>. [online] help-for-early-years-providers.education.gov.uk. Available at: https://help-for-early-years-providers.education.gov.uk/get-help-to-improve-your-practice/meeting-the-needs-of-all-children [Accessed 25 Apr. 2024].</w:t>
      </w:r>
    </w:p>
    <w:p w14:paraId="03515D7F"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r w:rsidRPr="00EF2394">
        <w:rPr>
          <w:rFonts w:ascii="Calibri" w:hAnsi="Calibri" w:cs="Calibri"/>
          <w:color w:val="000000"/>
        </w:rPr>
        <w:t>Mcleod, S. (2024a).</w:t>
      </w:r>
      <w:r w:rsidRPr="00EF2394">
        <w:rPr>
          <w:rStyle w:val="apple-converted-space"/>
          <w:rFonts w:ascii="Calibri" w:eastAsiaTheme="majorEastAsia" w:hAnsi="Calibri" w:cs="Calibri"/>
          <w:color w:val="000000"/>
        </w:rPr>
        <w:t> </w:t>
      </w:r>
      <w:r w:rsidRPr="00EF2394">
        <w:rPr>
          <w:rFonts w:ascii="Calibri" w:hAnsi="Calibri" w:cs="Calibri"/>
          <w:i/>
          <w:iCs/>
          <w:color w:val="000000"/>
        </w:rPr>
        <w:t xml:space="preserve">Bruner - Learning Theory in </w:t>
      </w:r>
      <w:proofErr w:type="gramStart"/>
      <w:r w:rsidRPr="00EF2394">
        <w:rPr>
          <w:rFonts w:ascii="Calibri" w:hAnsi="Calibri" w:cs="Calibri"/>
          <w:i/>
          <w:iCs/>
          <w:color w:val="000000"/>
        </w:rPr>
        <w:t>Education</w:t>
      </w:r>
      <w:r w:rsidRPr="00EF2394">
        <w:rPr>
          <w:rStyle w:val="apple-converted-space"/>
          <w:rFonts w:ascii="Calibri" w:eastAsiaTheme="majorEastAsia" w:hAnsi="Calibri" w:cs="Calibri"/>
          <w:i/>
          <w:iCs/>
          <w:color w:val="000000"/>
        </w:rPr>
        <w:t> </w:t>
      </w:r>
      <w:r w:rsidRPr="00EF2394">
        <w:rPr>
          <w:rFonts w:ascii="Calibri" w:hAnsi="Calibri" w:cs="Calibri"/>
          <w:color w:val="000000"/>
        </w:rPr>
        <w:t>.</w:t>
      </w:r>
      <w:proofErr w:type="gramEnd"/>
      <w:r w:rsidRPr="00EF2394">
        <w:rPr>
          <w:rFonts w:ascii="Calibri" w:hAnsi="Calibri" w:cs="Calibri"/>
          <w:color w:val="000000"/>
        </w:rPr>
        <w:t xml:space="preserve"> [online] Simply Psychology. Available at: https://www.simplypsychology.org/bruner.html [Accessed 15 May 2024].</w:t>
      </w:r>
    </w:p>
    <w:p w14:paraId="637C7C12"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r w:rsidRPr="00EF2394">
        <w:rPr>
          <w:rFonts w:ascii="Calibri" w:hAnsi="Calibri" w:cs="Calibri"/>
          <w:color w:val="000000"/>
        </w:rPr>
        <w:t>Mcleod, S. (2024b).</w:t>
      </w:r>
      <w:r w:rsidRPr="00EF2394">
        <w:rPr>
          <w:rStyle w:val="apple-converted-space"/>
          <w:rFonts w:ascii="Calibri" w:eastAsiaTheme="majorEastAsia" w:hAnsi="Calibri" w:cs="Calibri"/>
          <w:color w:val="000000"/>
        </w:rPr>
        <w:t> </w:t>
      </w:r>
      <w:r w:rsidRPr="00EF2394">
        <w:rPr>
          <w:rFonts w:ascii="Calibri" w:hAnsi="Calibri" w:cs="Calibri"/>
          <w:i/>
          <w:iCs/>
          <w:color w:val="000000"/>
        </w:rPr>
        <w:t>Vygotsky’s Sociocultural Theory of Cognitive Development</w:t>
      </w:r>
      <w:r w:rsidRPr="00EF2394">
        <w:rPr>
          <w:rFonts w:ascii="Calibri" w:hAnsi="Calibri" w:cs="Calibri"/>
          <w:color w:val="000000"/>
        </w:rPr>
        <w:t>. [online] Simply Psychology. Available at: https://www.simplypsychology.org/vygotsky.html [Accessed 15 May 2024].</w:t>
      </w:r>
    </w:p>
    <w:p w14:paraId="39B09B74"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r w:rsidRPr="00EF2394">
        <w:rPr>
          <w:rFonts w:ascii="Calibri" w:hAnsi="Calibri" w:cs="Calibri"/>
          <w:color w:val="000000"/>
        </w:rPr>
        <w:t>OECD (2019).</w:t>
      </w:r>
      <w:r w:rsidRPr="00EF2394">
        <w:rPr>
          <w:rStyle w:val="apple-converted-space"/>
          <w:rFonts w:ascii="Calibri" w:eastAsiaTheme="majorEastAsia" w:hAnsi="Calibri" w:cs="Calibri"/>
          <w:color w:val="000000"/>
        </w:rPr>
        <w:t> </w:t>
      </w:r>
      <w:r w:rsidRPr="00EF2394">
        <w:rPr>
          <w:rFonts w:ascii="Calibri" w:hAnsi="Calibri" w:cs="Calibri"/>
          <w:i/>
          <w:iCs/>
          <w:color w:val="000000"/>
        </w:rPr>
        <w:t xml:space="preserve">Creating Effective Teaching and Learning </w:t>
      </w:r>
      <w:proofErr w:type="gramStart"/>
      <w:r w:rsidRPr="00EF2394">
        <w:rPr>
          <w:rFonts w:ascii="Calibri" w:hAnsi="Calibri" w:cs="Calibri"/>
          <w:i/>
          <w:iCs/>
          <w:color w:val="000000"/>
        </w:rPr>
        <w:t>Environments</w:t>
      </w:r>
      <w:r w:rsidRPr="00EF2394">
        <w:rPr>
          <w:rStyle w:val="apple-converted-space"/>
          <w:rFonts w:ascii="Calibri" w:eastAsiaTheme="majorEastAsia" w:hAnsi="Calibri" w:cs="Calibri"/>
          <w:i/>
          <w:iCs/>
          <w:color w:val="000000"/>
        </w:rPr>
        <w:t> </w:t>
      </w:r>
      <w:r w:rsidRPr="00EF2394">
        <w:rPr>
          <w:rFonts w:ascii="Calibri" w:hAnsi="Calibri" w:cs="Calibri"/>
          <w:color w:val="000000"/>
        </w:rPr>
        <w:t>.</w:t>
      </w:r>
      <w:proofErr w:type="gramEnd"/>
      <w:r w:rsidRPr="00EF2394">
        <w:rPr>
          <w:rFonts w:ascii="Calibri" w:hAnsi="Calibri" w:cs="Calibri"/>
          <w:color w:val="000000"/>
        </w:rPr>
        <w:t xml:space="preserve"> [online] Available at: https://www.oecd.org/education/school/43023606.pdf [Accessed 15 May 2024].</w:t>
      </w:r>
    </w:p>
    <w:p w14:paraId="4748849C"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r w:rsidRPr="00EF2394">
        <w:rPr>
          <w:rFonts w:ascii="Calibri" w:hAnsi="Calibri" w:cs="Calibri"/>
          <w:color w:val="000000"/>
        </w:rPr>
        <w:t>Pound, L. (2016).</w:t>
      </w:r>
      <w:r w:rsidRPr="00EF2394">
        <w:rPr>
          <w:rStyle w:val="apple-converted-space"/>
          <w:rFonts w:ascii="Calibri" w:eastAsiaTheme="majorEastAsia" w:hAnsi="Calibri" w:cs="Calibri"/>
          <w:color w:val="000000"/>
        </w:rPr>
        <w:t> </w:t>
      </w:r>
      <w:r w:rsidRPr="00EF2394">
        <w:rPr>
          <w:rFonts w:ascii="Calibri" w:hAnsi="Calibri" w:cs="Calibri"/>
          <w:i/>
          <w:iCs/>
          <w:color w:val="000000"/>
        </w:rPr>
        <w:t>Early Years Pioneers - Jerome Bruner</w:t>
      </w:r>
      <w:r w:rsidRPr="00EF2394">
        <w:rPr>
          <w:rFonts w:ascii="Calibri" w:hAnsi="Calibri" w:cs="Calibri"/>
          <w:color w:val="000000"/>
        </w:rPr>
        <w:t>. [online] Nursery World. Available at: https://www.nurseryworld.co.uk/features/article/early-years-pioneers-jerome-bruner [Accessed 15 May 2024].</w:t>
      </w:r>
    </w:p>
    <w:p w14:paraId="44143BD9"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proofErr w:type="spellStart"/>
      <w:r w:rsidRPr="00EF2394">
        <w:rPr>
          <w:rFonts w:ascii="Calibri" w:hAnsi="Calibri" w:cs="Calibri"/>
          <w:color w:val="000000"/>
        </w:rPr>
        <w:t>Toppelberg</w:t>
      </w:r>
      <w:proofErr w:type="spellEnd"/>
      <w:r w:rsidRPr="00EF2394">
        <w:rPr>
          <w:rFonts w:ascii="Calibri" w:hAnsi="Calibri" w:cs="Calibri"/>
          <w:color w:val="000000"/>
        </w:rPr>
        <w:t>, C.O. and Collins, B.A. (2012). Language, Culture, and Adaptation in Immigrant Children.</w:t>
      </w:r>
      <w:r w:rsidRPr="00EF2394">
        <w:rPr>
          <w:rStyle w:val="apple-converted-space"/>
          <w:rFonts w:ascii="Calibri" w:eastAsiaTheme="majorEastAsia" w:hAnsi="Calibri" w:cs="Calibri"/>
          <w:color w:val="000000"/>
        </w:rPr>
        <w:t> </w:t>
      </w:r>
      <w:r w:rsidRPr="00EF2394">
        <w:rPr>
          <w:rFonts w:ascii="Calibri" w:hAnsi="Calibri" w:cs="Calibri"/>
          <w:i/>
          <w:iCs/>
          <w:color w:val="000000"/>
        </w:rPr>
        <w:t>Child and Adolescent Psychiatric Clinics of North America</w:t>
      </w:r>
      <w:r w:rsidRPr="00EF2394">
        <w:rPr>
          <w:rFonts w:ascii="Calibri" w:hAnsi="Calibri" w:cs="Calibri"/>
          <w:color w:val="000000"/>
        </w:rPr>
        <w:t xml:space="preserve">, [online] 19(4), pp.697–717. </w:t>
      </w:r>
      <w:proofErr w:type="spellStart"/>
      <w:proofErr w:type="gramStart"/>
      <w:r w:rsidRPr="00EF2394">
        <w:rPr>
          <w:rFonts w:ascii="Calibri" w:hAnsi="Calibri" w:cs="Calibri"/>
          <w:color w:val="000000"/>
        </w:rPr>
        <w:t>doi:https</w:t>
      </w:r>
      <w:proofErr w:type="spellEnd"/>
      <w:r w:rsidRPr="00EF2394">
        <w:rPr>
          <w:rFonts w:ascii="Calibri" w:hAnsi="Calibri" w:cs="Calibri"/>
          <w:color w:val="000000"/>
        </w:rPr>
        <w:t>://doi.org/10.1016/j.chc.2010.07.003</w:t>
      </w:r>
      <w:proofErr w:type="gramEnd"/>
      <w:r w:rsidRPr="00EF2394">
        <w:rPr>
          <w:rFonts w:ascii="Calibri" w:hAnsi="Calibri" w:cs="Calibri"/>
          <w:color w:val="000000"/>
        </w:rPr>
        <w:t>.</w:t>
      </w:r>
    </w:p>
    <w:p w14:paraId="5748D23E" w14:textId="77777777" w:rsidR="003D2AD0" w:rsidRPr="00EF2394" w:rsidRDefault="003D2AD0" w:rsidP="003D2AD0">
      <w:pPr>
        <w:pStyle w:val="NormalWeb"/>
        <w:spacing w:before="0" w:beforeAutospacing="0" w:after="240" w:afterAutospacing="0" w:line="360" w:lineRule="atLeast"/>
        <w:rPr>
          <w:rFonts w:ascii="Calibri" w:hAnsi="Calibri" w:cs="Calibri"/>
          <w:color w:val="000000"/>
        </w:rPr>
      </w:pPr>
      <w:r w:rsidRPr="00EF2394">
        <w:rPr>
          <w:rFonts w:ascii="Calibri" w:hAnsi="Calibri" w:cs="Calibri"/>
          <w:color w:val="000000"/>
        </w:rPr>
        <w:t>Welsh Government (2020).</w:t>
      </w:r>
      <w:r w:rsidRPr="00EF2394">
        <w:rPr>
          <w:rStyle w:val="apple-converted-space"/>
          <w:rFonts w:ascii="Calibri" w:eastAsiaTheme="majorEastAsia" w:hAnsi="Calibri" w:cs="Calibri"/>
          <w:color w:val="000000"/>
        </w:rPr>
        <w:t> </w:t>
      </w:r>
      <w:r w:rsidRPr="00EF2394">
        <w:rPr>
          <w:rFonts w:ascii="Calibri" w:hAnsi="Calibri" w:cs="Calibri"/>
          <w:i/>
          <w:iCs/>
          <w:color w:val="000000"/>
        </w:rPr>
        <w:t>Welsh Language | Law Wales</w:t>
      </w:r>
      <w:r w:rsidRPr="00EF2394">
        <w:rPr>
          <w:rFonts w:ascii="Calibri" w:hAnsi="Calibri" w:cs="Calibri"/>
          <w:color w:val="000000"/>
        </w:rPr>
        <w:t xml:space="preserve">. [online] </w:t>
      </w:r>
      <w:proofErr w:type="spellStart"/>
      <w:proofErr w:type="gramStart"/>
      <w:r w:rsidRPr="00EF2394">
        <w:rPr>
          <w:rFonts w:ascii="Calibri" w:hAnsi="Calibri" w:cs="Calibri"/>
          <w:color w:val="000000"/>
        </w:rPr>
        <w:t>law.gov.wales</w:t>
      </w:r>
      <w:proofErr w:type="spellEnd"/>
      <w:proofErr w:type="gramEnd"/>
      <w:r w:rsidRPr="00EF2394">
        <w:rPr>
          <w:rFonts w:ascii="Calibri" w:hAnsi="Calibri" w:cs="Calibri"/>
          <w:color w:val="000000"/>
        </w:rPr>
        <w:t>. Available at: https://law.gov.wales/culture/welsh-language [Accessed 1 Sep. 2022].</w:t>
      </w:r>
    </w:p>
    <w:p w14:paraId="1FB66945" w14:textId="77777777" w:rsidR="003D2AD0" w:rsidRDefault="003D2AD0" w:rsidP="003D2AD0">
      <w:pPr>
        <w:rPr>
          <w:color w:val="000000"/>
        </w:rPr>
      </w:pPr>
    </w:p>
    <w:p w14:paraId="013DAA6D" w14:textId="77777777" w:rsidR="000F3858" w:rsidRDefault="000F3858" w:rsidP="00585BB1">
      <w:pPr>
        <w:rPr>
          <w:color w:val="000000"/>
        </w:rPr>
      </w:pPr>
    </w:p>
    <w:p w14:paraId="55CE6EE7" w14:textId="77777777" w:rsidR="00F51F94" w:rsidRDefault="00F51F94" w:rsidP="00585BB1">
      <w:pPr>
        <w:rPr>
          <w:color w:val="000000"/>
        </w:rPr>
      </w:pPr>
    </w:p>
    <w:p w14:paraId="5EE98252" w14:textId="77777777" w:rsidR="00F51F94" w:rsidRDefault="00F51F94" w:rsidP="00585BB1">
      <w:pPr>
        <w:rPr>
          <w:color w:val="000000"/>
        </w:rPr>
      </w:pPr>
    </w:p>
    <w:p w14:paraId="186D6848" w14:textId="77777777" w:rsidR="00F51F94" w:rsidRDefault="00F51F94" w:rsidP="00585BB1">
      <w:pPr>
        <w:rPr>
          <w:color w:val="000000"/>
        </w:rPr>
      </w:pPr>
    </w:p>
    <w:p w14:paraId="7CAA9558" w14:textId="77777777" w:rsidR="00F51F94" w:rsidRDefault="00F51F94" w:rsidP="00585BB1">
      <w:pPr>
        <w:rPr>
          <w:color w:val="000000"/>
        </w:rPr>
      </w:pPr>
    </w:p>
    <w:p w14:paraId="54FA0778" w14:textId="77777777" w:rsidR="00F51F94" w:rsidRDefault="00F51F94" w:rsidP="00585BB1">
      <w:pPr>
        <w:rPr>
          <w:color w:val="000000"/>
        </w:rPr>
      </w:pPr>
    </w:p>
    <w:p w14:paraId="525B8863" w14:textId="598CD1D4" w:rsidR="00F51F94" w:rsidRDefault="00F51F94" w:rsidP="00585BB1">
      <w:pPr>
        <w:rPr>
          <w:color w:val="000000"/>
        </w:rPr>
      </w:pPr>
    </w:p>
    <w:p w14:paraId="11DB7218" w14:textId="77777777" w:rsidR="00655E23" w:rsidRDefault="00655E23" w:rsidP="00585BB1">
      <w:pPr>
        <w:rPr>
          <w:color w:val="000000"/>
        </w:rPr>
      </w:pPr>
    </w:p>
    <w:p w14:paraId="7448109B" w14:textId="77777777" w:rsidR="00655E23" w:rsidRDefault="00655E23" w:rsidP="00585BB1">
      <w:pPr>
        <w:rPr>
          <w:color w:val="000000"/>
        </w:rPr>
      </w:pPr>
    </w:p>
    <w:p w14:paraId="46A0A87A" w14:textId="77777777" w:rsidR="00655E23" w:rsidRDefault="00655E23" w:rsidP="00585BB1">
      <w:pPr>
        <w:rPr>
          <w:color w:val="000000"/>
        </w:rPr>
      </w:pPr>
    </w:p>
    <w:p w14:paraId="7CFED409" w14:textId="77777777" w:rsidR="00655E23" w:rsidRDefault="00655E23" w:rsidP="00585BB1">
      <w:pPr>
        <w:rPr>
          <w:color w:val="000000"/>
        </w:rPr>
      </w:pPr>
    </w:p>
    <w:p w14:paraId="04740D80" w14:textId="77777777" w:rsidR="00655E23" w:rsidRDefault="00655E23" w:rsidP="00585BB1">
      <w:pPr>
        <w:rPr>
          <w:color w:val="000000"/>
        </w:rPr>
      </w:pPr>
    </w:p>
    <w:p w14:paraId="134E3EB1" w14:textId="77777777" w:rsidR="00655E23" w:rsidRDefault="00655E23" w:rsidP="00585BB1">
      <w:pPr>
        <w:rPr>
          <w:color w:val="000000"/>
        </w:rPr>
      </w:pPr>
    </w:p>
    <w:p w14:paraId="7879CDF2" w14:textId="77777777" w:rsidR="00655E23" w:rsidRDefault="00655E23" w:rsidP="00585BB1">
      <w:pPr>
        <w:rPr>
          <w:color w:val="000000"/>
        </w:rPr>
      </w:pPr>
    </w:p>
    <w:p w14:paraId="41D3879D" w14:textId="77777777" w:rsidR="00655E23" w:rsidRDefault="00655E23" w:rsidP="00585BB1">
      <w:pPr>
        <w:rPr>
          <w:color w:val="000000"/>
        </w:rPr>
      </w:pPr>
    </w:p>
    <w:p w14:paraId="6F17D10C" w14:textId="77777777" w:rsidR="00655E23" w:rsidRDefault="00655E23" w:rsidP="00585BB1">
      <w:pPr>
        <w:rPr>
          <w:color w:val="000000"/>
        </w:rPr>
      </w:pPr>
    </w:p>
    <w:p w14:paraId="446EB789" w14:textId="0AF1BCF1" w:rsidR="00F51F94" w:rsidRDefault="00F51F94" w:rsidP="00585BB1">
      <w:pPr>
        <w:rPr>
          <w:color w:val="000000"/>
        </w:rPr>
      </w:pPr>
    </w:p>
    <w:p w14:paraId="14996290" w14:textId="602B6CEE" w:rsidR="00F51F94" w:rsidRPr="00F51F94" w:rsidRDefault="00F51F94" w:rsidP="00F51F94">
      <w:pPr>
        <w:rPr>
          <w:b/>
          <w:bCs/>
          <w:color w:val="0C27EF"/>
          <w:sz w:val="28"/>
          <w:szCs w:val="28"/>
          <w:u w:val="single"/>
        </w:rPr>
      </w:pPr>
      <w:r w:rsidRPr="00F51F94">
        <w:rPr>
          <w:b/>
          <w:bCs/>
          <w:color w:val="0C27EF"/>
          <w:sz w:val="28"/>
          <w:szCs w:val="28"/>
          <w:u w:val="single"/>
        </w:rPr>
        <w:lastRenderedPageBreak/>
        <w:t xml:space="preserve">What impact does poverty have on children’s emotional </w:t>
      </w:r>
      <w:proofErr w:type="gramStart"/>
      <w:r w:rsidRPr="00F51F94">
        <w:rPr>
          <w:b/>
          <w:bCs/>
          <w:color w:val="0C27EF"/>
          <w:sz w:val="28"/>
          <w:szCs w:val="28"/>
          <w:u w:val="single"/>
        </w:rPr>
        <w:t>wellbeing</w:t>
      </w:r>
      <w:proofErr w:type="gramEnd"/>
    </w:p>
    <w:p w14:paraId="4994E5C0" w14:textId="77777777" w:rsidR="003B5A56" w:rsidRDefault="003B5A56" w:rsidP="00657069">
      <w:pPr>
        <w:rPr>
          <w:color w:val="000000"/>
        </w:rPr>
      </w:pPr>
    </w:p>
    <w:p w14:paraId="5ACAB7AB" w14:textId="33E66D43" w:rsidR="00657069" w:rsidRPr="008F5A20" w:rsidRDefault="000E23A1" w:rsidP="00657069">
      <w:r w:rsidRPr="000E23A1">
        <w:rPr>
          <w:color w:val="000000"/>
        </w:rPr>
        <w:t xml:space="preserve">Poverty </w:t>
      </w:r>
      <w:r w:rsidR="003B5A56" w:rsidRPr="000E23A1">
        <w:rPr>
          <w:color w:val="000000"/>
        </w:rPr>
        <w:t>influences</w:t>
      </w:r>
      <w:r w:rsidRPr="000E23A1">
        <w:rPr>
          <w:color w:val="000000"/>
        </w:rPr>
        <w:t xml:space="preserve"> health even before birth. Infant mortality and low birthweight newborns are more prevalent in children whose parents are poor. </w:t>
      </w:r>
      <w:r w:rsidR="00657069" w:rsidRPr="008F5A20">
        <w:rPr>
          <w:color w:val="000000"/>
        </w:rPr>
        <w:t>(Child Poverty Action Group, 2024)</w:t>
      </w:r>
    </w:p>
    <w:p w14:paraId="2DF50299" w14:textId="0A2E545B" w:rsidR="00657069" w:rsidRPr="008F5A20" w:rsidRDefault="00657069" w:rsidP="00657069"/>
    <w:p w14:paraId="3A15C283" w14:textId="3904DCD3" w:rsidR="00F51F94" w:rsidRDefault="003B5A56" w:rsidP="00585BB1">
      <w:r w:rsidRPr="003B5A56">
        <w:t xml:space="preserve">They also have a greater chance of growing up with asthma and other childhood diseases. A kid's future health may be negatively impacted by living in poverty as a child. Children who live in poverty are more likely to suffer from poor mental health and psychological distress. </w:t>
      </w:r>
      <w:r w:rsidR="00657069" w:rsidRPr="008F5A20">
        <w:rPr>
          <w:color w:val="000000"/>
        </w:rPr>
        <w:t>(Child Poverty Action Group, 2024)</w:t>
      </w:r>
    </w:p>
    <w:p w14:paraId="10DBF913" w14:textId="07427513" w:rsidR="007B7C81" w:rsidRDefault="007B7C81" w:rsidP="00585BB1"/>
    <w:p w14:paraId="43EB0B48" w14:textId="794C91CD" w:rsidR="007B7C81" w:rsidRDefault="007B7C81" w:rsidP="007B7C81">
      <w:r w:rsidRPr="00B15E80">
        <w:t>Since it influences many areas of children's life, such as the dynamics of their families, the resources they have access to, and the stressors they are exposed to, poverty can have a considerable impact on the emotional wellness of younger generations.</w:t>
      </w:r>
      <w:r>
        <w:t xml:space="preserve"> </w:t>
      </w:r>
      <w:r w:rsidRPr="00B15E80">
        <w:t>It is less likely that families living in poverty would be able to purchase necessities like food and heating on a regular basis.</w:t>
      </w:r>
      <w:r>
        <w:t xml:space="preserve"> </w:t>
      </w:r>
      <w:r>
        <w:rPr>
          <w:color w:val="000000"/>
        </w:rPr>
        <w:t>(Action For Children, 2023)</w:t>
      </w:r>
    </w:p>
    <w:p w14:paraId="2C0E8402" w14:textId="602E54C4" w:rsidR="007B7C81" w:rsidRPr="007B7C81" w:rsidRDefault="007B7C81" w:rsidP="00585BB1"/>
    <w:p w14:paraId="7B1E8317" w14:textId="4BB6B241" w:rsidR="00573E43" w:rsidRDefault="004667FF" w:rsidP="00573E43">
      <w:pPr>
        <w:rPr>
          <w:color w:val="000000"/>
        </w:rPr>
      </w:pPr>
      <w:r w:rsidRPr="004667FF">
        <w:t>Due to being impoverished</w:t>
      </w:r>
      <w:r w:rsidR="00573E43">
        <w:t xml:space="preserve">, children are frequently subjected to persistent sources of stress, including financial instability, housing insecurity, and conflicts within the family. Constant exposure to stress can trigger anxiety and contribute to a heightened sense of uncertainty and insecurity in children's lives. </w:t>
      </w:r>
      <w:r w:rsidR="00A7366A" w:rsidRPr="00A7366A">
        <w:rPr>
          <w:color w:val="212121"/>
          <w:shd w:val="clear" w:color="auto" w:fill="FFFFFF"/>
        </w:rPr>
        <w:t>The likelihood of children of colour, single-parent families, and immigrant families living below the poverty line is higher.</w:t>
      </w:r>
      <w:r w:rsidR="00573E43">
        <w:rPr>
          <w:color w:val="212121"/>
          <w:shd w:val="clear" w:color="auto" w:fill="FFFFFF"/>
        </w:rPr>
        <w:t xml:space="preserve"> </w:t>
      </w:r>
      <w:r w:rsidR="00573E43">
        <w:rPr>
          <w:color w:val="000000"/>
        </w:rPr>
        <w:t>(Francis et al., 2018)</w:t>
      </w:r>
    </w:p>
    <w:p w14:paraId="32BD5727" w14:textId="09825BA3" w:rsidR="00F51F94" w:rsidRDefault="00B27FA6" w:rsidP="00585BB1">
      <w:pPr>
        <w:rPr>
          <w:color w:val="000000"/>
        </w:rPr>
      </w:pPr>
      <w:r>
        <w:rPr>
          <w:noProof/>
          <w:color w:val="000000"/>
        </w:rPr>
        <w:drawing>
          <wp:anchor distT="0" distB="0" distL="114300" distR="114300" simplePos="0" relativeHeight="251667456" behindDoc="0" locked="0" layoutInCell="1" allowOverlap="1" wp14:anchorId="4AF21986" wp14:editId="3FC25B62">
            <wp:simplePos x="0" y="0"/>
            <wp:positionH relativeFrom="column">
              <wp:posOffset>-873760</wp:posOffset>
            </wp:positionH>
            <wp:positionV relativeFrom="paragraph">
              <wp:posOffset>113665</wp:posOffset>
            </wp:positionV>
            <wp:extent cx="2734945" cy="1824355"/>
            <wp:effectExtent l="0" t="0" r="0" b="4445"/>
            <wp:wrapSquare wrapText="bothSides"/>
            <wp:docPr id="518220303" name="Picture 1" descr="A child lying on a table with her head on a stuffed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20303" name="Picture 1" descr="A child lying on a table with her head on a stuffed anima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734945" cy="1824355"/>
                    </a:xfrm>
                    <a:prstGeom prst="rect">
                      <a:avLst/>
                    </a:prstGeom>
                  </pic:spPr>
                </pic:pic>
              </a:graphicData>
            </a:graphic>
            <wp14:sizeRelH relativeFrom="page">
              <wp14:pctWidth>0</wp14:pctWidth>
            </wp14:sizeRelH>
            <wp14:sizeRelV relativeFrom="page">
              <wp14:pctHeight>0</wp14:pctHeight>
            </wp14:sizeRelV>
          </wp:anchor>
        </w:drawing>
      </w:r>
    </w:p>
    <w:p w14:paraId="39608E47" w14:textId="27B2D59A" w:rsidR="00B27FA6" w:rsidRDefault="00B27FA6" w:rsidP="00585BB1">
      <w:pPr>
        <w:rPr>
          <w:color w:val="000000"/>
        </w:rPr>
      </w:pPr>
    </w:p>
    <w:p w14:paraId="34A4F943" w14:textId="40C5BE4D" w:rsidR="00B27FA6" w:rsidRDefault="00B27FA6" w:rsidP="00585BB1">
      <w:pPr>
        <w:rPr>
          <w:color w:val="000000"/>
        </w:rPr>
      </w:pPr>
    </w:p>
    <w:p w14:paraId="1AEF7D4B" w14:textId="77777777" w:rsidR="000F3858" w:rsidRDefault="000F3858" w:rsidP="00585BB1">
      <w:pPr>
        <w:rPr>
          <w:color w:val="000000"/>
        </w:rPr>
      </w:pPr>
    </w:p>
    <w:p w14:paraId="39459A73" w14:textId="77777777" w:rsidR="000F3858" w:rsidRDefault="000F3858" w:rsidP="00585BB1">
      <w:pPr>
        <w:rPr>
          <w:color w:val="000000"/>
        </w:rPr>
      </w:pPr>
    </w:p>
    <w:p w14:paraId="2985ACBB" w14:textId="77777777" w:rsidR="000F3858" w:rsidRDefault="000F3858" w:rsidP="00585BB1">
      <w:pPr>
        <w:rPr>
          <w:color w:val="000000"/>
        </w:rPr>
      </w:pPr>
    </w:p>
    <w:p w14:paraId="26C5DB59" w14:textId="77777777" w:rsidR="000F3858" w:rsidRDefault="000F3858" w:rsidP="00585BB1">
      <w:pPr>
        <w:rPr>
          <w:color w:val="000000"/>
        </w:rPr>
      </w:pPr>
    </w:p>
    <w:p w14:paraId="3B57FF5A" w14:textId="77777777" w:rsidR="000F3858" w:rsidRDefault="000F3858" w:rsidP="00585BB1">
      <w:pPr>
        <w:rPr>
          <w:color w:val="000000"/>
        </w:rPr>
      </w:pPr>
    </w:p>
    <w:p w14:paraId="2D6087FA" w14:textId="77777777" w:rsidR="000F3858" w:rsidRDefault="000F3858" w:rsidP="00585BB1">
      <w:pPr>
        <w:rPr>
          <w:color w:val="000000"/>
        </w:rPr>
      </w:pPr>
    </w:p>
    <w:p w14:paraId="0F8ECD6B" w14:textId="77777777" w:rsidR="000F3858" w:rsidRDefault="000F3858" w:rsidP="00585BB1">
      <w:pPr>
        <w:rPr>
          <w:color w:val="000000"/>
        </w:rPr>
      </w:pPr>
    </w:p>
    <w:p w14:paraId="5029A628" w14:textId="77777777" w:rsidR="000F3858" w:rsidRDefault="000F3858" w:rsidP="00585BB1">
      <w:pPr>
        <w:rPr>
          <w:color w:val="000000"/>
        </w:rPr>
      </w:pPr>
    </w:p>
    <w:p w14:paraId="4ADCB2CD" w14:textId="77777777" w:rsidR="000F3858" w:rsidRDefault="000F3858" w:rsidP="00585BB1">
      <w:pPr>
        <w:rPr>
          <w:color w:val="000000"/>
        </w:rPr>
      </w:pPr>
    </w:p>
    <w:p w14:paraId="095FBD3D" w14:textId="77777777" w:rsidR="00154262" w:rsidRDefault="00154262" w:rsidP="00154262">
      <w:r w:rsidRPr="00EA2E10">
        <w:t>The stigma and discrimination that children face because of their socioeconomic situation can have a negative impact on their feeling of self-worth and self-esteem, particularly if they are living in poverty. Limited access to resources and opportunities may lead children to internalize negative perceptions about themselves and their capabilities.</w:t>
      </w:r>
    </w:p>
    <w:p w14:paraId="4FE1357B" w14:textId="257BE174" w:rsidR="000F3858" w:rsidRDefault="000F3858" w:rsidP="00585BB1">
      <w:pPr>
        <w:rPr>
          <w:color w:val="000000"/>
        </w:rPr>
      </w:pPr>
    </w:p>
    <w:p w14:paraId="198CFBA0" w14:textId="36383F0F" w:rsidR="00A95731" w:rsidRDefault="00ED166E" w:rsidP="00A95731">
      <w:pPr>
        <w:rPr>
          <w:color w:val="000000"/>
        </w:rPr>
      </w:pPr>
      <w:r w:rsidRPr="00ED166E">
        <w:t>In the UK, 4.3 million children are living in poverty</w:t>
      </w:r>
      <w:r w:rsidR="003B0A76">
        <w:t xml:space="preserve"> </w:t>
      </w:r>
      <w:r w:rsidR="0006125D" w:rsidRPr="0006125D">
        <w:t>compared</w:t>
      </w:r>
      <w:r w:rsidR="0006125D" w:rsidRPr="0006125D">
        <w:t xml:space="preserve"> to 24% of White children, 47% of children from Black and Minority Ethnic Groups live in poverty.</w:t>
      </w:r>
      <w:r w:rsidR="0006125D" w:rsidRPr="0006125D">
        <w:t xml:space="preserve"> </w:t>
      </w:r>
      <w:r w:rsidR="00A95731">
        <w:t xml:space="preserve">This can affect a child’s emotional wellbeing because </w:t>
      </w:r>
      <w:r w:rsidR="00A95731" w:rsidRPr="00544A5B">
        <w:t xml:space="preserve">children </w:t>
      </w:r>
      <w:r w:rsidR="00A95731">
        <w:t xml:space="preserve">that are </w:t>
      </w:r>
      <w:r w:rsidR="00A95731" w:rsidRPr="00544A5B">
        <w:t>from less fortunate</w:t>
      </w:r>
      <w:r w:rsidR="000D05CB">
        <w:t xml:space="preserve"> homes</w:t>
      </w:r>
      <w:r w:rsidR="00A95731" w:rsidRPr="00544A5B">
        <w:t xml:space="preserve"> </w:t>
      </w:r>
      <w:r w:rsidR="00E22C1D">
        <w:t>n</w:t>
      </w:r>
      <w:r w:rsidR="00E22C1D" w:rsidRPr="00E22C1D">
        <w:t xml:space="preserve">ot every child their age has the same opportunities in their homes. Many will be unable to afford to go on field trips with friends, many will have to work part-time jobs in addition to their studies, and many will not have access to the same learning </w:t>
      </w:r>
      <w:r w:rsidR="00E22C1D" w:rsidRPr="00E22C1D">
        <w:t>resources.</w:t>
      </w:r>
      <w:r w:rsidR="00A95731" w:rsidRPr="00544A5B">
        <w:rPr>
          <w:color w:val="000000"/>
        </w:rPr>
        <w:t xml:space="preserve"> </w:t>
      </w:r>
      <w:r w:rsidR="00A95731">
        <w:rPr>
          <w:color w:val="000000"/>
        </w:rPr>
        <w:t>(The Children's Society, 2024)</w:t>
      </w:r>
    </w:p>
    <w:p w14:paraId="75C17406" w14:textId="77777777" w:rsidR="00A95731" w:rsidRDefault="00A95731" w:rsidP="00585BB1">
      <w:pPr>
        <w:rPr>
          <w:color w:val="000000"/>
        </w:rPr>
      </w:pPr>
    </w:p>
    <w:p w14:paraId="49676AF7" w14:textId="1A1556DC" w:rsidR="00BD3E03" w:rsidRDefault="00BD3E03" w:rsidP="00BD3E03">
      <w:pPr>
        <w:rPr>
          <w:color w:val="000000"/>
        </w:rPr>
      </w:pPr>
      <w:r w:rsidRPr="00544A5B">
        <w:rPr>
          <w:color w:val="000000"/>
        </w:rPr>
        <w:t xml:space="preserve">Due to financial limitations, a lack of insurance, and a lack of resources in low-income areas, </w:t>
      </w:r>
      <w:r w:rsidR="004B7108" w:rsidRPr="004B7108">
        <w:rPr>
          <w:color w:val="000000"/>
        </w:rPr>
        <w:t xml:space="preserve">children who are impoverished </w:t>
      </w:r>
      <w:r w:rsidRPr="00544A5B">
        <w:rPr>
          <w:color w:val="000000"/>
        </w:rPr>
        <w:t xml:space="preserve">frequently have restricted access to mental health services </w:t>
      </w:r>
      <w:r w:rsidRPr="00544A5B">
        <w:rPr>
          <w:color w:val="000000"/>
        </w:rPr>
        <w:lastRenderedPageBreak/>
        <w:t>and support networks. Delays in seeking help for emotional problems and unfulfilled mental health requirements may arise from this.</w:t>
      </w:r>
      <w:r>
        <w:rPr>
          <w:color w:val="000000"/>
        </w:rPr>
        <w:t xml:space="preserve"> </w:t>
      </w:r>
      <w:r w:rsidR="00F23411" w:rsidRPr="00F23411">
        <w:rPr>
          <w:color w:val="000000"/>
        </w:rPr>
        <w:t>Living in poverty or hailing from a low-income household has been linked to poor health and an increased risk of lifelong mental health problems in both adults and children. Despite their high need for mental health services, children and families in poverty are the least likely to have access to high-quality mental health therapy</w:t>
      </w:r>
      <w:r w:rsidRPr="00544A5B">
        <w:rPr>
          <w:color w:val="000000"/>
        </w:rPr>
        <w:t>.</w:t>
      </w:r>
      <w:r>
        <w:rPr>
          <w:color w:val="000000"/>
        </w:rPr>
        <w:t xml:space="preserve"> (Hodgkinson et al., 2017) </w:t>
      </w:r>
    </w:p>
    <w:p w14:paraId="10D6BBF2" w14:textId="77777777" w:rsidR="004F46B0" w:rsidRPr="00EA2E10" w:rsidRDefault="004F46B0" w:rsidP="00BD3E03"/>
    <w:p w14:paraId="772A963A" w14:textId="20DD2B21" w:rsidR="004F46B0" w:rsidRDefault="004F46B0" w:rsidP="004F46B0">
      <w:r>
        <w:rPr>
          <w:color w:val="000000"/>
        </w:rPr>
        <w:t xml:space="preserve"> </w:t>
      </w:r>
      <w:r w:rsidRPr="00753134">
        <w:t>It can be challenging for individuals and families to afford safe and stable housing due to housing affordability difficulties, such as excessive rents, a lack of suitable public housing options, and homelessness.</w:t>
      </w:r>
      <w:r w:rsidR="005D2129" w:rsidRPr="005D2129">
        <w:t xml:space="preserve"> </w:t>
      </w:r>
      <w:r w:rsidR="005D2129" w:rsidRPr="005D2129">
        <w:t xml:space="preserve">Poverty </w:t>
      </w:r>
      <w:r w:rsidR="005D2129" w:rsidRPr="005D2129">
        <w:t>influences</w:t>
      </w:r>
      <w:r w:rsidR="005D2129" w:rsidRPr="005D2129">
        <w:t xml:space="preserve"> parents' mental health, which affects how they parent. Poverty thus has a negative effect on children before and after they are </w:t>
      </w:r>
      <w:r w:rsidR="005D2129" w:rsidRPr="005D2129">
        <w:t>born.</w:t>
      </w:r>
      <w:r>
        <w:t xml:space="preserve"> </w:t>
      </w:r>
      <w:r>
        <w:rPr>
          <w:color w:val="000000"/>
        </w:rPr>
        <w:t>(Action For Children, 2023)</w:t>
      </w:r>
    </w:p>
    <w:p w14:paraId="63BF9FEE" w14:textId="7BD67E90" w:rsidR="00BD3E03" w:rsidRDefault="0068209E" w:rsidP="00585BB1">
      <w:pPr>
        <w:rPr>
          <w:color w:val="000000"/>
        </w:rPr>
      </w:pPr>
      <w:r>
        <w:rPr>
          <w:noProof/>
          <w:color w:val="000000"/>
        </w:rPr>
        <w:drawing>
          <wp:anchor distT="0" distB="0" distL="114300" distR="114300" simplePos="0" relativeHeight="251668480" behindDoc="0" locked="0" layoutInCell="1" allowOverlap="1" wp14:anchorId="67B10803" wp14:editId="06A2442E">
            <wp:simplePos x="0" y="0"/>
            <wp:positionH relativeFrom="column">
              <wp:posOffset>-530860</wp:posOffset>
            </wp:positionH>
            <wp:positionV relativeFrom="paragraph">
              <wp:posOffset>187960</wp:posOffset>
            </wp:positionV>
            <wp:extent cx="2404745" cy="1600200"/>
            <wp:effectExtent l="0" t="0" r="0" b="0"/>
            <wp:wrapSquare wrapText="bothSides"/>
            <wp:docPr id="534870925" name="Picture 2" descr="A young child looking out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870925" name="Picture 2" descr="A young child looking out a window&#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04745" cy="1600200"/>
                    </a:xfrm>
                    <a:prstGeom prst="rect">
                      <a:avLst/>
                    </a:prstGeom>
                  </pic:spPr>
                </pic:pic>
              </a:graphicData>
            </a:graphic>
            <wp14:sizeRelH relativeFrom="page">
              <wp14:pctWidth>0</wp14:pctWidth>
            </wp14:sizeRelH>
            <wp14:sizeRelV relativeFrom="page">
              <wp14:pctHeight>0</wp14:pctHeight>
            </wp14:sizeRelV>
          </wp:anchor>
        </w:drawing>
      </w:r>
    </w:p>
    <w:p w14:paraId="070092F3" w14:textId="2210DC0C" w:rsidR="004F46B0" w:rsidRDefault="004F46B0" w:rsidP="00585BB1">
      <w:pPr>
        <w:rPr>
          <w:color w:val="000000"/>
        </w:rPr>
      </w:pPr>
    </w:p>
    <w:p w14:paraId="2426E891" w14:textId="77777777" w:rsidR="000F3858" w:rsidRDefault="000F3858" w:rsidP="00585BB1">
      <w:pPr>
        <w:rPr>
          <w:color w:val="000000"/>
        </w:rPr>
      </w:pPr>
    </w:p>
    <w:p w14:paraId="4F839894" w14:textId="77777777" w:rsidR="00A35E63" w:rsidRDefault="00A35E63" w:rsidP="00585BB1">
      <w:pPr>
        <w:rPr>
          <w:color w:val="000000"/>
        </w:rPr>
      </w:pPr>
    </w:p>
    <w:p w14:paraId="286643FD" w14:textId="77777777" w:rsidR="00A35E63" w:rsidRDefault="00A35E63" w:rsidP="00585BB1">
      <w:pPr>
        <w:rPr>
          <w:color w:val="000000"/>
        </w:rPr>
      </w:pPr>
    </w:p>
    <w:p w14:paraId="397C32DD" w14:textId="77777777" w:rsidR="00A35E63" w:rsidRDefault="00A35E63" w:rsidP="00585BB1">
      <w:pPr>
        <w:rPr>
          <w:color w:val="000000"/>
        </w:rPr>
      </w:pPr>
    </w:p>
    <w:p w14:paraId="6E0AC26B" w14:textId="77777777" w:rsidR="00A35E63" w:rsidRDefault="00A35E63" w:rsidP="00585BB1">
      <w:pPr>
        <w:rPr>
          <w:color w:val="000000"/>
        </w:rPr>
      </w:pPr>
    </w:p>
    <w:p w14:paraId="552BF4DC" w14:textId="77777777" w:rsidR="00A35E63" w:rsidRDefault="00A35E63" w:rsidP="00585BB1">
      <w:pPr>
        <w:rPr>
          <w:color w:val="000000"/>
        </w:rPr>
      </w:pPr>
    </w:p>
    <w:p w14:paraId="2A8EFC91" w14:textId="77777777" w:rsidR="00A35E63" w:rsidRDefault="00A35E63" w:rsidP="00585BB1">
      <w:pPr>
        <w:rPr>
          <w:color w:val="000000"/>
        </w:rPr>
      </w:pPr>
    </w:p>
    <w:p w14:paraId="16EF9A04" w14:textId="77777777" w:rsidR="00A35E63" w:rsidRDefault="00A35E63" w:rsidP="00585BB1">
      <w:pPr>
        <w:rPr>
          <w:color w:val="000000"/>
        </w:rPr>
      </w:pPr>
    </w:p>
    <w:p w14:paraId="36E80D92" w14:textId="77777777" w:rsidR="00A35E63" w:rsidRDefault="00A35E63" w:rsidP="00585BB1">
      <w:pPr>
        <w:rPr>
          <w:color w:val="000000"/>
        </w:rPr>
      </w:pPr>
    </w:p>
    <w:p w14:paraId="716B00E2" w14:textId="77777777" w:rsidR="00A35E63" w:rsidRDefault="00A35E63" w:rsidP="00A35E63">
      <w:pPr>
        <w:rPr>
          <w:color w:val="000000"/>
        </w:rPr>
      </w:pPr>
      <w:r w:rsidRPr="00753134">
        <w:t>Inadequate access to medical care, mental health services, and preventative care can worsen health inequities and put a financial strain on low-income individuals and families.</w:t>
      </w:r>
      <w:r>
        <w:t xml:space="preserve"> </w:t>
      </w:r>
      <w:r w:rsidRPr="00CC74DE">
        <w:t>As an employer and a supplier of public services, the NHS has a part to play in addressing poverty. A lot more work must be done to encourage improved access and better outcomes for those living in poverty, but there are some excellent initiatives underway, like as poverty-proofing services, which ensure that every step of the patient route is accessible to more disadvantaged groups.</w:t>
      </w:r>
      <w:r w:rsidRPr="00CC74DE">
        <w:rPr>
          <w:color w:val="000000"/>
        </w:rPr>
        <w:t xml:space="preserve"> </w:t>
      </w:r>
      <w:r>
        <w:rPr>
          <w:color w:val="000000"/>
        </w:rPr>
        <w:t>(Mallorie, 2024)</w:t>
      </w:r>
    </w:p>
    <w:p w14:paraId="3EAC41F4" w14:textId="77777777" w:rsidR="00A35E63" w:rsidRDefault="00A35E63" w:rsidP="00585BB1">
      <w:pPr>
        <w:rPr>
          <w:color w:val="000000"/>
        </w:rPr>
      </w:pPr>
    </w:p>
    <w:p w14:paraId="4F3B7EF3" w14:textId="1D6BB418" w:rsidR="000401FF" w:rsidRDefault="00F47C5E" w:rsidP="000401FF">
      <w:r w:rsidRPr="00F47C5E">
        <w:t xml:space="preserve">The hierarchy of needs developed by Abraham Maslow can help us understand what </w:t>
      </w:r>
      <w:r w:rsidR="000401FF" w:rsidRPr="00EA7307">
        <w:t>it's like to live in poverty and the difficulties people have in achieving their most basic requirements.</w:t>
      </w:r>
      <w:r w:rsidR="000401FF">
        <w:t xml:space="preserve"> </w:t>
      </w:r>
      <w:r w:rsidR="000401FF" w:rsidRPr="00EA7307">
        <w:t>Maslow ranked physiological demands, such as the need for clothing, food, water, and shelter, at the bottom of his hierarchy. Lack of access to these essentials causes food insecurity, homelessness, and subpar healthcare in many cases of poverty.</w:t>
      </w:r>
      <w:r w:rsidR="00B867AB" w:rsidRPr="00B867AB">
        <w:t xml:space="preserve"> Maslow hierarchy of requirements is divided into five levels. Beginning at the bottom of the hierarchy, these are the desires: physiological (food and clothing), psychological (safety at work), social (friendship), esteem, and self-actualization</w:t>
      </w:r>
      <w:r w:rsidR="000401FF" w:rsidRPr="002102B5">
        <w:t>.</w:t>
      </w:r>
      <w:r w:rsidR="000401FF">
        <w:t xml:space="preserve"> </w:t>
      </w:r>
      <w:r w:rsidR="000401FF">
        <w:rPr>
          <w:color w:val="000000"/>
        </w:rPr>
        <w:t>(Mcleod, 2024)</w:t>
      </w:r>
    </w:p>
    <w:p w14:paraId="2E495B2C" w14:textId="77777777" w:rsidR="000401FF" w:rsidRDefault="000401FF" w:rsidP="00585BB1">
      <w:pPr>
        <w:rPr>
          <w:color w:val="000000"/>
        </w:rPr>
      </w:pPr>
    </w:p>
    <w:p w14:paraId="08EA0892" w14:textId="3AD101D8" w:rsidR="00DA7C1A" w:rsidRPr="003B4B21" w:rsidRDefault="00DA7C1A" w:rsidP="00DA7C1A">
      <w:r w:rsidRPr="00C8769D">
        <w:t>Paulo Freire's learning theory offers significant insights into how education might solve the problems of poverty, especially in relation to his ideas of critical pedagogy and the "banking model" of education. According to Freire, education may provide marginalised people with the tools they need to confront and change oppressive societal norms.</w:t>
      </w:r>
      <w:r>
        <w:t xml:space="preserve">  </w:t>
      </w:r>
      <w:r w:rsidR="006A376E" w:rsidRPr="006A376E">
        <w:rPr>
          <w:color w:val="2B2B2B"/>
          <w:sz w:val="26"/>
          <w:szCs w:val="26"/>
          <w:shd w:val="clear" w:color="auto" w:fill="FFFFFF"/>
        </w:rPr>
        <w:t>His educational viewpoints were shaped by his experiences of poverty during the Great Depression and his upbringing in a middle-class family.</w:t>
      </w:r>
      <w:r w:rsidRPr="003D5835">
        <w:rPr>
          <w:color w:val="000000"/>
        </w:rPr>
        <w:t xml:space="preserve"> </w:t>
      </w:r>
      <w:r>
        <w:rPr>
          <w:color w:val="000000"/>
        </w:rPr>
        <w:t>(university of Bedfordshire, 2012)</w:t>
      </w:r>
    </w:p>
    <w:p w14:paraId="5ABC67E1" w14:textId="77777777" w:rsidR="00DA7C1A" w:rsidRDefault="00DA7C1A" w:rsidP="00585BB1">
      <w:pPr>
        <w:rPr>
          <w:color w:val="000000"/>
        </w:rPr>
      </w:pPr>
    </w:p>
    <w:p w14:paraId="4B22EC51" w14:textId="12E4D1A3" w:rsidR="00DA7C1A" w:rsidRDefault="00DA7C1A" w:rsidP="00585BB1">
      <w:pPr>
        <w:rPr>
          <w:color w:val="000000"/>
        </w:rPr>
      </w:pPr>
      <w:r>
        <w:rPr>
          <w:color w:val="000000"/>
        </w:rPr>
        <w:lastRenderedPageBreak/>
        <w:t xml:space="preserve">The difference between </w:t>
      </w:r>
      <w:r w:rsidR="00267325">
        <w:rPr>
          <w:color w:val="000000"/>
        </w:rPr>
        <w:t>Maslow’s</w:t>
      </w:r>
      <w:r>
        <w:rPr>
          <w:color w:val="000000"/>
        </w:rPr>
        <w:t xml:space="preserve"> theory and </w:t>
      </w:r>
      <w:r w:rsidR="00267325">
        <w:rPr>
          <w:color w:val="000000"/>
        </w:rPr>
        <w:t xml:space="preserve">Freire’s theory is that </w:t>
      </w:r>
      <w:r w:rsidR="00C2137B">
        <w:rPr>
          <w:color w:val="000000"/>
        </w:rPr>
        <w:t>Maslow’s t</w:t>
      </w:r>
      <w:r w:rsidR="00C2137B" w:rsidRPr="00C2137B">
        <w:rPr>
          <w:color w:val="000000"/>
        </w:rPr>
        <w:t xml:space="preserve">heory is mostly concerned with how people grow as individuals and how their </w:t>
      </w:r>
      <w:r w:rsidR="00BB1D10">
        <w:rPr>
          <w:color w:val="000000"/>
        </w:rPr>
        <w:t xml:space="preserve">needs </w:t>
      </w:r>
      <w:r w:rsidR="00C2137B" w:rsidRPr="00C2137B">
        <w:rPr>
          <w:color w:val="000000"/>
        </w:rPr>
        <w:t>are met. The focus is on personal development and self-actualization as people work to reach their full potentia</w:t>
      </w:r>
      <w:r w:rsidR="00BA29CD">
        <w:rPr>
          <w:color w:val="000000"/>
        </w:rPr>
        <w:t>l a</w:t>
      </w:r>
      <w:r w:rsidR="00BB1D10">
        <w:rPr>
          <w:color w:val="000000"/>
        </w:rPr>
        <w:t xml:space="preserve">nd Freire’s </w:t>
      </w:r>
      <w:r w:rsidR="00BA29CD">
        <w:rPr>
          <w:color w:val="000000"/>
        </w:rPr>
        <w:t xml:space="preserve">theory </w:t>
      </w:r>
      <w:r w:rsidR="006D5041">
        <w:rPr>
          <w:color w:val="000000"/>
        </w:rPr>
        <w:t xml:space="preserve">is </w:t>
      </w:r>
      <w:r w:rsidR="00BA29CD" w:rsidRPr="00BA29CD">
        <w:rPr>
          <w:color w:val="000000"/>
        </w:rPr>
        <w:t>views on group action and societal change. He believed that repressive social structures are the cause of poverty and promoted the use of collective action and education to enable marginalised groups to confront and alter these institutions.</w:t>
      </w:r>
      <w:r w:rsidR="003E09DF" w:rsidRPr="003E09DF">
        <w:t xml:space="preserve"> </w:t>
      </w:r>
      <w:r w:rsidR="003E09DF" w:rsidRPr="003E09DF">
        <w:rPr>
          <w:color w:val="000000"/>
        </w:rPr>
        <w:t>The learning theory developed by Paulo Freire offers a paradigm for utilising education as a weapon for social change, especially for the poor.</w:t>
      </w:r>
      <w:r w:rsidR="003E09DF">
        <w:rPr>
          <w:color w:val="000000"/>
        </w:rPr>
        <w:t xml:space="preserve"> </w:t>
      </w:r>
      <w:r w:rsidR="005F7977">
        <w:rPr>
          <w:rFonts w:ascii="Segoe UI" w:hAnsi="Segoe UI" w:cs="Segoe UI"/>
          <w:color w:val="0D0D0D"/>
          <w:shd w:val="clear" w:color="auto" w:fill="FFFFFF"/>
        </w:rPr>
        <w:t xml:space="preserve"> </w:t>
      </w:r>
      <w:r w:rsidR="005F7977" w:rsidRPr="005F7977">
        <w:rPr>
          <w:rFonts w:ascii="Segoe UI" w:hAnsi="Segoe UI" w:cs="Segoe UI"/>
          <w:color w:val="0D0D0D"/>
          <w:shd w:val="clear" w:color="auto" w:fill="FFFFFF"/>
        </w:rPr>
        <w:t>It is believed that being poor prevents people from meeting their requirements for safety, esteem, and physiology, all of which might impede their ability to grow as people.</w:t>
      </w:r>
      <w:r w:rsidR="002C7DE1" w:rsidRPr="002C7DE1">
        <w:rPr>
          <w:color w:val="000000"/>
        </w:rPr>
        <w:t xml:space="preserve"> </w:t>
      </w:r>
      <w:r w:rsidR="002C7DE1">
        <w:rPr>
          <w:color w:val="000000"/>
        </w:rPr>
        <w:t>(McLeod, 2018)</w:t>
      </w:r>
    </w:p>
    <w:p w14:paraId="1D87B521" w14:textId="77777777" w:rsidR="00663894" w:rsidRDefault="00663894" w:rsidP="00585BB1">
      <w:pPr>
        <w:rPr>
          <w:color w:val="000000"/>
        </w:rPr>
      </w:pPr>
    </w:p>
    <w:p w14:paraId="7A30D507" w14:textId="77777777" w:rsidR="00663894" w:rsidRDefault="00663894" w:rsidP="00585BB1">
      <w:pPr>
        <w:rPr>
          <w:color w:val="000000"/>
        </w:rPr>
      </w:pPr>
    </w:p>
    <w:p w14:paraId="6E33C3AA" w14:textId="77777777" w:rsidR="00663894" w:rsidRDefault="00663894" w:rsidP="00585BB1">
      <w:pPr>
        <w:rPr>
          <w:color w:val="000000"/>
        </w:rPr>
      </w:pPr>
    </w:p>
    <w:p w14:paraId="6794AC5C" w14:textId="77777777" w:rsidR="00663894" w:rsidRDefault="00663894" w:rsidP="00585BB1">
      <w:pPr>
        <w:rPr>
          <w:color w:val="000000"/>
        </w:rPr>
      </w:pPr>
    </w:p>
    <w:p w14:paraId="4BA3A737" w14:textId="6C022E71" w:rsidR="00663894" w:rsidRPr="00663894" w:rsidRDefault="00316D79" w:rsidP="00663894">
      <w:pPr>
        <w:pStyle w:val="Heading1"/>
        <w:spacing w:before="0" w:after="240" w:line="540" w:lineRule="atLeast"/>
        <w:rPr>
          <w:rFonts w:ascii="Calibri" w:hAnsi="Calibri" w:cs="Calibri"/>
          <w:color w:val="000000"/>
          <w:sz w:val="36"/>
          <w:szCs w:val="36"/>
        </w:rPr>
      </w:pPr>
      <w:r w:rsidRPr="00316D79">
        <w:rPr>
          <w:rFonts w:ascii="Calibri" w:hAnsi="Calibri" w:cs="Calibri"/>
          <w:color w:val="000000"/>
          <w:sz w:val="36"/>
          <w:szCs w:val="36"/>
        </w:rPr>
        <w:t>Reference list</w:t>
      </w:r>
    </w:p>
    <w:p w14:paraId="5ABB572A" w14:textId="77777777" w:rsidR="00316D79" w:rsidRDefault="00316D79" w:rsidP="00316D79">
      <w:pPr>
        <w:pStyle w:val="NormalWeb"/>
        <w:spacing w:before="0" w:beforeAutospacing="0" w:after="240" w:afterAutospacing="0" w:line="360" w:lineRule="atLeast"/>
        <w:rPr>
          <w:rFonts w:ascii="Calibri" w:hAnsi="Calibri" w:cs="Calibri"/>
          <w:color w:val="000000"/>
        </w:rPr>
      </w:pPr>
      <w:r w:rsidRPr="00316D79">
        <w:rPr>
          <w:rFonts w:ascii="Calibri" w:hAnsi="Calibri" w:cs="Calibri"/>
          <w:color w:val="000000"/>
        </w:rPr>
        <w:t>Action For Children (2023).</w:t>
      </w:r>
      <w:r w:rsidRPr="00316D79">
        <w:rPr>
          <w:rStyle w:val="apple-converted-space"/>
          <w:rFonts w:ascii="Calibri" w:eastAsiaTheme="majorEastAsia" w:hAnsi="Calibri" w:cs="Calibri"/>
          <w:color w:val="000000"/>
        </w:rPr>
        <w:t> </w:t>
      </w:r>
      <w:r w:rsidRPr="00316D79">
        <w:rPr>
          <w:rFonts w:ascii="Calibri" w:hAnsi="Calibri" w:cs="Calibri"/>
          <w:i/>
          <w:iCs/>
          <w:color w:val="000000"/>
        </w:rPr>
        <w:t>How poverty affects children’s mental health</w:t>
      </w:r>
      <w:r w:rsidRPr="00316D79">
        <w:rPr>
          <w:rFonts w:ascii="Calibri" w:hAnsi="Calibri" w:cs="Calibri"/>
          <w:color w:val="000000"/>
        </w:rPr>
        <w:t>. [online] Action for Children. Available at: https://www.actionforchildren.org.uk/blog/how-poverty-affects-childrens-mental-health/ [Accessed 16 May 2024].</w:t>
      </w:r>
    </w:p>
    <w:p w14:paraId="152491A5" w14:textId="77777777" w:rsidR="00C13070" w:rsidRPr="00C13070" w:rsidRDefault="00C13070" w:rsidP="00C13070">
      <w:pPr>
        <w:pStyle w:val="NormalWeb"/>
        <w:spacing w:before="0" w:beforeAutospacing="0" w:after="240" w:afterAutospacing="0" w:line="360" w:lineRule="atLeast"/>
        <w:rPr>
          <w:rFonts w:ascii="Calibri" w:hAnsi="Calibri" w:cs="Calibri"/>
          <w:color w:val="000000"/>
        </w:rPr>
      </w:pPr>
      <w:r w:rsidRPr="00C13070">
        <w:rPr>
          <w:rFonts w:ascii="Calibri" w:hAnsi="Calibri" w:cs="Calibri"/>
          <w:color w:val="000000"/>
        </w:rPr>
        <w:t>Child Poverty Action Group (2024).</w:t>
      </w:r>
      <w:r w:rsidRPr="00C13070">
        <w:rPr>
          <w:rStyle w:val="apple-converted-space"/>
          <w:rFonts w:ascii="Calibri" w:eastAsiaTheme="majorEastAsia" w:hAnsi="Calibri" w:cs="Calibri"/>
          <w:color w:val="000000"/>
        </w:rPr>
        <w:t> </w:t>
      </w:r>
      <w:r w:rsidRPr="00C13070">
        <w:rPr>
          <w:rFonts w:ascii="Calibri" w:hAnsi="Calibri" w:cs="Calibri"/>
          <w:i/>
          <w:iCs/>
          <w:color w:val="000000"/>
        </w:rPr>
        <w:t>Effects of poverty | CPAG</w:t>
      </w:r>
      <w:r w:rsidRPr="00C13070">
        <w:rPr>
          <w:rFonts w:ascii="Calibri" w:hAnsi="Calibri" w:cs="Calibri"/>
          <w:color w:val="000000"/>
        </w:rPr>
        <w:t>. [online] cpag.org.uk. Available at: https://cpag.org.uk/child-poverty/effects-poverty#:~:text=Poverty%20affects%20health%20even%20before [Accessed 15 May 2024].</w:t>
      </w:r>
    </w:p>
    <w:p w14:paraId="3FDAB97A" w14:textId="77777777" w:rsidR="00316D79" w:rsidRPr="00316D79" w:rsidRDefault="00316D79" w:rsidP="00316D79">
      <w:pPr>
        <w:pStyle w:val="NormalWeb"/>
        <w:spacing w:before="0" w:beforeAutospacing="0" w:after="240" w:afterAutospacing="0" w:line="360" w:lineRule="atLeast"/>
        <w:rPr>
          <w:rFonts w:ascii="Calibri" w:hAnsi="Calibri" w:cs="Calibri"/>
          <w:color w:val="000000"/>
        </w:rPr>
      </w:pPr>
      <w:r w:rsidRPr="00316D79">
        <w:rPr>
          <w:rFonts w:ascii="Calibri" w:hAnsi="Calibri" w:cs="Calibri"/>
          <w:color w:val="000000"/>
        </w:rPr>
        <w:t xml:space="preserve">Francis, L., </w:t>
      </w:r>
      <w:proofErr w:type="spellStart"/>
      <w:r w:rsidRPr="00316D79">
        <w:rPr>
          <w:rFonts w:ascii="Calibri" w:hAnsi="Calibri" w:cs="Calibri"/>
          <w:color w:val="000000"/>
        </w:rPr>
        <w:t>DePriest</w:t>
      </w:r>
      <w:proofErr w:type="spellEnd"/>
      <w:r w:rsidRPr="00316D79">
        <w:rPr>
          <w:rFonts w:ascii="Calibri" w:hAnsi="Calibri" w:cs="Calibri"/>
          <w:color w:val="000000"/>
        </w:rPr>
        <w:t>, K., Wilson, M. and Gross, D. (2018). Child poverty, Toxic stress, and Social Determinants of health: Screening and Care Coordination.</w:t>
      </w:r>
      <w:r w:rsidRPr="00316D79">
        <w:rPr>
          <w:rStyle w:val="apple-converted-space"/>
          <w:rFonts w:ascii="Calibri" w:eastAsiaTheme="majorEastAsia" w:hAnsi="Calibri" w:cs="Calibri"/>
          <w:color w:val="000000"/>
        </w:rPr>
        <w:t> </w:t>
      </w:r>
      <w:r w:rsidRPr="00316D79">
        <w:rPr>
          <w:rFonts w:ascii="Calibri" w:hAnsi="Calibri" w:cs="Calibri"/>
          <w:i/>
          <w:iCs/>
          <w:color w:val="000000"/>
        </w:rPr>
        <w:t>Online Journal of Issues in Nursing</w:t>
      </w:r>
      <w:r w:rsidRPr="00316D79">
        <w:rPr>
          <w:rFonts w:ascii="Calibri" w:hAnsi="Calibri" w:cs="Calibri"/>
          <w:color w:val="000000"/>
        </w:rPr>
        <w:t xml:space="preserve">, 23(3), p.2. </w:t>
      </w:r>
      <w:proofErr w:type="spellStart"/>
      <w:proofErr w:type="gramStart"/>
      <w:r w:rsidRPr="00316D79">
        <w:rPr>
          <w:rFonts w:ascii="Calibri" w:hAnsi="Calibri" w:cs="Calibri"/>
          <w:color w:val="000000"/>
        </w:rPr>
        <w:t>doi:https</w:t>
      </w:r>
      <w:proofErr w:type="spellEnd"/>
      <w:r w:rsidRPr="00316D79">
        <w:rPr>
          <w:rFonts w:ascii="Calibri" w:hAnsi="Calibri" w:cs="Calibri"/>
          <w:color w:val="000000"/>
        </w:rPr>
        <w:t>://doi.org/10.3912/OJIN.Vol23No03Man02</w:t>
      </w:r>
      <w:proofErr w:type="gramEnd"/>
      <w:r w:rsidRPr="00316D79">
        <w:rPr>
          <w:rFonts w:ascii="Calibri" w:hAnsi="Calibri" w:cs="Calibri"/>
          <w:color w:val="000000"/>
        </w:rPr>
        <w:t>.</w:t>
      </w:r>
    </w:p>
    <w:p w14:paraId="450A49D2" w14:textId="77777777" w:rsidR="00316D79" w:rsidRPr="00316D79" w:rsidRDefault="00316D79" w:rsidP="00316D79">
      <w:pPr>
        <w:pStyle w:val="NormalWeb"/>
        <w:spacing w:before="0" w:beforeAutospacing="0" w:after="240" w:afterAutospacing="0" w:line="360" w:lineRule="atLeast"/>
        <w:rPr>
          <w:rFonts w:ascii="Calibri" w:hAnsi="Calibri" w:cs="Calibri"/>
          <w:color w:val="000000"/>
        </w:rPr>
      </w:pPr>
      <w:r w:rsidRPr="00316D79">
        <w:rPr>
          <w:rFonts w:ascii="Calibri" w:hAnsi="Calibri" w:cs="Calibri"/>
          <w:color w:val="000000"/>
        </w:rPr>
        <w:t>Hodgkinson, S., Godoy, L., Beers, L.S. and Lewin, A. (2017). Improving mental health access for low-income children and families in the primary care setting.</w:t>
      </w:r>
      <w:r w:rsidRPr="00316D79">
        <w:rPr>
          <w:rStyle w:val="apple-converted-space"/>
          <w:rFonts w:ascii="Calibri" w:eastAsiaTheme="majorEastAsia" w:hAnsi="Calibri" w:cs="Calibri"/>
          <w:color w:val="000000"/>
        </w:rPr>
        <w:t> </w:t>
      </w:r>
      <w:proofErr w:type="spellStart"/>
      <w:r w:rsidRPr="00316D79">
        <w:rPr>
          <w:rFonts w:ascii="Calibri" w:hAnsi="Calibri" w:cs="Calibri"/>
          <w:i/>
          <w:iCs/>
          <w:color w:val="000000"/>
        </w:rPr>
        <w:t>Pediatrics</w:t>
      </w:r>
      <w:proofErr w:type="spellEnd"/>
      <w:r w:rsidRPr="00316D79">
        <w:rPr>
          <w:rFonts w:ascii="Calibri" w:hAnsi="Calibri" w:cs="Calibri"/>
          <w:color w:val="000000"/>
        </w:rPr>
        <w:t xml:space="preserve">, [online] 139(1), pp.1–9. </w:t>
      </w:r>
      <w:proofErr w:type="spellStart"/>
      <w:proofErr w:type="gramStart"/>
      <w:r w:rsidRPr="00316D79">
        <w:rPr>
          <w:rFonts w:ascii="Calibri" w:hAnsi="Calibri" w:cs="Calibri"/>
          <w:color w:val="000000"/>
        </w:rPr>
        <w:t>doi:https</w:t>
      </w:r>
      <w:proofErr w:type="spellEnd"/>
      <w:r w:rsidRPr="00316D79">
        <w:rPr>
          <w:rFonts w:ascii="Calibri" w:hAnsi="Calibri" w:cs="Calibri"/>
          <w:color w:val="000000"/>
        </w:rPr>
        <w:t>://doi.org/10.1542/peds.2015-1175</w:t>
      </w:r>
      <w:proofErr w:type="gramEnd"/>
      <w:r w:rsidRPr="00316D79">
        <w:rPr>
          <w:rFonts w:ascii="Calibri" w:hAnsi="Calibri" w:cs="Calibri"/>
          <w:color w:val="000000"/>
        </w:rPr>
        <w:t>.</w:t>
      </w:r>
    </w:p>
    <w:p w14:paraId="36BEE896" w14:textId="77777777" w:rsidR="00316D79" w:rsidRPr="00316D79" w:rsidRDefault="00316D79" w:rsidP="00316D79">
      <w:pPr>
        <w:pStyle w:val="NormalWeb"/>
        <w:spacing w:before="0" w:beforeAutospacing="0" w:after="240" w:afterAutospacing="0" w:line="360" w:lineRule="atLeast"/>
        <w:rPr>
          <w:rFonts w:ascii="Calibri" w:hAnsi="Calibri" w:cs="Calibri"/>
          <w:color w:val="000000"/>
        </w:rPr>
      </w:pPr>
      <w:r w:rsidRPr="00316D79">
        <w:rPr>
          <w:rFonts w:ascii="Calibri" w:hAnsi="Calibri" w:cs="Calibri"/>
          <w:color w:val="000000"/>
        </w:rPr>
        <w:t>Mallorie, S. (2024).</w:t>
      </w:r>
      <w:r w:rsidRPr="00316D79">
        <w:rPr>
          <w:rStyle w:val="apple-converted-space"/>
          <w:rFonts w:ascii="Calibri" w:eastAsiaTheme="majorEastAsia" w:hAnsi="Calibri" w:cs="Calibri"/>
          <w:color w:val="000000"/>
        </w:rPr>
        <w:t> </w:t>
      </w:r>
      <w:r w:rsidRPr="00316D79">
        <w:rPr>
          <w:rFonts w:ascii="Calibri" w:hAnsi="Calibri" w:cs="Calibri"/>
          <w:i/>
          <w:iCs/>
          <w:color w:val="000000"/>
        </w:rPr>
        <w:t xml:space="preserve">The Relationship Between Poverty </w:t>
      </w:r>
      <w:proofErr w:type="gramStart"/>
      <w:r w:rsidRPr="00316D79">
        <w:rPr>
          <w:rFonts w:ascii="Calibri" w:hAnsi="Calibri" w:cs="Calibri"/>
          <w:i/>
          <w:iCs/>
          <w:color w:val="000000"/>
        </w:rPr>
        <w:t>And</w:t>
      </w:r>
      <w:proofErr w:type="gramEnd"/>
      <w:r w:rsidRPr="00316D79">
        <w:rPr>
          <w:rFonts w:ascii="Calibri" w:hAnsi="Calibri" w:cs="Calibri"/>
          <w:i/>
          <w:iCs/>
          <w:color w:val="000000"/>
        </w:rPr>
        <w:t xml:space="preserve"> NHS Services</w:t>
      </w:r>
      <w:r w:rsidRPr="00316D79">
        <w:rPr>
          <w:rFonts w:ascii="Calibri" w:hAnsi="Calibri" w:cs="Calibri"/>
          <w:color w:val="000000"/>
        </w:rPr>
        <w:t>. [online] The King’s Fund. Available at: https://www.kingsfund.org.uk/insight-and-analysis/long-reads/relationship-poverty-nhs-services [Accessed 17 May 2024].</w:t>
      </w:r>
    </w:p>
    <w:p w14:paraId="54EDA087" w14:textId="77777777" w:rsidR="00316D79" w:rsidRPr="00316D79" w:rsidRDefault="00316D79" w:rsidP="00316D79">
      <w:pPr>
        <w:pStyle w:val="NormalWeb"/>
        <w:spacing w:before="0" w:beforeAutospacing="0" w:after="240" w:afterAutospacing="0" w:line="360" w:lineRule="atLeast"/>
        <w:rPr>
          <w:rFonts w:ascii="Calibri" w:hAnsi="Calibri" w:cs="Calibri"/>
          <w:color w:val="000000"/>
        </w:rPr>
      </w:pPr>
      <w:r w:rsidRPr="00316D79">
        <w:rPr>
          <w:rFonts w:ascii="Calibri" w:hAnsi="Calibri" w:cs="Calibri"/>
          <w:color w:val="000000"/>
        </w:rPr>
        <w:t>McLeod, S. (2018).</w:t>
      </w:r>
      <w:r w:rsidRPr="00316D79">
        <w:rPr>
          <w:rStyle w:val="apple-converted-space"/>
          <w:rFonts w:ascii="Calibri" w:eastAsiaTheme="majorEastAsia" w:hAnsi="Calibri" w:cs="Calibri"/>
          <w:color w:val="000000"/>
        </w:rPr>
        <w:t> </w:t>
      </w:r>
      <w:r w:rsidRPr="00316D79">
        <w:rPr>
          <w:rFonts w:ascii="Calibri" w:hAnsi="Calibri" w:cs="Calibri"/>
          <w:i/>
          <w:iCs/>
          <w:color w:val="000000"/>
        </w:rPr>
        <w:t>Maslow’s Hierarchy of Needs</w:t>
      </w:r>
      <w:r w:rsidRPr="00316D79">
        <w:rPr>
          <w:rFonts w:ascii="Calibri" w:hAnsi="Calibri" w:cs="Calibri"/>
          <w:color w:val="000000"/>
        </w:rPr>
        <w:t>. [online]</w:t>
      </w:r>
      <w:r w:rsidRPr="00316D79">
        <w:rPr>
          <w:rStyle w:val="apple-converted-space"/>
          <w:rFonts w:ascii="Calibri" w:eastAsiaTheme="majorEastAsia" w:hAnsi="Calibri" w:cs="Calibri"/>
          <w:color w:val="000000"/>
        </w:rPr>
        <w:t> </w:t>
      </w:r>
      <w:r w:rsidRPr="00316D79">
        <w:rPr>
          <w:rFonts w:ascii="Calibri" w:hAnsi="Calibri" w:cs="Calibri"/>
          <w:i/>
          <w:iCs/>
          <w:color w:val="000000"/>
        </w:rPr>
        <w:t>Canada College</w:t>
      </w:r>
      <w:r w:rsidRPr="00316D79">
        <w:rPr>
          <w:rFonts w:ascii="Calibri" w:hAnsi="Calibri" w:cs="Calibri"/>
          <w:color w:val="000000"/>
        </w:rPr>
        <w:t>. Simply Psychology. Available at: https://canadacollege.edu/dreamers/docs/Maslows-Hierarchy-of-Needs.pdf [Accessed 17 May 2024].</w:t>
      </w:r>
    </w:p>
    <w:p w14:paraId="3B34334F" w14:textId="77777777" w:rsidR="00316D79" w:rsidRPr="00316D79" w:rsidRDefault="00316D79" w:rsidP="00316D79">
      <w:pPr>
        <w:pStyle w:val="NormalWeb"/>
        <w:spacing w:before="0" w:beforeAutospacing="0" w:after="240" w:afterAutospacing="0" w:line="360" w:lineRule="atLeast"/>
        <w:rPr>
          <w:rFonts w:ascii="Calibri" w:hAnsi="Calibri" w:cs="Calibri"/>
          <w:color w:val="000000"/>
        </w:rPr>
      </w:pPr>
      <w:r w:rsidRPr="00316D79">
        <w:rPr>
          <w:rFonts w:ascii="Calibri" w:hAnsi="Calibri" w:cs="Calibri"/>
          <w:color w:val="000000"/>
        </w:rPr>
        <w:lastRenderedPageBreak/>
        <w:t>Mcleod, S. (2024). Maslow’s Hierarchy of Needs.</w:t>
      </w:r>
      <w:r w:rsidRPr="00316D79">
        <w:rPr>
          <w:rStyle w:val="apple-converted-space"/>
          <w:rFonts w:ascii="Calibri" w:eastAsiaTheme="majorEastAsia" w:hAnsi="Calibri" w:cs="Calibri"/>
          <w:color w:val="000000"/>
        </w:rPr>
        <w:t> </w:t>
      </w:r>
      <w:r w:rsidRPr="00316D79">
        <w:rPr>
          <w:rFonts w:ascii="Calibri" w:hAnsi="Calibri" w:cs="Calibri"/>
          <w:i/>
          <w:iCs/>
          <w:color w:val="000000"/>
        </w:rPr>
        <w:t>Simply Psychology</w:t>
      </w:r>
      <w:r w:rsidRPr="00316D79">
        <w:rPr>
          <w:rFonts w:ascii="Calibri" w:hAnsi="Calibri" w:cs="Calibri"/>
          <w:color w:val="000000"/>
        </w:rPr>
        <w:t>. [online] Available at: https://www.simplypsychology.org/maslow.html#:~:text=There%20are%20five%20levels%20in [Accessed 17 May 2024].</w:t>
      </w:r>
    </w:p>
    <w:p w14:paraId="5CA1367D" w14:textId="77777777" w:rsidR="00316D79" w:rsidRPr="00316D79" w:rsidRDefault="00316D79" w:rsidP="00316D79">
      <w:pPr>
        <w:pStyle w:val="NormalWeb"/>
        <w:spacing w:before="0" w:beforeAutospacing="0" w:after="240" w:afterAutospacing="0" w:line="360" w:lineRule="atLeast"/>
        <w:rPr>
          <w:rFonts w:ascii="Calibri" w:hAnsi="Calibri" w:cs="Calibri"/>
          <w:color w:val="000000"/>
        </w:rPr>
      </w:pPr>
      <w:r w:rsidRPr="00316D79">
        <w:rPr>
          <w:rFonts w:ascii="Calibri" w:hAnsi="Calibri" w:cs="Calibri"/>
          <w:color w:val="000000"/>
        </w:rPr>
        <w:t>The Children's Society (2024).</w:t>
      </w:r>
      <w:r w:rsidRPr="00316D79">
        <w:rPr>
          <w:rStyle w:val="apple-converted-space"/>
          <w:rFonts w:ascii="Calibri" w:eastAsiaTheme="majorEastAsia" w:hAnsi="Calibri" w:cs="Calibri"/>
          <w:color w:val="000000"/>
        </w:rPr>
        <w:t> </w:t>
      </w:r>
      <w:r w:rsidRPr="00316D79">
        <w:rPr>
          <w:rFonts w:ascii="Calibri" w:hAnsi="Calibri" w:cs="Calibri"/>
          <w:i/>
          <w:iCs/>
          <w:color w:val="000000"/>
        </w:rPr>
        <w:t>Effects Of Child Poverty | The Children’s Society</w:t>
      </w:r>
      <w:r w:rsidRPr="00316D79">
        <w:rPr>
          <w:rFonts w:ascii="Calibri" w:hAnsi="Calibri" w:cs="Calibri"/>
          <w:color w:val="000000"/>
        </w:rPr>
        <w:t>. [online] www.childrenssociety.org.uk. Available at: https://www.childrenssociety.org.uk/what-we-do/our-work/ending-child-poverty/effects-of-living-in-poverty#:~:text=mental%20health&amp;text=Money%20worries%20can%20make%20anyone [Accessed 16 May 2024].</w:t>
      </w:r>
    </w:p>
    <w:p w14:paraId="2FB43C9E" w14:textId="77777777" w:rsidR="00316D79" w:rsidRDefault="00316D79" w:rsidP="00316D79">
      <w:pPr>
        <w:pStyle w:val="NormalWeb"/>
        <w:spacing w:before="0" w:beforeAutospacing="0" w:after="240" w:afterAutospacing="0" w:line="360" w:lineRule="atLeast"/>
        <w:rPr>
          <w:rFonts w:ascii="Calibri" w:hAnsi="Calibri" w:cs="Calibri"/>
          <w:color w:val="000000"/>
        </w:rPr>
      </w:pPr>
      <w:r w:rsidRPr="00316D79">
        <w:rPr>
          <w:rFonts w:ascii="Calibri" w:hAnsi="Calibri" w:cs="Calibri"/>
          <w:color w:val="000000"/>
        </w:rPr>
        <w:t>university of Bedfordshire (2012).</w:t>
      </w:r>
      <w:r w:rsidRPr="00316D79">
        <w:rPr>
          <w:rStyle w:val="apple-converted-space"/>
          <w:rFonts w:ascii="Calibri" w:eastAsiaTheme="majorEastAsia" w:hAnsi="Calibri" w:cs="Calibri"/>
          <w:color w:val="000000"/>
        </w:rPr>
        <w:t> </w:t>
      </w:r>
      <w:r w:rsidRPr="00316D79">
        <w:rPr>
          <w:rFonts w:ascii="Calibri" w:hAnsi="Calibri" w:cs="Calibri"/>
          <w:i/>
          <w:iCs/>
          <w:color w:val="000000"/>
        </w:rPr>
        <w:t xml:space="preserve">Key Pedagogic Thinkers: Paulo </w:t>
      </w:r>
      <w:proofErr w:type="spellStart"/>
      <w:r w:rsidRPr="00316D79">
        <w:rPr>
          <w:rFonts w:ascii="Calibri" w:hAnsi="Calibri" w:cs="Calibri"/>
          <w:i/>
          <w:iCs/>
          <w:color w:val="000000"/>
        </w:rPr>
        <w:t>Friere</w:t>
      </w:r>
      <w:proofErr w:type="spellEnd"/>
      <w:r w:rsidRPr="00316D79">
        <w:rPr>
          <w:rFonts w:ascii="Calibri" w:hAnsi="Calibri" w:cs="Calibri"/>
          <w:i/>
          <w:iCs/>
          <w:color w:val="000000"/>
        </w:rPr>
        <w:t xml:space="preserve"> - Journal of Pedagogic Development | University of Bedfordshire</w:t>
      </w:r>
      <w:r w:rsidRPr="00316D79">
        <w:rPr>
          <w:rFonts w:ascii="Calibri" w:hAnsi="Calibri" w:cs="Calibri"/>
          <w:color w:val="000000"/>
        </w:rPr>
        <w:t>. [online] www.beds.ac.uk. Available at: https://www.beds.ac.uk/jpd/journal-of-pedagogic-development-volume-2-issue-3/key-pedagogic-thinkers-paulo-friere/ [Accessed 17 May 2024].</w:t>
      </w:r>
    </w:p>
    <w:p w14:paraId="5C9FFF87"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7BB94BFE"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7393FEBC"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16E5A63D"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11937C1A"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1D4D55D0"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03967A08"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6C84304A"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22152180"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2D040447"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3779A681"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712EA00E"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7B25D38B"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0796E5DD"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0239E3AB"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7FB734E9" w14:textId="77777777" w:rsidR="00655E23" w:rsidRDefault="00655E23" w:rsidP="00316D79">
      <w:pPr>
        <w:pStyle w:val="NormalWeb"/>
        <w:spacing w:before="0" w:beforeAutospacing="0" w:after="240" w:afterAutospacing="0" w:line="360" w:lineRule="atLeast"/>
        <w:rPr>
          <w:rFonts w:ascii="Calibri" w:hAnsi="Calibri" w:cs="Calibri"/>
          <w:color w:val="000000"/>
        </w:rPr>
      </w:pPr>
    </w:p>
    <w:p w14:paraId="7ED3C0BB" w14:textId="77777777" w:rsidR="001A2BD3" w:rsidRDefault="001A2BD3" w:rsidP="001A2BD3">
      <w:pPr>
        <w:rPr>
          <w:b/>
          <w:bCs/>
          <w:color w:val="0C27EF"/>
          <w:sz w:val="28"/>
          <w:szCs w:val="28"/>
          <w:u w:val="single"/>
        </w:rPr>
      </w:pPr>
      <w:r w:rsidRPr="002D1AC7">
        <w:rPr>
          <w:b/>
          <w:bCs/>
          <w:color w:val="0C27EF"/>
          <w:sz w:val="28"/>
          <w:szCs w:val="28"/>
          <w:u w:val="single"/>
        </w:rPr>
        <w:t xml:space="preserve">How does gender development impact the human </w:t>
      </w:r>
      <w:proofErr w:type="gramStart"/>
      <w:r w:rsidRPr="002D1AC7">
        <w:rPr>
          <w:b/>
          <w:bCs/>
          <w:color w:val="0C27EF"/>
          <w:sz w:val="28"/>
          <w:szCs w:val="28"/>
          <w:u w:val="single"/>
        </w:rPr>
        <w:t>brain</w:t>
      </w:r>
      <w:proofErr w:type="gramEnd"/>
    </w:p>
    <w:p w14:paraId="012FC097" w14:textId="77777777" w:rsidR="00F91828" w:rsidRDefault="00F91828" w:rsidP="00585BB1"/>
    <w:p w14:paraId="3BB30F85" w14:textId="5524D5ED" w:rsidR="00316D79" w:rsidRDefault="00004F03" w:rsidP="00585BB1">
      <w:pPr>
        <w:rPr>
          <w:color w:val="000000"/>
        </w:rPr>
      </w:pPr>
      <w:r w:rsidRPr="000F7D5C">
        <w:t>The human brain can be significantly impacted by gender development. Gender identity formation and its effects on the brain are influenced by social and environmental factors in addition to biological elements like hormones and genetics that shape brain development.</w:t>
      </w:r>
      <w:r w:rsidRPr="006571FB">
        <w:rPr>
          <w:color w:val="000000"/>
        </w:rPr>
        <w:t xml:space="preserve"> </w:t>
      </w:r>
      <w:r>
        <w:rPr>
          <w:color w:val="000000"/>
        </w:rPr>
        <w:t>(</w:t>
      </w:r>
      <w:proofErr w:type="spellStart"/>
      <w:r>
        <w:rPr>
          <w:color w:val="000000"/>
        </w:rPr>
        <w:t>Ristori</w:t>
      </w:r>
      <w:proofErr w:type="spellEnd"/>
      <w:r>
        <w:rPr>
          <w:color w:val="000000"/>
        </w:rPr>
        <w:t xml:space="preserve"> et al., 2020)</w:t>
      </w:r>
    </w:p>
    <w:p w14:paraId="2E0A6392" w14:textId="77777777" w:rsidR="00563A76" w:rsidRDefault="00563A76" w:rsidP="00585BB1">
      <w:pPr>
        <w:rPr>
          <w:color w:val="000000"/>
        </w:rPr>
      </w:pPr>
    </w:p>
    <w:p w14:paraId="21D5D831" w14:textId="77777777" w:rsidR="00563A76" w:rsidRDefault="00563A76" w:rsidP="00563A76">
      <w:pPr>
        <w:rPr>
          <w:color w:val="000000"/>
        </w:rPr>
      </w:pPr>
      <w:r w:rsidRPr="0033793C">
        <w:rPr>
          <w:color w:val="000000"/>
        </w:rPr>
        <w:t>Gender development is shaped by socialisation and cultural influences, which also have an impact on the brain. People are exposed to society norms and expectations about gender roles and behaviour starting in early childhood.</w:t>
      </w:r>
      <w:r>
        <w:rPr>
          <w:color w:val="000000"/>
        </w:rPr>
        <w:t xml:space="preserve"> (Martin and </w:t>
      </w:r>
      <w:proofErr w:type="spellStart"/>
      <w:r>
        <w:rPr>
          <w:color w:val="000000"/>
        </w:rPr>
        <w:t>Ruble</w:t>
      </w:r>
      <w:proofErr w:type="spellEnd"/>
      <w:r>
        <w:rPr>
          <w:color w:val="000000"/>
        </w:rPr>
        <w:t>, 2013)</w:t>
      </w:r>
    </w:p>
    <w:p w14:paraId="4C959730" w14:textId="77777777" w:rsidR="00563A76" w:rsidRDefault="00563A76" w:rsidP="00585BB1">
      <w:pPr>
        <w:rPr>
          <w:color w:val="000000"/>
        </w:rPr>
      </w:pPr>
    </w:p>
    <w:p w14:paraId="19A90A6D" w14:textId="1BC69FFB" w:rsidR="00263E95" w:rsidRDefault="00263E95" w:rsidP="00263E95">
      <w:pPr>
        <w:rPr>
          <w:color w:val="000000"/>
        </w:rPr>
      </w:pPr>
      <w:r w:rsidRPr="00243237">
        <w:rPr>
          <w:color w:val="000000"/>
        </w:rPr>
        <w:t xml:space="preserve">It is believed that either by the absence of this hormone surge </w:t>
      </w:r>
      <w:r w:rsidR="00611BAD" w:rsidRPr="00611BAD">
        <w:rPr>
          <w:color w:val="000000"/>
        </w:rPr>
        <w:t>either in the female direction or by testosterone's direct effect on the developing nerve cells in the male direction, the</w:t>
      </w:r>
      <w:r w:rsidRPr="00243237">
        <w:rPr>
          <w:color w:val="000000"/>
        </w:rPr>
        <w:t xml:space="preserve"> foetal brain develops during the intrauterine period.</w:t>
      </w:r>
      <w:r>
        <w:rPr>
          <w:color w:val="000000"/>
        </w:rPr>
        <w:t xml:space="preserve"> (</w:t>
      </w:r>
      <w:proofErr w:type="spellStart"/>
      <w:r>
        <w:rPr>
          <w:color w:val="000000"/>
        </w:rPr>
        <w:t>Savic</w:t>
      </w:r>
      <w:proofErr w:type="spellEnd"/>
      <w:r>
        <w:rPr>
          <w:color w:val="000000"/>
        </w:rPr>
        <w:t>, Garcia-</w:t>
      </w:r>
      <w:proofErr w:type="spellStart"/>
      <w:r>
        <w:rPr>
          <w:color w:val="000000"/>
        </w:rPr>
        <w:t>Falgueras</w:t>
      </w:r>
      <w:proofErr w:type="spellEnd"/>
      <w:r>
        <w:rPr>
          <w:color w:val="000000"/>
        </w:rPr>
        <w:t xml:space="preserve"> and </w:t>
      </w:r>
      <w:proofErr w:type="spellStart"/>
      <w:r>
        <w:rPr>
          <w:color w:val="000000"/>
        </w:rPr>
        <w:t>Swaab</w:t>
      </w:r>
      <w:proofErr w:type="spellEnd"/>
      <w:r>
        <w:rPr>
          <w:color w:val="000000"/>
        </w:rPr>
        <w:t>, 2010)</w:t>
      </w:r>
    </w:p>
    <w:p w14:paraId="7D96B4F5" w14:textId="77777777" w:rsidR="00263E95" w:rsidRDefault="00263E95" w:rsidP="00585BB1">
      <w:pPr>
        <w:rPr>
          <w:color w:val="000000"/>
        </w:rPr>
      </w:pPr>
    </w:p>
    <w:p w14:paraId="67E55580" w14:textId="4ACF0096" w:rsidR="006B2AA2" w:rsidRDefault="00695D0B" w:rsidP="006B2AA2">
      <w:pPr>
        <w:rPr>
          <w:color w:val="000000"/>
        </w:rPr>
      </w:pPr>
      <w:r w:rsidRPr="00695D0B">
        <w:rPr>
          <w:color w:val="000000"/>
        </w:rPr>
        <w:t xml:space="preserve">The intricate interplay among biological, social, and environmental elements </w:t>
      </w:r>
      <w:r w:rsidR="006B2AA2" w:rsidRPr="0033793C">
        <w:rPr>
          <w:color w:val="000000"/>
        </w:rPr>
        <w:t>are reflected in the ways that gender development affects many facets of brain structure and function. Gaining knowledge of these relationships can help us understand how different human genders think and behave.</w:t>
      </w:r>
      <w:r w:rsidR="006B2AA2">
        <w:rPr>
          <w:color w:val="000000"/>
        </w:rPr>
        <w:t xml:space="preserve"> (</w:t>
      </w:r>
      <w:proofErr w:type="spellStart"/>
      <w:r w:rsidR="006B2AA2">
        <w:rPr>
          <w:color w:val="000000"/>
        </w:rPr>
        <w:t>Ngun</w:t>
      </w:r>
      <w:proofErr w:type="spellEnd"/>
      <w:r w:rsidR="006B2AA2">
        <w:rPr>
          <w:color w:val="000000"/>
        </w:rPr>
        <w:t xml:space="preserve"> et al., 2012)</w:t>
      </w:r>
    </w:p>
    <w:p w14:paraId="75EEDEC6" w14:textId="77777777" w:rsidR="006B2AA2" w:rsidRDefault="006B2AA2" w:rsidP="00585BB1">
      <w:pPr>
        <w:rPr>
          <w:color w:val="000000"/>
        </w:rPr>
      </w:pPr>
    </w:p>
    <w:p w14:paraId="1BC8C27C" w14:textId="77777777" w:rsidR="00973594" w:rsidRDefault="00973594" w:rsidP="00973594">
      <w:r w:rsidRPr="008D5C3B">
        <w:t>Male and female cognitive capacities can differ due to changes in brain development between the sexes. For instance, studies indicate that while girls may perform better in verbal and emotional intelligence activities, men often perform better in skills involving spatial reasoning and navigation.</w:t>
      </w:r>
      <w:r>
        <w:t xml:space="preserve"> </w:t>
      </w:r>
      <w:r>
        <w:rPr>
          <w:color w:val="000000"/>
        </w:rPr>
        <w:t>(Goldman, 2017)</w:t>
      </w:r>
    </w:p>
    <w:p w14:paraId="3CBC384D" w14:textId="77777777" w:rsidR="00973594" w:rsidRDefault="00973594" w:rsidP="00585BB1">
      <w:pPr>
        <w:rPr>
          <w:color w:val="000000"/>
        </w:rPr>
      </w:pPr>
    </w:p>
    <w:p w14:paraId="27B524E3" w14:textId="77777777" w:rsidR="000F7C39" w:rsidRPr="006571FB" w:rsidRDefault="000F7C39" w:rsidP="000F7C39">
      <w:r w:rsidRPr="008D5C3B">
        <w:t>The brain's mechanisms for regulating emotions can be impacted by gender development. Research indicates that while men may have higher activation in brain regions linked to emotional regulation and problem-solving, like the prefrontal cortex, women typically show higher activation in areas related to emotional processing and empathy, such as the insula and amygdala</w:t>
      </w:r>
      <w:r>
        <w:t xml:space="preserve">. </w:t>
      </w:r>
      <w:r>
        <w:rPr>
          <w:color w:val="000000"/>
        </w:rPr>
        <w:t>(McRae et al., 2008)</w:t>
      </w:r>
    </w:p>
    <w:p w14:paraId="6B54E484" w14:textId="77777777" w:rsidR="000F7C39" w:rsidRDefault="000F7C39" w:rsidP="000F7C39"/>
    <w:p w14:paraId="32CF83CE" w14:textId="66BEB6EE" w:rsidR="000F7C39" w:rsidRPr="00930330" w:rsidRDefault="000F7C39" w:rsidP="000F7C39">
      <w:pPr>
        <w:rPr>
          <w:color w:val="000000"/>
        </w:rPr>
      </w:pPr>
      <w:r w:rsidRPr="00315155">
        <w:rPr>
          <w:color w:val="000000"/>
        </w:rPr>
        <w:t>Research has indicated that structural variations exist between the brains of men and women. For instance, female brains may have a higher proportion of grey matter in specific regions, but male brains typically have an almost bigger overall capacity. Gender disparities in cognitive ability and behavioural tendencies may be partially explained by these characteristics.</w:t>
      </w:r>
      <w:r>
        <w:rPr>
          <w:color w:val="000000"/>
        </w:rPr>
        <w:t xml:space="preserve"> </w:t>
      </w:r>
      <w:r w:rsidRPr="00786415">
        <w:rPr>
          <w:color w:val="000000"/>
        </w:rPr>
        <w:t xml:space="preserve">Women typically have stronger interpersonal ties, which may facilitate more intuitive analysis, reasoning, and conclusion-drawing. Contrarily, </w:t>
      </w:r>
      <w:r w:rsidR="00F133FF" w:rsidRPr="00F133FF">
        <w:rPr>
          <w:color w:val="000000"/>
        </w:rPr>
        <w:t xml:space="preserve">Men usually have stronger front-to-back connections, which can result in better </w:t>
      </w:r>
      <w:r w:rsidRPr="00786415">
        <w:rPr>
          <w:color w:val="000000"/>
        </w:rPr>
        <w:t xml:space="preserve">motor abilities and increased perception. </w:t>
      </w:r>
      <w:r>
        <w:rPr>
          <w:color w:val="000000"/>
        </w:rPr>
        <w:t>(Grant, 2023)</w:t>
      </w:r>
    </w:p>
    <w:p w14:paraId="5E00463C" w14:textId="77777777" w:rsidR="000F7C39" w:rsidRDefault="000F7C39" w:rsidP="000F7C39"/>
    <w:p w14:paraId="4B9341D0" w14:textId="77777777" w:rsidR="000F7C39" w:rsidRDefault="000F7C39" w:rsidP="000F7C39">
      <w:pPr>
        <w:rPr>
          <w:color w:val="000000"/>
        </w:rPr>
      </w:pPr>
      <w:r w:rsidRPr="00FE023C">
        <w:rPr>
          <w:color w:val="000000"/>
        </w:rPr>
        <w:t xml:space="preserve">Additional factors that impact gender-related brain variations include hormonal changes during key stages of brain development, such as puberty. For instance, testosterone has been connected to the growth of specific brain regions linked to aggression and spatial aptitude, which may explain the typical behavioural characteristics of men. Contrarily, </w:t>
      </w:r>
      <w:r w:rsidRPr="00FE023C">
        <w:rPr>
          <w:color w:val="000000"/>
        </w:rPr>
        <w:lastRenderedPageBreak/>
        <w:t>oestrogen affects brain areas linked to social cognition and emotion control, which may influence typical female behavioural tendencies.</w:t>
      </w:r>
      <w:r w:rsidRPr="00786415">
        <w:t xml:space="preserve"> </w:t>
      </w:r>
      <w:r w:rsidRPr="00786415">
        <w:rPr>
          <w:color w:val="000000"/>
        </w:rPr>
        <w:t xml:space="preserve">Physical aggression in children peaks between the ages of two and four, but after that, it starts to diverge because girls learn to repress these overt behaviours faster than boys do. </w:t>
      </w:r>
      <w:r>
        <w:rPr>
          <w:color w:val="000000"/>
        </w:rPr>
        <w:t>(Eliot, 2021)</w:t>
      </w:r>
    </w:p>
    <w:p w14:paraId="392A64B7" w14:textId="77777777" w:rsidR="00203B71" w:rsidRDefault="00203B71" w:rsidP="000F7C39">
      <w:pPr>
        <w:rPr>
          <w:color w:val="000000"/>
        </w:rPr>
      </w:pPr>
    </w:p>
    <w:p w14:paraId="2B09C14F" w14:textId="57D8BBF0" w:rsidR="00C063AC" w:rsidRDefault="00F91828" w:rsidP="00C063AC">
      <w:pPr>
        <w:rPr>
          <w:color w:val="000000"/>
        </w:rPr>
      </w:pPr>
      <w:r w:rsidRPr="00F91828">
        <w:rPr>
          <w:color w:val="000000"/>
        </w:rPr>
        <w:t xml:space="preserve">Gender development affects the brain through various biological, psychological, and social variables. The process of developing a gender identity, duties, and behaviours is known as gender development, and it can have a profound impact on an individual's brain. Research indicates that while a complex combination of genetic, hormonal, environmental, and social factors influence </w:t>
      </w:r>
      <w:r w:rsidR="000040C0" w:rsidRPr="000040C0">
        <w:rPr>
          <w:color w:val="000000"/>
        </w:rPr>
        <w:t>the composition and operation of the brain</w:t>
      </w:r>
      <w:r w:rsidRPr="00F91828">
        <w:rPr>
          <w:color w:val="000000"/>
        </w:rPr>
        <w:t xml:space="preserve">, gender development and experiences can alter certain aspects of brain function. Similar effects of testosterone exposure are shown in the development of other sex-related behaviours in humans, such as sexual orientation and core gender identity. </w:t>
      </w:r>
      <w:r w:rsidR="00C063AC">
        <w:rPr>
          <w:color w:val="000000"/>
        </w:rPr>
        <w:t>(Hines, 2011)</w:t>
      </w:r>
    </w:p>
    <w:p w14:paraId="3049B736" w14:textId="77777777" w:rsidR="00C063AC" w:rsidRDefault="00C063AC" w:rsidP="00C063AC">
      <w:pPr>
        <w:rPr>
          <w:color w:val="000000"/>
        </w:rPr>
      </w:pPr>
    </w:p>
    <w:p w14:paraId="17065F59" w14:textId="77777777" w:rsidR="00C063AC" w:rsidRDefault="00C063AC" w:rsidP="00C063AC">
      <w:pPr>
        <w:rPr>
          <w:color w:val="000000"/>
        </w:rPr>
      </w:pPr>
      <w:r w:rsidRPr="00EE4A48">
        <w:rPr>
          <w:color w:val="000000"/>
        </w:rPr>
        <w:t xml:space="preserve">Male and female brain development differentiates in response to the foetal testis's synthesis of androgen. During a sensitive window, the brain undergoes sexual differentiation, which results in long-lasting neuroanatomical and physiological changes that have a significant influence on behaviour. </w:t>
      </w:r>
      <w:r>
        <w:rPr>
          <w:color w:val="000000"/>
        </w:rPr>
        <w:t>(McCarthy, 2016)</w:t>
      </w:r>
    </w:p>
    <w:p w14:paraId="6A848CCE" w14:textId="77777777" w:rsidR="00C063AC" w:rsidRDefault="00C063AC" w:rsidP="00C063AC">
      <w:pPr>
        <w:rPr>
          <w:color w:val="000000"/>
        </w:rPr>
      </w:pPr>
    </w:p>
    <w:p w14:paraId="6D4CEE66" w14:textId="23AB344A" w:rsidR="00C063AC" w:rsidRDefault="00611529" w:rsidP="00C063AC">
      <w:pPr>
        <w:rPr>
          <w:color w:val="000000"/>
        </w:rPr>
      </w:pPr>
      <w:r w:rsidRPr="00611529">
        <w:rPr>
          <w:color w:val="000000"/>
        </w:rPr>
        <w:t>Socialisation and gender norms affect emotional management and communication. Boys may be trained to repress specific emotions, which can have an adverse effect on emotional development and mental health. In contrast, girls are frequently encouraged to express emotions more freely. The difficulties and barriers people may run into when trying to comprehend, articulate, and validate their gender identity, roles, and expression are referred to as barriers to gender development. These obstacles may originate from institutional procedures, cultural norms, individual attitudes, and cultural beliefs.</w:t>
      </w:r>
      <w:r w:rsidR="00BB5D04">
        <w:rPr>
          <w:color w:val="000000"/>
        </w:rPr>
        <w:t xml:space="preserve"> </w:t>
      </w:r>
      <w:r w:rsidR="00BB5D04">
        <w:rPr>
          <w:color w:val="000000"/>
        </w:rPr>
        <w:t>(Chaplin, 2018)</w:t>
      </w:r>
    </w:p>
    <w:p w14:paraId="21EF6E29" w14:textId="77777777" w:rsidR="00611529" w:rsidRDefault="00611529" w:rsidP="00C063AC"/>
    <w:p w14:paraId="3B62B3B8" w14:textId="77777777" w:rsidR="00C063AC" w:rsidRDefault="00C063AC" w:rsidP="00C063AC">
      <w:r w:rsidRPr="00651E6E">
        <w:t>Bronfenbrenner emphasised the significance of considering numerous levels of impact, spanning from immediate surroundings to broader social issues, when attempting to comprehend the process of human growth.</w:t>
      </w:r>
      <w:r>
        <w:t xml:space="preserve"> </w:t>
      </w:r>
      <w:r w:rsidRPr="00D706D8">
        <w:t>In a child's microsystems, norms and values are established by beliefs regarding gender roles, individualism, family structures, and social issues. These beliefs permeate the child's environment. For example, boys raised in patriarchal cultures might be socialized to assume domineering masculine roles.</w:t>
      </w:r>
      <w:r>
        <w:t xml:space="preserve"> </w:t>
      </w:r>
      <w:r>
        <w:rPr>
          <w:color w:val="000000"/>
        </w:rPr>
        <w:t>(Guy-Evans, 2022)</w:t>
      </w:r>
    </w:p>
    <w:p w14:paraId="54956CA3" w14:textId="77777777" w:rsidR="00C063AC" w:rsidRDefault="00C063AC" w:rsidP="00C063AC"/>
    <w:p w14:paraId="03759E68" w14:textId="77777777" w:rsidR="00C063AC" w:rsidRDefault="00C063AC" w:rsidP="00C063AC">
      <w:pPr>
        <w:rPr>
          <w:color w:val="000000"/>
        </w:rPr>
      </w:pPr>
      <w:r w:rsidRPr="00651E6E">
        <w:t>Although Piaget's theory is primarily concerned with cognitive development, it is indirectly connected to the development of the brain. This is because cognitive processes are closely tied to the functioning of the brain.</w:t>
      </w:r>
      <w:r>
        <w:t xml:space="preserve"> </w:t>
      </w:r>
      <w:r w:rsidRPr="00651E6E">
        <w:t>It is possible for gender expectations to influence the toys that are given to infants. A boy might be given more cars or action figures, while a girl might receive dolls or kitchen sets. This can influence early interactions and sensory explorations.</w:t>
      </w:r>
      <w:r w:rsidRPr="00D706D8">
        <w:rPr>
          <w:color w:val="000000"/>
        </w:rPr>
        <w:t xml:space="preserve"> </w:t>
      </w:r>
      <w:r>
        <w:rPr>
          <w:color w:val="000000"/>
        </w:rPr>
        <w:t xml:space="preserve">(Mcleod, 2024) </w:t>
      </w:r>
    </w:p>
    <w:p w14:paraId="524AB28E" w14:textId="77777777" w:rsidR="00C063AC" w:rsidRDefault="00C063AC" w:rsidP="00C063AC">
      <w:pPr>
        <w:rPr>
          <w:color w:val="000000"/>
        </w:rPr>
      </w:pPr>
    </w:p>
    <w:p w14:paraId="621F263E" w14:textId="765F3FA7" w:rsidR="00CC73D4" w:rsidRDefault="00CC73D4" w:rsidP="00CC73D4">
      <w:r>
        <w:rPr>
          <w:color w:val="000000"/>
        </w:rPr>
        <w:t>The difference between Piaget and Bronfenbrenner’s theory is that w</w:t>
      </w:r>
      <w:r w:rsidRPr="00987458">
        <w:rPr>
          <w:color w:val="000000"/>
        </w:rPr>
        <w:t>hen it comes to comprehending human development, Bronfenbrenner's theory emphasises the significance of considering the wider social, cultural, and environmental settings</w:t>
      </w:r>
      <w:r>
        <w:rPr>
          <w:color w:val="000000"/>
        </w:rPr>
        <w:t xml:space="preserve"> and Piaget’s theory says that i</w:t>
      </w:r>
      <w:r w:rsidRPr="00987458">
        <w:rPr>
          <w:color w:val="000000"/>
        </w:rPr>
        <w:t xml:space="preserve">ndividual cognitive processes, such as assimilation, accommodation, and equilibrium, are emphasised in Piaget's theory as having a significant impact on the development of </w:t>
      </w:r>
      <w:r w:rsidRPr="00987458">
        <w:rPr>
          <w:color w:val="000000"/>
        </w:rPr>
        <w:lastRenderedPageBreak/>
        <w:t>intellectual capacity.</w:t>
      </w:r>
      <w:r>
        <w:rPr>
          <w:color w:val="000000"/>
        </w:rPr>
        <w:t xml:space="preserve"> </w:t>
      </w:r>
      <w:r w:rsidR="008D3367" w:rsidRPr="008D3367">
        <w:rPr>
          <w:color w:val="000000"/>
        </w:rPr>
        <w:t xml:space="preserve">The theories of Lev Vygotsky, another well-known authority on child development, and Piaget differ greatly from one another. Vygotsky gave society and culture more weight while emphasising the value of curiosity and active learning. Piaget considered that most development occurs within, whereas Vygotsky argued that people and external influences—like culture—play a stronger role. Parents, carers, and peers are some of these people and outside factors. </w:t>
      </w:r>
      <w:r>
        <w:rPr>
          <w:color w:val="000000"/>
        </w:rPr>
        <w:t>(Cherry, 2024)</w:t>
      </w:r>
    </w:p>
    <w:p w14:paraId="600AF189" w14:textId="77777777" w:rsidR="00CC73D4" w:rsidRDefault="00CC73D4" w:rsidP="00CC73D4"/>
    <w:p w14:paraId="1E0F0B2E" w14:textId="77777777" w:rsidR="00E556E8" w:rsidRPr="00E556E8" w:rsidRDefault="00E556E8" w:rsidP="00E556E8">
      <w:pPr>
        <w:pStyle w:val="Heading1"/>
        <w:spacing w:before="0" w:after="240" w:line="540" w:lineRule="atLeast"/>
        <w:rPr>
          <w:rFonts w:ascii="Calibri" w:hAnsi="Calibri" w:cs="Calibri"/>
          <w:color w:val="000000"/>
          <w:sz w:val="36"/>
          <w:szCs w:val="36"/>
        </w:rPr>
      </w:pPr>
      <w:r w:rsidRPr="00E556E8">
        <w:rPr>
          <w:rFonts w:ascii="Calibri" w:hAnsi="Calibri" w:cs="Calibri"/>
          <w:color w:val="000000"/>
          <w:sz w:val="36"/>
          <w:szCs w:val="36"/>
        </w:rPr>
        <w:t>Reference list</w:t>
      </w:r>
    </w:p>
    <w:p w14:paraId="422C941D" w14:textId="77777777" w:rsidR="00E556E8" w:rsidRDefault="00E556E8" w:rsidP="00E556E8">
      <w:pPr>
        <w:pStyle w:val="NormalWeb"/>
        <w:spacing w:before="0" w:beforeAutospacing="0" w:after="240" w:afterAutospacing="0" w:line="360" w:lineRule="atLeast"/>
        <w:rPr>
          <w:rFonts w:ascii="Calibri" w:hAnsi="Calibri" w:cs="Calibri"/>
          <w:color w:val="000000"/>
        </w:rPr>
      </w:pPr>
      <w:r w:rsidRPr="00E556E8">
        <w:rPr>
          <w:rFonts w:ascii="Calibri" w:hAnsi="Calibri" w:cs="Calibri"/>
          <w:color w:val="000000"/>
        </w:rPr>
        <w:t>Cherry, K. (2024).</w:t>
      </w:r>
      <w:r w:rsidRPr="00E556E8">
        <w:rPr>
          <w:rStyle w:val="apple-converted-space"/>
          <w:rFonts w:ascii="Calibri" w:eastAsiaTheme="majorEastAsia" w:hAnsi="Calibri" w:cs="Calibri"/>
          <w:color w:val="000000"/>
        </w:rPr>
        <w:t> </w:t>
      </w:r>
      <w:r w:rsidRPr="00E556E8">
        <w:rPr>
          <w:rFonts w:ascii="Calibri" w:hAnsi="Calibri" w:cs="Calibri"/>
          <w:i/>
          <w:iCs/>
          <w:color w:val="000000"/>
        </w:rPr>
        <w:t>Piaget’s 4 Stages of Cognitive Development Explained</w:t>
      </w:r>
      <w:r w:rsidRPr="00E556E8">
        <w:rPr>
          <w:rFonts w:ascii="Calibri" w:hAnsi="Calibri" w:cs="Calibri"/>
          <w:color w:val="000000"/>
        </w:rPr>
        <w:t xml:space="preserve">. [online] </w:t>
      </w:r>
      <w:proofErr w:type="spellStart"/>
      <w:r w:rsidRPr="00E556E8">
        <w:rPr>
          <w:rFonts w:ascii="Calibri" w:hAnsi="Calibri" w:cs="Calibri"/>
          <w:color w:val="000000"/>
        </w:rPr>
        <w:t>Verywell</w:t>
      </w:r>
      <w:proofErr w:type="spellEnd"/>
      <w:r w:rsidRPr="00E556E8">
        <w:rPr>
          <w:rFonts w:ascii="Calibri" w:hAnsi="Calibri" w:cs="Calibri"/>
          <w:color w:val="000000"/>
        </w:rPr>
        <w:t xml:space="preserve"> Mind. Available at: https://www.verywellmind.com/piagets-stages-of-cognitive-development-2795457 [Accessed 18 May 2024].</w:t>
      </w:r>
    </w:p>
    <w:p w14:paraId="4702BD6D" w14:textId="24F3FE76" w:rsidR="00510D82" w:rsidRPr="00510D82" w:rsidRDefault="00510D82" w:rsidP="00510D82">
      <w:pPr>
        <w:spacing w:after="240" w:line="360" w:lineRule="atLeast"/>
        <w:rPr>
          <w:rFonts w:eastAsia="Times New Roman"/>
          <w:color w:val="000000"/>
          <w:kern w:val="0"/>
          <w:lang w:eastAsia="en-GB"/>
          <w14:ligatures w14:val="none"/>
        </w:rPr>
      </w:pPr>
      <w:r w:rsidRPr="00510D82">
        <w:rPr>
          <w:rFonts w:eastAsia="Times New Roman"/>
          <w:color w:val="000000"/>
          <w:kern w:val="0"/>
          <w:lang w:eastAsia="en-GB"/>
          <w14:ligatures w14:val="none"/>
        </w:rPr>
        <w:t>Chaplin, T.M. (2018). Gender and Emotion Expression: A Developmental Contextual Perspective. </w:t>
      </w:r>
      <w:r w:rsidRPr="00510D82">
        <w:rPr>
          <w:rFonts w:eastAsia="Times New Roman"/>
          <w:i/>
          <w:iCs/>
          <w:color w:val="000000"/>
          <w:kern w:val="0"/>
          <w:lang w:eastAsia="en-GB"/>
          <w14:ligatures w14:val="none"/>
        </w:rPr>
        <w:t>Emotion Review</w:t>
      </w:r>
      <w:r w:rsidRPr="00510D82">
        <w:rPr>
          <w:rFonts w:eastAsia="Times New Roman"/>
          <w:color w:val="000000"/>
          <w:kern w:val="0"/>
          <w:lang w:eastAsia="en-GB"/>
          <w14:ligatures w14:val="none"/>
        </w:rPr>
        <w:t xml:space="preserve">, [online] 7(1), pp.14–21. </w:t>
      </w:r>
      <w:proofErr w:type="spellStart"/>
      <w:proofErr w:type="gramStart"/>
      <w:r w:rsidRPr="00510D82">
        <w:rPr>
          <w:rFonts w:eastAsia="Times New Roman"/>
          <w:color w:val="000000"/>
          <w:kern w:val="0"/>
          <w:lang w:eastAsia="en-GB"/>
          <w14:ligatures w14:val="none"/>
        </w:rPr>
        <w:t>doi:https</w:t>
      </w:r>
      <w:proofErr w:type="spellEnd"/>
      <w:r w:rsidRPr="00510D82">
        <w:rPr>
          <w:rFonts w:eastAsia="Times New Roman"/>
          <w:color w:val="000000"/>
          <w:kern w:val="0"/>
          <w:lang w:eastAsia="en-GB"/>
          <w14:ligatures w14:val="none"/>
        </w:rPr>
        <w:t>://doi.org/10.1177/1754073914544408</w:t>
      </w:r>
      <w:proofErr w:type="gramEnd"/>
      <w:r w:rsidRPr="00510D82">
        <w:rPr>
          <w:rFonts w:eastAsia="Times New Roman"/>
          <w:color w:val="000000"/>
          <w:kern w:val="0"/>
          <w:lang w:eastAsia="en-GB"/>
          <w14:ligatures w14:val="none"/>
        </w:rPr>
        <w:t>.</w:t>
      </w:r>
    </w:p>
    <w:p w14:paraId="433B0369"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r w:rsidRPr="00E556E8">
        <w:rPr>
          <w:rFonts w:ascii="Calibri" w:hAnsi="Calibri" w:cs="Calibri"/>
          <w:color w:val="000000"/>
        </w:rPr>
        <w:t>Eliot, L. (2021). Brain Development and Physical Aggression.</w:t>
      </w:r>
      <w:r w:rsidRPr="00E556E8">
        <w:rPr>
          <w:rStyle w:val="apple-converted-space"/>
          <w:rFonts w:ascii="Calibri" w:eastAsiaTheme="majorEastAsia" w:hAnsi="Calibri" w:cs="Calibri"/>
          <w:color w:val="000000"/>
        </w:rPr>
        <w:t> </w:t>
      </w:r>
      <w:r w:rsidRPr="00E556E8">
        <w:rPr>
          <w:rFonts w:ascii="Calibri" w:hAnsi="Calibri" w:cs="Calibri"/>
          <w:i/>
          <w:iCs/>
          <w:color w:val="000000"/>
        </w:rPr>
        <w:t>Current Anthropology</w:t>
      </w:r>
      <w:r w:rsidRPr="00E556E8">
        <w:rPr>
          <w:rFonts w:ascii="Calibri" w:hAnsi="Calibri" w:cs="Calibri"/>
          <w:color w:val="000000"/>
        </w:rPr>
        <w:t xml:space="preserve">, 62(S23), </w:t>
      </w:r>
      <w:proofErr w:type="gramStart"/>
      <w:r w:rsidRPr="00E556E8">
        <w:rPr>
          <w:rFonts w:ascii="Calibri" w:hAnsi="Calibri" w:cs="Calibri"/>
          <w:color w:val="000000"/>
        </w:rPr>
        <w:t>pp.S</w:t>
      </w:r>
      <w:proofErr w:type="gramEnd"/>
      <w:r w:rsidRPr="00E556E8">
        <w:rPr>
          <w:rFonts w:ascii="Calibri" w:hAnsi="Calibri" w:cs="Calibri"/>
          <w:color w:val="000000"/>
        </w:rPr>
        <w:t xml:space="preserve">66–S78. </w:t>
      </w:r>
      <w:proofErr w:type="spellStart"/>
      <w:proofErr w:type="gramStart"/>
      <w:r w:rsidRPr="00E556E8">
        <w:rPr>
          <w:rFonts w:ascii="Calibri" w:hAnsi="Calibri" w:cs="Calibri"/>
          <w:color w:val="000000"/>
        </w:rPr>
        <w:t>doi:https</w:t>
      </w:r>
      <w:proofErr w:type="spellEnd"/>
      <w:r w:rsidRPr="00E556E8">
        <w:rPr>
          <w:rFonts w:ascii="Calibri" w:hAnsi="Calibri" w:cs="Calibri"/>
          <w:color w:val="000000"/>
        </w:rPr>
        <w:t>://doi.org/10.1086/711705</w:t>
      </w:r>
      <w:proofErr w:type="gramEnd"/>
      <w:r w:rsidRPr="00E556E8">
        <w:rPr>
          <w:rFonts w:ascii="Calibri" w:hAnsi="Calibri" w:cs="Calibri"/>
          <w:color w:val="000000"/>
        </w:rPr>
        <w:t>.</w:t>
      </w:r>
    </w:p>
    <w:p w14:paraId="49FEBC0B"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r w:rsidRPr="00E556E8">
        <w:rPr>
          <w:rFonts w:ascii="Calibri" w:hAnsi="Calibri" w:cs="Calibri"/>
          <w:color w:val="000000"/>
        </w:rPr>
        <w:t>Goldman, B. (2017).</w:t>
      </w:r>
      <w:r w:rsidRPr="00E556E8">
        <w:rPr>
          <w:rStyle w:val="apple-converted-space"/>
          <w:rFonts w:ascii="Calibri" w:eastAsiaTheme="majorEastAsia" w:hAnsi="Calibri" w:cs="Calibri"/>
          <w:color w:val="000000"/>
        </w:rPr>
        <w:t> </w:t>
      </w:r>
      <w:r w:rsidRPr="00E556E8">
        <w:rPr>
          <w:rFonts w:ascii="Calibri" w:hAnsi="Calibri" w:cs="Calibri"/>
          <w:i/>
          <w:iCs/>
          <w:color w:val="000000"/>
        </w:rPr>
        <w:t>How men’s and women’s brains are different</w:t>
      </w:r>
      <w:r w:rsidRPr="00E556E8">
        <w:rPr>
          <w:rFonts w:ascii="Calibri" w:hAnsi="Calibri" w:cs="Calibri"/>
          <w:color w:val="000000"/>
        </w:rPr>
        <w:t>. [online] Stanford Medicine Magazine. Available at: https://stanmed.stanford.edu/how-mens-and-womens-brains-are-different/ [Accessed 17 May 2024].</w:t>
      </w:r>
    </w:p>
    <w:p w14:paraId="4C80D739"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r w:rsidRPr="00E556E8">
        <w:rPr>
          <w:rFonts w:ascii="Calibri" w:hAnsi="Calibri" w:cs="Calibri"/>
          <w:color w:val="000000"/>
        </w:rPr>
        <w:t>Grant, I. (2023).</w:t>
      </w:r>
      <w:r w:rsidRPr="00E556E8">
        <w:rPr>
          <w:rStyle w:val="apple-converted-space"/>
          <w:rFonts w:ascii="Calibri" w:eastAsiaTheme="majorEastAsia" w:hAnsi="Calibri" w:cs="Calibri"/>
          <w:color w:val="000000"/>
        </w:rPr>
        <w:t> </w:t>
      </w:r>
      <w:r w:rsidRPr="00E556E8">
        <w:rPr>
          <w:rFonts w:ascii="Calibri" w:hAnsi="Calibri" w:cs="Calibri"/>
          <w:i/>
          <w:iCs/>
          <w:color w:val="000000"/>
        </w:rPr>
        <w:t>Battle of the Brain: Men Vs. Women [Infographic]</w:t>
      </w:r>
      <w:r w:rsidRPr="00E556E8">
        <w:rPr>
          <w:rFonts w:ascii="Calibri" w:hAnsi="Calibri" w:cs="Calibri"/>
          <w:color w:val="000000"/>
        </w:rPr>
        <w:t xml:space="preserve">. [online] </w:t>
      </w:r>
      <w:proofErr w:type="spellStart"/>
      <w:r w:rsidRPr="00E556E8">
        <w:rPr>
          <w:rFonts w:ascii="Calibri" w:hAnsi="Calibri" w:cs="Calibri"/>
          <w:color w:val="000000"/>
        </w:rPr>
        <w:t>Northwestern</w:t>
      </w:r>
      <w:proofErr w:type="spellEnd"/>
      <w:r w:rsidRPr="00E556E8">
        <w:rPr>
          <w:rFonts w:ascii="Calibri" w:hAnsi="Calibri" w:cs="Calibri"/>
          <w:color w:val="000000"/>
        </w:rPr>
        <w:t xml:space="preserve"> Medicine. Available at: https://www.nm.org/healthbeat/healthy-tips/battle-of-the-brain-men-vs-women-infographic [Accessed 17 May 2024].</w:t>
      </w:r>
    </w:p>
    <w:p w14:paraId="05CD8EC3"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r w:rsidRPr="00E556E8">
        <w:rPr>
          <w:rFonts w:ascii="Calibri" w:hAnsi="Calibri" w:cs="Calibri"/>
          <w:color w:val="000000"/>
        </w:rPr>
        <w:t>Guy-Evans, O. (2022).</w:t>
      </w:r>
      <w:r w:rsidRPr="00E556E8">
        <w:rPr>
          <w:rStyle w:val="apple-converted-space"/>
          <w:rFonts w:ascii="Calibri" w:eastAsiaTheme="majorEastAsia" w:hAnsi="Calibri" w:cs="Calibri"/>
          <w:color w:val="000000"/>
        </w:rPr>
        <w:t> </w:t>
      </w:r>
      <w:r w:rsidRPr="00E556E8">
        <w:rPr>
          <w:rFonts w:ascii="Calibri" w:hAnsi="Calibri" w:cs="Calibri"/>
          <w:i/>
          <w:iCs/>
          <w:color w:val="000000"/>
        </w:rPr>
        <w:t>Bronfenbrenner’s Ecological Systems Theory</w:t>
      </w:r>
      <w:r w:rsidRPr="00E556E8">
        <w:rPr>
          <w:rFonts w:ascii="Calibri" w:hAnsi="Calibri" w:cs="Calibri"/>
          <w:color w:val="000000"/>
        </w:rPr>
        <w:t>. [online] Simply Psychology. Available at: https://www.simplypsychology.org/Bronfenbrenner.html#The-Five-Ecological-Systems [Accessed 18 May 2024].</w:t>
      </w:r>
    </w:p>
    <w:p w14:paraId="39EA7547"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r w:rsidRPr="00E556E8">
        <w:rPr>
          <w:rFonts w:ascii="Calibri" w:hAnsi="Calibri" w:cs="Calibri"/>
          <w:color w:val="000000"/>
        </w:rPr>
        <w:t>Hines, M. (2011). Gender Development and the Human Brain.</w:t>
      </w:r>
      <w:r w:rsidRPr="00E556E8">
        <w:rPr>
          <w:rStyle w:val="apple-converted-space"/>
          <w:rFonts w:ascii="Calibri" w:eastAsiaTheme="majorEastAsia" w:hAnsi="Calibri" w:cs="Calibri"/>
          <w:color w:val="000000"/>
        </w:rPr>
        <w:t> </w:t>
      </w:r>
      <w:r w:rsidRPr="00E556E8">
        <w:rPr>
          <w:rFonts w:ascii="Calibri" w:hAnsi="Calibri" w:cs="Calibri"/>
          <w:i/>
          <w:iCs/>
          <w:color w:val="000000"/>
        </w:rPr>
        <w:t>Annual Review of Neuroscience</w:t>
      </w:r>
      <w:r w:rsidRPr="00E556E8">
        <w:rPr>
          <w:rFonts w:ascii="Calibri" w:hAnsi="Calibri" w:cs="Calibri"/>
          <w:color w:val="000000"/>
        </w:rPr>
        <w:t xml:space="preserve">, 34(1), pp.69–88. </w:t>
      </w:r>
      <w:proofErr w:type="spellStart"/>
      <w:proofErr w:type="gramStart"/>
      <w:r w:rsidRPr="00E556E8">
        <w:rPr>
          <w:rFonts w:ascii="Calibri" w:hAnsi="Calibri" w:cs="Calibri"/>
          <w:color w:val="000000"/>
        </w:rPr>
        <w:t>doi:https</w:t>
      </w:r>
      <w:proofErr w:type="spellEnd"/>
      <w:r w:rsidRPr="00E556E8">
        <w:rPr>
          <w:rFonts w:ascii="Calibri" w:hAnsi="Calibri" w:cs="Calibri"/>
          <w:color w:val="000000"/>
        </w:rPr>
        <w:t>://doi.org/10.1146/annurev-neuro-061010-113654</w:t>
      </w:r>
      <w:proofErr w:type="gramEnd"/>
      <w:r w:rsidRPr="00E556E8">
        <w:rPr>
          <w:rFonts w:ascii="Calibri" w:hAnsi="Calibri" w:cs="Calibri"/>
          <w:color w:val="000000"/>
        </w:rPr>
        <w:t>.</w:t>
      </w:r>
    </w:p>
    <w:p w14:paraId="72A20599"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r w:rsidRPr="00E556E8">
        <w:rPr>
          <w:rFonts w:ascii="Calibri" w:hAnsi="Calibri" w:cs="Calibri"/>
          <w:color w:val="000000"/>
        </w:rPr>
        <w:t xml:space="preserve">Martin, C.L. and </w:t>
      </w:r>
      <w:proofErr w:type="spellStart"/>
      <w:r w:rsidRPr="00E556E8">
        <w:rPr>
          <w:rFonts w:ascii="Calibri" w:hAnsi="Calibri" w:cs="Calibri"/>
          <w:color w:val="000000"/>
        </w:rPr>
        <w:t>Ruble</w:t>
      </w:r>
      <w:proofErr w:type="spellEnd"/>
      <w:r w:rsidRPr="00E556E8">
        <w:rPr>
          <w:rFonts w:ascii="Calibri" w:hAnsi="Calibri" w:cs="Calibri"/>
          <w:color w:val="000000"/>
        </w:rPr>
        <w:t>, D.N. (2013). Patterns of Gender Development.</w:t>
      </w:r>
      <w:r w:rsidRPr="00E556E8">
        <w:rPr>
          <w:rStyle w:val="apple-converted-space"/>
          <w:rFonts w:ascii="Calibri" w:eastAsiaTheme="majorEastAsia" w:hAnsi="Calibri" w:cs="Calibri"/>
          <w:color w:val="000000"/>
        </w:rPr>
        <w:t> </w:t>
      </w:r>
      <w:r w:rsidRPr="00E556E8">
        <w:rPr>
          <w:rFonts w:ascii="Calibri" w:hAnsi="Calibri" w:cs="Calibri"/>
          <w:i/>
          <w:iCs/>
          <w:color w:val="000000"/>
        </w:rPr>
        <w:t>Annual Review of Psychology</w:t>
      </w:r>
      <w:r w:rsidRPr="00E556E8">
        <w:rPr>
          <w:rFonts w:ascii="Calibri" w:hAnsi="Calibri" w:cs="Calibri"/>
          <w:color w:val="000000"/>
        </w:rPr>
        <w:t xml:space="preserve">, [online] 61(1), pp.353–381. </w:t>
      </w:r>
      <w:proofErr w:type="spellStart"/>
      <w:proofErr w:type="gramStart"/>
      <w:r w:rsidRPr="00E556E8">
        <w:rPr>
          <w:rFonts w:ascii="Calibri" w:hAnsi="Calibri" w:cs="Calibri"/>
          <w:color w:val="000000"/>
        </w:rPr>
        <w:t>doi:https</w:t>
      </w:r>
      <w:proofErr w:type="spellEnd"/>
      <w:r w:rsidRPr="00E556E8">
        <w:rPr>
          <w:rFonts w:ascii="Calibri" w:hAnsi="Calibri" w:cs="Calibri"/>
          <w:color w:val="000000"/>
        </w:rPr>
        <w:t>://doi.org/10.1146/annurev.psych.093008.100511</w:t>
      </w:r>
      <w:proofErr w:type="gramEnd"/>
      <w:r w:rsidRPr="00E556E8">
        <w:rPr>
          <w:rFonts w:ascii="Calibri" w:hAnsi="Calibri" w:cs="Calibri"/>
          <w:color w:val="000000"/>
        </w:rPr>
        <w:t>.</w:t>
      </w:r>
    </w:p>
    <w:p w14:paraId="4CBDB27F"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r w:rsidRPr="00E556E8">
        <w:rPr>
          <w:rFonts w:ascii="Calibri" w:hAnsi="Calibri" w:cs="Calibri"/>
          <w:color w:val="000000"/>
        </w:rPr>
        <w:t>McCarthy, M.M.M. (2016). Sex differences in the developing brain as a source of inherent risk.</w:t>
      </w:r>
      <w:r w:rsidRPr="00E556E8">
        <w:rPr>
          <w:rStyle w:val="apple-converted-space"/>
          <w:rFonts w:ascii="Calibri" w:eastAsiaTheme="majorEastAsia" w:hAnsi="Calibri" w:cs="Calibri"/>
          <w:color w:val="000000"/>
        </w:rPr>
        <w:t> </w:t>
      </w:r>
      <w:r w:rsidRPr="00E556E8">
        <w:rPr>
          <w:rFonts w:ascii="Calibri" w:hAnsi="Calibri" w:cs="Calibri"/>
          <w:i/>
          <w:iCs/>
          <w:color w:val="000000"/>
        </w:rPr>
        <w:t>Sex Differences</w:t>
      </w:r>
      <w:r w:rsidRPr="00E556E8">
        <w:rPr>
          <w:rFonts w:ascii="Calibri" w:hAnsi="Calibri" w:cs="Calibri"/>
          <w:color w:val="000000"/>
        </w:rPr>
        <w:t xml:space="preserve">, 18(4), pp.361–372. </w:t>
      </w:r>
      <w:proofErr w:type="spellStart"/>
      <w:proofErr w:type="gramStart"/>
      <w:r w:rsidRPr="00E556E8">
        <w:rPr>
          <w:rFonts w:ascii="Calibri" w:hAnsi="Calibri" w:cs="Calibri"/>
          <w:color w:val="000000"/>
        </w:rPr>
        <w:t>doi:https</w:t>
      </w:r>
      <w:proofErr w:type="spellEnd"/>
      <w:r w:rsidRPr="00E556E8">
        <w:rPr>
          <w:rFonts w:ascii="Calibri" w:hAnsi="Calibri" w:cs="Calibri"/>
          <w:color w:val="000000"/>
        </w:rPr>
        <w:t>://doi.org/10.31887/dcns.2016.18.4/</w:t>
      </w:r>
      <w:proofErr w:type="spellStart"/>
      <w:r w:rsidRPr="00E556E8">
        <w:rPr>
          <w:rFonts w:ascii="Calibri" w:hAnsi="Calibri" w:cs="Calibri"/>
          <w:color w:val="000000"/>
        </w:rPr>
        <w:t>mmccarthy</w:t>
      </w:r>
      <w:proofErr w:type="spellEnd"/>
      <w:proofErr w:type="gramEnd"/>
      <w:r w:rsidRPr="00E556E8">
        <w:rPr>
          <w:rFonts w:ascii="Calibri" w:hAnsi="Calibri" w:cs="Calibri"/>
          <w:color w:val="000000"/>
        </w:rPr>
        <w:t>.</w:t>
      </w:r>
    </w:p>
    <w:p w14:paraId="24758BFA"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r w:rsidRPr="00E556E8">
        <w:rPr>
          <w:rFonts w:ascii="Calibri" w:hAnsi="Calibri" w:cs="Calibri"/>
          <w:color w:val="000000"/>
        </w:rPr>
        <w:lastRenderedPageBreak/>
        <w:t>Mcleod, S. (2024).</w:t>
      </w:r>
      <w:r w:rsidRPr="00E556E8">
        <w:rPr>
          <w:rStyle w:val="apple-converted-space"/>
          <w:rFonts w:ascii="Calibri" w:eastAsiaTheme="majorEastAsia" w:hAnsi="Calibri" w:cs="Calibri"/>
          <w:color w:val="000000"/>
        </w:rPr>
        <w:t> </w:t>
      </w:r>
      <w:r w:rsidRPr="00E556E8">
        <w:rPr>
          <w:rFonts w:ascii="Calibri" w:hAnsi="Calibri" w:cs="Calibri"/>
          <w:i/>
          <w:iCs/>
          <w:color w:val="000000"/>
        </w:rPr>
        <w:t>Piaget’s Theory and Stages of Cognitive Development</w:t>
      </w:r>
      <w:r w:rsidRPr="00E556E8">
        <w:rPr>
          <w:rFonts w:ascii="Calibri" w:hAnsi="Calibri" w:cs="Calibri"/>
          <w:color w:val="000000"/>
        </w:rPr>
        <w:t>. [online] Simply Psychology. Available at: https://www.simplypsychology.org/piaget.html [Accessed 18 May 2024].</w:t>
      </w:r>
    </w:p>
    <w:p w14:paraId="4C87C77E"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r w:rsidRPr="00E556E8">
        <w:rPr>
          <w:rFonts w:ascii="Calibri" w:hAnsi="Calibri" w:cs="Calibri"/>
          <w:color w:val="000000"/>
        </w:rPr>
        <w:t xml:space="preserve">McRae, K., Ochsner, K.N., </w:t>
      </w:r>
      <w:proofErr w:type="spellStart"/>
      <w:r w:rsidRPr="00E556E8">
        <w:rPr>
          <w:rFonts w:ascii="Calibri" w:hAnsi="Calibri" w:cs="Calibri"/>
          <w:color w:val="000000"/>
        </w:rPr>
        <w:t>Mauss</w:t>
      </w:r>
      <w:proofErr w:type="spellEnd"/>
      <w:r w:rsidRPr="00E556E8">
        <w:rPr>
          <w:rFonts w:ascii="Calibri" w:hAnsi="Calibri" w:cs="Calibri"/>
          <w:color w:val="000000"/>
        </w:rPr>
        <w:t xml:space="preserve">, I.B., </w:t>
      </w:r>
      <w:proofErr w:type="spellStart"/>
      <w:r w:rsidRPr="00E556E8">
        <w:rPr>
          <w:rFonts w:ascii="Calibri" w:hAnsi="Calibri" w:cs="Calibri"/>
          <w:color w:val="000000"/>
        </w:rPr>
        <w:t>Gabrieli</w:t>
      </w:r>
      <w:proofErr w:type="spellEnd"/>
      <w:r w:rsidRPr="00E556E8">
        <w:rPr>
          <w:rFonts w:ascii="Calibri" w:hAnsi="Calibri" w:cs="Calibri"/>
          <w:color w:val="000000"/>
        </w:rPr>
        <w:t>, J.J.D. and Gross, J.J. (2008). Gender Differences in Emotion Regulation: an fMRI Study of Cognitive Reappraisal.</w:t>
      </w:r>
      <w:r w:rsidRPr="00E556E8">
        <w:rPr>
          <w:rStyle w:val="apple-converted-space"/>
          <w:rFonts w:ascii="Calibri" w:eastAsiaTheme="majorEastAsia" w:hAnsi="Calibri" w:cs="Calibri"/>
          <w:color w:val="000000"/>
        </w:rPr>
        <w:t> </w:t>
      </w:r>
      <w:r w:rsidRPr="00E556E8">
        <w:rPr>
          <w:rFonts w:ascii="Calibri" w:hAnsi="Calibri" w:cs="Calibri"/>
          <w:i/>
          <w:iCs/>
          <w:color w:val="000000"/>
        </w:rPr>
        <w:t>Group Processes &amp; Intergroup Relations</w:t>
      </w:r>
      <w:r w:rsidRPr="00E556E8">
        <w:rPr>
          <w:rFonts w:ascii="Calibri" w:hAnsi="Calibri" w:cs="Calibri"/>
          <w:color w:val="000000"/>
        </w:rPr>
        <w:t xml:space="preserve">, [online] 11(2), pp.143–162. </w:t>
      </w:r>
      <w:proofErr w:type="spellStart"/>
      <w:proofErr w:type="gramStart"/>
      <w:r w:rsidRPr="00E556E8">
        <w:rPr>
          <w:rFonts w:ascii="Calibri" w:hAnsi="Calibri" w:cs="Calibri"/>
          <w:color w:val="000000"/>
        </w:rPr>
        <w:t>doi:https</w:t>
      </w:r>
      <w:proofErr w:type="spellEnd"/>
      <w:r w:rsidRPr="00E556E8">
        <w:rPr>
          <w:rFonts w:ascii="Calibri" w:hAnsi="Calibri" w:cs="Calibri"/>
          <w:color w:val="000000"/>
        </w:rPr>
        <w:t>://doi.org/10.1177/1368430207088035</w:t>
      </w:r>
      <w:proofErr w:type="gramEnd"/>
      <w:r w:rsidRPr="00E556E8">
        <w:rPr>
          <w:rFonts w:ascii="Calibri" w:hAnsi="Calibri" w:cs="Calibri"/>
          <w:color w:val="000000"/>
        </w:rPr>
        <w:t>.</w:t>
      </w:r>
    </w:p>
    <w:p w14:paraId="0FFD062B"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proofErr w:type="spellStart"/>
      <w:r w:rsidRPr="00E556E8">
        <w:rPr>
          <w:rFonts w:ascii="Calibri" w:hAnsi="Calibri" w:cs="Calibri"/>
          <w:color w:val="000000"/>
        </w:rPr>
        <w:t>Ngun</w:t>
      </w:r>
      <w:proofErr w:type="spellEnd"/>
      <w:r w:rsidRPr="00E556E8">
        <w:rPr>
          <w:rFonts w:ascii="Calibri" w:hAnsi="Calibri" w:cs="Calibri"/>
          <w:color w:val="000000"/>
        </w:rPr>
        <w:t xml:space="preserve">, T.C., </w:t>
      </w:r>
      <w:proofErr w:type="spellStart"/>
      <w:r w:rsidRPr="00E556E8">
        <w:rPr>
          <w:rFonts w:ascii="Calibri" w:hAnsi="Calibri" w:cs="Calibri"/>
          <w:color w:val="000000"/>
        </w:rPr>
        <w:t>Ghahramani</w:t>
      </w:r>
      <w:proofErr w:type="spellEnd"/>
      <w:r w:rsidRPr="00E556E8">
        <w:rPr>
          <w:rFonts w:ascii="Calibri" w:hAnsi="Calibri" w:cs="Calibri"/>
          <w:color w:val="000000"/>
        </w:rPr>
        <w:t xml:space="preserve">, N., Sánchez, F.J., </w:t>
      </w:r>
      <w:proofErr w:type="spellStart"/>
      <w:r w:rsidRPr="00E556E8">
        <w:rPr>
          <w:rFonts w:ascii="Calibri" w:hAnsi="Calibri" w:cs="Calibri"/>
          <w:color w:val="000000"/>
        </w:rPr>
        <w:t>Bocklandt</w:t>
      </w:r>
      <w:proofErr w:type="spellEnd"/>
      <w:r w:rsidRPr="00E556E8">
        <w:rPr>
          <w:rFonts w:ascii="Calibri" w:hAnsi="Calibri" w:cs="Calibri"/>
          <w:color w:val="000000"/>
        </w:rPr>
        <w:t xml:space="preserve">, S. and </w:t>
      </w:r>
      <w:proofErr w:type="spellStart"/>
      <w:r w:rsidRPr="00E556E8">
        <w:rPr>
          <w:rFonts w:ascii="Calibri" w:hAnsi="Calibri" w:cs="Calibri"/>
          <w:color w:val="000000"/>
        </w:rPr>
        <w:t>Vilain</w:t>
      </w:r>
      <w:proofErr w:type="spellEnd"/>
      <w:r w:rsidRPr="00E556E8">
        <w:rPr>
          <w:rFonts w:ascii="Calibri" w:hAnsi="Calibri" w:cs="Calibri"/>
          <w:color w:val="000000"/>
        </w:rPr>
        <w:t xml:space="preserve">, E. (2012). The Genetics of Sex Differences in Brain and </w:t>
      </w:r>
      <w:proofErr w:type="spellStart"/>
      <w:r w:rsidRPr="00E556E8">
        <w:rPr>
          <w:rFonts w:ascii="Calibri" w:hAnsi="Calibri" w:cs="Calibri"/>
          <w:color w:val="000000"/>
        </w:rPr>
        <w:t>Behavior</w:t>
      </w:r>
      <w:proofErr w:type="spellEnd"/>
      <w:r w:rsidRPr="00E556E8">
        <w:rPr>
          <w:rFonts w:ascii="Calibri" w:hAnsi="Calibri" w:cs="Calibri"/>
          <w:color w:val="000000"/>
        </w:rPr>
        <w:t>.</w:t>
      </w:r>
      <w:r w:rsidRPr="00E556E8">
        <w:rPr>
          <w:rStyle w:val="apple-converted-space"/>
          <w:rFonts w:ascii="Calibri" w:eastAsiaTheme="majorEastAsia" w:hAnsi="Calibri" w:cs="Calibri"/>
          <w:color w:val="000000"/>
        </w:rPr>
        <w:t> </w:t>
      </w:r>
      <w:r w:rsidRPr="00E556E8">
        <w:rPr>
          <w:rFonts w:ascii="Calibri" w:hAnsi="Calibri" w:cs="Calibri"/>
          <w:i/>
          <w:iCs/>
          <w:color w:val="000000"/>
        </w:rPr>
        <w:t>Frontiers in Neuroendocrinology</w:t>
      </w:r>
      <w:r w:rsidRPr="00E556E8">
        <w:rPr>
          <w:rFonts w:ascii="Calibri" w:hAnsi="Calibri" w:cs="Calibri"/>
          <w:color w:val="000000"/>
        </w:rPr>
        <w:t xml:space="preserve">, [online] 32(2), pp.227–246. </w:t>
      </w:r>
      <w:proofErr w:type="spellStart"/>
      <w:proofErr w:type="gramStart"/>
      <w:r w:rsidRPr="00E556E8">
        <w:rPr>
          <w:rFonts w:ascii="Calibri" w:hAnsi="Calibri" w:cs="Calibri"/>
          <w:color w:val="000000"/>
        </w:rPr>
        <w:t>doi:https</w:t>
      </w:r>
      <w:proofErr w:type="spellEnd"/>
      <w:r w:rsidRPr="00E556E8">
        <w:rPr>
          <w:rFonts w:ascii="Calibri" w:hAnsi="Calibri" w:cs="Calibri"/>
          <w:color w:val="000000"/>
        </w:rPr>
        <w:t>://doi.org/10.1016/j.yfrne.2010.10.001</w:t>
      </w:r>
      <w:proofErr w:type="gramEnd"/>
      <w:r w:rsidRPr="00E556E8">
        <w:rPr>
          <w:rFonts w:ascii="Calibri" w:hAnsi="Calibri" w:cs="Calibri"/>
          <w:color w:val="000000"/>
        </w:rPr>
        <w:t>.</w:t>
      </w:r>
    </w:p>
    <w:p w14:paraId="78E2477B"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proofErr w:type="spellStart"/>
      <w:r w:rsidRPr="00E556E8">
        <w:rPr>
          <w:rFonts w:ascii="Calibri" w:hAnsi="Calibri" w:cs="Calibri"/>
          <w:color w:val="000000"/>
        </w:rPr>
        <w:t>Ristori</w:t>
      </w:r>
      <w:proofErr w:type="spellEnd"/>
      <w:r w:rsidRPr="00E556E8">
        <w:rPr>
          <w:rFonts w:ascii="Calibri" w:hAnsi="Calibri" w:cs="Calibri"/>
          <w:color w:val="000000"/>
        </w:rPr>
        <w:t xml:space="preserve">, J., </w:t>
      </w:r>
      <w:proofErr w:type="spellStart"/>
      <w:r w:rsidRPr="00E556E8">
        <w:rPr>
          <w:rFonts w:ascii="Calibri" w:hAnsi="Calibri" w:cs="Calibri"/>
          <w:color w:val="000000"/>
        </w:rPr>
        <w:t>Cocchetti</w:t>
      </w:r>
      <w:proofErr w:type="spellEnd"/>
      <w:r w:rsidRPr="00E556E8">
        <w:rPr>
          <w:rFonts w:ascii="Calibri" w:hAnsi="Calibri" w:cs="Calibri"/>
          <w:color w:val="000000"/>
        </w:rPr>
        <w:t xml:space="preserve">, C., Romani, A., </w:t>
      </w:r>
      <w:proofErr w:type="spellStart"/>
      <w:r w:rsidRPr="00E556E8">
        <w:rPr>
          <w:rFonts w:ascii="Calibri" w:hAnsi="Calibri" w:cs="Calibri"/>
          <w:color w:val="000000"/>
        </w:rPr>
        <w:t>Mazzoli</w:t>
      </w:r>
      <w:proofErr w:type="spellEnd"/>
      <w:r w:rsidRPr="00E556E8">
        <w:rPr>
          <w:rFonts w:ascii="Calibri" w:hAnsi="Calibri" w:cs="Calibri"/>
          <w:color w:val="000000"/>
        </w:rPr>
        <w:t xml:space="preserve">, F., </w:t>
      </w:r>
      <w:proofErr w:type="spellStart"/>
      <w:r w:rsidRPr="00E556E8">
        <w:rPr>
          <w:rFonts w:ascii="Calibri" w:hAnsi="Calibri" w:cs="Calibri"/>
          <w:color w:val="000000"/>
        </w:rPr>
        <w:t>Vignozzi</w:t>
      </w:r>
      <w:proofErr w:type="spellEnd"/>
      <w:r w:rsidRPr="00E556E8">
        <w:rPr>
          <w:rFonts w:ascii="Calibri" w:hAnsi="Calibri" w:cs="Calibri"/>
          <w:color w:val="000000"/>
        </w:rPr>
        <w:t>, L., Maggi, M. and Fisher, A.D. (2020). Brain Sex Differences Related to Gender Identity Development: Genes or Hormones?</w:t>
      </w:r>
      <w:r w:rsidRPr="00E556E8">
        <w:rPr>
          <w:rStyle w:val="apple-converted-space"/>
          <w:rFonts w:ascii="Calibri" w:eastAsiaTheme="majorEastAsia" w:hAnsi="Calibri" w:cs="Calibri"/>
          <w:color w:val="000000"/>
        </w:rPr>
        <w:t> </w:t>
      </w:r>
      <w:r w:rsidRPr="00E556E8">
        <w:rPr>
          <w:rFonts w:ascii="Calibri" w:hAnsi="Calibri" w:cs="Calibri"/>
          <w:i/>
          <w:iCs/>
          <w:color w:val="000000"/>
        </w:rPr>
        <w:t>International Journal of Molecular Sciences</w:t>
      </w:r>
      <w:r w:rsidRPr="00E556E8">
        <w:rPr>
          <w:rFonts w:ascii="Calibri" w:hAnsi="Calibri" w:cs="Calibri"/>
          <w:color w:val="000000"/>
        </w:rPr>
        <w:t xml:space="preserve">, [online] 21(6), p.2123. </w:t>
      </w:r>
      <w:proofErr w:type="spellStart"/>
      <w:proofErr w:type="gramStart"/>
      <w:r w:rsidRPr="00E556E8">
        <w:rPr>
          <w:rFonts w:ascii="Calibri" w:hAnsi="Calibri" w:cs="Calibri"/>
          <w:color w:val="000000"/>
        </w:rPr>
        <w:t>doi:https</w:t>
      </w:r>
      <w:proofErr w:type="spellEnd"/>
      <w:r w:rsidRPr="00E556E8">
        <w:rPr>
          <w:rFonts w:ascii="Calibri" w:hAnsi="Calibri" w:cs="Calibri"/>
          <w:color w:val="000000"/>
        </w:rPr>
        <w:t>://doi.org/10.3390/ijms21062123</w:t>
      </w:r>
      <w:proofErr w:type="gramEnd"/>
      <w:r w:rsidRPr="00E556E8">
        <w:rPr>
          <w:rFonts w:ascii="Calibri" w:hAnsi="Calibri" w:cs="Calibri"/>
          <w:color w:val="000000"/>
        </w:rPr>
        <w:t>.</w:t>
      </w:r>
    </w:p>
    <w:p w14:paraId="1BDD2BCD" w14:textId="77777777" w:rsidR="00E556E8" w:rsidRPr="00E556E8" w:rsidRDefault="00E556E8" w:rsidP="00E556E8">
      <w:pPr>
        <w:pStyle w:val="NormalWeb"/>
        <w:spacing w:before="0" w:beforeAutospacing="0" w:after="240" w:afterAutospacing="0" w:line="360" w:lineRule="atLeast"/>
        <w:rPr>
          <w:rFonts w:ascii="Calibri" w:hAnsi="Calibri" w:cs="Calibri"/>
          <w:color w:val="000000"/>
        </w:rPr>
      </w:pPr>
      <w:proofErr w:type="spellStart"/>
      <w:r w:rsidRPr="00E556E8">
        <w:rPr>
          <w:rFonts w:ascii="Calibri" w:hAnsi="Calibri" w:cs="Calibri"/>
          <w:color w:val="000000"/>
        </w:rPr>
        <w:t>Savic</w:t>
      </w:r>
      <w:proofErr w:type="spellEnd"/>
      <w:r w:rsidRPr="00E556E8">
        <w:rPr>
          <w:rFonts w:ascii="Calibri" w:hAnsi="Calibri" w:cs="Calibri"/>
          <w:color w:val="000000"/>
        </w:rPr>
        <w:t>, I., Garcia-</w:t>
      </w:r>
      <w:proofErr w:type="spellStart"/>
      <w:r w:rsidRPr="00E556E8">
        <w:rPr>
          <w:rFonts w:ascii="Calibri" w:hAnsi="Calibri" w:cs="Calibri"/>
          <w:color w:val="000000"/>
        </w:rPr>
        <w:t>Falgueras</w:t>
      </w:r>
      <w:proofErr w:type="spellEnd"/>
      <w:r w:rsidRPr="00E556E8">
        <w:rPr>
          <w:rFonts w:ascii="Calibri" w:hAnsi="Calibri" w:cs="Calibri"/>
          <w:color w:val="000000"/>
        </w:rPr>
        <w:t xml:space="preserve">, A. and </w:t>
      </w:r>
      <w:proofErr w:type="spellStart"/>
      <w:r w:rsidRPr="00E556E8">
        <w:rPr>
          <w:rFonts w:ascii="Calibri" w:hAnsi="Calibri" w:cs="Calibri"/>
          <w:color w:val="000000"/>
        </w:rPr>
        <w:t>Swaab</w:t>
      </w:r>
      <w:proofErr w:type="spellEnd"/>
      <w:r w:rsidRPr="00E556E8">
        <w:rPr>
          <w:rFonts w:ascii="Calibri" w:hAnsi="Calibri" w:cs="Calibri"/>
          <w:color w:val="000000"/>
        </w:rPr>
        <w:t>, D.F. (2010). Sexual differentiation of the human brain in relation to gender identity and sexual orientation.</w:t>
      </w:r>
      <w:r w:rsidRPr="00E556E8">
        <w:rPr>
          <w:rStyle w:val="apple-converted-space"/>
          <w:rFonts w:ascii="Calibri" w:eastAsiaTheme="majorEastAsia" w:hAnsi="Calibri" w:cs="Calibri"/>
          <w:color w:val="000000"/>
        </w:rPr>
        <w:t> </w:t>
      </w:r>
      <w:r w:rsidRPr="00E556E8">
        <w:rPr>
          <w:rFonts w:ascii="Calibri" w:hAnsi="Calibri" w:cs="Calibri"/>
          <w:i/>
          <w:iCs/>
          <w:color w:val="000000"/>
        </w:rPr>
        <w:t xml:space="preserve">Sex Differences in the Human Brain, their </w:t>
      </w:r>
      <w:proofErr w:type="gramStart"/>
      <w:r w:rsidRPr="00E556E8">
        <w:rPr>
          <w:rFonts w:ascii="Calibri" w:hAnsi="Calibri" w:cs="Calibri"/>
          <w:i/>
          <w:iCs/>
          <w:color w:val="000000"/>
        </w:rPr>
        <w:t>Underpinnings</w:t>
      </w:r>
      <w:proofErr w:type="gramEnd"/>
      <w:r w:rsidRPr="00E556E8">
        <w:rPr>
          <w:rFonts w:ascii="Calibri" w:hAnsi="Calibri" w:cs="Calibri"/>
          <w:i/>
          <w:iCs/>
          <w:color w:val="000000"/>
        </w:rPr>
        <w:t xml:space="preserve"> and Implications</w:t>
      </w:r>
      <w:r w:rsidRPr="00E556E8">
        <w:rPr>
          <w:rFonts w:ascii="Calibri" w:hAnsi="Calibri" w:cs="Calibri"/>
          <w:color w:val="000000"/>
        </w:rPr>
        <w:t xml:space="preserve">, 186, pp.41–62. </w:t>
      </w:r>
      <w:proofErr w:type="spellStart"/>
      <w:proofErr w:type="gramStart"/>
      <w:r w:rsidRPr="00E556E8">
        <w:rPr>
          <w:rFonts w:ascii="Calibri" w:hAnsi="Calibri" w:cs="Calibri"/>
          <w:color w:val="000000"/>
        </w:rPr>
        <w:t>doi:https</w:t>
      </w:r>
      <w:proofErr w:type="spellEnd"/>
      <w:r w:rsidRPr="00E556E8">
        <w:rPr>
          <w:rFonts w:ascii="Calibri" w:hAnsi="Calibri" w:cs="Calibri"/>
          <w:color w:val="000000"/>
        </w:rPr>
        <w:t>://doi.org/10.1016/b978-0-444-53630-3.00004-x</w:t>
      </w:r>
      <w:proofErr w:type="gramEnd"/>
      <w:r w:rsidRPr="00E556E8">
        <w:rPr>
          <w:rFonts w:ascii="Calibri" w:hAnsi="Calibri" w:cs="Calibri"/>
          <w:color w:val="000000"/>
        </w:rPr>
        <w:t>.</w:t>
      </w:r>
    </w:p>
    <w:p w14:paraId="721B9878" w14:textId="77777777" w:rsidR="000F7C39" w:rsidRDefault="000F7C39" w:rsidP="00585BB1">
      <w:pPr>
        <w:rPr>
          <w:color w:val="000000"/>
        </w:rPr>
      </w:pPr>
    </w:p>
    <w:p w14:paraId="4F8899A9" w14:textId="63C000E1" w:rsidR="00E22DEF" w:rsidRDefault="00E22DEF" w:rsidP="00585BB1">
      <w:pPr>
        <w:rPr>
          <w:color w:val="000000"/>
        </w:rPr>
      </w:pPr>
      <w:hyperlink r:id="rId11" w:history="1">
        <w:r w:rsidRPr="00520B00">
          <w:rPr>
            <w:rStyle w:val="Hyperlink"/>
          </w:rPr>
          <w:t>https://sway.cloud.microsoft/28SAdOwNOhnfQfnw?ref=Link</w:t>
        </w:r>
      </w:hyperlink>
    </w:p>
    <w:p w14:paraId="65AC88C3" w14:textId="77777777" w:rsidR="00E22DEF" w:rsidRPr="00930330" w:rsidRDefault="00E22DEF" w:rsidP="00585BB1">
      <w:pPr>
        <w:rPr>
          <w:color w:val="000000"/>
        </w:rPr>
      </w:pPr>
    </w:p>
    <w:sectPr w:rsidR="00E22DEF" w:rsidRPr="009303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BD50EB"/>
    <w:multiLevelType w:val="multilevel"/>
    <w:tmpl w:val="3186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2096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BB1"/>
    <w:rsid w:val="000040C0"/>
    <w:rsid w:val="00004F03"/>
    <w:rsid w:val="00017829"/>
    <w:rsid w:val="000401FF"/>
    <w:rsid w:val="000567D7"/>
    <w:rsid w:val="0006125D"/>
    <w:rsid w:val="000742AE"/>
    <w:rsid w:val="000D05CB"/>
    <w:rsid w:val="000E23A1"/>
    <w:rsid w:val="000F3858"/>
    <w:rsid w:val="000F7C39"/>
    <w:rsid w:val="000F7D5C"/>
    <w:rsid w:val="00114899"/>
    <w:rsid w:val="00115645"/>
    <w:rsid w:val="0013621C"/>
    <w:rsid w:val="00154262"/>
    <w:rsid w:val="00190E74"/>
    <w:rsid w:val="001A2BD3"/>
    <w:rsid w:val="001D5F78"/>
    <w:rsid w:val="00203B71"/>
    <w:rsid w:val="002057A9"/>
    <w:rsid w:val="00222EBE"/>
    <w:rsid w:val="00226339"/>
    <w:rsid w:val="00263E95"/>
    <w:rsid w:val="00267325"/>
    <w:rsid w:val="00277551"/>
    <w:rsid w:val="002A63B2"/>
    <w:rsid w:val="002C7DE1"/>
    <w:rsid w:val="002D1AC7"/>
    <w:rsid w:val="002F587F"/>
    <w:rsid w:val="00315155"/>
    <w:rsid w:val="00316D79"/>
    <w:rsid w:val="00336632"/>
    <w:rsid w:val="0034788E"/>
    <w:rsid w:val="003855D3"/>
    <w:rsid w:val="003B0A76"/>
    <w:rsid w:val="003B5A56"/>
    <w:rsid w:val="003C487D"/>
    <w:rsid w:val="003D13EC"/>
    <w:rsid w:val="003D2AD0"/>
    <w:rsid w:val="003E09DF"/>
    <w:rsid w:val="0043284C"/>
    <w:rsid w:val="00455236"/>
    <w:rsid w:val="0045786B"/>
    <w:rsid w:val="004667FF"/>
    <w:rsid w:val="0047458D"/>
    <w:rsid w:val="00476AB8"/>
    <w:rsid w:val="004B7108"/>
    <w:rsid w:val="004E758B"/>
    <w:rsid w:val="004F46B0"/>
    <w:rsid w:val="00510D82"/>
    <w:rsid w:val="00516800"/>
    <w:rsid w:val="00530D19"/>
    <w:rsid w:val="00550C9B"/>
    <w:rsid w:val="00563A76"/>
    <w:rsid w:val="005712DF"/>
    <w:rsid w:val="00573E43"/>
    <w:rsid w:val="00585BB1"/>
    <w:rsid w:val="00592B66"/>
    <w:rsid w:val="005D2129"/>
    <w:rsid w:val="005F7977"/>
    <w:rsid w:val="0061042B"/>
    <w:rsid w:val="00611529"/>
    <w:rsid w:val="00611BAD"/>
    <w:rsid w:val="00625773"/>
    <w:rsid w:val="006355F4"/>
    <w:rsid w:val="00655E23"/>
    <w:rsid w:val="00657069"/>
    <w:rsid w:val="00663894"/>
    <w:rsid w:val="0068209E"/>
    <w:rsid w:val="0069252A"/>
    <w:rsid w:val="00695D0B"/>
    <w:rsid w:val="0069618F"/>
    <w:rsid w:val="006A376E"/>
    <w:rsid w:val="006B0C06"/>
    <w:rsid w:val="006B2AA2"/>
    <w:rsid w:val="006C645E"/>
    <w:rsid w:val="006C6F94"/>
    <w:rsid w:val="006D5041"/>
    <w:rsid w:val="00727D25"/>
    <w:rsid w:val="00751525"/>
    <w:rsid w:val="00752618"/>
    <w:rsid w:val="00767F16"/>
    <w:rsid w:val="0077646C"/>
    <w:rsid w:val="007A1171"/>
    <w:rsid w:val="007B35E8"/>
    <w:rsid w:val="007B7C81"/>
    <w:rsid w:val="00802ABA"/>
    <w:rsid w:val="00822E78"/>
    <w:rsid w:val="00845075"/>
    <w:rsid w:val="0085789B"/>
    <w:rsid w:val="00875225"/>
    <w:rsid w:val="008B5581"/>
    <w:rsid w:val="008C6C99"/>
    <w:rsid w:val="008D3367"/>
    <w:rsid w:val="008D6BC9"/>
    <w:rsid w:val="00930330"/>
    <w:rsid w:val="0093096A"/>
    <w:rsid w:val="009342E3"/>
    <w:rsid w:val="009440D7"/>
    <w:rsid w:val="00961325"/>
    <w:rsid w:val="00970513"/>
    <w:rsid w:val="00973594"/>
    <w:rsid w:val="00983656"/>
    <w:rsid w:val="009C2A1D"/>
    <w:rsid w:val="00A13AEC"/>
    <w:rsid w:val="00A24D56"/>
    <w:rsid w:val="00A35D64"/>
    <w:rsid w:val="00A35E63"/>
    <w:rsid w:val="00A647D1"/>
    <w:rsid w:val="00A7366A"/>
    <w:rsid w:val="00A95731"/>
    <w:rsid w:val="00AA629F"/>
    <w:rsid w:val="00AB6E32"/>
    <w:rsid w:val="00AC0077"/>
    <w:rsid w:val="00AC5DA5"/>
    <w:rsid w:val="00B00908"/>
    <w:rsid w:val="00B1225B"/>
    <w:rsid w:val="00B27FA6"/>
    <w:rsid w:val="00B867AB"/>
    <w:rsid w:val="00BA114B"/>
    <w:rsid w:val="00BA29CD"/>
    <w:rsid w:val="00BB1D10"/>
    <w:rsid w:val="00BB5D04"/>
    <w:rsid w:val="00BD3E03"/>
    <w:rsid w:val="00BE4BD6"/>
    <w:rsid w:val="00C063AC"/>
    <w:rsid w:val="00C13070"/>
    <w:rsid w:val="00C2137B"/>
    <w:rsid w:val="00C22A36"/>
    <w:rsid w:val="00C65EBA"/>
    <w:rsid w:val="00C9496F"/>
    <w:rsid w:val="00CC73D4"/>
    <w:rsid w:val="00CE4F4C"/>
    <w:rsid w:val="00D201A9"/>
    <w:rsid w:val="00D55B47"/>
    <w:rsid w:val="00D56021"/>
    <w:rsid w:val="00D708E4"/>
    <w:rsid w:val="00D71F3A"/>
    <w:rsid w:val="00DA1538"/>
    <w:rsid w:val="00DA7C1A"/>
    <w:rsid w:val="00E16B8E"/>
    <w:rsid w:val="00E22C1D"/>
    <w:rsid w:val="00E22DEF"/>
    <w:rsid w:val="00E2575A"/>
    <w:rsid w:val="00E33C6C"/>
    <w:rsid w:val="00E43D42"/>
    <w:rsid w:val="00E5054C"/>
    <w:rsid w:val="00E556E8"/>
    <w:rsid w:val="00EA08AE"/>
    <w:rsid w:val="00EA4B3D"/>
    <w:rsid w:val="00EB2170"/>
    <w:rsid w:val="00ED166E"/>
    <w:rsid w:val="00ED5D01"/>
    <w:rsid w:val="00EE5CC9"/>
    <w:rsid w:val="00EF2394"/>
    <w:rsid w:val="00F133FF"/>
    <w:rsid w:val="00F23411"/>
    <w:rsid w:val="00F47C5E"/>
    <w:rsid w:val="00F51F94"/>
    <w:rsid w:val="00F538E9"/>
    <w:rsid w:val="00F61B4B"/>
    <w:rsid w:val="00F64903"/>
    <w:rsid w:val="00F91828"/>
    <w:rsid w:val="00FB0280"/>
    <w:rsid w:val="00FE023C"/>
    <w:rsid w:val="00FE782F"/>
    <w:rsid w:val="00FF2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AEDF5"/>
  <w15:chartTrackingRefBased/>
  <w15:docId w15:val="{52FAE534-1263-5746-A30C-395E485DB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Calibr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B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B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B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B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B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B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B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B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B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B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B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B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B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B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B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B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B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BB1"/>
    <w:rPr>
      <w:rFonts w:eastAsiaTheme="majorEastAsia" w:cstheme="majorBidi"/>
      <w:color w:val="272727" w:themeColor="text1" w:themeTint="D8"/>
    </w:rPr>
  </w:style>
  <w:style w:type="paragraph" w:styleId="Title">
    <w:name w:val="Title"/>
    <w:basedOn w:val="Normal"/>
    <w:next w:val="Normal"/>
    <w:link w:val="TitleChar"/>
    <w:uiPriority w:val="10"/>
    <w:qFormat/>
    <w:rsid w:val="00585B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B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BB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B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B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85BB1"/>
    <w:rPr>
      <w:i/>
      <w:iCs/>
      <w:color w:val="404040" w:themeColor="text1" w:themeTint="BF"/>
    </w:rPr>
  </w:style>
  <w:style w:type="paragraph" w:styleId="ListParagraph">
    <w:name w:val="List Paragraph"/>
    <w:basedOn w:val="Normal"/>
    <w:uiPriority w:val="34"/>
    <w:qFormat/>
    <w:rsid w:val="00585BB1"/>
    <w:pPr>
      <w:ind w:left="720"/>
      <w:contextualSpacing/>
    </w:pPr>
  </w:style>
  <w:style w:type="character" w:styleId="IntenseEmphasis">
    <w:name w:val="Intense Emphasis"/>
    <w:basedOn w:val="DefaultParagraphFont"/>
    <w:uiPriority w:val="21"/>
    <w:qFormat/>
    <w:rsid w:val="00585BB1"/>
    <w:rPr>
      <w:i/>
      <w:iCs/>
      <w:color w:val="0F4761" w:themeColor="accent1" w:themeShade="BF"/>
    </w:rPr>
  </w:style>
  <w:style w:type="paragraph" w:styleId="IntenseQuote">
    <w:name w:val="Intense Quote"/>
    <w:basedOn w:val="Normal"/>
    <w:next w:val="Normal"/>
    <w:link w:val="IntenseQuoteChar"/>
    <w:uiPriority w:val="30"/>
    <w:qFormat/>
    <w:rsid w:val="00585B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BB1"/>
    <w:rPr>
      <w:i/>
      <w:iCs/>
      <w:color w:val="0F4761" w:themeColor="accent1" w:themeShade="BF"/>
    </w:rPr>
  </w:style>
  <w:style w:type="character" w:styleId="IntenseReference">
    <w:name w:val="Intense Reference"/>
    <w:basedOn w:val="DefaultParagraphFont"/>
    <w:uiPriority w:val="32"/>
    <w:qFormat/>
    <w:rsid w:val="00585BB1"/>
    <w:rPr>
      <w:b/>
      <w:bCs/>
      <w:smallCaps/>
      <w:color w:val="0F4761" w:themeColor="accent1" w:themeShade="BF"/>
      <w:spacing w:val="5"/>
    </w:rPr>
  </w:style>
  <w:style w:type="paragraph" w:styleId="NormalWeb">
    <w:name w:val="Normal (Web)"/>
    <w:basedOn w:val="Normal"/>
    <w:uiPriority w:val="99"/>
    <w:semiHidden/>
    <w:unhideWhenUsed/>
    <w:rsid w:val="0011489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14899"/>
  </w:style>
  <w:style w:type="character" w:styleId="Hyperlink">
    <w:name w:val="Hyperlink"/>
    <w:basedOn w:val="DefaultParagraphFont"/>
    <w:uiPriority w:val="99"/>
    <w:unhideWhenUsed/>
    <w:rsid w:val="00E22DEF"/>
    <w:rPr>
      <w:color w:val="467886" w:themeColor="hyperlink"/>
      <w:u w:val="single"/>
    </w:rPr>
  </w:style>
  <w:style w:type="character" w:styleId="UnresolvedMention">
    <w:name w:val="Unresolved Mention"/>
    <w:basedOn w:val="DefaultParagraphFont"/>
    <w:uiPriority w:val="99"/>
    <w:semiHidden/>
    <w:unhideWhenUsed/>
    <w:rsid w:val="00E22D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87450">
      <w:bodyDiv w:val="1"/>
      <w:marLeft w:val="0"/>
      <w:marRight w:val="0"/>
      <w:marTop w:val="0"/>
      <w:marBottom w:val="0"/>
      <w:divBdr>
        <w:top w:val="none" w:sz="0" w:space="0" w:color="auto"/>
        <w:left w:val="none" w:sz="0" w:space="0" w:color="auto"/>
        <w:bottom w:val="none" w:sz="0" w:space="0" w:color="auto"/>
        <w:right w:val="none" w:sz="0" w:space="0" w:color="auto"/>
      </w:divBdr>
      <w:divsChild>
        <w:div w:id="2078743597">
          <w:marLeft w:val="0"/>
          <w:marRight w:val="0"/>
          <w:marTop w:val="0"/>
          <w:marBottom w:val="0"/>
          <w:divBdr>
            <w:top w:val="none" w:sz="0" w:space="0" w:color="auto"/>
            <w:left w:val="none" w:sz="0" w:space="0" w:color="auto"/>
            <w:bottom w:val="none" w:sz="0" w:space="0" w:color="auto"/>
            <w:right w:val="none" w:sz="0" w:space="0" w:color="auto"/>
          </w:divBdr>
        </w:div>
      </w:divsChild>
    </w:div>
    <w:div w:id="442462261">
      <w:bodyDiv w:val="1"/>
      <w:marLeft w:val="0"/>
      <w:marRight w:val="0"/>
      <w:marTop w:val="0"/>
      <w:marBottom w:val="0"/>
      <w:divBdr>
        <w:top w:val="none" w:sz="0" w:space="0" w:color="auto"/>
        <w:left w:val="none" w:sz="0" w:space="0" w:color="auto"/>
        <w:bottom w:val="none" w:sz="0" w:space="0" w:color="auto"/>
        <w:right w:val="none" w:sz="0" w:space="0" w:color="auto"/>
      </w:divBdr>
      <w:divsChild>
        <w:div w:id="192159980">
          <w:marLeft w:val="0"/>
          <w:marRight w:val="0"/>
          <w:marTop w:val="0"/>
          <w:marBottom w:val="0"/>
          <w:divBdr>
            <w:top w:val="none" w:sz="0" w:space="0" w:color="auto"/>
            <w:left w:val="none" w:sz="0" w:space="0" w:color="auto"/>
            <w:bottom w:val="none" w:sz="0" w:space="0" w:color="auto"/>
            <w:right w:val="none" w:sz="0" w:space="0" w:color="auto"/>
          </w:divBdr>
        </w:div>
      </w:divsChild>
    </w:div>
    <w:div w:id="755632193">
      <w:bodyDiv w:val="1"/>
      <w:marLeft w:val="0"/>
      <w:marRight w:val="0"/>
      <w:marTop w:val="0"/>
      <w:marBottom w:val="0"/>
      <w:divBdr>
        <w:top w:val="none" w:sz="0" w:space="0" w:color="auto"/>
        <w:left w:val="none" w:sz="0" w:space="0" w:color="auto"/>
        <w:bottom w:val="none" w:sz="0" w:space="0" w:color="auto"/>
        <w:right w:val="none" w:sz="0" w:space="0" w:color="auto"/>
      </w:divBdr>
    </w:div>
    <w:div w:id="1050303096">
      <w:bodyDiv w:val="1"/>
      <w:marLeft w:val="0"/>
      <w:marRight w:val="0"/>
      <w:marTop w:val="0"/>
      <w:marBottom w:val="0"/>
      <w:divBdr>
        <w:top w:val="none" w:sz="0" w:space="0" w:color="auto"/>
        <w:left w:val="none" w:sz="0" w:space="0" w:color="auto"/>
        <w:bottom w:val="none" w:sz="0" w:space="0" w:color="auto"/>
        <w:right w:val="none" w:sz="0" w:space="0" w:color="auto"/>
      </w:divBdr>
      <w:divsChild>
        <w:div w:id="1211040843">
          <w:marLeft w:val="0"/>
          <w:marRight w:val="0"/>
          <w:marTop w:val="0"/>
          <w:marBottom w:val="0"/>
          <w:divBdr>
            <w:top w:val="none" w:sz="0" w:space="0" w:color="auto"/>
            <w:left w:val="none" w:sz="0" w:space="0" w:color="auto"/>
            <w:bottom w:val="none" w:sz="0" w:space="0" w:color="auto"/>
            <w:right w:val="none" w:sz="0" w:space="0" w:color="auto"/>
          </w:divBdr>
        </w:div>
      </w:divsChild>
    </w:div>
    <w:div w:id="1525247743">
      <w:bodyDiv w:val="1"/>
      <w:marLeft w:val="0"/>
      <w:marRight w:val="0"/>
      <w:marTop w:val="0"/>
      <w:marBottom w:val="0"/>
      <w:divBdr>
        <w:top w:val="none" w:sz="0" w:space="0" w:color="auto"/>
        <w:left w:val="none" w:sz="0" w:space="0" w:color="auto"/>
        <w:bottom w:val="none" w:sz="0" w:space="0" w:color="auto"/>
        <w:right w:val="none" w:sz="0" w:space="0" w:color="auto"/>
      </w:divBdr>
      <w:divsChild>
        <w:div w:id="2131363666">
          <w:marLeft w:val="0"/>
          <w:marRight w:val="0"/>
          <w:marTop w:val="0"/>
          <w:marBottom w:val="0"/>
          <w:divBdr>
            <w:top w:val="none" w:sz="0" w:space="0" w:color="auto"/>
            <w:left w:val="none" w:sz="0" w:space="0" w:color="auto"/>
            <w:bottom w:val="none" w:sz="0" w:space="0" w:color="auto"/>
            <w:right w:val="none" w:sz="0" w:space="0" w:color="auto"/>
          </w:divBdr>
        </w:div>
      </w:divsChild>
    </w:div>
    <w:div w:id="1572036518">
      <w:bodyDiv w:val="1"/>
      <w:marLeft w:val="0"/>
      <w:marRight w:val="0"/>
      <w:marTop w:val="0"/>
      <w:marBottom w:val="0"/>
      <w:divBdr>
        <w:top w:val="none" w:sz="0" w:space="0" w:color="auto"/>
        <w:left w:val="none" w:sz="0" w:space="0" w:color="auto"/>
        <w:bottom w:val="none" w:sz="0" w:space="0" w:color="auto"/>
        <w:right w:val="none" w:sz="0" w:space="0" w:color="auto"/>
      </w:divBdr>
    </w:div>
    <w:div w:id="1673529940">
      <w:bodyDiv w:val="1"/>
      <w:marLeft w:val="0"/>
      <w:marRight w:val="0"/>
      <w:marTop w:val="0"/>
      <w:marBottom w:val="0"/>
      <w:divBdr>
        <w:top w:val="none" w:sz="0" w:space="0" w:color="auto"/>
        <w:left w:val="none" w:sz="0" w:space="0" w:color="auto"/>
        <w:bottom w:val="none" w:sz="0" w:space="0" w:color="auto"/>
        <w:right w:val="none" w:sz="0" w:space="0" w:color="auto"/>
      </w:divBdr>
      <w:divsChild>
        <w:div w:id="597105158">
          <w:marLeft w:val="0"/>
          <w:marRight w:val="0"/>
          <w:marTop w:val="0"/>
          <w:marBottom w:val="0"/>
          <w:divBdr>
            <w:top w:val="none" w:sz="0" w:space="0" w:color="auto"/>
            <w:left w:val="none" w:sz="0" w:space="0" w:color="auto"/>
            <w:bottom w:val="none" w:sz="0" w:space="0" w:color="auto"/>
            <w:right w:val="none" w:sz="0" w:space="0" w:color="auto"/>
          </w:divBdr>
        </w:div>
      </w:divsChild>
    </w:div>
    <w:div w:id="1792245496">
      <w:bodyDiv w:val="1"/>
      <w:marLeft w:val="0"/>
      <w:marRight w:val="0"/>
      <w:marTop w:val="0"/>
      <w:marBottom w:val="0"/>
      <w:divBdr>
        <w:top w:val="none" w:sz="0" w:space="0" w:color="auto"/>
        <w:left w:val="none" w:sz="0" w:space="0" w:color="auto"/>
        <w:bottom w:val="none" w:sz="0" w:space="0" w:color="auto"/>
        <w:right w:val="none" w:sz="0" w:space="0" w:color="auto"/>
      </w:divBdr>
      <w:divsChild>
        <w:div w:id="1788231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way.cloud.microsoft/28SAdOwNOhnfQfnw?ref=Link" TargetMode="External"/><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76CDE-7667-0B47-9D36-67A744541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13</Pages>
  <Words>3883</Words>
  <Characters>24894</Characters>
  <Application>Microsoft Office Word</Application>
  <DocSecurity>0</DocSecurity>
  <Lines>565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Stephens (2306714)</dc:creator>
  <cp:keywords/>
  <dc:description/>
  <cp:lastModifiedBy>Charley Stephens (2306714)</cp:lastModifiedBy>
  <cp:revision>166</cp:revision>
  <dcterms:created xsi:type="dcterms:W3CDTF">2024-03-25T23:14:00Z</dcterms:created>
  <dcterms:modified xsi:type="dcterms:W3CDTF">2024-05-18T12:02:00Z</dcterms:modified>
</cp:coreProperties>
</file>