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C7FDDD" w14:textId="77777777" w:rsidR="00B83867" w:rsidRDefault="00B83867">
      <w:pPr>
        <w:jc w:val="center"/>
        <w:rPr>
          <w:rFonts w:ascii="Times New Roman" w:hAnsi="Times New Roman"/>
          <w:b/>
          <w:sz w:val="36"/>
        </w:rPr>
      </w:pPr>
    </w:p>
    <w:p w14:paraId="75712152" w14:textId="77777777" w:rsidR="00B83867" w:rsidRPr="00684CE9" w:rsidRDefault="00000000" w:rsidP="00684CE9">
      <w:pPr>
        <w:spacing w:line="360" w:lineRule="auto"/>
        <w:rPr>
          <w:rFonts w:ascii="Arial" w:hAnsi="Arial" w:cs="Arial"/>
        </w:rPr>
      </w:pPr>
      <w:r w:rsidRPr="00684CE9">
        <w:rPr>
          <w:rFonts w:ascii="Arial" w:hAnsi="Arial" w:cs="Arial"/>
          <w:b/>
        </w:rPr>
        <w:t>WRITTEN ASSIGNMENT (REFLECTIVE REPORT)</w:t>
      </w:r>
    </w:p>
    <w:p w14:paraId="10183383" w14:textId="77777777" w:rsidR="00B83867" w:rsidRPr="00684CE9" w:rsidRDefault="00B83867" w:rsidP="00684CE9">
      <w:pPr>
        <w:spacing w:line="360" w:lineRule="auto"/>
        <w:jc w:val="center"/>
        <w:rPr>
          <w:rFonts w:ascii="Arial" w:hAnsi="Arial" w:cs="Arial"/>
          <w:b/>
        </w:rPr>
      </w:pPr>
    </w:p>
    <w:p w14:paraId="0F3DB7E4" w14:textId="77777777" w:rsidR="00684CE9" w:rsidRPr="00684CE9" w:rsidRDefault="00684CE9" w:rsidP="00684CE9">
      <w:pPr>
        <w:spacing w:line="360" w:lineRule="auto"/>
        <w:jc w:val="center"/>
        <w:rPr>
          <w:rFonts w:ascii="Arial" w:hAnsi="Arial" w:cs="Arial"/>
        </w:rPr>
      </w:pPr>
    </w:p>
    <w:p w14:paraId="0212C675" w14:textId="77777777" w:rsidR="00684CE9" w:rsidRPr="00684CE9" w:rsidRDefault="00684CE9" w:rsidP="00684CE9">
      <w:pPr>
        <w:spacing w:line="360" w:lineRule="auto"/>
        <w:jc w:val="center"/>
        <w:rPr>
          <w:rFonts w:ascii="Arial" w:hAnsi="Arial" w:cs="Arial"/>
        </w:rPr>
      </w:pPr>
    </w:p>
    <w:p w14:paraId="2A3A0415" w14:textId="77777777" w:rsidR="00684CE9" w:rsidRPr="00684CE9" w:rsidRDefault="00684CE9" w:rsidP="00684CE9">
      <w:pPr>
        <w:spacing w:line="360" w:lineRule="auto"/>
        <w:jc w:val="center"/>
        <w:rPr>
          <w:rFonts w:ascii="Arial" w:hAnsi="Arial" w:cs="Arial"/>
        </w:rPr>
      </w:pPr>
    </w:p>
    <w:p w14:paraId="0B7CF1A6" w14:textId="2554331F" w:rsidR="00B83867" w:rsidRPr="00684CE9" w:rsidRDefault="00000000" w:rsidP="00684CE9">
      <w:pPr>
        <w:spacing w:line="360" w:lineRule="auto"/>
        <w:jc w:val="center"/>
        <w:rPr>
          <w:rFonts w:ascii="Arial" w:hAnsi="Arial" w:cs="Arial"/>
        </w:rPr>
      </w:pPr>
      <w:r w:rsidRPr="00684CE9">
        <w:rPr>
          <w:rFonts w:ascii="Arial" w:hAnsi="Arial" w:cs="Arial"/>
        </w:rPr>
        <w:t>Student Name:Yvonne Annan</w:t>
      </w:r>
    </w:p>
    <w:p w14:paraId="534F249A" w14:textId="77777777" w:rsidR="00B83867" w:rsidRPr="00684CE9" w:rsidRDefault="00000000" w:rsidP="00684CE9">
      <w:pPr>
        <w:spacing w:line="360" w:lineRule="auto"/>
        <w:jc w:val="center"/>
        <w:rPr>
          <w:rFonts w:ascii="Arial" w:hAnsi="Arial" w:cs="Arial"/>
        </w:rPr>
      </w:pPr>
      <w:r w:rsidRPr="00684CE9">
        <w:rPr>
          <w:rFonts w:ascii="Arial" w:hAnsi="Arial" w:cs="Arial"/>
        </w:rPr>
        <w:t xml:space="preserve">Student ID: </w:t>
      </w:r>
    </w:p>
    <w:p w14:paraId="1E3C03BC" w14:textId="77777777" w:rsidR="00B83867" w:rsidRPr="00684CE9" w:rsidRDefault="00000000" w:rsidP="00684CE9">
      <w:pPr>
        <w:spacing w:line="360" w:lineRule="auto"/>
        <w:jc w:val="center"/>
        <w:rPr>
          <w:rFonts w:ascii="Arial" w:hAnsi="Arial" w:cs="Arial"/>
          <w:lang w:val="en-US"/>
        </w:rPr>
      </w:pPr>
      <w:r w:rsidRPr="00684CE9">
        <w:rPr>
          <w:rFonts w:ascii="Arial" w:hAnsi="Arial" w:cs="Arial"/>
        </w:rPr>
        <w:t>Course/Programme:</w:t>
      </w:r>
    </w:p>
    <w:p w14:paraId="7F680A53" w14:textId="77777777" w:rsidR="00B83867" w:rsidRPr="00684CE9" w:rsidRDefault="00B83867" w:rsidP="00684CE9">
      <w:pPr>
        <w:spacing w:line="360" w:lineRule="auto"/>
        <w:jc w:val="center"/>
        <w:rPr>
          <w:rFonts w:ascii="Arial" w:hAnsi="Arial" w:cs="Arial"/>
          <w:lang w:val="en-US"/>
        </w:rPr>
      </w:pPr>
    </w:p>
    <w:p w14:paraId="556119D9" w14:textId="77777777" w:rsidR="00B83867" w:rsidRPr="00684CE9" w:rsidRDefault="00B83867" w:rsidP="00684CE9">
      <w:pPr>
        <w:spacing w:line="360" w:lineRule="auto"/>
        <w:jc w:val="center"/>
        <w:rPr>
          <w:rFonts w:ascii="Arial" w:hAnsi="Arial" w:cs="Arial"/>
          <w:lang w:val="en-US"/>
        </w:rPr>
      </w:pPr>
    </w:p>
    <w:p w14:paraId="092971E0" w14:textId="77777777" w:rsidR="00B83867" w:rsidRPr="00684CE9" w:rsidRDefault="00B83867" w:rsidP="00684CE9">
      <w:pPr>
        <w:spacing w:line="360" w:lineRule="auto"/>
        <w:jc w:val="center"/>
        <w:rPr>
          <w:rFonts w:ascii="Arial" w:hAnsi="Arial" w:cs="Arial"/>
          <w:lang w:val="en-US"/>
        </w:rPr>
      </w:pPr>
    </w:p>
    <w:p w14:paraId="16026243" w14:textId="77777777" w:rsidR="00B83867" w:rsidRPr="00684CE9" w:rsidRDefault="00B83867" w:rsidP="00684CE9">
      <w:pPr>
        <w:spacing w:line="360" w:lineRule="auto"/>
        <w:jc w:val="center"/>
        <w:rPr>
          <w:rFonts w:ascii="Arial" w:hAnsi="Arial" w:cs="Arial"/>
          <w:lang w:val="en-US"/>
        </w:rPr>
      </w:pPr>
    </w:p>
    <w:p w14:paraId="74806D8B" w14:textId="77777777" w:rsidR="00B83867" w:rsidRPr="00684CE9" w:rsidRDefault="00B83867" w:rsidP="00684CE9">
      <w:pPr>
        <w:spacing w:line="360" w:lineRule="auto"/>
        <w:jc w:val="center"/>
        <w:rPr>
          <w:rFonts w:ascii="Arial" w:hAnsi="Arial" w:cs="Arial"/>
          <w:lang w:val="en-US"/>
        </w:rPr>
      </w:pPr>
    </w:p>
    <w:p w14:paraId="7DF75917" w14:textId="77777777" w:rsidR="00B83867" w:rsidRPr="00684CE9" w:rsidRDefault="00B83867" w:rsidP="00684CE9">
      <w:pPr>
        <w:spacing w:line="360" w:lineRule="auto"/>
        <w:jc w:val="center"/>
        <w:rPr>
          <w:rFonts w:ascii="Arial" w:hAnsi="Arial" w:cs="Arial"/>
          <w:lang w:val="en-US"/>
        </w:rPr>
      </w:pPr>
    </w:p>
    <w:p w14:paraId="1521C144" w14:textId="77777777" w:rsidR="00B83867" w:rsidRPr="00684CE9" w:rsidRDefault="00B83867" w:rsidP="00684CE9">
      <w:pPr>
        <w:spacing w:line="360" w:lineRule="auto"/>
        <w:jc w:val="center"/>
        <w:rPr>
          <w:rFonts w:ascii="Arial" w:hAnsi="Arial" w:cs="Arial"/>
          <w:lang w:val="en-US"/>
        </w:rPr>
      </w:pPr>
    </w:p>
    <w:p w14:paraId="4B00158F" w14:textId="77777777" w:rsidR="00B83867" w:rsidRPr="00684CE9" w:rsidRDefault="00B83867" w:rsidP="00684CE9">
      <w:pPr>
        <w:spacing w:line="360" w:lineRule="auto"/>
        <w:jc w:val="center"/>
        <w:rPr>
          <w:rFonts w:ascii="Arial" w:hAnsi="Arial" w:cs="Arial"/>
          <w:lang w:val="en-US"/>
        </w:rPr>
      </w:pPr>
    </w:p>
    <w:p w14:paraId="5D47F034" w14:textId="77777777" w:rsidR="00B83867" w:rsidRPr="00684CE9" w:rsidRDefault="00B83867" w:rsidP="00684CE9">
      <w:pPr>
        <w:spacing w:line="360" w:lineRule="auto"/>
        <w:jc w:val="center"/>
        <w:rPr>
          <w:rFonts w:ascii="Arial" w:hAnsi="Arial" w:cs="Arial"/>
          <w:lang w:val="en-US"/>
        </w:rPr>
      </w:pPr>
    </w:p>
    <w:p w14:paraId="2BD6F241" w14:textId="77777777" w:rsidR="00B83867" w:rsidRPr="00684CE9" w:rsidRDefault="00B83867" w:rsidP="00684CE9">
      <w:pPr>
        <w:spacing w:line="360" w:lineRule="auto"/>
        <w:jc w:val="center"/>
        <w:rPr>
          <w:rFonts w:ascii="Arial" w:hAnsi="Arial" w:cs="Arial"/>
          <w:lang w:val="en-US"/>
        </w:rPr>
      </w:pPr>
    </w:p>
    <w:p w14:paraId="701868A6" w14:textId="77777777" w:rsidR="00B83867" w:rsidRPr="00684CE9" w:rsidRDefault="00B83867" w:rsidP="00684CE9">
      <w:pPr>
        <w:spacing w:line="360" w:lineRule="auto"/>
        <w:jc w:val="center"/>
        <w:rPr>
          <w:rFonts w:ascii="Arial" w:hAnsi="Arial" w:cs="Arial"/>
          <w:lang w:val="en-US"/>
        </w:rPr>
      </w:pPr>
    </w:p>
    <w:p w14:paraId="73739B9E" w14:textId="77777777" w:rsidR="00B83867" w:rsidRPr="00684CE9" w:rsidRDefault="00B83867" w:rsidP="00684CE9">
      <w:pPr>
        <w:spacing w:line="360" w:lineRule="auto"/>
        <w:jc w:val="center"/>
        <w:rPr>
          <w:rFonts w:ascii="Arial" w:hAnsi="Arial" w:cs="Arial"/>
          <w:lang w:val="en-US"/>
        </w:rPr>
      </w:pPr>
    </w:p>
    <w:p w14:paraId="3525EB38" w14:textId="77777777" w:rsidR="00B83867" w:rsidRPr="00684CE9" w:rsidRDefault="00B83867" w:rsidP="00684CE9">
      <w:pPr>
        <w:spacing w:line="360" w:lineRule="auto"/>
        <w:jc w:val="center"/>
        <w:rPr>
          <w:rFonts w:ascii="Arial" w:hAnsi="Arial" w:cs="Arial"/>
          <w:lang w:val="en-US"/>
        </w:rPr>
      </w:pPr>
    </w:p>
    <w:p w14:paraId="0ABD8FB3" w14:textId="77777777" w:rsidR="00B83867" w:rsidRPr="00684CE9" w:rsidRDefault="00B83867" w:rsidP="00684CE9">
      <w:pPr>
        <w:spacing w:line="360" w:lineRule="auto"/>
        <w:jc w:val="center"/>
        <w:rPr>
          <w:rFonts w:ascii="Arial" w:hAnsi="Arial" w:cs="Arial"/>
          <w:lang w:val="en-US"/>
        </w:rPr>
      </w:pPr>
    </w:p>
    <w:p w14:paraId="253E7D07" w14:textId="77777777" w:rsidR="00B83867" w:rsidRPr="00684CE9" w:rsidRDefault="00B83867" w:rsidP="00684CE9">
      <w:pPr>
        <w:spacing w:line="360" w:lineRule="auto"/>
        <w:jc w:val="both"/>
        <w:rPr>
          <w:rFonts w:ascii="Arial" w:hAnsi="Arial" w:cs="Arial"/>
          <w:lang w:val="en-US"/>
        </w:rPr>
      </w:pPr>
    </w:p>
    <w:p w14:paraId="694F3574" w14:textId="77777777" w:rsidR="00B83867" w:rsidRPr="00684CE9" w:rsidRDefault="00B83867" w:rsidP="00684CE9">
      <w:pPr>
        <w:spacing w:line="360" w:lineRule="auto"/>
        <w:jc w:val="both"/>
        <w:rPr>
          <w:rFonts w:ascii="Arial" w:hAnsi="Arial" w:cs="Arial"/>
          <w:lang w:val="en-US"/>
        </w:rPr>
      </w:pPr>
    </w:p>
    <w:p w14:paraId="1EC2A106" w14:textId="77777777" w:rsidR="00B83867" w:rsidRPr="00684CE9" w:rsidRDefault="00B83867" w:rsidP="00684CE9">
      <w:pPr>
        <w:spacing w:line="360" w:lineRule="auto"/>
        <w:jc w:val="both"/>
        <w:rPr>
          <w:rFonts w:ascii="Arial" w:hAnsi="Arial" w:cs="Arial"/>
          <w:lang w:val="en-US"/>
        </w:rPr>
      </w:pPr>
    </w:p>
    <w:p w14:paraId="2BA81CA7" w14:textId="77777777" w:rsidR="00B83867" w:rsidRPr="00684CE9" w:rsidRDefault="00B83867" w:rsidP="00684CE9">
      <w:pPr>
        <w:spacing w:line="360" w:lineRule="auto"/>
        <w:jc w:val="both"/>
        <w:rPr>
          <w:rFonts w:ascii="Arial" w:hAnsi="Arial" w:cs="Arial"/>
          <w:lang w:val="en-US"/>
        </w:rPr>
      </w:pPr>
    </w:p>
    <w:p w14:paraId="6B5FF25B" w14:textId="77777777" w:rsidR="00B83867" w:rsidRPr="00684CE9" w:rsidRDefault="00B83867" w:rsidP="00684CE9">
      <w:pPr>
        <w:spacing w:line="360" w:lineRule="auto"/>
        <w:jc w:val="both"/>
        <w:rPr>
          <w:rFonts w:ascii="Arial" w:hAnsi="Arial" w:cs="Arial"/>
          <w:lang w:val="en-US"/>
        </w:rPr>
      </w:pPr>
    </w:p>
    <w:p w14:paraId="5AE17608" w14:textId="77777777" w:rsidR="00B83867" w:rsidRPr="00684CE9" w:rsidRDefault="00000000" w:rsidP="00684CE9">
      <w:pPr>
        <w:spacing w:line="360" w:lineRule="auto"/>
        <w:jc w:val="center"/>
        <w:rPr>
          <w:rFonts w:ascii="Arial" w:hAnsi="Arial" w:cs="Arial"/>
          <w:b/>
          <w:bCs/>
        </w:rPr>
      </w:pPr>
      <w:r w:rsidRPr="00684CE9">
        <w:rPr>
          <w:rFonts w:ascii="Arial" w:hAnsi="Arial" w:cs="Arial"/>
          <w:b/>
          <w:bCs/>
        </w:rPr>
        <w:t>TABLE OF CONTENT</w:t>
      </w:r>
    </w:p>
    <w:p w14:paraId="1679FD2E" w14:textId="77777777" w:rsidR="00B83867" w:rsidRPr="00684CE9" w:rsidRDefault="00000000" w:rsidP="00684CE9">
      <w:pPr>
        <w:pStyle w:val="TOC3"/>
        <w:tabs>
          <w:tab w:val="right" w:leader="dot" w:pos="9026"/>
        </w:tabs>
        <w:spacing w:line="360" w:lineRule="auto"/>
        <w:ind w:left="880"/>
        <w:rPr>
          <w:rFonts w:ascii="Arial" w:hAnsi="Arial" w:cs="Arial"/>
        </w:rPr>
      </w:pPr>
      <w:r w:rsidRPr="00684CE9">
        <w:rPr>
          <w:rFonts w:ascii="Arial" w:hAnsi="Arial" w:cs="Arial"/>
        </w:rPr>
        <w:fldChar w:fldCharType="begin"/>
      </w:r>
      <w:r w:rsidRPr="00684CE9">
        <w:rPr>
          <w:rFonts w:ascii="Arial" w:hAnsi="Arial" w:cs="Arial"/>
        </w:rPr>
        <w:instrText xml:space="preserve">TOC \o "1-3" \h \u </w:instrText>
      </w:r>
      <w:r w:rsidRPr="00684CE9">
        <w:rPr>
          <w:rFonts w:ascii="Arial" w:hAnsi="Arial" w:cs="Arial"/>
        </w:rPr>
        <w:fldChar w:fldCharType="separate"/>
      </w:r>
      <w:hyperlink w:anchor="_Toc13875" w:history="1">
        <w:r w:rsidRPr="00684CE9">
          <w:rPr>
            <w:rFonts w:ascii="Arial" w:eastAsia="Times New Roman" w:hAnsi="Arial" w:cs="Arial"/>
          </w:rPr>
          <w:t>1. REFLECTION ON THE IMPORTANCE OF PRINCIPLES OF HEALTH AND SOCIAL CARE</w:t>
        </w:r>
        <w:r w:rsidRPr="00684CE9">
          <w:rPr>
            <w:rFonts w:ascii="Arial" w:hAnsi="Arial" w:cs="Arial"/>
          </w:rPr>
          <w:tab/>
        </w:r>
        <w:r w:rsidRPr="00684CE9">
          <w:rPr>
            <w:rFonts w:ascii="Arial" w:hAnsi="Arial" w:cs="Arial"/>
          </w:rPr>
          <w:fldChar w:fldCharType="begin"/>
        </w:r>
        <w:r w:rsidRPr="00684CE9">
          <w:rPr>
            <w:rFonts w:ascii="Arial" w:hAnsi="Arial" w:cs="Arial"/>
          </w:rPr>
          <w:instrText xml:space="preserve"> PAGEREF _Toc13875 \h </w:instrText>
        </w:r>
        <w:r w:rsidRPr="00684CE9">
          <w:rPr>
            <w:rFonts w:ascii="Arial" w:hAnsi="Arial" w:cs="Arial"/>
          </w:rPr>
        </w:r>
        <w:r w:rsidRPr="00684CE9">
          <w:rPr>
            <w:rFonts w:ascii="Arial" w:hAnsi="Arial" w:cs="Arial"/>
          </w:rPr>
          <w:fldChar w:fldCharType="separate"/>
        </w:r>
        <w:r w:rsidRPr="00684CE9">
          <w:rPr>
            <w:rFonts w:ascii="Arial" w:hAnsi="Arial" w:cs="Arial"/>
          </w:rPr>
          <w:t>1</w:t>
        </w:r>
        <w:r w:rsidRPr="00684CE9">
          <w:rPr>
            <w:rFonts w:ascii="Arial" w:hAnsi="Arial" w:cs="Arial"/>
          </w:rPr>
          <w:fldChar w:fldCharType="end"/>
        </w:r>
      </w:hyperlink>
    </w:p>
    <w:p w14:paraId="60F2933E" w14:textId="77777777" w:rsidR="00B83867" w:rsidRPr="00684CE9" w:rsidRDefault="00000000" w:rsidP="00684CE9">
      <w:pPr>
        <w:pStyle w:val="TOC3"/>
        <w:tabs>
          <w:tab w:val="right" w:leader="dot" w:pos="9026"/>
        </w:tabs>
        <w:spacing w:line="360" w:lineRule="auto"/>
        <w:ind w:left="880"/>
        <w:rPr>
          <w:rFonts w:ascii="Arial" w:hAnsi="Arial" w:cs="Arial"/>
        </w:rPr>
      </w:pPr>
      <w:hyperlink w:anchor="_Toc1542" w:history="1">
        <w:r w:rsidRPr="00684CE9">
          <w:rPr>
            <w:rFonts w:ascii="Arial" w:hAnsi="Arial" w:cs="Arial"/>
          </w:rPr>
          <w:t>2. Practical Examples of Concepts in Practice</w:t>
        </w:r>
        <w:r w:rsidRPr="00684CE9">
          <w:rPr>
            <w:rFonts w:ascii="Arial" w:hAnsi="Arial" w:cs="Arial"/>
          </w:rPr>
          <w:tab/>
        </w:r>
        <w:r w:rsidRPr="00684CE9">
          <w:rPr>
            <w:rFonts w:ascii="Arial" w:hAnsi="Arial" w:cs="Arial"/>
          </w:rPr>
          <w:fldChar w:fldCharType="begin"/>
        </w:r>
        <w:r w:rsidRPr="00684CE9">
          <w:rPr>
            <w:rFonts w:ascii="Arial" w:hAnsi="Arial" w:cs="Arial"/>
          </w:rPr>
          <w:instrText xml:space="preserve"> PAGEREF _Toc1542 \h </w:instrText>
        </w:r>
        <w:r w:rsidRPr="00684CE9">
          <w:rPr>
            <w:rFonts w:ascii="Arial" w:hAnsi="Arial" w:cs="Arial"/>
          </w:rPr>
        </w:r>
        <w:r w:rsidRPr="00684CE9">
          <w:rPr>
            <w:rFonts w:ascii="Arial" w:hAnsi="Arial" w:cs="Arial"/>
          </w:rPr>
          <w:fldChar w:fldCharType="separate"/>
        </w:r>
        <w:r w:rsidRPr="00684CE9">
          <w:rPr>
            <w:rFonts w:ascii="Arial" w:hAnsi="Arial" w:cs="Arial"/>
          </w:rPr>
          <w:t>3</w:t>
        </w:r>
        <w:r w:rsidRPr="00684CE9">
          <w:rPr>
            <w:rFonts w:ascii="Arial" w:hAnsi="Arial" w:cs="Arial"/>
          </w:rPr>
          <w:fldChar w:fldCharType="end"/>
        </w:r>
      </w:hyperlink>
    </w:p>
    <w:p w14:paraId="5507A0F1" w14:textId="77777777" w:rsidR="00B83867" w:rsidRPr="00684CE9" w:rsidRDefault="00000000" w:rsidP="00684CE9">
      <w:pPr>
        <w:pStyle w:val="TOC3"/>
        <w:tabs>
          <w:tab w:val="right" w:leader="dot" w:pos="9026"/>
        </w:tabs>
        <w:spacing w:line="360" w:lineRule="auto"/>
        <w:ind w:left="880"/>
        <w:rPr>
          <w:rFonts w:ascii="Arial" w:hAnsi="Arial" w:cs="Arial"/>
        </w:rPr>
      </w:pPr>
      <w:hyperlink w:anchor="_Toc28171" w:history="1">
        <w:r w:rsidRPr="00684CE9">
          <w:rPr>
            <w:rFonts w:ascii="Arial" w:eastAsia="Times New Roman" w:hAnsi="Arial" w:cs="Arial"/>
          </w:rPr>
          <w:t>Evaluation of Person-Centred Care, Partnership Working and Ethical Practice: Alex’s Case</w:t>
        </w:r>
        <w:r w:rsidRPr="00684CE9">
          <w:rPr>
            <w:rFonts w:ascii="Arial" w:hAnsi="Arial" w:cs="Arial"/>
          </w:rPr>
          <w:tab/>
        </w:r>
        <w:r w:rsidRPr="00684CE9">
          <w:rPr>
            <w:rFonts w:ascii="Arial" w:hAnsi="Arial" w:cs="Arial"/>
          </w:rPr>
          <w:fldChar w:fldCharType="begin"/>
        </w:r>
        <w:r w:rsidRPr="00684CE9">
          <w:rPr>
            <w:rFonts w:ascii="Arial" w:hAnsi="Arial" w:cs="Arial"/>
          </w:rPr>
          <w:instrText xml:space="preserve"> PAGEREF _Toc28171 \h </w:instrText>
        </w:r>
        <w:r w:rsidRPr="00684CE9">
          <w:rPr>
            <w:rFonts w:ascii="Arial" w:hAnsi="Arial" w:cs="Arial"/>
          </w:rPr>
        </w:r>
        <w:r w:rsidRPr="00684CE9">
          <w:rPr>
            <w:rFonts w:ascii="Arial" w:hAnsi="Arial" w:cs="Arial"/>
          </w:rPr>
          <w:fldChar w:fldCharType="separate"/>
        </w:r>
        <w:r w:rsidRPr="00684CE9">
          <w:rPr>
            <w:rFonts w:ascii="Arial" w:hAnsi="Arial" w:cs="Arial"/>
          </w:rPr>
          <w:t>3</w:t>
        </w:r>
        <w:r w:rsidRPr="00684CE9">
          <w:rPr>
            <w:rFonts w:ascii="Arial" w:hAnsi="Arial" w:cs="Arial"/>
          </w:rPr>
          <w:fldChar w:fldCharType="end"/>
        </w:r>
      </w:hyperlink>
    </w:p>
    <w:p w14:paraId="20B61B37" w14:textId="77777777" w:rsidR="00B83867" w:rsidRPr="00684CE9" w:rsidRDefault="00000000" w:rsidP="00684CE9">
      <w:pPr>
        <w:pStyle w:val="TOC3"/>
        <w:tabs>
          <w:tab w:val="right" w:leader="dot" w:pos="9026"/>
        </w:tabs>
        <w:spacing w:line="360" w:lineRule="auto"/>
        <w:ind w:left="880"/>
        <w:rPr>
          <w:rFonts w:ascii="Arial" w:hAnsi="Arial" w:cs="Arial"/>
        </w:rPr>
      </w:pPr>
      <w:hyperlink w:anchor="_Toc28149" w:history="1">
        <w:r w:rsidRPr="00684CE9">
          <w:rPr>
            <w:rFonts w:ascii="Arial" w:hAnsi="Arial" w:cs="Arial"/>
          </w:rPr>
          <w:t>3. Self-Reflection as a Health and Social Care Professional</w:t>
        </w:r>
        <w:r w:rsidRPr="00684CE9">
          <w:rPr>
            <w:rFonts w:ascii="Arial" w:hAnsi="Arial" w:cs="Arial"/>
          </w:rPr>
          <w:tab/>
        </w:r>
        <w:r w:rsidRPr="00684CE9">
          <w:rPr>
            <w:rFonts w:ascii="Arial" w:hAnsi="Arial" w:cs="Arial"/>
          </w:rPr>
          <w:fldChar w:fldCharType="begin"/>
        </w:r>
        <w:r w:rsidRPr="00684CE9">
          <w:rPr>
            <w:rFonts w:ascii="Arial" w:hAnsi="Arial" w:cs="Arial"/>
          </w:rPr>
          <w:instrText xml:space="preserve"> PAGEREF _Toc28149 \h </w:instrText>
        </w:r>
        <w:r w:rsidRPr="00684CE9">
          <w:rPr>
            <w:rFonts w:ascii="Arial" w:hAnsi="Arial" w:cs="Arial"/>
          </w:rPr>
        </w:r>
        <w:r w:rsidRPr="00684CE9">
          <w:rPr>
            <w:rFonts w:ascii="Arial" w:hAnsi="Arial" w:cs="Arial"/>
          </w:rPr>
          <w:fldChar w:fldCharType="separate"/>
        </w:r>
        <w:r w:rsidRPr="00684CE9">
          <w:rPr>
            <w:rFonts w:ascii="Arial" w:hAnsi="Arial" w:cs="Arial"/>
          </w:rPr>
          <w:t>4</w:t>
        </w:r>
        <w:r w:rsidRPr="00684CE9">
          <w:rPr>
            <w:rFonts w:ascii="Arial" w:hAnsi="Arial" w:cs="Arial"/>
          </w:rPr>
          <w:fldChar w:fldCharType="end"/>
        </w:r>
      </w:hyperlink>
    </w:p>
    <w:p w14:paraId="053EC269" w14:textId="77777777" w:rsidR="00B83867" w:rsidRPr="00684CE9" w:rsidRDefault="00000000" w:rsidP="00684CE9">
      <w:pPr>
        <w:pStyle w:val="TOC2"/>
        <w:tabs>
          <w:tab w:val="right" w:leader="dot" w:pos="9026"/>
        </w:tabs>
        <w:spacing w:line="360" w:lineRule="auto"/>
        <w:ind w:left="440"/>
        <w:rPr>
          <w:rFonts w:ascii="Arial" w:hAnsi="Arial" w:cs="Arial"/>
        </w:rPr>
      </w:pPr>
      <w:hyperlink w:anchor="_Toc19193" w:history="1">
        <w:r w:rsidRPr="00684CE9">
          <w:rPr>
            <w:rFonts w:ascii="Arial" w:eastAsia="Times New Roman" w:hAnsi="Arial" w:cs="Arial"/>
          </w:rPr>
          <w:t>Introduction</w:t>
        </w:r>
        <w:r w:rsidRPr="00684CE9">
          <w:rPr>
            <w:rFonts w:ascii="Arial" w:hAnsi="Arial" w:cs="Arial"/>
          </w:rPr>
          <w:tab/>
        </w:r>
        <w:r w:rsidRPr="00684CE9">
          <w:rPr>
            <w:rFonts w:ascii="Arial" w:hAnsi="Arial" w:cs="Arial"/>
          </w:rPr>
          <w:fldChar w:fldCharType="begin"/>
        </w:r>
        <w:r w:rsidRPr="00684CE9">
          <w:rPr>
            <w:rFonts w:ascii="Arial" w:hAnsi="Arial" w:cs="Arial"/>
          </w:rPr>
          <w:instrText xml:space="preserve"> PAGEREF _Toc19193 \h </w:instrText>
        </w:r>
        <w:r w:rsidRPr="00684CE9">
          <w:rPr>
            <w:rFonts w:ascii="Arial" w:hAnsi="Arial" w:cs="Arial"/>
          </w:rPr>
        </w:r>
        <w:r w:rsidRPr="00684CE9">
          <w:rPr>
            <w:rFonts w:ascii="Arial" w:hAnsi="Arial" w:cs="Arial"/>
          </w:rPr>
          <w:fldChar w:fldCharType="separate"/>
        </w:r>
        <w:r w:rsidRPr="00684CE9">
          <w:rPr>
            <w:rFonts w:ascii="Arial" w:hAnsi="Arial" w:cs="Arial"/>
          </w:rPr>
          <w:t>4</w:t>
        </w:r>
        <w:r w:rsidRPr="00684CE9">
          <w:rPr>
            <w:rFonts w:ascii="Arial" w:hAnsi="Arial" w:cs="Arial"/>
          </w:rPr>
          <w:fldChar w:fldCharType="end"/>
        </w:r>
      </w:hyperlink>
    </w:p>
    <w:p w14:paraId="53B4D6D0" w14:textId="77777777" w:rsidR="00B83867" w:rsidRPr="00684CE9" w:rsidRDefault="00000000" w:rsidP="00684CE9">
      <w:pPr>
        <w:pStyle w:val="TOC2"/>
        <w:tabs>
          <w:tab w:val="right" w:leader="dot" w:pos="9026"/>
        </w:tabs>
        <w:spacing w:line="360" w:lineRule="auto"/>
        <w:ind w:left="440"/>
        <w:rPr>
          <w:rFonts w:ascii="Arial" w:hAnsi="Arial" w:cs="Arial"/>
        </w:rPr>
      </w:pPr>
      <w:hyperlink w:anchor="_Toc20370" w:history="1">
        <w:r w:rsidRPr="00684CE9">
          <w:rPr>
            <w:rFonts w:ascii="Arial" w:eastAsia="Times New Roman" w:hAnsi="Arial" w:cs="Arial"/>
          </w:rPr>
          <w:t>Person-centred care and Maslow’s hierarchy of needs</w:t>
        </w:r>
        <w:r w:rsidRPr="00684CE9">
          <w:rPr>
            <w:rFonts w:ascii="Arial" w:hAnsi="Arial" w:cs="Arial"/>
          </w:rPr>
          <w:tab/>
        </w:r>
        <w:r w:rsidRPr="00684CE9">
          <w:rPr>
            <w:rFonts w:ascii="Arial" w:hAnsi="Arial" w:cs="Arial"/>
          </w:rPr>
          <w:fldChar w:fldCharType="begin"/>
        </w:r>
        <w:r w:rsidRPr="00684CE9">
          <w:rPr>
            <w:rFonts w:ascii="Arial" w:hAnsi="Arial" w:cs="Arial"/>
          </w:rPr>
          <w:instrText xml:space="preserve"> PAGEREF _Toc20370 \h </w:instrText>
        </w:r>
        <w:r w:rsidRPr="00684CE9">
          <w:rPr>
            <w:rFonts w:ascii="Arial" w:hAnsi="Arial" w:cs="Arial"/>
          </w:rPr>
        </w:r>
        <w:r w:rsidRPr="00684CE9">
          <w:rPr>
            <w:rFonts w:ascii="Arial" w:hAnsi="Arial" w:cs="Arial"/>
          </w:rPr>
          <w:fldChar w:fldCharType="separate"/>
        </w:r>
        <w:r w:rsidRPr="00684CE9">
          <w:rPr>
            <w:rFonts w:ascii="Arial" w:hAnsi="Arial" w:cs="Arial"/>
          </w:rPr>
          <w:t>5</w:t>
        </w:r>
        <w:r w:rsidRPr="00684CE9">
          <w:rPr>
            <w:rFonts w:ascii="Arial" w:hAnsi="Arial" w:cs="Arial"/>
          </w:rPr>
          <w:fldChar w:fldCharType="end"/>
        </w:r>
      </w:hyperlink>
    </w:p>
    <w:p w14:paraId="5BA1CAE5" w14:textId="77777777" w:rsidR="00B83867" w:rsidRPr="00684CE9" w:rsidRDefault="00000000" w:rsidP="00684CE9">
      <w:pPr>
        <w:pStyle w:val="TOC2"/>
        <w:tabs>
          <w:tab w:val="right" w:leader="dot" w:pos="9026"/>
        </w:tabs>
        <w:spacing w:line="360" w:lineRule="auto"/>
        <w:ind w:left="440"/>
        <w:rPr>
          <w:rFonts w:ascii="Arial" w:hAnsi="Arial" w:cs="Arial"/>
        </w:rPr>
      </w:pPr>
      <w:hyperlink w:anchor="_Toc6410" w:history="1">
        <w:r w:rsidRPr="00684CE9">
          <w:rPr>
            <w:rFonts w:ascii="Arial" w:eastAsia="Times New Roman" w:hAnsi="Arial" w:cs="Arial"/>
          </w:rPr>
          <w:t>Partnership working in daily practice</w:t>
        </w:r>
        <w:r w:rsidRPr="00684CE9">
          <w:rPr>
            <w:rFonts w:ascii="Arial" w:hAnsi="Arial" w:cs="Arial"/>
          </w:rPr>
          <w:tab/>
        </w:r>
        <w:r w:rsidRPr="00684CE9">
          <w:rPr>
            <w:rFonts w:ascii="Arial" w:hAnsi="Arial" w:cs="Arial"/>
          </w:rPr>
          <w:fldChar w:fldCharType="begin"/>
        </w:r>
        <w:r w:rsidRPr="00684CE9">
          <w:rPr>
            <w:rFonts w:ascii="Arial" w:hAnsi="Arial" w:cs="Arial"/>
          </w:rPr>
          <w:instrText xml:space="preserve"> PAGEREF _Toc6410 \h </w:instrText>
        </w:r>
        <w:r w:rsidRPr="00684CE9">
          <w:rPr>
            <w:rFonts w:ascii="Arial" w:hAnsi="Arial" w:cs="Arial"/>
          </w:rPr>
        </w:r>
        <w:r w:rsidRPr="00684CE9">
          <w:rPr>
            <w:rFonts w:ascii="Arial" w:hAnsi="Arial" w:cs="Arial"/>
          </w:rPr>
          <w:fldChar w:fldCharType="separate"/>
        </w:r>
        <w:r w:rsidRPr="00684CE9">
          <w:rPr>
            <w:rFonts w:ascii="Arial" w:hAnsi="Arial" w:cs="Arial"/>
          </w:rPr>
          <w:t>6</w:t>
        </w:r>
        <w:r w:rsidRPr="00684CE9">
          <w:rPr>
            <w:rFonts w:ascii="Arial" w:hAnsi="Arial" w:cs="Arial"/>
          </w:rPr>
          <w:fldChar w:fldCharType="end"/>
        </w:r>
      </w:hyperlink>
    </w:p>
    <w:p w14:paraId="68F18B28" w14:textId="77777777" w:rsidR="00B83867" w:rsidRPr="00684CE9" w:rsidRDefault="00000000" w:rsidP="00684CE9">
      <w:pPr>
        <w:pStyle w:val="TOC2"/>
        <w:tabs>
          <w:tab w:val="right" w:leader="dot" w:pos="9026"/>
        </w:tabs>
        <w:spacing w:line="360" w:lineRule="auto"/>
        <w:ind w:left="440"/>
        <w:rPr>
          <w:rFonts w:ascii="Arial" w:hAnsi="Arial" w:cs="Arial"/>
        </w:rPr>
      </w:pPr>
      <w:hyperlink w:anchor="_Toc30795" w:history="1">
        <w:r w:rsidRPr="00684CE9">
          <w:rPr>
            <w:rFonts w:ascii="Arial" w:eastAsia="Times New Roman" w:hAnsi="Arial" w:cs="Arial"/>
          </w:rPr>
          <w:t>Ethical practice and professional responsibilities</w:t>
        </w:r>
        <w:r w:rsidRPr="00684CE9">
          <w:rPr>
            <w:rFonts w:ascii="Arial" w:hAnsi="Arial" w:cs="Arial"/>
          </w:rPr>
          <w:tab/>
        </w:r>
        <w:r w:rsidRPr="00684CE9">
          <w:rPr>
            <w:rFonts w:ascii="Arial" w:hAnsi="Arial" w:cs="Arial"/>
          </w:rPr>
          <w:fldChar w:fldCharType="begin"/>
        </w:r>
        <w:r w:rsidRPr="00684CE9">
          <w:rPr>
            <w:rFonts w:ascii="Arial" w:hAnsi="Arial" w:cs="Arial"/>
          </w:rPr>
          <w:instrText xml:space="preserve"> PAGEREF _Toc30795 \h </w:instrText>
        </w:r>
        <w:r w:rsidRPr="00684CE9">
          <w:rPr>
            <w:rFonts w:ascii="Arial" w:hAnsi="Arial" w:cs="Arial"/>
          </w:rPr>
        </w:r>
        <w:r w:rsidRPr="00684CE9">
          <w:rPr>
            <w:rFonts w:ascii="Arial" w:hAnsi="Arial" w:cs="Arial"/>
          </w:rPr>
          <w:fldChar w:fldCharType="separate"/>
        </w:r>
        <w:r w:rsidRPr="00684CE9">
          <w:rPr>
            <w:rFonts w:ascii="Arial" w:hAnsi="Arial" w:cs="Arial"/>
          </w:rPr>
          <w:t>6</w:t>
        </w:r>
        <w:r w:rsidRPr="00684CE9">
          <w:rPr>
            <w:rFonts w:ascii="Arial" w:hAnsi="Arial" w:cs="Arial"/>
          </w:rPr>
          <w:fldChar w:fldCharType="end"/>
        </w:r>
      </w:hyperlink>
    </w:p>
    <w:p w14:paraId="157460D0" w14:textId="77777777" w:rsidR="00B83867" w:rsidRPr="00684CE9" w:rsidRDefault="00000000" w:rsidP="00684CE9">
      <w:pPr>
        <w:pStyle w:val="TOC2"/>
        <w:tabs>
          <w:tab w:val="right" w:leader="dot" w:pos="9026"/>
        </w:tabs>
        <w:spacing w:line="360" w:lineRule="auto"/>
        <w:ind w:left="440"/>
        <w:rPr>
          <w:rFonts w:ascii="Arial" w:hAnsi="Arial" w:cs="Arial"/>
        </w:rPr>
      </w:pPr>
      <w:hyperlink w:anchor="_Toc9015" w:history="1">
        <w:r w:rsidRPr="00684CE9">
          <w:rPr>
            <w:rFonts w:ascii="Arial" w:eastAsia="Times New Roman" w:hAnsi="Arial" w:cs="Arial"/>
          </w:rPr>
          <w:t>Self-reflection: my strengths and areas for improvement</w:t>
        </w:r>
        <w:r w:rsidRPr="00684CE9">
          <w:rPr>
            <w:rFonts w:ascii="Arial" w:hAnsi="Arial" w:cs="Arial"/>
          </w:rPr>
          <w:tab/>
        </w:r>
        <w:r w:rsidRPr="00684CE9">
          <w:rPr>
            <w:rFonts w:ascii="Arial" w:hAnsi="Arial" w:cs="Arial"/>
          </w:rPr>
          <w:fldChar w:fldCharType="begin"/>
        </w:r>
        <w:r w:rsidRPr="00684CE9">
          <w:rPr>
            <w:rFonts w:ascii="Arial" w:hAnsi="Arial" w:cs="Arial"/>
          </w:rPr>
          <w:instrText xml:space="preserve"> PAGEREF _Toc9015 \h </w:instrText>
        </w:r>
        <w:r w:rsidRPr="00684CE9">
          <w:rPr>
            <w:rFonts w:ascii="Arial" w:hAnsi="Arial" w:cs="Arial"/>
          </w:rPr>
        </w:r>
        <w:r w:rsidRPr="00684CE9">
          <w:rPr>
            <w:rFonts w:ascii="Arial" w:hAnsi="Arial" w:cs="Arial"/>
          </w:rPr>
          <w:fldChar w:fldCharType="separate"/>
        </w:r>
        <w:r w:rsidRPr="00684CE9">
          <w:rPr>
            <w:rFonts w:ascii="Arial" w:hAnsi="Arial" w:cs="Arial"/>
          </w:rPr>
          <w:t>7</w:t>
        </w:r>
        <w:r w:rsidRPr="00684CE9">
          <w:rPr>
            <w:rFonts w:ascii="Arial" w:hAnsi="Arial" w:cs="Arial"/>
          </w:rPr>
          <w:fldChar w:fldCharType="end"/>
        </w:r>
      </w:hyperlink>
    </w:p>
    <w:p w14:paraId="2CB2D8E4" w14:textId="77777777" w:rsidR="00B83867" w:rsidRPr="00684CE9" w:rsidRDefault="00000000" w:rsidP="00684CE9">
      <w:pPr>
        <w:pStyle w:val="TOC2"/>
        <w:tabs>
          <w:tab w:val="right" w:leader="dot" w:pos="9026"/>
        </w:tabs>
        <w:spacing w:line="360" w:lineRule="auto"/>
        <w:ind w:left="440"/>
        <w:rPr>
          <w:rFonts w:ascii="Arial" w:hAnsi="Arial" w:cs="Arial"/>
        </w:rPr>
      </w:pPr>
      <w:hyperlink w:anchor="_Toc5465" w:history="1">
        <w:r w:rsidRPr="00684CE9">
          <w:rPr>
            <w:rFonts w:ascii="Arial" w:eastAsia="Times New Roman" w:hAnsi="Arial" w:cs="Arial"/>
          </w:rPr>
          <w:t>Future development plan</w:t>
        </w:r>
        <w:r w:rsidRPr="00684CE9">
          <w:rPr>
            <w:rFonts w:ascii="Arial" w:hAnsi="Arial" w:cs="Arial"/>
          </w:rPr>
          <w:tab/>
        </w:r>
        <w:r w:rsidRPr="00684CE9">
          <w:rPr>
            <w:rFonts w:ascii="Arial" w:hAnsi="Arial" w:cs="Arial"/>
          </w:rPr>
          <w:fldChar w:fldCharType="begin"/>
        </w:r>
        <w:r w:rsidRPr="00684CE9">
          <w:rPr>
            <w:rFonts w:ascii="Arial" w:hAnsi="Arial" w:cs="Arial"/>
          </w:rPr>
          <w:instrText xml:space="preserve"> PAGEREF _Toc5465 \h </w:instrText>
        </w:r>
        <w:r w:rsidRPr="00684CE9">
          <w:rPr>
            <w:rFonts w:ascii="Arial" w:hAnsi="Arial" w:cs="Arial"/>
          </w:rPr>
        </w:r>
        <w:r w:rsidRPr="00684CE9">
          <w:rPr>
            <w:rFonts w:ascii="Arial" w:hAnsi="Arial" w:cs="Arial"/>
          </w:rPr>
          <w:fldChar w:fldCharType="separate"/>
        </w:r>
        <w:r w:rsidRPr="00684CE9">
          <w:rPr>
            <w:rFonts w:ascii="Arial" w:hAnsi="Arial" w:cs="Arial"/>
          </w:rPr>
          <w:t>8</w:t>
        </w:r>
        <w:r w:rsidRPr="00684CE9">
          <w:rPr>
            <w:rFonts w:ascii="Arial" w:hAnsi="Arial" w:cs="Arial"/>
          </w:rPr>
          <w:fldChar w:fldCharType="end"/>
        </w:r>
      </w:hyperlink>
    </w:p>
    <w:p w14:paraId="643767AF" w14:textId="77777777" w:rsidR="00B83867" w:rsidRPr="00684CE9" w:rsidRDefault="00000000" w:rsidP="00684CE9">
      <w:pPr>
        <w:pStyle w:val="TOC2"/>
        <w:tabs>
          <w:tab w:val="right" w:leader="dot" w:pos="9026"/>
        </w:tabs>
        <w:spacing w:line="360" w:lineRule="auto"/>
        <w:ind w:left="440"/>
        <w:rPr>
          <w:rFonts w:ascii="Arial" w:hAnsi="Arial" w:cs="Arial"/>
        </w:rPr>
      </w:pPr>
      <w:hyperlink w:anchor="_Toc16245" w:history="1">
        <w:r w:rsidRPr="00684CE9">
          <w:rPr>
            <w:rFonts w:ascii="Arial" w:eastAsia="Times New Roman" w:hAnsi="Arial" w:cs="Arial"/>
          </w:rPr>
          <w:t>Conclusion</w:t>
        </w:r>
        <w:r w:rsidRPr="00684CE9">
          <w:rPr>
            <w:rFonts w:ascii="Arial" w:hAnsi="Arial" w:cs="Arial"/>
          </w:rPr>
          <w:tab/>
        </w:r>
        <w:r w:rsidRPr="00684CE9">
          <w:rPr>
            <w:rFonts w:ascii="Arial" w:hAnsi="Arial" w:cs="Arial"/>
          </w:rPr>
          <w:fldChar w:fldCharType="begin"/>
        </w:r>
        <w:r w:rsidRPr="00684CE9">
          <w:rPr>
            <w:rFonts w:ascii="Arial" w:hAnsi="Arial" w:cs="Arial"/>
          </w:rPr>
          <w:instrText xml:space="preserve"> PAGEREF _Toc16245 \h </w:instrText>
        </w:r>
        <w:r w:rsidRPr="00684CE9">
          <w:rPr>
            <w:rFonts w:ascii="Arial" w:hAnsi="Arial" w:cs="Arial"/>
          </w:rPr>
        </w:r>
        <w:r w:rsidRPr="00684CE9">
          <w:rPr>
            <w:rFonts w:ascii="Arial" w:hAnsi="Arial" w:cs="Arial"/>
          </w:rPr>
          <w:fldChar w:fldCharType="separate"/>
        </w:r>
        <w:r w:rsidRPr="00684CE9">
          <w:rPr>
            <w:rFonts w:ascii="Arial" w:hAnsi="Arial" w:cs="Arial"/>
          </w:rPr>
          <w:t>8</w:t>
        </w:r>
        <w:r w:rsidRPr="00684CE9">
          <w:rPr>
            <w:rFonts w:ascii="Arial" w:hAnsi="Arial" w:cs="Arial"/>
          </w:rPr>
          <w:fldChar w:fldCharType="end"/>
        </w:r>
      </w:hyperlink>
    </w:p>
    <w:p w14:paraId="3C91A201" w14:textId="77777777" w:rsidR="00B83867" w:rsidRPr="00684CE9" w:rsidRDefault="00000000" w:rsidP="00684CE9">
      <w:pPr>
        <w:spacing w:line="360" w:lineRule="auto"/>
        <w:rPr>
          <w:rFonts w:ascii="Arial" w:hAnsi="Arial" w:cs="Arial"/>
        </w:rPr>
      </w:pPr>
      <w:r w:rsidRPr="00684CE9">
        <w:rPr>
          <w:rFonts w:ascii="Arial" w:hAnsi="Arial" w:cs="Arial"/>
        </w:rPr>
        <w:fldChar w:fldCharType="end"/>
      </w:r>
    </w:p>
    <w:p w14:paraId="3A00DCC0" w14:textId="77777777" w:rsidR="00B83867" w:rsidRPr="00684CE9" w:rsidRDefault="00B83867" w:rsidP="00684CE9">
      <w:pPr>
        <w:spacing w:line="360" w:lineRule="auto"/>
        <w:jc w:val="center"/>
        <w:rPr>
          <w:rFonts w:ascii="Arial" w:hAnsi="Arial" w:cs="Arial"/>
        </w:rPr>
      </w:pPr>
    </w:p>
    <w:p w14:paraId="4E218A2A" w14:textId="77777777" w:rsidR="00B83867" w:rsidRPr="00684CE9" w:rsidRDefault="00B83867" w:rsidP="00684CE9">
      <w:pPr>
        <w:spacing w:line="360" w:lineRule="auto"/>
        <w:jc w:val="center"/>
        <w:rPr>
          <w:rFonts w:ascii="Arial" w:hAnsi="Arial" w:cs="Arial"/>
        </w:rPr>
      </w:pPr>
    </w:p>
    <w:p w14:paraId="77BE53FB" w14:textId="77777777" w:rsidR="00B83867" w:rsidRPr="00684CE9" w:rsidRDefault="00B83867" w:rsidP="00684CE9">
      <w:pPr>
        <w:spacing w:line="360" w:lineRule="auto"/>
        <w:jc w:val="center"/>
        <w:rPr>
          <w:rFonts w:ascii="Arial" w:hAnsi="Arial" w:cs="Arial"/>
        </w:rPr>
      </w:pPr>
    </w:p>
    <w:p w14:paraId="5BA8C582" w14:textId="77777777" w:rsidR="00B83867" w:rsidRPr="00684CE9" w:rsidRDefault="00B83867" w:rsidP="00684CE9">
      <w:pPr>
        <w:spacing w:line="360" w:lineRule="auto"/>
        <w:jc w:val="center"/>
        <w:rPr>
          <w:rFonts w:ascii="Arial" w:hAnsi="Arial" w:cs="Arial"/>
        </w:rPr>
      </w:pPr>
    </w:p>
    <w:p w14:paraId="74ADF9D8" w14:textId="77777777" w:rsidR="00B83867" w:rsidRPr="00684CE9" w:rsidRDefault="00B83867" w:rsidP="00684CE9">
      <w:pPr>
        <w:spacing w:line="360" w:lineRule="auto"/>
        <w:jc w:val="center"/>
        <w:rPr>
          <w:rFonts w:ascii="Arial" w:hAnsi="Arial" w:cs="Arial"/>
        </w:rPr>
      </w:pPr>
    </w:p>
    <w:p w14:paraId="5156C9B4" w14:textId="77777777" w:rsidR="00B83867" w:rsidRPr="00684CE9" w:rsidRDefault="00B83867" w:rsidP="00684CE9">
      <w:pPr>
        <w:spacing w:line="360" w:lineRule="auto"/>
        <w:jc w:val="center"/>
        <w:rPr>
          <w:rFonts w:ascii="Arial" w:hAnsi="Arial" w:cs="Arial"/>
        </w:rPr>
      </w:pPr>
    </w:p>
    <w:p w14:paraId="0984F083" w14:textId="77777777" w:rsidR="00B83867" w:rsidRPr="00684CE9" w:rsidRDefault="00B83867" w:rsidP="00684CE9">
      <w:pPr>
        <w:spacing w:line="360" w:lineRule="auto"/>
        <w:jc w:val="center"/>
        <w:rPr>
          <w:rFonts w:ascii="Arial" w:hAnsi="Arial" w:cs="Arial"/>
        </w:rPr>
      </w:pPr>
    </w:p>
    <w:p w14:paraId="4C0B7734" w14:textId="77777777" w:rsidR="00B83867" w:rsidRPr="00684CE9" w:rsidRDefault="00B83867" w:rsidP="00684CE9">
      <w:pPr>
        <w:spacing w:line="360" w:lineRule="auto"/>
        <w:jc w:val="center"/>
        <w:rPr>
          <w:rFonts w:ascii="Arial" w:hAnsi="Arial" w:cs="Arial"/>
        </w:rPr>
      </w:pPr>
    </w:p>
    <w:p w14:paraId="6EE8E6C5" w14:textId="77777777" w:rsidR="00B83867" w:rsidRPr="00684CE9" w:rsidRDefault="00B83867" w:rsidP="00684CE9">
      <w:pPr>
        <w:spacing w:line="360" w:lineRule="auto"/>
        <w:jc w:val="center"/>
        <w:rPr>
          <w:rFonts w:ascii="Arial" w:hAnsi="Arial" w:cs="Arial"/>
        </w:rPr>
      </w:pPr>
    </w:p>
    <w:p w14:paraId="77EA0E72" w14:textId="77777777" w:rsidR="00B83867" w:rsidRPr="00684CE9" w:rsidRDefault="00B83867" w:rsidP="00684CE9">
      <w:pPr>
        <w:spacing w:line="360" w:lineRule="auto"/>
        <w:jc w:val="center"/>
        <w:rPr>
          <w:rFonts w:ascii="Arial" w:hAnsi="Arial" w:cs="Arial"/>
        </w:rPr>
      </w:pPr>
    </w:p>
    <w:p w14:paraId="6939276B" w14:textId="77777777" w:rsidR="00B83867" w:rsidRPr="00684CE9" w:rsidRDefault="00B83867" w:rsidP="00684CE9">
      <w:pPr>
        <w:spacing w:line="360" w:lineRule="auto"/>
        <w:jc w:val="center"/>
        <w:rPr>
          <w:rFonts w:ascii="Arial" w:hAnsi="Arial" w:cs="Arial"/>
        </w:rPr>
      </w:pPr>
    </w:p>
    <w:p w14:paraId="50AA2563" w14:textId="77777777" w:rsidR="00B83867" w:rsidRPr="00684CE9" w:rsidRDefault="00B83867" w:rsidP="00684CE9">
      <w:pPr>
        <w:spacing w:line="360" w:lineRule="auto"/>
        <w:jc w:val="center"/>
        <w:rPr>
          <w:rFonts w:ascii="Arial" w:hAnsi="Arial" w:cs="Arial"/>
        </w:rPr>
      </w:pPr>
    </w:p>
    <w:p w14:paraId="2A6927EC" w14:textId="77777777" w:rsidR="00B83867" w:rsidRPr="00684CE9" w:rsidRDefault="00B83867" w:rsidP="00684CE9">
      <w:pPr>
        <w:spacing w:line="360" w:lineRule="auto"/>
        <w:jc w:val="center"/>
        <w:rPr>
          <w:rFonts w:ascii="Arial" w:hAnsi="Arial" w:cs="Arial"/>
        </w:rPr>
      </w:pPr>
    </w:p>
    <w:p w14:paraId="1F2D6439" w14:textId="77777777" w:rsidR="00B83867" w:rsidRPr="00684CE9" w:rsidRDefault="00B83867" w:rsidP="00684CE9">
      <w:pPr>
        <w:spacing w:line="360" w:lineRule="auto"/>
        <w:jc w:val="center"/>
        <w:rPr>
          <w:rFonts w:ascii="Arial" w:hAnsi="Arial" w:cs="Arial"/>
        </w:rPr>
      </w:pPr>
    </w:p>
    <w:p w14:paraId="2B6AB03B" w14:textId="77777777" w:rsidR="00B83867" w:rsidRPr="00684CE9" w:rsidRDefault="00000000" w:rsidP="00684CE9">
      <w:pPr>
        <w:spacing w:line="360" w:lineRule="auto"/>
        <w:jc w:val="center"/>
        <w:rPr>
          <w:rFonts w:ascii="Arial" w:hAnsi="Arial" w:cs="Arial"/>
          <w:b/>
          <w:bCs/>
        </w:rPr>
      </w:pPr>
      <w:r w:rsidRPr="00684CE9">
        <w:rPr>
          <w:rFonts w:ascii="Arial" w:hAnsi="Arial" w:cs="Arial"/>
          <w:b/>
          <w:bCs/>
        </w:rPr>
        <w:t>Task1</w:t>
      </w:r>
    </w:p>
    <w:p w14:paraId="36F792E3" w14:textId="77777777" w:rsidR="00B83867" w:rsidRPr="00684CE9" w:rsidRDefault="00000000" w:rsidP="00684CE9">
      <w:pPr>
        <w:pStyle w:val="Heading3"/>
        <w:numPr>
          <w:ilvl w:val="0"/>
          <w:numId w:val="1"/>
        </w:numPr>
        <w:spacing w:line="360" w:lineRule="auto"/>
        <w:jc w:val="both"/>
        <w:rPr>
          <w:rFonts w:ascii="Arial" w:eastAsia="Times New Roman" w:hAnsi="Arial" w:cs="Arial"/>
          <w:sz w:val="22"/>
          <w:szCs w:val="22"/>
        </w:rPr>
      </w:pPr>
      <w:bookmarkStart w:id="0" w:name="_Toc13875"/>
      <w:r w:rsidRPr="00684CE9">
        <w:rPr>
          <w:rFonts w:ascii="Arial" w:eastAsia="Times New Roman" w:hAnsi="Arial" w:cs="Arial"/>
          <w:sz w:val="22"/>
          <w:szCs w:val="22"/>
        </w:rPr>
        <w:t>REFLECTION ON THE IMPORTANCE OF PRINCIPLES OF HEALTH AND SOCIAL CARE</w:t>
      </w:r>
      <w:bookmarkEnd w:id="0"/>
    </w:p>
    <w:p w14:paraId="52CAE4EE" w14:textId="77777777" w:rsidR="00B83867" w:rsidRPr="00684CE9" w:rsidRDefault="00000000" w:rsidP="00684CE9">
      <w:pPr>
        <w:pStyle w:val="NormalWeb"/>
        <w:spacing w:line="360" w:lineRule="auto"/>
        <w:jc w:val="both"/>
        <w:rPr>
          <w:rFonts w:ascii="Arial" w:hAnsi="Arial" w:cs="Arial"/>
          <w:sz w:val="22"/>
          <w:szCs w:val="22"/>
        </w:rPr>
      </w:pPr>
      <w:r w:rsidRPr="00684CE9">
        <w:rPr>
          <w:rFonts w:ascii="Arial" w:hAnsi="Arial" w:cs="Arial"/>
          <w:sz w:val="22"/>
          <w:szCs w:val="22"/>
        </w:rPr>
        <w:t>Quality in UK health and social care depends on more than effective treatment; it also requires individuals to be respected, involved and supported as people with their own values, preferences and circumstances. Person-centred care (PCC) is therefore central to quality because it moves practice away from a task-focused approach towards understanding “what matters” to the individual. The McCormack and McCance person-centred nursing framework emphasizes the importance of therapeutic relationships, shared decision-making and creating a supportive care environment. Recent research demonstrates that PCC is strongly relational, requiring mutual respect and partnership between individuals, families and professionals (Hodge et al., 2024). This emphasizes, quality care is not achieved not simply by completing medical tasks, but through recognizing the individual as an active participant in their own personal care.</w:t>
      </w:r>
    </w:p>
    <w:p w14:paraId="4CBD6FD4" w14:textId="77777777" w:rsidR="00B83867" w:rsidRPr="00684CE9" w:rsidRDefault="00000000" w:rsidP="00684CE9">
      <w:pPr>
        <w:pStyle w:val="NormalWeb"/>
        <w:spacing w:line="360" w:lineRule="auto"/>
        <w:jc w:val="both"/>
        <w:rPr>
          <w:rFonts w:ascii="Arial" w:hAnsi="Arial" w:cs="Arial"/>
          <w:sz w:val="22"/>
          <w:szCs w:val="22"/>
        </w:rPr>
      </w:pPr>
      <w:r w:rsidRPr="00684CE9">
        <w:rPr>
          <w:rFonts w:ascii="Arial" w:hAnsi="Arial" w:cs="Arial"/>
          <w:sz w:val="22"/>
          <w:szCs w:val="22"/>
        </w:rPr>
        <w:t>Person-centred practice also supports autonomy and empowerment. Shared decision-making enables people to understand their options and contribute to decisions concerning their treatment and support. Pieterse et al. (2023) disagree that the effective shared decision making involves professionals to develop communication skills and qualities that allows genuine participation rather than simply providing information. This is particularly significant in social care, where individuals should have meaningful choice and control over their support. A human-rights-based approach similarly emphasizes dignity, autonomy, equality, participation and communication as important foundations of good care (Kelly et al., 2024). Consequently, individualized care can improve not only experiences of services but also independence and involvement.</w:t>
      </w:r>
    </w:p>
    <w:p w14:paraId="1A77EB0A" w14:textId="77777777" w:rsidR="00B83867" w:rsidRPr="00684CE9" w:rsidRDefault="00000000" w:rsidP="00684CE9">
      <w:pPr>
        <w:pStyle w:val="NormalWeb"/>
        <w:spacing w:line="360" w:lineRule="auto"/>
        <w:jc w:val="both"/>
        <w:rPr>
          <w:rFonts w:ascii="Arial" w:hAnsi="Arial" w:cs="Arial"/>
          <w:sz w:val="22"/>
          <w:szCs w:val="22"/>
        </w:rPr>
      </w:pPr>
      <w:r w:rsidRPr="00684CE9">
        <w:rPr>
          <w:rFonts w:ascii="Arial" w:hAnsi="Arial" w:cs="Arial"/>
          <w:sz w:val="22"/>
          <w:szCs w:val="22"/>
        </w:rPr>
        <w:t xml:space="preserve">Partnership working is equally important because individuals with complex needs often require support from several professionals and organizations. Collaborative working between nurses, social workers, doctors, occupational therapists, care workers, families and voluntary </w:t>
      </w:r>
      <w:r w:rsidRPr="00684CE9">
        <w:rPr>
          <w:rFonts w:ascii="Arial" w:hAnsi="Arial" w:cs="Arial"/>
          <w:sz w:val="22"/>
          <w:szCs w:val="22"/>
        </w:rPr>
        <w:lastRenderedPageBreak/>
        <w:t>organizations can reduce fragmented care and improve continuity. In England, Integrated Care Systems have strengthened the expectation that health, social care and community organizations work together. Research indicates that effective integration depends on relationships, shared competencies and coordination across professional boundaries (Lewis et al., 2024). However, partnership working is not automatically effective; differences in professional roles, resources and organizational priorities can create barriers. Therefore, communication, information sharing, mutual respect and clear responsibilities are essential to achieving coordinated care.</w:t>
      </w:r>
    </w:p>
    <w:p w14:paraId="05809C01" w14:textId="77777777" w:rsidR="00B83867" w:rsidRPr="00684CE9" w:rsidRDefault="00000000" w:rsidP="00684CE9">
      <w:pPr>
        <w:pStyle w:val="NormalWeb"/>
        <w:spacing w:line="360" w:lineRule="auto"/>
        <w:jc w:val="both"/>
        <w:rPr>
          <w:rFonts w:ascii="Arial" w:hAnsi="Arial" w:cs="Arial"/>
          <w:sz w:val="22"/>
          <w:szCs w:val="22"/>
        </w:rPr>
      </w:pPr>
      <w:r w:rsidRPr="00684CE9">
        <w:rPr>
          <w:rFonts w:ascii="Arial" w:hAnsi="Arial" w:cs="Arial"/>
          <w:sz w:val="22"/>
          <w:szCs w:val="22"/>
        </w:rPr>
        <w:t>Ethical principles provide another foundation for quality. Beauchamp and Childress’ principalism identifies autonomy, beneficence, non-maleficence and justice as key considerations in health care decision-making. These principles help professionals balance competing responsibilities. For example, respecting autonomy may conflict with beneficence when a professional believes a particular intervention would benefit an individual. Recent research confirms that beneficence and non-maleficence can conflict with autonomy, meaning ethical practice requires careful consideration rather than applying one principle automatically (Cheraghi et al., 2023). Ethical decision-making should therefore consider the individual’s wishes, capacity, rights, potential benefits and harms, alongside fairness.</w:t>
      </w:r>
    </w:p>
    <w:p w14:paraId="31ED7CC6" w14:textId="77777777" w:rsidR="00B83867" w:rsidRPr="00684CE9" w:rsidRDefault="00000000" w:rsidP="00684CE9">
      <w:pPr>
        <w:pStyle w:val="NormalWeb"/>
        <w:spacing w:line="360" w:lineRule="auto"/>
        <w:jc w:val="both"/>
        <w:rPr>
          <w:rFonts w:ascii="Arial" w:hAnsi="Arial" w:cs="Arial"/>
          <w:sz w:val="22"/>
          <w:szCs w:val="22"/>
        </w:rPr>
      </w:pPr>
      <w:r w:rsidRPr="00684CE9">
        <w:rPr>
          <w:rFonts w:ascii="Arial" w:hAnsi="Arial" w:cs="Arial"/>
          <w:sz w:val="22"/>
          <w:szCs w:val="22"/>
        </w:rPr>
        <w:t>Overall, person-centred care, partnership working and ethical practice are interconnected. Person-centred care gives individuals a voice, partnership working brings together the knowledge and skills required to meet complex needs, while ethical principles guide professionals when choices are difficult. Together, these principles support dignity, safety, autonomy, equality and well being, which are fundamental characteristics of high-quality health and social care in the UK.</w:t>
      </w:r>
    </w:p>
    <w:p w14:paraId="7ED88A6C" w14:textId="77777777" w:rsidR="00B83867" w:rsidRPr="00684CE9" w:rsidRDefault="00B83867" w:rsidP="00684CE9">
      <w:pPr>
        <w:pStyle w:val="NormalWeb"/>
        <w:spacing w:line="360" w:lineRule="auto"/>
        <w:jc w:val="both"/>
        <w:rPr>
          <w:rFonts w:ascii="Arial" w:hAnsi="Arial" w:cs="Arial"/>
          <w:sz w:val="22"/>
          <w:szCs w:val="22"/>
        </w:rPr>
      </w:pPr>
    </w:p>
    <w:p w14:paraId="544350E9" w14:textId="77777777" w:rsidR="00B83867" w:rsidRPr="00684CE9" w:rsidRDefault="00B83867" w:rsidP="00684CE9">
      <w:pPr>
        <w:pStyle w:val="NormalWeb"/>
        <w:spacing w:line="360" w:lineRule="auto"/>
        <w:jc w:val="both"/>
        <w:rPr>
          <w:rFonts w:ascii="Arial" w:hAnsi="Arial" w:cs="Arial"/>
          <w:sz w:val="22"/>
          <w:szCs w:val="22"/>
        </w:rPr>
      </w:pPr>
    </w:p>
    <w:p w14:paraId="3583E844" w14:textId="77777777" w:rsidR="00B83867" w:rsidRPr="00684CE9" w:rsidRDefault="00B83867" w:rsidP="00684CE9">
      <w:pPr>
        <w:pStyle w:val="NormalWeb"/>
        <w:spacing w:line="360" w:lineRule="auto"/>
        <w:jc w:val="both"/>
        <w:rPr>
          <w:rFonts w:ascii="Arial" w:hAnsi="Arial" w:cs="Arial"/>
          <w:sz w:val="22"/>
          <w:szCs w:val="22"/>
        </w:rPr>
      </w:pPr>
    </w:p>
    <w:p w14:paraId="20724894" w14:textId="77777777" w:rsidR="00B83867" w:rsidRPr="00684CE9" w:rsidRDefault="00B83867" w:rsidP="00684CE9">
      <w:pPr>
        <w:pStyle w:val="NormalWeb"/>
        <w:spacing w:line="360" w:lineRule="auto"/>
        <w:jc w:val="both"/>
        <w:rPr>
          <w:rFonts w:ascii="Arial" w:hAnsi="Arial" w:cs="Arial"/>
          <w:sz w:val="22"/>
          <w:szCs w:val="22"/>
        </w:rPr>
      </w:pPr>
    </w:p>
    <w:p w14:paraId="5B57215E" w14:textId="77777777" w:rsidR="00B83867" w:rsidRPr="00684CE9" w:rsidRDefault="00B83867" w:rsidP="00684CE9">
      <w:pPr>
        <w:pStyle w:val="NormalWeb"/>
        <w:spacing w:line="360" w:lineRule="auto"/>
        <w:jc w:val="both"/>
        <w:rPr>
          <w:rFonts w:ascii="Arial" w:hAnsi="Arial" w:cs="Arial"/>
          <w:sz w:val="22"/>
          <w:szCs w:val="22"/>
        </w:rPr>
      </w:pPr>
    </w:p>
    <w:p w14:paraId="38A7F78E" w14:textId="77777777" w:rsidR="00B83867" w:rsidRPr="00684CE9" w:rsidRDefault="00B83867" w:rsidP="00684CE9">
      <w:pPr>
        <w:pStyle w:val="NormalWeb"/>
        <w:spacing w:line="360" w:lineRule="auto"/>
        <w:jc w:val="both"/>
        <w:rPr>
          <w:rFonts w:ascii="Arial" w:hAnsi="Arial" w:cs="Arial"/>
          <w:sz w:val="22"/>
          <w:szCs w:val="22"/>
        </w:rPr>
      </w:pPr>
    </w:p>
    <w:p w14:paraId="1ED0C559" w14:textId="77777777" w:rsidR="00B83867" w:rsidRPr="00684CE9" w:rsidRDefault="00000000" w:rsidP="00684CE9">
      <w:pPr>
        <w:pStyle w:val="NormalWeb"/>
        <w:spacing w:line="360" w:lineRule="auto"/>
        <w:jc w:val="center"/>
        <w:rPr>
          <w:rFonts w:ascii="Arial" w:hAnsi="Arial" w:cs="Arial"/>
          <w:b/>
          <w:bCs/>
          <w:sz w:val="22"/>
          <w:szCs w:val="22"/>
        </w:rPr>
      </w:pPr>
      <w:r w:rsidRPr="00684CE9">
        <w:rPr>
          <w:rFonts w:ascii="Arial" w:hAnsi="Arial" w:cs="Arial"/>
          <w:b/>
          <w:bCs/>
          <w:sz w:val="22"/>
          <w:szCs w:val="22"/>
        </w:rPr>
        <w:t>Task 2</w:t>
      </w:r>
    </w:p>
    <w:p w14:paraId="4A2FBB1A" w14:textId="77777777" w:rsidR="00B83867" w:rsidRPr="00684CE9" w:rsidRDefault="00000000" w:rsidP="00684CE9">
      <w:pPr>
        <w:pStyle w:val="Heading3"/>
        <w:numPr>
          <w:ilvl w:val="0"/>
          <w:numId w:val="1"/>
        </w:numPr>
        <w:spacing w:line="360" w:lineRule="auto"/>
        <w:rPr>
          <w:rFonts w:ascii="Arial" w:hAnsi="Arial" w:cs="Arial"/>
          <w:sz w:val="22"/>
          <w:szCs w:val="22"/>
        </w:rPr>
      </w:pPr>
      <w:bookmarkStart w:id="1" w:name="_Toc1542"/>
      <w:r w:rsidRPr="00684CE9">
        <w:rPr>
          <w:rFonts w:ascii="Arial" w:hAnsi="Arial" w:cs="Arial"/>
          <w:sz w:val="22"/>
          <w:szCs w:val="22"/>
        </w:rPr>
        <w:lastRenderedPageBreak/>
        <w:t>Practical Examples of Concepts in Practice</w:t>
      </w:r>
      <w:bookmarkEnd w:id="1"/>
      <w:r w:rsidRPr="00684CE9">
        <w:rPr>
          <w:rFonts w:ascii="Arial" w:hAnsi="Arial" w:cs="Arial"/>
          <w:sz w:val="22"/>
          <w:szCs w:val="22"/>
        </w:rPr>
        <w:t xml:space="preserve"> </w:t>
      </w:r>
    </w:p>
    <w:p w14:paraId="2429B122" w14:textId="77777777" w:rsidR="00B83867" w:rsidRPr="00684CE9" w:rsidRDefault="00000000" w:rsidP="00684CE9">
      <w:pPr>
        <w:pStyle w:val="Heading3"/>
        <w:spacing w:line="360" w:lineRule="auto"/>
        <w:jc w:val="both"/>
        <w:rPr>
          <w:rFonts w:ascii="Arial" w:eastAsia="Times New Roman" w:hAnsi="Arial" w:cs="Arial"/>
          <w:sz w:val="22"/>
          <w:szCs w:val="22"/>
        </w:rPr>
      </w:pPr>
      <w:bookmarkStart w:id="2" w:name="_Toc28171"/>
      <w:r w:rsidRPr="00684CE9">
        <w:rPr>
          <w:rFonts w:ascii="Arial" w:eastAsia="Times New Roman" w:hAnsi="Arial" w:cs="Arial"/>
          <w:sz w:val="22"/>
          <w:szCs w:val="22"/>
        </w:rPr>
        <w:t>Evaluation of Person-Centred Care, Partnership Working and Ethical Practice: Alex’s Case</w:t>
      </w:r>
      <w:bookmarkEnd w:id="2"/>
    </w:p>
    <w:p w14:paraId="6E7D3346" w14:textId="77777777" w:rsidR="00B83867" w:rsidRPr="00684CE9" w:rsidRDefault="00000000" w:rsidP="00684CE9">
      <w:pPr>
        <w:pStyle w:val="NormalWeb"/>
        <w:spacing w:line="360" w:lineRule="auto"/>
        <w:jc w:val="both"/>
        <w:rPr>
          <w:rFonts w:ascii="Arial" w:hAnsi="Arial" w:cs="Arial"/>
          <w:sz w:val="22"/>
          <w:szCs w:val="22"/>
        </w:rPr>
      </w:pPr>
      <w:r w:rsidRPr="00684CE9">
        <w:rPr>
          <w:rFonts w:ascii="Arial" w:hAnsi="Arial" w:cs="Arial"/>
          <w:sz w:val="22"/>
          <w:szCs w:val="22"/>
        </w:rPr>
        <w:t xml:space="preserve">Alex is a six-year-old boy with autism spectrum disorder (ASD), experiencing difficulties with social communication and sensory sensitivities. His care should therefore be based on an understanding of his individual strengths, preferences and communication needs rather than treating autism as a problem that needs to be “fixed”. The child-centred care model emphasizes recognizing the child as an individual and involving children and families in decisions about their care (Carter et al., 2024). For Alex, person-centred care could include using simple language, visual information, predictable routines and allowing additional time for communication. His sensory needs could also be accommodated by reducing noise, bright lighting and unnecessary waiting. Evidence from autism-focused health care interventions indicates that sensory adaptations can improve children’s experiences and reduce difficulties during health care encounters (Roy et al., 2024). </w:t>
      </w:r>
    </w:p>
    <w:p w14:paraId="54250109" w14:textId="77777777" w:rsidR="00B83867" w:rsidRPr="00684CE9" w:rsidRDefault="00000000" w:rsidP="00684CE9">
      <w:pPr>
        <w:pStyle w:val="NormalWeb"/>
        <w:spacing w:line="360" w:lineRule="auto"/>
        <w:jc w:val="both"/>
        <w:rPr>
          <w:rFonts w:ascii="Arial" w:hAnsi="Arial" w:cs="Arial"/>
          <w:sz w:val="22"/>
          <w:szCs w:val="22"/>
        </w:rPr>
      </w:pPr>
      <w:r w:rsidRPr="00684CE9">
        <w:rPr>
          <w:rFonts w:ascii="Arial" w:hAnsi="Arial" w:cs="Arial"/>
          <w:sz w:val="22"/>
          <w:szCs w:val="22"/>
        </w:rPr>
        <w:t>Person-centred care should also involve Alex’s parents or carers because they can provide valuable knowledge about his communication, behaviour, preferences and triggers. This reflects the principles of family-centred care, where professionals and families work together rather than professionals making decisions independently. Recent research found that families of autistic children can experience fragmented services and limited communication between professionals, which may leave parents feeling responsible for coordinating their child’s care (Myers, Collins and Maguire, 2024). In Alex’s case, effective partnership working could involve his parents, GP, paediatrician, speech and language therapist, occupational therapist, school staff and social care professionals sharing relevant information and agreeing common goals. Such multidisciplinary working could prevent duplication and ensure that strategies used at home, school and in health care are consistent.</w:t>
      </w:r>
    </w:p>
    <w:p w14:paraId="2AA592CF" w14:textId="77777777" w:rsidR="00B83867" w:rsidRPr="00684CE9" w:rsidRDefault="00000000" w:rsidP="00684CE9">
      <w:pPr>
        <w:pStyle w:val="NormalWeb"/>
        <w:spacing w:line="360" w:lineRule="auto"/>
        <w:jc w:val="both"/>
        <w:rPr>
          <w:rFonts w:ascii="Arial" w:hAnsi="Arial" w:cs="Arial"/>
          <w:sz w:val="22"/>
          <w:szCs w:val="22"/>
        </w:rPr>
      </w:pPr>
      <w:r w:rsidRPr="00684CE9">
        <w:rPr>
          <w:rFonts w:ascii="Arial" w:hAnsi="Arial" w:cs="Arial"/>
          <w:sz w:val="22"/>
          <w:szCs w:val="22"/>
        </w:rPr>
        <w:t>However, partnership working can be challenging within the UK health and social care system. A national UK study found that many autism assessment services had incomplete multidisciplinary teams and difficulties providing comprehensive assessments because of resource and workforce pressures (Parr et al., 2024). For Alex, fragmented services could result in delays, repeated assessments or inconsistent advice. A coordinated care plan, with clear professional responsibilities and regular communication with his family, could help address these problems.</w:t>
      </w:r>
    </w:p>
    <w:p w14:paraId="2CFDCF31" w14:textId="77777777" w:rsidR="00B83867" w:rsidRPr="00684CE9" w:rsidRDefault="00000000" w:rsidP="00684CE9">
      <w:pPr>
        <w:pStyle w:val="NormalWeb"/>
        <w:spacing w:line="360" w:lineRule="auto"/>
        <w:jc w:val="both"/>
        <w:rPr>
          <w:rFonts w:ascii="Arial" w:hAnsi="Arial" w:cs="Arial"/>
          <w:sz w:val="22"/>
          <w:szCs w:val="22"/>
        </w:rPr>
      </w:pPr>
      <w:r w:rsidRPr="00684CE9">
        <w:rPr>
          <w:rFonts w:ascii="Arial" w:hAnsi="Arial" w:cs="Arial"/>
          <w:sz w:val="22"/>
          <w:szCs w:val="22"/>
        </w:rPr>
        <w:t xml:space="preserve">Ethical practice is also essential. Beauchamp and Childress’ principles of </w:t>
      </w:r>
      <w:r w:rsidRPr="00684CE9">
        <w:rPr>
          <w:rStyle w:val="Strong"/>
          <w:rFonts w:ascii="Arial" w:hAnsi="Arial" w:cs="Arial"/>
          <w:sz w:val="22"/>
          <w:szCs w:val="22"/>
        </w:rPr>
        <w:t>autonomy, beneficence, non-maleficence and justice</w:t>
      </w:r>
      <w:r w:rsidRPr="00684CE9">
        <w:rPr>
          <w:rFonts w:ascii="Arial" w:hAnsi="Arial" w:cs="Arial"/>
          <w:sz w:val="22"/>
          <w:szCs w:val="22"/>
        </w:rPr>
        <w:t xml:space="preserve"> provide a useful framework for considering Alex’s care. Although Alex is young, his views should not be ignored because of his age or </w:t>
      </w:r>
      <w:r w:rsidRPr="00684CE9">
        <w:rPr>
          <w:rFonts w:ascii="Arial" w:hAnsi="Arial" w:cs="Arial"/>
          <w:sz w:val="22"/>
          <w:szCs w:val="22"/>
        </w:rPr>
        <w:lastRenderedPageBreak/>
        <w:t>autism. Professionals should communicate in a developmentally appropriate way and seek his assent wherever possible. Recent literature argues that involving children in healthcare decisions respects their developing autonomy and helps reduce psychological harm (Davies, Preston and Phillips, 2024). Therefore, Alex might be offered choices, such as which activity to complete first or where he feels most comfortable during an assessment.</w:t>
      </w:r>
    </w:p>
    <w:p w14:paraId="200242ED" w14:textId="77777777" w:rsidR="00B83867" w:rsidRPr="00684CE9" w:rsidRDefault="00000000" w:rsidP="00684CE9">
      <w:pPr>
        <w:pStyle w:val="NormalWeb"/>
        <w:spacing w:line="360" w:lineRule="auto"/>
        <w:jc w:val="both"/>
        <w:rPr>
          <w:rFonts w:ascii="Arial" w:hAnsi="Arial" w:cs="Arial"/>
          <w:sz w:val="22"/>
          <w:szCs w:val="22"/>
        </w:rPr>
      </w:pPr>
      <w:r w:rsidRPr="00684CE9">
        <w:rPr>
          <w:rFonts w:ascii="Arial" w:hAnsi="Arial" w:cs="Arial"/>
          <w:sz w:val="22"/>
          <w:szCs w:val="22"/>
        </w:rPr>
        <w:t>Overall, person-centred care, partnership working and ethical practice are interconnected. For Alex, adapting communication and the sensory environment can improve his experience, while collaboration can provide continuity between health, social care and education. Ethical decision-making ensures that his dignity, developing autonomy, safety and best interests remain central. These approaches can consequently support more equitable and responsive care despite the pressures and fragmentation that may exist within UK services.</w:t>
      </w:r>
    </w:p>
    <w:p w14:paraId="11CE3373" w14:textId="77777777" w:rsidR="00B83867" w:rsidRPr="00684CE9" w:rsidRDefault="00B83867" w:rsidP="00684CE9">
      <w:pPr>
        <w:pStyle w:val="NormalWeb"/>
        <w:spacing w:line="360" w:lineRule="auto"/>
        <w:jc w:val="center"/>
        <w:rPr>
          <w:rFonts w:ascii="Arial" w:hAnsi="Arial" w:cs="Arial"/>
          <w:b/>
          <w:bCs/>
          <w:sz w:val="22"/>
          <w:szCs w:val="22"/>
        </w:rPr>
      </w:pPr>
    </w:p>
    <w:p w14:paraId="2E9882D8" w14:textId="77777777" w:rsidR="00B83867" w:rsidRPr="00684CE9" w:rsidRDefault="00B83867" w:rsidP="00684CE9">
      <w:pPr>
        <w:pStyle w:val="NormalWeb"/>
        <w:spacing w:line="360" w:lineRule="auto"/>
        <w:jc w:val="center"/>
        <w:rPr>
          <w:rFonts w:ascii="Arial" w:hAnsi="Arial" w:cs="Arial"/>
          <w:b/>
          <w:bCs/>
          <w:sz w:val="22"/>
          <w:szCs w:val="22"/>
        </w:rPr>
      </w:pPr>
    </w:p>
    <w:p w14:paraId="2BE0578F" w14:textId="77777777" w:rsidR="00B83867" w:rsidRPr="00684CE9" w:rsidRDefault="00B83867" w:rsidP="00684CE9">
      <w:pPr>
        <w:pStyle w:val="NormalWeb"/>
        <w:spacing w:line="360" w:lineRule="auto"/>
        <w:jc w:val="center"/>
        <w:rPr>
          <w:rFonts w:ascii="Arial" w:hAnsi="Arial" w:cs="Arial"/>
          <w:b/>
          <w:bCs/>
          <w:sz w:val="22"/>
          <w:szCs w:val="22"/>
        </w:rPr>
      </w:pPr>
    </w:p>
    <w:p w14:paraId="588BE08A" w14:textId="77777777" w:rsidR="00B83867" w:rsidRPr="00684CE9" w:rsidRDefault="00B83867" w:rsidP="00684CE9">
      <w:pPr>
        <w:pStyle w:val="NormalWeb"/>
        <w:spacing w:line="360" w:lineRule="auto"/>
        <w:jc w:val="center"/>
        <w:rPr>
          <w:rFonts w:ascii="Arial" w:hAnsi="Arial" w:cs="Arial"/>
          <w:b/>
          <w:bCs/>
          <w:sz w:val="22"/>
          <w:szCs w:val="22"/>
        </w:rPr>
      </w:pPr>
    </w:p>
    <w:p w14:paraId="0931F4F0" w14:textId="77777777" w:rsidR="00B83867" w:rsidRPr="00684CE9" w:rsidRDefault="00B83867" w:rsidP="00684CE9">
      <w:pPr>
        <w:pStyle w:val="NormalWeb"/>
        <w:spacing w:line="360" w:lineRule="auto"/>
        <w:jc w:val="center"/>
        <w:rPr>
          <w:rFonts w:ascii="Arial" w:hAnsi="Arial" w:cs="Arial"/>
          <w:b/>
          <w:bCs/>
          <w:sz w:val="22"/>
          <w:szCs w:val="22"/>
        </w:rPr>
      </w:pPr>
    </w:p>
    <w:p w14:paraId="5C8E56C1" w14:textId="77777777" w:rsidR="00B83867" w:rsidRPr="00684CE9" w:rsidRDefault="00B83867" w:rsidP="00684CE9">
      <w:pPr>
        <w:pStyle w:val="NormalWeb"/>
        <w:spacing w:line="360" w:lineRule="auto"/>
        <w:jc w:val="center"/>
        <w:rPr>
          <w:rFonts w:ascii="Arial" w:hAnsi="Arial" w:cs="Arial"/>
          <w:b/>
          <w:bCs/>
          <w:sz w:val="22"/>
          <w:szCs w:val="22"/>
        </w:rPr>
      </w:pPr>
    </w:p>
    <w:p w14:paraId="5BA31376" w14:textId="77777777" w:rsidR="00B83867" w:rsidRPr="00684CE9" w:rsidRDefault="00B83867" w:rsidP="00684CE9">
      <w:pPr>
        <w:pStyle w:val="NormalWeb"/>
        <w:spacing w:line="360" w:lineRule="auto"/>
        <w:jc w:val="center"/>
        <w:rPr>
          <w:rFonts w:ascii="Arial" w:hAnsi="Arial" w:cs="Arial"/>
          <w:b/>
          <w:bCs/>
          <w:sz w:val="22"/>
          <w:szCs w:val="22"/>
        </w:rPr>
      </w:pPr>
    </w:p>
    <w:p w14:paraId="1A2E7E8B" w14:textId="77777777" w:rsidR="00B83867" w:rsidRPr="00684CE9" w:rsidRDefault="00B83867" w:rsidP="00684CE9">
      <w:pPr>
        <w:pStyle w:val="NormalWeb"/>
        <w:spacing w:line="360" w:lineRule="auto"/>
        <w:jc w:val="center"/>
        <w:rPr>
          <w:rFonts w:ascii="Arial" w:hAnsi="Arial" w:cs="Arial"/>
          <w:b/>
          <w:bCs/>
          <w:sz w:val="22"/>
          <w:szCs w:val="22"/>
        </w:rPr>
      </w:pPr>
    </w:p>
    <w:p w14:paraId="04B96AD3" w14:textId="77777777" w:rsidR="00B83867" w:rsidRPr="00684CE9" w:rsidRDefault="00B83867" w:rsidP="00684CE9">
      <w:pPr>
        <w:pStyle w:val="NormalWeb"/>
        <w:spacing w:line="360" w:lineRule="auto"/>
        <w:jc w:val="both"/>
        <w:rPr>
          <w:rFonts w:ascii="Arial" w:hAnsi="Arial" w:cs="Arial"/>
          <w:b/>
          <w:bCs/>
          <w:sz w:val="22"/>
          <w:szCs w:val="22"/>
        </w:rPr>
      </w:pPr>
    </w:p>
    <w:p w14:paraId="5843C956" w14:textId="77777777" w:rsidR="00B83867" w:rsidRPr="00684CE9" w:rsidRDefault="00000000" w:rsidP="00684CE9">
      <w:pPr>
        <w:pStyle w:val="NormalWeb"/>
        <w:spacing w:line="360" w:lineRule="auto"/>
        <w:jc w:val="center"/>
        <w:rPr>
          <w:rFonts w:ascii="Arial" w:hAnsi="Arial" w:cs="Arial"/>
          <w:b/>
          <w:bCs/>
          <w:sz w:val="22"/>
          <w:szCs w:val="22"/>
        </w:rPr>
      </w:pPr>
      <w:r w:rsidRPr="00684CE9">
        <w:rPr>
          <w:rFonts w:ascii="Arial" w:hAnsi="Arial" w:cs="Arial"/>
          <w:b/>
          <w:bCs/>
          <w:sz w:val="22"/>
          <w:szCs w:val="22"/>
        </w:rPr>
        <w:t>Task 3</w:t>
      </w:r>
    </w:p>
    <w:p w14:paraId="3B8FDA49" w14:textId="77777777" w:rsidR="00B83867" w:rsidRPr="00684CE9" w:rsidRDefault="00000000" w:rsidP="00684CE9">
      <w:pPr>
        <w:pStyle w:val="Heading3"/>
        <w:numPr>
          <w:ilvl w:val="0"/>
          <w:numId w:val="1"/>
        </w:numPr>
        <w:spacing w:line="360" w:lineRule="auto"/>
        <w:rPr>
          <w:rFonts w:ascii="Arial" w:hAnsi="Arial" w:cs="Arial"/>
          <w:sz w:val="22"/>
          <w:szCs w:val="22"/>
        </w:rPr>
      </w:pPr>
      <w:bookmarkStart w:id="3" w:name="_Toc28149"/>
      <w:r w:rsidRPr="00684CE9">
        <w:rPr>
          <w:rFonts w:ascii="Arial" w:hAnsi="Arial" w:cs="Arial"/>
          <w:sz w:val="22"/>
          <w:szCs w:val="22"/>
        </w:rPr>
        <w:t>Self-Reflection as a Health and Social Care Professional</w:t>
      </w:r>
      <w:bookmarkEnd w:id="3"/>
      <w:r w:rsidRPr="00684CE9">
        <w:rPr>
          <w:rFonts w:ascii="Arial" w:hAnsi="Arial" w:cs="Arial"/>
          <w:sz w:val="22"/>
          <w:szCs w:val="22"/>
        </w:rPr>
        <w:t xml:space="preserve"> </w:t>
      </w:r>
    </w:p>
    <w:p w14:paraId="18B5E788" w14:textId="77777777" w:rsidR="00B83867" w:rsidRPr="00684CE9" w:rsidRDefault="00000000" w:rsidP="00684CE9">
      <w:pPr>
        <w:pStyle w:val="Heading2"/>
        <w:spacing w:line="360" w:lineRule="auto"/>
        <w:jc w:val="both"/>
        <w:rPr>
          <w:rFonts w:ascii="Arial" w:eastAsia="Times New Roman" w:hAnsi="Arial" w:cs="Arial"/>
          <w:sz w:val="22"/>
          <w:szCs w:val="22"/>
        </w:rPr>
      </w:pPr>
      <w:bookmarkStart w:id="4" w:name="_Toc19193"/>
      <w:r w:rsidRPr="00684CE9">
        <w:rPr>
          <w:rFonts w:ascii="Arial" w:eastAsia="Times New Roman" w:hAnsi="Arial" w:cs="Arial"/>
          <w:sz w:val="22"/>
          <w:szCs w:val="22"/>
        </w:rPr>
        <w:t>Introduction</w:t>
      </w:r>
      <w:bookmarkEnd w:id="4"/>
    </w:p>
    <w:p w14:paraId="15800B0D" w14:textId="77777777" w:rsidR="00B83867" w:rsidRPr="00684CE9" w:rsidRDefault="00000000" w:rsidP="00684CE9">
      <w:pPr>
        <w:pStyle w:val="w6asjqtextbase"/>
        <w:spacing w:line="360" w:lineRule="auto"/>
        <w:jc w:val="both"/>
        <w:rPr>
          <w:rFonts w:ascii="Arial" w:hAnsi="Arial" w:cs="Arial"/>
          <w:sz w:val="22"/>
          <w:szCs w:val="22"/>
        </w:rPr>
      </w:pPr>
      <w:r w:rsidRPr="00684CE9">
        <w:rPr>
          <w:rFonts w:ascii="Arial" w:hAnsi="Arial" w:cs="Arial"/>
          <w:sz w:val="22"/>
          <w:szCs w:val="22"/>
        </w:rPr>
        <w:t xml:space="preserve">As a health and social care professional, I understand that providing quality care involves more than completing daily tasks. It requires me to respect each individual’s dignity, understand their needs, involve them in decisions and work effectively with other professionals. Person-centred care, partnership working and ethical practice are closely connected because they </w:t>
      </w:r>
      <w:r w:rsidRPr="00684CE9">
        <w:rPr>
          <w:rFonts w:ascii="Arial" w:hAnsi="Arial" w:cs="Arial"/>
          <w:sz w:val="22"/>
          <w:szCs w:val="22"/>
        </w:rPr>
        <w:lastRenderedPageBreak/>
        <w:t>promote safety, independence and well being. Kelsall-Knight and Stevens (2024) explain that person-centred care involves considering individuals’ preferences, social circumstances and personal experiences when planning care. Reflecting on these principles helps me recognise my existing strengths and identify areas where I need further development. Maslow’s hierarchy of needs provides a useful theoretical framework for understanding how meeting basic needs can support an individual’s emotional and psychological well being.</w:t>
      </w:r>
    </w:p>
    <w:p w14:paraId="6C349F80" w14:textId="77777777" w:rsidR="00B83867" w:rsidRPr="00684CE9" w:rsidRDefault="00000000" w:rsidP="00684CE9">
      <w:pPr>
        <w:pStyle w:val="Heading2"/>
        <w:spacing w:line="360" w:lineRule="auto"/>
        <w:jc w:val="both"/>
        <w:rPr>
          <w:rFonts w:ascii="Arial" w:hAnsi="Arial" w:cs="Arial"/>
          <w:sz w:val="22"/>
          <w:szCs w:val="22"/>
        </w:rPr>
      </w:pPr>
      <w:bookmarkStart w:id="5" w:name="_Toc20370"/>
      <w:r w:rsidRPr="00684CE9">
        <w:rPr>
          <w:rFonts w:ascii="Arial" w:eastAsia="Times New Roman" w:hAnsi="Arial" w:cs="Arial"/>
          <w:sz w:val="22"/>
          <w:szCs w:val="22"/>
        </w:rPr>
        <w:t>Person-centred care and Maslow’s hierarchy of needs</w:t>
      </w:r>
      <w:bookmarkEnd w:id="5"/>
    </w:p>
    <w:p w14:paraId="39D7F107" w14:textId="77777777" w:rsidR="00B83867" w:rsidRPr="00684CE9" w:rsidRDefault="00000000" w:rsidP="00684CE9">
      <w:pPr>
        <w:pStyle w:val="w6asjqtextbase"/>
        <w:spacing w:line="360" w:lineRule="auto"/>
        <w:jc w:val="both"/>
        <w:rPr>
          <w:rFonts w:ascii="Arial" w:hAnsi="Arial" w:cs="Arial"/>
          <w:sz w:val="22"/>
          <w:szCs w:val="22"/>
        </w:rPr>
      </w:pPr>
      <w:r w:rsidRPr="00684CE9">
        <w:rPr>
          <w:rFonts w:ascii="Arial" w:hAnsi="Arial" w:cs="Arial"/>
          <w:sz w:val="22"/>
          <w:szCs w:val="22"/>
        </w:rPr>
        <w:t>Maslow’s hierarchy of needs propounds that human needs include physiological needs, safety, love and sense of belonging, self esteem and self actualization (Maslow, 1943). Although people do not always experience these needs in a constant sequence, the theory recall that individuals need good support across various aspects of their lives.</w:t>
      </w:r>
      <w:r w:rsidRPr="00684CE9">
        <w:rPr>
          <w:rFonts w:ascii="Arial" w:hAnsi="Arial" w:cs="Arial"/>
          <w:noProof/>
          <w:sz w:val="22"/>
          <w:szCs w:val="22"/>
        </w:rPr>
        <w:drawing>
          <wp:anchor distT="0" distB="0" distL="0" distR="0" simplePos="0" relativeHeight="2" behindDoc="0" locked="0" layoutInCell="1" allowOverlap="1" wp14:anchorId="7180FCB8" wp14:editId="7C6C16A7">
            <wp:simplePos x="0" y="0"/>
            <wp:positionH relativeFrom="column">
              <wp:posOffset>0</wp:posOffset>
            </wp:positionH>
            <wp:positionV relativeFrom="paragraph">
              <wp:posOffset>353060</wp:posOffset>
            </wp:positionV>
            <wp:extent cx="5731510" cy="3016884"/>
            <wp:effectExtent l="0" t="0" r="2540" b="0"/>
            <wp:wrapTopAndBottom/>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5" cstate="print"/>
                    <a:srcRect/>
                    <a:stretch/>
                  </pic:blipFill>
                  <pic:spPr>
                    <a:xfrm>
                      <a:off x="0" y="0"/>
                      <a:ext cx="5731510" cy="3016884"/>
                    </a:xfrm>
                    <a:prstGeom prst="rect">
                      <a:avLst/>
                    </a:prstGeom>
                  </pic:spPr>
                </pic:pic>
              </a:graphicData>
            </a:graphic>
          </wp:anchor>
        </w:drawing>
      </w:r>
    </w:p>
    <w:p w14:paraId="2C467961" w14:textId="77777777" w:rsidR="00B83867" w:rsidRPr="00684CE9" w:rsidRDefault="00000000" w:rsidP="00684CE9">
      <w:pPr>
        <w:pStyle w:val="w6asjqtextbase"/>
        <w:spacing w:line="360" w:lineRule="auto"/>
        <w:jc w:val="both"/>
        <w:rPr>
          <w:rFonts w:ascii="Arial" w:hAnsi="Arial" w:cs="Arial"/>
          <w:sz w:val="22"/>
          <w:szCs w:val="22"/>
        </w:rPr>
      </w:pPr>
      <w:r w:rsidRPr="00684CE9">
        <w:rPr>
          <w:rFonts w:ascii="Arial" w:hAnsi="Arial" w:cs="Arial"/>
          <w:sz w:val="22"/>
          <w:szCs w:val="22"/>
        </w:rPr>
        <w:t>In my daily practice, I can apply this theory by checking whether individuals have adequate nutrition, hydration, rest, warmth and personal hygiene. For example, before supporting someone with an activity, I should consider whether they are comfortable, in pain, tired or hungry. Meeting these physiological needs can help the person participate more comfortably in their care.</w:t>
      </w:r>
    </w:p>
    <w:p w14:paraId="26AB3DEE" w14:textId="77777777" w:rsidR="00B83867" w:rsidRPr="00684CE9" w:rsidRDefault="00000000" w:rsidP="00684CE9">
      <w:pPr>
        <w:pStyle w:val="w6asjqtextbase"/>
        <w:spacing w:line="360" w:lineRule="auto"/>
        <w:jc w:val="both"/>
        <w:rPr>
          <w:rFonts w:ascii="Arial" w:hAnsi="Arial" w:cs="Arial"/>
          <w:sz w:val="22"/>
          <w:szCs w:val="22"/>
        </w:rPr>
      </w:pPr>
      <w:r w:rsidRPr="00684CE9">
        <w:rPr>
          <w:rFonts w:ascii="Arial" w:hAnsi="Arial" w:cs="Arial"/>
          <w:sz w:val="22"/>
          <w:szCs w:val="22"/>
        </w:rPr>
        <w:t xml:space="preserve">Safety is equally important. I should follow infection prevention procedures, maintain a clean environment, report hazards and protect confidential information. However, person-centred care also means avoiding unnecessary restrictions. The Care Quality Commission’s regulations require care to meet people’s needs and reflect their preferences (Health and Social Care Act 2008 (Regulated Activities) Regulations 2014, Regulation 9). This reminds </w:t>
      </w:r>
      <w:r w:rsidRPr="00684CE9">
        <w:rPr>
          <w:rFonts w:ascii="Arial" w:hAnsi="Arial" w:cs="Arial"/>
          <w:sz w:val="22"/>
          <w:szCs w:val="22"/>
        </w:rPr>
        <w:lastRenderedPageBreak/>
        <w:t>me to adapt my approach to the individual rather than expecting everyone to follow the same routine.</w:t>
      </w:r>
    </w:p>
    <w:p w14:paraId="12739613" w14:textId="77777777" w:rsidR="00B83867" w:rsidRPr="00684CE9" w:rsidRDefault="00000000" w:rsidP="00684CE9">
      <w:pPr>
        <w:pStyle w:val="w6asjqtextbase"/>
        <w:spacing w:line="360" w:lineRule="auto"/>
        <w:jc w:val="both"/>
        <w:rPr>
          <w:rFonts w:ascii="Arial" w:hAnsi="Arial" w:cs="Arial"/>
          <w:sz w:val="22"/>
          <w:szCs w:val="22"/>
        </w:rPr>
      </w:pPr>
      <w:r w:rsidRPr="00684CE9">
        <w:rPr>
          <w:rFonts w:ascii="Arial" w:hAnsi="Arial" w:cs="Arial"/>
          <w:sz w:val="22"/>
          <w:szCs w:val="22"/>
        </w:rPr>
        <w:t>Maslow’s social and esteem needs also influence how I communicate. I should listen patiently, respect cultural differences, encourage relationships and recognize individuals’ achievements. For example, allowing a person to complete a task independently, where safe, can improve confidence and self-esteem. Maslow’s theory therefore encourages me to look beyond physical needs and consider the emotional and social factors that contribute to quality of life.</w:t>
      </w:r>
    </w:p>
    <w:p w14:paraId="77511CBC" w14:textId="77777777" w:rsidR="00B83867" w:rsidRPr="00684CE9" w:rsidRDefault="00000000" w:rsidP="00684CE9">
      <w:pPr>
        <w:pStyle w:val="Heading2"/>
        <w:spacing w:line="360" w:lineRule="auto"/>
        <w:jc w:val="both"/>
        <w:rPr>
          <w:rFonts w:ascii="Arial" w:eastAsia="Times New Roman" w:hAnsi="Arial" w:cs="Arial"/>
          <w:sz w:val="22"/>
          <w:szCs w:val="22"/>
        </w:rPr>
      </w:pPr>
      <w:bookmarkStart w:id="6" w:name="_Toc6410"/>
      <w:r w:rsidRPr="00684CE9">
        <w:rPr>
          <w:rFonts w:ascii="Arial" w:eastAsia="Times New Roman" w:hAnsi="Arial" w:cs="Arial"/>
          <w:sz w:val="22"/>
          <w:szCs w:val="22"/>
        </w:rPr>
        <w:t>Partnership working in daily practice</w:t>
      </w:r>
      <w:bookmarkEnd w:id="6"/>
    </w:p>
    <w:p w14:paraId="7DC83D39" w14:textId="77777777" w:rsidR="00B83867" w:rsidRPr="00684CE9" w:rsidRDefault="00000000" w:rsidP="00684CE9">
      <w:pPr>
        <w:pStyle w:val="w6asjqtextbase"/>
        <w:spacing w:line="360" w:lineRule="auto"/>
        <w:jc w:val="both"/>
        <w:rPr>
          <w:rFonts w:ascii="Arial" w:hAnsi="Arial" w:cs="Arial"/>
          <w:sz w:val="22"/>
          <w:szCs w:val="22"/>
        </w:rPr>
      </w:pPr>
      <w:r w:rsidRPr="00684CE9">
        <w:rPr>
          <w:rFonts w:ascii="Arial" w:hAnsi="Arial" w:cs="Arial"/>
          <w:sz w:val="22"/>
          <w:szCs w:val="22"/>
        </w:rPr>
        <w:t>Partnership working means cooperating with individuals, families, colleagues and other professionals to provide coordinated support. In my daily work, I can demonstrate this by listening to individuals and their families, sharing relevant information appropriately and contributing to care planning. For example, if an individual experiences difficulties with mobility, I could work with nurses, occupational therapists and physiotherapists to support independence while reducing the risk of falls.</w:t>
      </w:r>
    </w:p>
    <w:p w14:paraId="05E1A753" w14:textId="77777777" w:rsidR="00B83867" w:rsidRPr="00684CE9" w:rsidRDefault="00000000" w:rsidP="00684CE9">
      <w:pPr>
        <w:pStyle w:val="w6asjqtextbase"/>
        <w:spacing w:line="360" w:lineRule="auto"/>
        <w:jc w:val="both"/>
        <w:rPr>
          <w:rFonts w:ascii="Arial" w:hAnsi="Arial" w:cs="Arial"/>
          <w:sz w:val="22"/>
          <w:szCs w:val="22"/>
        </w:rPr>
      </w:pPr>
      <w:r w:rsidRPr="00684CE9">
        <w:rPr>
          <w:rFonts w:ascii="Arial" w:hAnsi="Arial" w:cs="Arial"/>
          <w:sz w:val="22"/>
          <w:szCs w:val="22"/>
        </w:rPr>
        <w:t>Lewis et al. (2024) highlight the importance of shared competencies and collaborative behaviors in integrated health and social care. In England, Integrated Care Systems encourage organizations to coordinate services and address health inequalities. However, collaboration can be affected by staff shortages, limited resources and poor communication (Alderwick, Hutchings and Mays, 2024). I should therefore communicate clearly during handovers, maintain accurate records and raise concerns promptly rather than assuming another professional will address them.</w:t>
      </w:r>
    </w:p>
    <w:p w14:paraId="3CDCD91E" w14:textId="77777777" w:rsidR="00B83867" w:rsidRPr="00684CE9" w:rsidRDefault="00000000" w:rsidP="00684CE9">
      <w:pPr>
        <w:pStyle w:val="w6asjqtextbase"/>
        <w:spacing w:line="360" w:lineRule="auto"/>
        <w:jc w:val="both"/>
        <w:rPr>
          <w:rFonts w:ascii="Arial" w:hAnsi="Arial" w:cs="Arial"/>
          <w:sz w:val="22"/>
          <w:szCs w:val="22"/>
        </w:rPr>
      </w:pPr>
      <w:r w:rsidRPr="00684CE9">
        <w:rPr>
          <w:rFonts w:ascii="Arial" w:hAnsi="Arial" w:cs="Arial"/>
          <w:sz w:val="22"/>
          <w:szCs w:val="22"/>
        </w:rPr>
        <w:t>Maslow’s theory also helps me understand why partnership working matters. An individual may have their physical needs met but still experience loneliness, low confidence or difficulty developing relationships. By involving family members and community services, where appropriate and with consent, I can help address social and emotional needs. Nevertheless, I must respect confidentiality and avoid sharing information unnecessarily. Effective partnership working should empower individuals rather than make decisions on their behalf.</w:t>
      </w:r>
    </w:p>
    <w:p w14:paraId="7F82360D" w14:textId="77777777" w:rsidR="00B83867" w:rsidRPr="00684CE9" w:rsidRDefault="00000000" w:rsidP="00684CE9">
      <w:pPr>
        <w:pStyle w:val="Heading2"/>
        <w:spacing w:line="360" w:lineRule="auto"/>
        <w:jc w:val="both"/>
        <w:rPr>
          <w:rFonts w:ascii="Arial" w:eastAsia="Times New Roman" w:hAnsi="Arial" w:cs="Arial"/>
          <w:sz w:val="22"/>
          <w:szCs w:val="22"/>
        </w:rPr>
      </w:pPr>
      <w:bookmarkStart w:id="7" w:name="_Toc30795"/>
      <w:r w:rsidRPr="00684CE9">
        <w:rPr>
          <w:rFonts w:ascii="Arial" w:eastAsia="Times New Roman" w:hAnsi="Arial" w:cs="Arial"/>
          <w:sz w:val="22"/>
          <w:szCs w:val="22"/>
        </w:rPr>
        <w:t>Ethical practice and professional responsibilities</w:t>
      </w:r>
      <w:bookmarkEnd w:id="7"/>
    </w:p>
    <w:p w14:paraId="41608EFA" w14:textId="77777777" w:rsidR="00B83867" w:rsidRPr="00684CE9" w:rsidRDefault="00000000" w:rsidP="00684CE9">
      <w:pPr>
        <w:pStyle w:val="w6asjqtextbase"/>
        <w:spacing w:line="360" w:lineRule="auto"/>
        <w:jc w:val="both"/>
        <w:rPr>
          <w:rFonts w:ascii="Arial" w:hAnsi="Arial" w:cs="Arial"/>
          <w:sz w:val="22"/>
          <w:szCs w:val="22"/>
        </w:rPr>
      </w:pPr>
      <w:r w:rsidRPr="00684CE9">
        <w:rPr>
          <w:rFonts w:ascii="Arial" w:hAnsi="Arial" w:cs="Arial"/>
          <w:sz w:val="22"/>
          <w:szCs w:val="22"/>
        </w:rPr>
        <w:t xml:space="preserve">Ethical practice means treating people fairly, protecting their rights and making decisions that promote well being. I can apply four important ethical principles: autonomy, beneficence, non-maleficence and justice. Autonomy involves respecting an individual’s choices; beneficence </w:t>
      </w:r>
      <w:r w:rsidRPr="00684CE9">
        <w:rPr>
          <w:rFonts w:ascii="Arial" w:hAnsi="Arial" w:cs="Arial"/>
          <w:sz w:val="22"/>
          <w:szCs w:val="22"/>
        </w:rPr>
        <w:lastRenderedPageBreak/>
        <w:t>means acting to benefit them; non-maleficence requires avoiding harm; and justice involves treating people fairly.</w:t>
      </w:r>
    </w:p>
    <w:p w14:paraId="3059E935" w14:textId="77777777" w:rsidR="00B83867" w:rsidRPr="00684CE9" w:rsidRDefault="00000000" w:rsidP="00684CE9">
      <w:pPr>
        <w:pStyle w:val="w6asjqtextbase"/>
        <w:spacing w:line="360" w:lineRule="auto"/>
        <w:jc w:val="both"/>
        <w:rPr>
          <w:rFonts w:ascii="Arial" w:hAnsi="Arial" w:cs="Arial"/>
          <w:sz w:val="22"/>
          <w:szCs w:val="22"/>
        </w:rPr>
      </w:pPr>
      <w:r w:rsidRPr="00684CE9">
        <w:rPr>
          <w:rFonts w:ascii="Arial" w:hAnsi="Arial" w:cs="Arial"/>
          <w:sz w:val="22"/>
          <w:szCs w:val="22"/>
        </w:rPr>
        <w:t>In practice, I should explain care procedures clearly, seek consent, respect cultural and religious beliefs and maintain privacy during personal care. If an individual refuses assistance, I should remain calm, explore their reasons and consider alternatives rather than immediately assuming they are being difficult. This approach respects autonomy while allowing me to consider safety and well being.</w:t>
      </w:r>
    </w:p>
    <w:p w14:paraId="04546EAC" w14:textId="77777777" w:rsidR="00B83867" w:rsidRPr="00684CE9" w:rsidRDefault="00000000" w:rsidP="00684CE9">
      <w:pPr>
        <w:pStyle w:val="w6asjqtextbase"/>
        <w:spacing w:line="360" w:lineRule="auto"/>
        <w:jc w:val="both"/>
        <w:rPr>
          <w:rFonts w:ascii="Arial" w:hAnsi="Arial" w:cs="Arial"/>
          <w:sz w:val="22"/>
          <w:szCs w:val="22"/>
        </w:rPr>
      </w:pPr>
      <w:r w:rsidRPr="00684CE9">
        <w:rPr>
          <w:rFonts w:ascii="Arial" w:hAnsi="Arial" w:cs="Arial"/>
          <w:sz w:val="22"/>
          <w:szCs w:val="22"/>
        </w:rPr>
        <w:t>The Care Act 2014 places well being, dignity, control over daily life and protection from abuse at the centre of adult social care in England. The Equality Act 2010 also protects people from unlawful discrimination, while the Data Protection Act 2018 governs the handling of personal information. These laws guide me in providing fair, confidential and safe care. The Mental Capacity Act 2005 is particularly relevant to people aged 16 and over who may lack capacity for a specific decision; it requires practitioners to support decision-making and consider the least restrictive option. I should remember that a diagnosis or disability does not automatically mean a person lacks capacity.</w:t>
      </w:r>
    </w:p>
    <w:p w14:paraId="36267CD9" w14:textId="77777777" w:rsidR="00B83867" w:rsidRPr="00684CE9" w:rsidRDefault="00000000" w:rsidP="00684CE9">
      <w:pPr>
        <w:pStyle w:val="w6asjqtextbase"/>
        <w:spacing w:line="360" w:lineRule="auto"/>
        <w:jc w:val="both"/>
        <w:rPr>
          <w:rFonts w:ascii="Arial" w:hAnsi="Arial" w:cs="Arial"/>
          <w:sz w:val="22"/>
          <w:szCs w:val="22"/>
        </w:rPr>
      </w:pPr>
      <w:r w:rsidRPr="00684CE9">
        <w:rPr>
          <w:rFonts w:ascii="Arial" w:hAnsi="Arial" w:cs="Arial"/>
          <w:sz w:val="22"/>
          <w:szCs w:val="22"/>
        </w:rPr>
        <w:t>Ethical decisions can sometimes be challenging because respecting choice may appear to conflict with preventing harm. For example, an individual may decline a meal or refuse support with personal care. I should explore the reasons, explain relevant risks, offer suitable alternatives and seek advice when necessary. I must also recognize that Maslow’s hierarchy is not a rigid rule: people may prioritize personal beliefs, relationships or independence even when their basic needs are not fully met (Emanuel, 2023). Therefore, I should use professional judgement rather than assuming every individual has identical priorities.</w:t>
      </w:r>
    </w:p>
    <w:p w14:paraId="7D906BCB" w14:textId="77777777" w:rsidR="00B83867" w:rsidRPr="00684CE9" w:rsidRDefault="00000000" w:rsidP="00684CE9">
      <w:pPr>
        <w:pStyle w:val="Heading2"/>
        <w:spacing w:line="360" w:lineRule="auto"/>
        <w:jc w:val="both"/>
        <w:rPr>
          <w:rFonts w:ascii="Arial" w:eastAsia="Times New Roman" w:hAnsi="Arial" w:cs="Arial"/>
          <w:sz w:val="22"/>
          <w:szCs w:val="22"/>
        </w:rPr>
      </w:pPr>
      <w:bookmarkStart w:id="8" w:name="_Toc9015"/>
      <w:r w:rsidRPr="00684CE9">
        <w:rPr>
          <w:rFonts w:ascii="Arial" w:eastAsia="Times New Roman" w:hAnsi="Arial" w:cs="Arial"/>
          <w:sz w:val="22"/>
          <w:szCs w:val="22"/>
        </w:rPr>
        <w:t>Self-reflection: my strengths and areas for improvement</w:t>
      </w:r>
      <w:bookmarkEnd w:id="8"/>
    </w:p>
    <w:p w14:paraId="28843838" w14:textId="77777777" w:rsidR="00B83867" w:rsidRPr="00684CE9" w:rsidRDefault="00000000" w:rsidP="00684CE9">
      <w:pPr>
        <w:pStyle w:val="w6asjqtextbase"/>
        <w:spacing w:line="360" w:lineRule="auto"/>
        <w:jc w:val="both"/>
        <w:rPr>
          <w:rFonts w:ascii="Arial" w:hAnsi="Arial" w:cs="Arial"/>
          <w:sz w:val="22"/>
          <w:szCs w:val="22"/>
        </w:rPr>
      </w:pPr>
      <w:r w:rsidRPr="00684CE9">
        <w:rPr>
          <w:rFonts w:ascii="Arial" w:hAnsi="Arial" w:cs="Arial"/>
          <w:sz w:val="22"/>
          <w:szCs w:val="22"/>
        </w:rPr>
        <w:t>Reflecting on my practice, I consider patience, empathy, respect and willingness to listen to be important strengths to develop and demonstrate. These qualities can help me build trust, understand individual preferences and provide reassurance when someone feels anxious or vulnerable. I also recognize the importance of teamwork, following care plans and reporting concerns to the appropriate person.</w:t>
      </w:r>
    </w:p>
    <w:p w14:paraId="736D7E5A" w14:textId="77777777" w:rsidR="00B83867" w:rsidRPr="00684CE9" w:rsidRDefault="00000000" w:rsidP="00684CE9">
      <w:pPr>
        <w:pStyle w:val="w6asjqtextbase"/>
        <w:spacing w:line="360" w:lineRule="auto"/>
        <w:jc w:val="both"/>
        <w:rPr>
          <w:rFonts w:ascii="Arial" w:hAnsi="Arial" w:cs="Arial"/>
          <w:sz w:val="22"/>
          <w:szCs w:val="22"/>
        </w:rPr>
      </w:pPr>
      <w:r w:rsidRPr="00684CE9">
        <w:rPr>
          <w:rFonts w:ascii="Arial" w:hAnsi="Arial" w:cs="Arial"/>
          <w:sz w:val="22"/>
          <w:szCs w:val="22"/>
        </w:rPr>
        <w:t xml:space="preserve">However, I need to continue developing my confidence in complex ethical situations, particularly when an individual’s wishes differ from professional recommendations. I would also benefit from improving my knowledge of current legislation, safeguarding procedures, confidentiality and effective communication with people who have different cultural or </w:t>
      </w:r>
      <w:r w:rsidRPr="00684CE9">
        <w:rPr>
          <w:rFonts w:ascii="Arial" w:hAnsi="Arial" w:cs="Arial"/>
          <w:sz w:val="22"/>
          <w:szCs w:val="22"/>
        </w:rPr>
        <w:lastRenderedPageBreak/>
        <w:t>communication needs. Identifying these areas is important because good intentions alone do not guarantee safe or effective care.</w:t>
      </w:r>
    </w:p>
    <w:p w14:paraId="4A9543DF" w14:textId="77777777" w:rsidR="00B83867" w:rsidRPr="00684CE9" w:rsidRDefault="00000000" w:rsidP="00684CE9">
      <w:pPr>
        <w:pStyle w:val="w6asjqtextbase"/>
        <w:spacing w:line="360" w:lineRule="auto"/>
        <w:jc w:val="both"/>
        <w:rPr>
          <w:rFonts w:ascii="Arial" w:hAnsi="Arial" w:cs="Arial"/>
          <w:sz w:val="22"/>
          <w:szCs w:val="22"/>
        </w:rPr>
      </w:pPr>
      <w:r w:rsidRPr="00684CE9">
        <w:rPr>
          <w:rFonts w:ascii="Arial" w:hAnsi="Arial" w:cs="Arial"/>
          <w:sz w:val="22"/>
          <w:szCs w:val="22"/>
        </w:rPr>
        <w:t>I should make my reflection evidence-based by seeking feedback from my supervisor, considering incidents or challenging situations and recording what I have learned. This will help me identify whether my strengths are reflected in actual practice and whether my improvement efforts are making a difference.</w:t>
      </w:r>
    </w:p>
    <w:p w14:paraId="5B59A18B" w14:textId="77777777" w:rsidR="00B83867" w:rsidRPr="00684CE9" w:rsidRDefault="00000000" w:rsidP="00684CE9">
      <w:pPr>
        <w:pStyle w:val="Heading2"/>
        <w:spacing w:line="360" w:lineRule="auto"/>
        <w:jc w:val="both"/>
        <w:rPr>
          <w:rFonts w:ascii="Arial" w:eastAsia="Times New Roman" w:hAnsi="Arial" w:cs="Arial"/>
          <w:sz w:val="22"/>
          <w:szCs w:val="22"/>
        </w:rPr>
      </w:pPr>
      <w:bookmarkStart w:id="9" w:name="_Toc5465"/>
      <w:r w:rsidRPr="00684CE9">
        <w:rPr>
          <w:rFonts w:ascii="Arial" w:eastAsia="Times New Roman" w:hAnsi="Arial" w:cs="Arial"/>
          <w:sz w:val="22"/>
          <w:szCs w:val="22"/>
        </w:rPr>
        <w:t>Future development plan</w:t>
      </w:r>
      <w:bookmarkEnd w:id="9"/>
    </w:p>
    <w:p w14:paraId="1897420B" w14:textId="77777777" w:rsidR="00B83867" w:rsidRPr="00684CE9" w:rsidRDefault="00000000" w:rsidP="00684CE9">
      <w:pPr>
        <w:pStyle w:val="w6asjqtextbase"/>
        <w:spacing w:line="360" w:lineRule="auto"/>
        <w:jc w:val="both"/>
        <w:rPr>
          <w:rFonts w:ascii="Arial" w:hAnsi="Arial" w:cs="Arial"/>
          <w:sz w:val="22"/>
          <w:szCs w:val="22"/>
        </w:rPr>
      </w:pPr>
      <w:r w:rsidRPr="00684CE9">
        <w:rPr>
          <w:rFonts w:ascii="Arial" w:hAnsi="Arial" w:cs="Arial"/>
          <w:sz w:val="22"/>
          <w:szCs w:val="22"/>
        </w:rPr>
        <w:t>To improve my practice, I will take the following steps:</w:t>
      </w:r>
    </w:p>
    <w:p w14:paraId="7DCD4CBA" w14:textId="77777777" w:rsidR="00B83867" w:rsidRPr="00684CE9" w:rsidRDefault="00000000" w:rsidP="00684CE9">
      <w:pPr>
        <w:pStyle w:val="w6asjqtextbase"/>
        <w:numPr>
          <w:ilvl w:val="0"/>
          <w:numId w:val="2"/>
        </w:numPr>
        <w:spacing w:line="360" w:lineRule="auto"/>
        <w:jc w:val="both"/>
        <w:rPr>
          <w:rFonts w:ascii="Arial" w:hAnsi="Arial" w:cs="Arial"/>
          <w:sz w:val="22"/>
          <w:szCs w:val="22"/>
        </w:rPr>
      </w:pPr>
      <w:r w:rsidRPr="00684CE9">
        <w:rPr>
          <w:rStyle w:val="w6asjqtextbase1"/>
          <w:rFonts w:ascii="Arial" w:hAnsi="Arial" w:cs="Arial"/>
          <w:sz w:val="22"/>
          <w:szCs w:val="22"/>
        </w:rPr>
        <w:t>Training:</w:t>
      </w:r>
      <w:r w:rsidRPr="00684CE9">
        <w:rPr>
          <w:rFonts w:ascii="Arial" w:hAnsi="Arial" w:cs="Arial"/>
          <w:sz w:val="22"/>
          <w:szCs w:val="22"/>
        </w:rPr>
        <w:t xml:space="preserve"> Complete relevant training in safeguarding, equality and diversity, infection prevention, consent and confidentiality, and refresh my knowledge of the Care Act 2014 and Mental Capacity Act 2005.</w:t>
      </w:r>
    </w:p>
    <w:p w14:paraId="48056645" w14:textId="77777777" w:rsidR="00B83867" w:rsidRPr="00684CE9" w:rsidRDefault="00000000" w:rsidP="00684CE9">
      <w:pPr>
        <w:pStyle w:val="w6asjqtextbase"/>
        <w:numPr>
          <w:ilvl w:val="0"/>
          <w:numId w:val="2"/>
        </w:numPr>
        <w:spacing w:line="360" w:lineRule="auto"/>
        <w:jc w:val="both"/>
        <w:rPr>
          <w:rFonts w:ascii="Arial" w:hAnsi="Arial" w:cs="Arial"/>
          <w:sz w:val="22"/>
          <w:szCs w:val="22"/>
        </w:rPr>
      </w:pPr>
      <w:r w:rsidRPr="00684CE9">
        <w:rPr>
          <w:rStyle w:val="w6asjqtextbase1"/>
          <w:rFonts w:ascii="Arial" w:hAnsi="Arial" w:cs="Arial"/>
          <w:sz w:val="22"/>
          <w:szCs w:val="22"/>
        </w:rPr>
        <w:t>Communication:</w:t>
      </w:r>
      <w:r w:rsidRPr="00684CE9">
        <w:rPr>
          <w:rFonts w:ascii="Arial" w:hAnsi="Arial" w:cs="Arial"/>
          <w:sz w:val="22"/>
          <w:szCs w:val="22"/>
        </w:rPr>
        <w:t xml:space="preserve"> Practise active listening, use accessible language and check that individuals understand the information provided.</w:t>
      </w:r>
    </w:p>
    <w:p w14:paraId="123131B9" w14:textId="77777777" w:rsidR="00B83867" w:rsidRPr="00684CE9" w:rsidRDefault="00000000" w:rsidP="00684CE9">
      <w:pPr>
        <w:pStyle w:val="w6asjqtextbase"/>
        <w:numPr>
          <w:ilvl w:val="0"/>
          <w:numId w:val="2"/>
        </w:numPr>
        <w:spacing w:line="360" w:lineRule="auto"/>
        <w:jc w:val="both"/>
        <w:rPr>
          <w:rFonts w:ascii="Arial" w:hAnsi="Arial" w:cs="Arial"/>
          <w:sz w:val="22"/>
          <w:szCs w:val="22"/>
        </w:rPr>
      </w:pPr>
      <w:r w:rsidRPr="00684CE9">
        <w:rPr>
          <w:rStyle w:val="w6asjqtextbase1"/>
          <w:rFonts w:ascii="Arial" w:hAnsi="Arial" w:cs="Arial"/>
          <w:sz w:val="22"/>
          <w:szCs w:val="22"/>
        </w:rPr>
        <w:t>Partnership:</w:t>
      </w:r>
      <w:r w:rsidRPr="00684CE9">
        <w:rPr>
          <w:rFonts w:ascii="Arial" w:hAnsi="Arial" w:cs="Arial"/>
          <w:sz w:val="22"/>
          <w:szCs w:val="22"/>
        </w:rPr>
        <w:t xml:space="preserve"> Participate actively in handovers, care reviews and supervision, while sharing information appropriately and maintaining professional boundaries.</w:t>
      </w:r>
    </w:p>
    <w:p w14:paraId="044D32B8" w14:textId="77777777" w:rsidR="00B83867" w:rsidRPr="00684CE9" w:rsidRDefault="00000000" w:rsidP="00684CE9">
      <w:pPr>
        <w:pStyle w:val="w6asjqtextbase"/>
        <w:numPr>
          <w:ilvl w:val="0"/>
          <w:numId w:val="2"/>
        </w:numPr>
        <w:spacing w:line="360" w:lineRule="auto"/>
        <w:jc w:val="both"/>
        <w:rPr>
          <w:rFonts w:ascii="Arial" w:hAnsi="Arial" w:cs="Arial"/>
          <w:sz w:val="22"/>
          <w:szCs w:val="22"/>
        </w:rPr>
      </w:pPr>
      <w:r w:rsidRPr="00684CE9">
        <w:rPr>
          <w:rStyle w:val="w6asjqtextbase1"/>
          <w:rFonts w:ascii="Arial" w:hAnsi="Arial" w:cs="Arial"/>
          <w:sz w:val="22"/>
          <w:szCs w:val="22"/>
        </w:rPr>
        <w:t>Reflection:</w:t>
      </w:r>
      <w:r w:rsidRPr="00684CE9">
        <w:rPr>
          <w:rFonts w:ascii="Arial" w:hAnsi="Arial" w:cs="Arial"/>
          <w:sz w:val="22"/>
          <w:szCs w:val="22"/>
        </w:rPr>
        <w:t xml:space="preserve"> Use a reflective model, such as Gibbs’ reflective cycle (1988), to examine challenging experiences, identify lessons and plan changes to my practice.</w:t>
      </w:r>
    </w:p>
    <w:p w14:paraId="209F6C47" w14:textId="77777777" w:rsidR="00B83867" w:rsidRPr="00684CE9" w:rsidRDefault="00000000" w:rsidP="00684CE9">
      <w:pPr>
        <w:pStyle w:val="w6asjqtextbase"/>
        <w:numPr>
          <w:ilvl w:val="0"/>
          <w:numId w:val="2"/>
        </w:numPr>
        <w:spacing w:line="360" w:lineRule="auto"/>
        <w:jc w:val="both"/>
        <w:rPr>
          <w:rFonts w:ascii="Arial" w:hAnsi="Arial" w:cs="Arial"/>
          <w:sz w:val="22"/>
          <w:szCs w:val="22"/>
        </w:rPr>
      </w:pPr>
      <w:r w:rsidRPr="00684CE9">
        <w:rPr>
          <w:rStyle w:val="w6asjqtextbase1"/>
          <w:rFonts w:ascii="Arial" w:hAnsi="Arial" w:cs="Arial"/>
          <w:sz w:val="22"/>
          <w:szCs w:val="22"/>
        </w:rPr>
        <w:t>Feedback and evaluation:</w:t>
      </w:r>
      <w:r w:rsidRPr="00684CE9">
        <w:rPr>
          <w:rFonts w:ascii="Arial" w:hAnsi="Arial" w:cs="Arial"/>
          <w:sz w:val="22"/>
          <w:szCs w:val="22"/>
        </w:rPr>
        <w:t xml:space="preserve"> Ask my supervisor and colleagues for constructive feedback and review my progress through regular supervision and continuing professional development.</w:t>
      </w:r>
    </w:p>
    <w:p w14:paraId="1F099272" w14:textId="77777777" w:rsidR="00B83867" w:rsidRPr="00684CE9" w:rsidRDefault="00000000" w:rsidP="00684CE9">
      <w:pPr>
        <w:pStyle w:val="w6asjqtextbase"/>
        <w:spacing w:line="360" w:lineRule="auto"/>
        <w:jc w:val="both"/>
        <w:rPr>
          <w:rFonts w:ascii="Arial" w:hAnsi="Arial" w:cs="Arial"/>
          <w:sz w:val="22"/>
          <w:szCs w:val="22"/>
        </w:rPr>
      </w:pPr>
      <w:r w:rsidRPr="00684CE9">
        <w:rPr>
          <w:rFonts w:ascii="Arial" w:hAnsi="Arial" w:cs="Arial"/>
          <w:sz w:val="22"/>
          <w:szCs w:val="22"/>
        </w:rPr>
        <w:t>These actions will help me strengthen my professional knowledge and apply person-centred care, partnership working and ethical principles more consistently.</w:t>
      </w:r>
    </w:p>
    <w:p w14:paraId="4D43F129" w14:textId="77777777" w:rsidR="00B83867" w:rsidRPr="00684CE9" w:rsidRDefault="00000000" w:rsidP="00684CE9">
      <w:pPr>
        <w:pStyle w:val="Heading2"/>
        <w:spacing w:line="360" w:lineRule="auto"/>
        <w:jc w:val="both"/>
        <w:rPr>
          <w:rFonts w:ascii="Arial" w:eastAsia="Times New Roman" w:hAnsi="Arial" w:cs="Arial"/>
          <w:sz w:val="22"/>
          <w:szCs w:val="22"/>
        </w:rPr>
      </w:pPr>
      <w:bookmarkStart w:id="10" w:name="_Toc16245"/>
      <w:r w:rsidRPr="00684CE9">
        <w:rPr>
          <w:rFonts w:ascii="Arial" w:eastAsia="Times New Roman" w:hAnsi="Arial" w:cs="Arial"/>
          <w:sz w:val="22"/>
          <w:szCs w:val="22"/>
        </w:rPr>
        <w:t>Conclusion</w:t>
      </w:r>
      <w:bookmarkEnd w:id="10"/>
    </w:p>
    <w:p w14:paraId="42879241" w14:textId="77777777" w:rsidR="00B83867" w:rsidRPr="00684CE9" w:rsidRDefault="00000000" w:rsidP="00684CE9">
      <w:pPr>
        <w:pStyle w:val="w6asjqtextbase"/>
        <w:spacing w:line="360" w:lineRule="auto"/>
        <w:jc w:val="both"/>
        <w:rPr>
          <w:rFonts w:ascii="Arial" w:hAnsi="Arial" w:cs="Arial"/>
          <w:sz w:val="22"/>
          <w:szCs w:val="22"/>
        </w:rPr>
      </w:pPr>
      <w:r w:rsidRPr="00684CE9">
        <w:rPr>
          <w:rFonts w:ascii="Arial" w:hAnsi="Arial" w:cs="Arial"/>
          <w:sz w:val="22"/>
          <w:szCs w:val="22"/>
        </w:rPr>
        <w:t>Overall, person-centred care, partnership working and ethical practice are essential to providing safe, respectful and effective health and social care. Maslow’s hierarchy helps me consider physical, emotional, social and personal development needs, while legislation establishes important responsibilities for protecting rights and promoting well being. By recognizing my strengths, addressing gaps in my knowledge and committing to ongoing learning, I can improve my professional practice and support individuals to maintain dignity, independence and quality of life.</w:t>
      </w:r>
    </w:p>
    <w:p w14:paraId="4C0E8034" w14:textId="77777777" w:rsidR="00684CE9" w:rsidRDefault="00684CE9" w:rsidP="00684CE9">
      <w:pPr>
        <w:pStyle w:val="NormalWeb"/>
        <w:spacing w:line="360" w:lineRule="auto"/>
        <w:rPr>
          <w:rFonts w:ascii="Arial" w:hAnsi="Arial" w:cs="Arial"/>
          <w:sz w:val="22"/>
          <w:szCs w:val="22"/>
        </w:rPr>
      </w:pPr>
    </w:p>
    <w:p w14:paraId="37DAC3DA" w14:textId="1C999C51" w:rsidR="00B83867" w:rsidRPr="00684CE9" w:rsidRDefault="00000000" w:rsidP="00684CE9">
      <w:pPr>
        <w:pStyle w:val="NormalWeb"/>
        <w:spacing w:line="360" w:lineRule="auto"/>
        <w:rPr>
          <w:rFonts w:ascii="Arial" w:hAnsi="Arial" w:cs="Arial"/>
          <w:sz w:val="22"/>
          <w:szCs w:val="22"/>
        </w:rPr>
      </w:pPr>
      <w:r w:rsidRPr="00684CE9">
        <w:rPr>
          <w:rFonts w:ascii="Arial" w:hAnsi="Arial" w:cs="Arial"/>
          <w:sz w:val="22"/>
          <w:szCs w:val="22"/>
        </w:rPr>
        <w:lastRenderedPageBreak/>
        <w:t>REFERENCES</w:t>
      </w:r>
    </w:p>
    <w:p w14:paraId="5E985CC8" w14:textId="77777777" w:rsidR="00B83867" w:rsidRPr="00684CE9" w:rsidRDefault="00000000" w:rsidP="00684CE9">
      <w:pPr>
        <w:pStyle w:val="w6asjqtextbase"/>
        <w:spacing w:line="360" w:lineRule="auto"/>
        <w:jc w:val="both"/>
        <w:rPr>
          <w:rFonts w:ascii="Arial" w:hAnsi="Arial" w:cs="Arial"/>
          <w:sz w:val="22"/>
          <w:szCs w:val="22"/>
        </w:rPr>
      </w:pPr>
      <w:r w:rsidRPr="00684CE9">
        <w:rPr>
          <w:rFonts w:ascii="Arial" w:hAnsi="Arial" w:cs="Arial"/>
          <w:sz w:val="22"/>
          <w:szCs w:val="22"/>
        </w:rPr>
        <w:t xml:space="preserve">Alderwick, H., Hutchings, A. and Mays, N. (2024) ‘Cross-sector collaboration to reduce health inequalities: a qualitative study of local collaboration between health care, social services, and other sectors under health system reforms in England’, </w:t>
      </w:r>
      <w:r w:rsidRPr="00684CE9">
        <w:rPr>
          <w:rStyle w:val="w6asjqtextbase1"/>
          <w:rFonts w:ascii="Arial" w:hAnsi="Arial" w:cs="Arial"/>
          <w:sz w:val="22"/>
          <w:szCs w:val="22"/>
        </w:rPr>
        <w:t>BMC Public Health</w:t>
      </w:r>
      <w:r w:rsidRPr="00684CE9">
        <w:rPr>
          <w:rFonts w:ascii="Arial" w:hAnsi="Arial" w:cs="Arial"/>
          <w:sz w:val="22"/>
          <w:szCs w:val="22"/>
        </w:rPr>
        <w:t xml:space="preserve">, 24, article 2613. Available at: </w:t>
      </w:r>
      <w:r w:rsidRPr="00684CE9">
        <w:rPr>
          <w:rStyle w:val="w6asjqtextbase1"/>
          <w:rFonts w:ascii="Arial" w:eastAsia="Times New Roman" w:hAnsi="Arial" w:cs="Arial"/>
          <w:sz w:val="22"/>
          <w:szCs w:val="22"/>
        </w:rPr>
        <w:t>doi.org</w:t>
      </w:r>
      <w:r w:rsidRPr="00684CE9">
        <w:rPr>
          <w:rFonts w:ascii="Arial" w:eastAsia="Times New Roman" w:hAnsi="Arial" w:cs="Arial"/>
          <w:sz w:val="22"/>
          <w:szCs w:val="22"/>
        </w:rPr>
        <w:t>.</w:t>
      </w:r>
      <w:r w:rsidRPr="00684CE9">
        <w:rPr>
          <w:rFonts w:ascii="Arial" w:hAnsi="Arial" w:cs="Arial"/>
          <w:sz w:val="22"/>
          <w:szCs w:val="22"/>
        </w:rPr>
        <w:t xml:space="preserve">Care Act 2014, c. 23. Available at: </w:t>
      </w:r>
      <w:r w:rsidRPr="00684CE9">
        <w:rPr>
          <w:rStyle w:val="w6asjqtextbase1"/>
          <w:rFonts w:ascii="Arial" w:eastAsia="Times New Roman" w:hAnsi="Arial" w:cs="Arial"/>
          <w:sz w:val="22"/>
          <w:szCs w:val="22"/>
        </w:rPr>
        <w:t>legislation.gov.uk</w:t>
      </w:r>
      <w:r w:rsidRPr="00684CE9">
        <w:rPr>
          <w:rFonts w:ascii="Arial" w:eastAsia="Times New Roman" w:hAnsi="Arial" w:cs="Arial"/>
          <w:sz w:val="22"/>
          <w:szCs w:val="22"/>
        </w:rPr>
        <w:t>.</w:t>
      </w:r>
      <w:r w:rsidRPr="00684CE9">
        <w:rPr>
          <w:rFonts w:ascii="Arial" w:hAnsi="Arial" w:cs="Arial"/>
          <w:sz w:val="22"/>
          <w:szCs w:val="22"/>
        </w:rPr>
        <w:t xml:space="preserve">Data Protection Act 2018, c. 12. Available at: </w:t>
      </w:r>
      <w:r w:rsidRPr="00684CE9">
        <w:rPr>
          <w:rStyle w:val="w6asjqtextbase1"/>
          <w:rFonts w:ascii="Arial" w:eastAsia="Times New Roman" w:hAnsi="Arial" w:cs="Arial"/>
          <w:sz w:val="22"/>
          <w:szCs w:val="22"/>
        </w:rPr>
        <w:t>legislation.gov.uk</w:t>
      </w:r>
      <w:r w:rsidRPr="00684CE9">
        <w:rPr>
          <w:rFonts w:ascii="Arial" w:eastAsia="Times New Roman" w:hAnsi="Arial" w:cs="Arial"/>
          <w:sz w:val="22"/>
          <w:szCs w:val="22"/>
        </w:rPr>
        <w:t>.</w:t>
      </w:r>
    </w:p>
    <w:p w14:paraId="162C55A7" w14:textId="77777777" w:rsidR="00B83867" w:rsidRPr="00684CE9" w:rsidRDefault="00000000" w:rsidP="00684CE9">
      <w:pPr>
        <w:pStyle w:val="pdq2pgselectionanchorcontainer"/>
        <w:spacing w:line="360" w:lineRule="auto"/>
        <w:jc w:val="both"/>
        <w:rPr>
          <w:rFonts w:ascii="Arial" w:hAnsi="Arial" w:cs="Arial"/>
          <w:sz w:val="22"/>
          <w:szCs w:val="22"/>
        </w:rPr>
      </w:pPr>
      <w:r w:rsidRPr="00684CE9">
        <w:rPr>
          <w:rFonts w:ascii="Arial" w:hAnsi="Arial" w:cs="Arial"/>
          <w:sz w:val="22"/>
          <w:szCs w:val="22"/>
        </w:rPr>
        <w:t xml:space="preserve">Cheraghi, R., Valizadeh, L., Zamanzadeh, V., Hassankhani, H. and Jafarzadeh, A. (2023) ‘Clarification of ethical principle of the beneficence in nursing care: an integrative review’, </w:t>
      </w:r>
      <w:r w:rsidRPr="00684CE9">
        <w:rPr>
          <w:rStyle w:val="Emphasis"/>
          <w:rFonts w:ascii="Arial" w:hAnsi="Arial" w:cs="Arial"/>
          <w:sz w:val="22"/>
          <w:szCs w:val="22"/>
        </w:rPr>
        <w:t>BMC Nursing</w:t>
      </w:r>
      <w:r w:rsidRPr="00684CE9">
        <w:rPr>
          <w:rFonts w:ascii="Arial" w:hAnsi="Arial" w:cs="Arial"/>
          <w:sz w:val="22"/>
          <w:szCs w:val="22"/>
        </w:rPr>
        <w:t xml:space="preserve">, 22, p.89. </w:t>
      </w:r>
    </w:p>
    <w:p w14:paraId="3DDE97D9" w14:textId="77777777" w:rsidR="00B83867" w:rsidRPr="00684CE9" w:rsidRDefault="00000000" w:rsidP="00684CE9">
      <w:pPr>
        <w:pStyle w:val="pdq2pgselectionanchorcontainer"/>
        <w:spacing w:line="360" w:lineRule="auto"/>
        <w:jc w:val="both"/>
        <w:rPr>
          <w:rFonts w:ascii="Arial" w:hAnsi="Arial" w:cs="Arial"/>
          <w:sz w:val="22"/>
          <w:szCs w:val="22"/>
        </w:rPr>
      </w:pPr>
      <w:r w:rsidRPr="00684CE9">
        <w:rPr>
          <w:rFonts w:ascii="Arial" w:hAnsi="Arial" w:cs="Arial"/>
          <w:sz w:val="22"/>
          <w:szCs w:val="22"/>
        </w:rPr>
        <w:t xml:space="preserve">Carter, B., Young, S., Ford, K. and Campbell, S. (2024) ‘The concept of child-centred care in healthcare: a scoping review’, </w:t>
      </w:r>
      <w:r w:rsidRPr="00684CE9">
        <w:rPr>
          <w:rStyle w:val="Emphasis"/>
          <w:rFonts w:ascii="Arial" w:hAnsi="Arial" w:cs="Arial"/>
          <w:sz w:val="22"/>
          <w:szCs w:val="22"/>
        </w:rPr>
        <w:t>Pediatric Reports</w:t>
      </w:r>
      <w:r w:rsidRPr="00684CE9">
        <w:rPr>
          <w:rFonts w:ascii="Arial" w:hAnsi="Arial" w:cs="Arial"/>
          <w:sz w:val="22"/>
          <w:szCs w:val="22"/>
        </w:rPr>
        <w:t xml:space="preserve">, 16(1), pp. 114–134. </w:t>
      </w:r>
    </w:p>
    <w:p w14:paraId="1F7431CE" w14:textId="77777777" w:rsidR="00B83867" w:rsidRPr="00684CE9" w:rsidRDefault="00000000" w:rsidP="00684CE9">
      <w:pPr>
        <w:pStyle w:val="NormalWeb"/>
        <w:spacing w:line="360" w:lineRule="auto"/>
        <w:jc w:val="both"/>
        <w:rPr>
          <w:rFonts w:ascii="Arial" w:hAnsi="Arial" w:cs="Arial"/>
          <w:sz w:val="22"/>
          <w:szCs w:val="22"/>
        </w:rPr>
      </w:pPr>
      <w:r w:rsidRPr="00684CE9">
        <w:rPr>
          <w:rFonts w:ascii="Arial" w:hAnsi="Arial" w:cs="Arial"/>
          <w:sz w:val="22"/>
          <w:szCs w:val="22"/>
        </w:rPr>
        <w:t xml:space="preserve">Davies, H.T., Preston, J. and Phillips, B. (2024) ‘Consent and assent in paediatric practice: it’s the conversation that matters’, </w:t>
      </w:r>
      <w:r w:rsidRPr="00684CE9">
        <w:rPr>
          <w:rStyle w:val="Emphasis"/>
          <w:rFonts w:ascii="Arial" w:hAnsi="Arial" w:cs="Arial"/>
          <w:sz w:val="22"/>
          <w:szCs w:val="22"/>
        </w:rPr>
        <w:t>Archives of Disease in Childhood</w:t>
      </w:r>
      <w:r w:rsidRPr="00684CE9">
        <w:rPr>
          <w:rFonts w:ascii="Arial" w:hAnsi="Arial" w:cs="Arial"/>
          <w:sz w:val="22"/>
          <w:szCs w:val="22"/>
        </w:rPr>
        <w:t xml:space="preserve">, 110(1), pp. 77–78. </w:t>
      </w:r>
    </w:p>
    <w:p w14:paraId="47A77ABC" w14:textId="77777777" w:rsidR="00B83867" w:rsidRPr="00684CE9" w:rsidRDefault="00000000" w:rsidP="00684CE9">
      <w:pPr>
        <w:pStyle w:val="w6asjqtextbase"/>
        <w:spacing w:line="360" w:lineRule="auto"/>
        <w:jc w:val="both"/>
        <w:rPr>
          <w:rFonts w:ascii="Arial" w:eastAsia="Times New Roman" w:hAnsi="Arial" w:cs="Arial"/>
          <w:sz w:val="22"/>
          <w:szCs w:val="22"/>
        </w:rPr>
      </w:pPr>
      <w:r w:rsidRPr="00684CE9">
        <w:rPr>
          <w:rFonts w:ascii="Arial" w:hAnsi="Arial" w:cs="Arial"/>
          <w:sz w:val="22"/>
          <w:szCs w:val="22"/>
        </w:rPr>
        <w:t xml:space="preserve">Emanuel, R. (2023) ‘Maslow’s hierarchy of need pyramid—a model for planning NHS dental services?’, </w:t>
      </w:r>
      <w:r w:rsidRPr="00684CE9">
        <w:rPr>
          <w:rStyle w:val="w6asjqtextbase1"/>
          <w:rFonts w:ascii="Arial" w:hAnsi="Arial" w:cs="Arial"/>
          <w:sz w:val="22"/>
          <w:szCs w:val="22"/>
        </w:rPr>
        <w:t>British Dental Journal</w:t>
      </w:r>
      <w:r w:rsidRPr="00684CE9">
        <w:rPr>
          <w:rFonts w:ascii="Arial" w:hAnsi="Arial" w:cs="Arial"/>
          <w:sz w:val="22"/>
          <w:szCs w:val="22"/>
        </w:rPr>
        <w:t xml:space="preserve">, 235, pp. 177–179. Available at: </w:t>
      </w:r>
      <w:r w:rsidRPr="00684CE9">
        <w:rPr>
          <w:rStyle w:val="w6asjqtextbase1"/>
          <w:rFonts w:ascii="Arial" w:eastAsia="Times New Roman" w:hAnsi="Arial" w:cs="Arial"/>
          <w:sz w:val="22"/>
          <w:szCs w:val="22"/>
        </w:rPr>
        <w:t>doi.org</w:t>
      </w:r>
      <w:r w:rsidRPr="00684CE9">
        <w:rPr>
          <w:rFonts w:ascii="Arial" w:eastAsia="Times New Roman" w:hAnsi="Arial" w:cs="Arial"/>
          <w:sz w:val="22"/>
          <w:szCs w:val="22"/>
        </w:rPr>
        <w:t>.</w:t>
      </w:r>
      <w:r w:rsidRPr="00684CE9">
        <w:rPr>
          <w:rFonts w:ascii="Arial" w:hAnsi="Arial" w:cs="Arial"/>
          <w:sz w:val="22"/>
          <w:szCs w:val="22"/>
        </w:rPr>
        <w:t xml:space="preserve"> Equality Act 2010, c. 15. Available at: </w:t>
      </w:r>
      <w:r w:rsidRPr="00684CE9">
        <w:rPr>
          <w:rStyle w:val="w6asjqtextbase1"/>
          <w:rFonts w:ascii="Arial" w:eastAsia="Times New Roman" w:hAnsi="Arial" w:cs="Arial"/>
          <w:sz w:val="22"/>
          <w:szCs w:val="22"/>
        </w:rPr>
        <w:t>legislation.gov.uk</w:t>
      </w:r>
      <w:r w:rsidRPr="00684CE9">
        <w:rPr>
          <w:rFonts w:ascii="Arial" w:eastAsia="Times New Roman" w:hAnsi="Arial" w:cs="Arial"/>
          <w:sz w:val="22"/>
          <w:szCs w:val="22"/>
        </w:rPr>
        <w:t>.</w:t>
      </w:r>
    </w:p>
    <w:p w14:paraId="7F1C6266" w14:textId="77777777" w:rsidR="00B83867" w:rsidRPr="00684CE9" w:rsidRDefault="00000000" w:rsidP="00684CE9">
      <w:pPr>
        <w:pStyle w:val="w6asjqtextbase"/>
        <w:spacing w:line="360" w:lineRule="auto"/>
        <w:jc w:val="both"/>
        <w:rPr>
          <w:rFonts w:ascii="Arial" w:hAnsi="Arial" w:cs="Arial"/>
          <w:sz w:val="22"/>
          <w:szCs w:val="22"/>
        </w:rPr>
      </w:pPr>
      <w:r w:rsidRPr="00684CE9">
        <w:rPr>
          <w:rFonts w:ascii="Arial" w:hAnsi="Arial" w:cs="Arial"/>
          <w:sz w:val="22"/>
          <w:szCs w:val="22"/>
        </w:rPr>
        <w:t xml:space="preserve">Gibbs, G. (1988) </w:t>
      </w:r>
      <w:r w:rsidRPr="00684CE9">
        <w:rPr>
          <w:rStyle w:val="w6asjqtextbase1"/>
          <w:rFonts w:ascii="Arial" w:hAnsi="Arial" w:cs="Arial"/>
          <w:sz w:val="22"/>
          <w:szCs w:val="22"/>
        </w:rPr>
        <w:t>Learning by doing: a guide to teaching and learning methods</w:t>
      </w:r>
      <w:r w:rsidRPr="00684CE9">
        <w:rPr>
          <w:rFonts w:ascii="Arial" w:hAnsi="Arial" w:cs="Arial"/>
          <w:sz w:val="22"/>
          <w:szCs w:val="22"/>
        </w:rPr>
        <w:t>. Oxford: Further Education Unit, Oxford Polytechnic.</w:t>
      </w:r>
    </w:p>
    <w:p w14:paraId="7EF7D6AA" w14:textId="77777777" w:rsidR="00B83867" w:rsidRPr="00684CE9" w:rsidRDefault="00000000" w:rsidP="00684CE9">
      <w:pPr>
        <w:pStyle w:val="NormalWeb"/>
        <w:spacing w:line="360" w:lineRule="auto"/>
        <w:jc w:val="both"/>
        <w:rPr>
          <w:rFonts w:ascii="Arial" w:hAnsi="Arial" w:cs="Arial"/>
          <w:sz w:val="22"/>
          <w:szCs w:val="22"/>
        </w:rPr>
      </w:pPr>
      <w:r w:rsidRPr="00684CE9">
        <w:rPr>
          <w:rFonts w:ascii="Arial" w:hAnsi="Arial" w:cs="Arial"/>
          <w:sz w:val="22"/>
          <w:szCs w:val="22"/>
        </w:rPr>
        <w:t xml:space="preserve">Hodge, L. et al. (2024) ‘A multiple case study exploring person-centred care in care homes’, </w:t>
      </w:r>
      <w:r w:rsidRPr="00684CE9">
        <w:rPr>
          <w:rStyle w:val="Emphasis"/>
          <w:rFonts w:ascii="Arial" w:hAnsi="Arial" w:cs="Arial"/>
          <w:sz w:val="22"/>
          <w:szCs w:val="22"/>
        </w:rPr>
        <w:t>Health &amp; Social Care in the Community</w:t>
      </w:r>
      <w:r w:rsidRPr="00684CE9">
        <w:rPr>
          <w:rFonts w:ascii="Arial" w:hAnsi="Arial" w:cs="Arial"/>
          <w:sz w:val="22"/>
          <w:szCs w:val="22"/>
        </w:rPr>
        <w:t xml:space="preserve">. </w:t>
      </w:r>
    </w:p>
    <w:p w14:paraId="04F34274" w14:textId="77777777" w:rsidR="00B83867" w:rsidRPr="00684CE9" w:rsidRDefault="00000000" w:rsidP="00684CE9">
      <w:pPr>
        <w:pStyle w:val="w6asjqtextbase"/>
        <w:spacing w:line="360" w:lineRule="auto"/>
        <w:jc w:val="both"/>
        <w:rPr>
          <w:rFonts w:ascii="Arial" w:hAnsi="Arial" w:cs="Arial"/>
          <w:sz w:val="22"/>
          <w:szCs w:val="22"/>
        </w:rPr>
      </w:pPr>
      <w:r w:rsidRPr="00684CE9">
        <w:rPr>
          <w:rFonts w:ascii="Arial" w:hAnsi="Arial" w:cs="Arial"/>
          <w:sz w:val="22"/>
          <w:szCs w:val="22"/>
        </w:rPr>
        <w:t xml:space="preserve">Health and Social Care Act 2008 (Regulated Activities) Regulations 2014, SI 2014/2936. Available at: </w:t>
      </w:r>
      <w:r w:rsidRPr="00684CE9">
        <w:rPr>
          <w:rStyle w:val="w6asjqtextbase1"/>
          <w:rFonts w:ascii="Arial" w:eastAsia="Times New Roman" w:hAnsi="Arial" w:cs="Arial"/>
          <w:sz w:val="22"/>
          <w:szCs w:val="22"/>
        </w:rPr>
        <w:t>legislation.gov.uk</w:t>
      </w:r>
      <w:r w:rsidRPr="00684CE9">
        <w:rPr>
          <w:rFonts w:ascii="Arial" w:eastAsia="Times New Roman" w:hAnsi="Arial" w:cs="Arial"/>
          <w:sz w:val="22"/>
          <w:szCs w:val="22"/>
        </w:rPr>
        <w:t>.</w:t>
      </w:r>
    </w:p>
    <w:p w14:paraId="7E5B2121" w14:textId="77777777" w:rsidR="00684CE9" w:rsidRDefault="00684CE9" w:rsidP="00684CE9">
      <w:pPr>
        <w:pStyle w:val="w6asjqtextbase"/>
        <w:spacing w:line="360" w:lineRule="auto"/>
        <w:jc w:val="both"/>
      </w:pPr>
      <w:r>
        <w:t xml:space="preserve">Kelsall-Knight, L. and Stevens, R. (2024) ‘Exploring the implementation of person-centred care in nursing practice’, </w:t>
      </w:r>
      <w:r>
        <w:rPr>
          <w:rStyle w:val="w6asjqtextbase1"/>
        </w:rPr>
        <w:t>Nursing Standard</w:t>
      </w:r>
      <w:r>
        <w:t xml:space="preserve">, 39(1), pp. 70–75. Available at: </w:t>
      </w:r>
      <w:r>
        <w:rPr>
          <w:rStyle w:val="w6asjqtextbase1"/>
          <w:rFonts w:eastAsia="Times New Roman"/>
        </w:rPr>
        <w:t>doi.org</w:t>
      </w:r>
      <w:r>
        <w:rPr>
          <w:rFonts w:eastAsia="Times New Roman"/>
        </w:rPr>
        <w:t>.</w:t>
      </w:r>
    </w:p>
    <w:p w14:paraId="03491803" w14:textId="7FEEB407" w:rsidR="00B83867" w:rsidRPr="00684CE9" w:rsidRDefault="00000000" w:rsidP="00684CE9">
      <w:pPr>
        <w:pStyle w:val="NormalWeb"/>
        <w:spacing w:line="360" w:lineRule="auto"/>
        <w:jc w:val="both"/>
        <w:rPr>
          <w:rFonts w:ascii="Arial" w:hAnsi="Arial" w:cs="Arial"/>
          <w:sz w:val="22"/>
          <w:szCs w:val="22"/>
        </w:rPr>
      </w:pPr>
      <w:r w:rsidRPr="00684CE9">
        <w:rPr>
          <w:rFonts w:ascii="Arial" w:hAnsi="Arial" w:cs="Arial"/>
          <w:sz w:val="22"/>
          <w:szCs w:val="22"/>
        </w:rPr>
        <w:t xml:space="preserve">Kelly, M. et al. (2024) ‘Applying a human rights-based approach to formal care and support provided in the home: a narrative review’, </w:t>
      </w:r>
      <w:r w:rsidRPr="00684CE9">
        <w:rPr>
          <w:rStyle w:val="Emphasis"/>
          <w:rFonts w:ascii="Arial" w:hAnsi="Arial" w:cs="Arial"/>
          <w:sz w:val="22"/>
          <w:szCs w:val="22"/>
        </w:rPr>
        <w:t>Health &amp; Social Care in the Community</w:t>
      </w:r>
      <w:r w:rsidRPr="00684CE9">
        <w:rPr>
          <w:rFonts w:ascii="Arial" w:hAnsi="Arial" w:cs="Arial"/>
          <w:sz w:val="22"/>
          <w:szCs w:val="22"/>
        </w:rPr>
        <w:t xml:space="preserve">. </w:t>
      </w:r>
    </w:p>
    <w:p w14:paraId="262AE396" w14:textId="77777777" w:rsidR="00B83867" w:rsidRDefault="00000000">
      <w:pPr>
        <w:pStyle w:val="NormalWeb"/>
        <w:spacing w:line="360" w:lineRule="auto"/>
        <w:jc w:val="both"/>
      </w:pPr>
      <w:r>
        <w:lastRenderedPageBreak/>
        <w:t xml:space="preserve">Lewis, R., Duckworth, J., Willis, D. and Yarker, J. (2024) ‘Developing a competency framework for integrated care working across healthcare, social care and allied professions’, </w:t>
      </w:r>
      <w:r>
        <w:rPr>
          <w:rStyle w:val="Emphasis"/>
        </w:rPr>
        <w:t>British Journal of Healthcare Management</w:t>
      </w:r>
      <w:r>
        <w:t xml:space="preserve">, 30(1). </w:t>
      </w:r>
    </w:p>
    <w:p w14:paraId="5669C9AF" w14:textId="77777777" w:rsidR="00B83867" w:rsidRDefault="00000000">
      <w:pPr>
        <w:pStyle w:val="NormalWeb"/>
        <w:spacing w:line="360" w:lineRule="auto"/>
        <w:jc w:val="both"/>
      </w:pPr>
      <w:r>
        <w:t xml:space="preserve">Myers, S., Collins, B. and Maguire, S. (2024) ‘Care coordination for children with a disability or developmental difficulty: empowers families and reduces the burden on staff supporting them’, </w:t>
      </w:r>
      <w:r>
        <w:rPr>
          <w:rStyle w:val="Emphasis"/>
        </w:rPr>
        <w:t>Child: Care, Health and Development</w:t>
      </w:r>
      <w:r>
        <w:t xml:space="preserve">, 50(1), e13158. </w:t>
      </w:r>
    </w:p>
    <w:p w14:paraId="30D35251" w14:textId="77777777" w:rsidR="00B83867" w:rsidRDefault="00000000">
      <w:pPr>
        <w:pStyle w:val="w6asjqtextbase"/>
        <w:spacing w:line="360" w:lineRule="auto"/>
        <w:jc w:val="both"/>
      </w:pPr>
      <w:r>
        <w:t xml:space="preserve">Maslow, A.H. (1943) ‘A theory of human motivation’, </w:t>
      </w:r>
      <w:r>
        <w:rPr>
          <w:rStyle w:val="w6asjqtextbase1"/>
        </w:rPr>
        <w:t>Psychological Review</w:t>
      </w:r>
      <w:r>
        <w:t xml:space="preserve">, 50(4), pp. 370–396. Available at: </w:t>
      </w:r>
      <w:r>
        <w:rPr>
          <w:rStyle w:val="w6asjqtextbase1"/>
          <w:rFonts w:eastAsia="Times New Roman"/>
        </w:rPr>
        <w:t>doi.org</w:t>
      </w:r>
      <w:r>
        <w:rPr>
          <w:rFonts w:eastAsia="Times New Roman"/>
        </w:rPr>
        <w:t>.</w:t>
      </w:r>
      <w:r>
        <w:t xml:space="preserve">Mental Capacity Act 2005, c. 9. Available at: </w:t>
      </w:r>
      <w:r>
        <w:rPr>
          <w:rStyle w:val="w6asjqtextbase1"/>
          <w:rFonts w:eastAsia="Times New Roman"/>
        </w:rPr>
        <w:t>legislation.gov.uk</w:t>
      </w:r>
    </w:p>
    <w:p w14:paraId="3609B43C" w14:textId="77777777" w:rsidR="00B83867" w:rsidRDefault="00000000">
      <w:pPr>
        <w:pStyle w:val="NormalWeb"/>
        <w:spacing w:line="360" w:lineRule="auto"/>
        <w:jc w:val="both"/>
      </w:pPr>
      <w:r>
        <w:t xml:space="preserve">Pieterse, A.H., Gulbrandsen, P., Ofstad, E.H. and Menichetti, J. (2023) ‘What does shared decision making ask from doctors? Uncovering suppressed qualities that could improve person-centered care’, </w:t>
      </w:r>
      <w:r>
        <w:rPr>
          <w:rStyle w:val="Emphasis"/>
        </w:rPr>
        <w:t>Patient Education and Counseling</w:t>
      </w:r>
      <w:r>
        <w:t>, 114, 107801.</w:t>
      </w:r>
    </w:p>
    <w:p w14:paraId="2D542E3A" w14:textId="77777777" w:rsidR="00B83867" w:rsidRDefault="00000000">
      <w:pPr>
        <w:pStyle w:val="NormalWeb"/>
        <w:spacing w:line="360" w:lineRule="auto"/>
        <w:jc w:val="both"/>
      </w:pPr>
      <w:r>
        <w:t xml:space="preserve">Parr, J., Wigham, S., Farr, W. </w:t>
      </w:r>
      <w:r>
        <w:rPr>
          <w:rStyle w:val="Emphasis"/>
        </w:rPr>
        <w:t>et al.</w:t>
      </w:r>
      <w:r>
        <w:t xml:space="preserve"> (2024) ‘A national research survey of childhood autism assessment services in the UK: empirical evidence of diagnostic practice, challenges and improvement opportunities’, </w:t>
      </w:r>
      <w:r>
        <w:rPr>
          <w:rStyle w:val="Emphasis"/>
        </w:rPr>
        <w:t>BMJ Paediatrics Open</w:t>
      </w:r>
      <w:r>
        <w:t xml:space="preserve">, 8, e002496. </w:t>
      </w:r>
    </w:p>
    <w:p w14:paraId="117E250A" w14:textId="77777777" w:rsidR="00B83867" w:rsidRDefault="00000000">
      <w:pPr>
        <w:pStyle w:val="NormalWeb"/>
        <w:spacing w:line="360" w:lineRule="auto"/>
        <w:jc w:val="both"/>
      </w:pPr>
      <w:r>
        <w:t xml:space="preserve">Roy, M.A., Kinlin, C., Estes, M. and MacEachern, S.J. (2024) ‘Improving patient-centred care in the emergency department: implementation of a sensory toolkit for children with autism’, </w:t>
      </w:r>
      <w:r>
        <w:rPr>
          <w:rStyle w:val="Emphasis"/>
        </w:rPr>
        <w:t>Paediatrics &amp; Child Health</w:t>
      </w:r>
      <w:r>
        <w:t>, 29(4), pp. 199–204</w:t>
      </w:r>
    </w:p>
    <w:p w14:paraId="2F5FAC6D" w14:textId="77777777" w:rsidR="00B83867" w:rsidRDefault="00B83867">
      <w:pPr>
        <w:pStyle w:val="NormalWeb"/>
        <w:spacing w:line="360" w:lineRule="auto"/>
        <w:jc w:val="both"/>
      </w:pPr>
    </w:p>
    <w:p w14:paraId="0466A97E" w14:textId="77777777" w:rsidR="00B83867" w:rsidRDefault="00B83867">
      <w:pPr>
        <w:spacing w:line="360" w:lineRule="auto"/>
        <w:jc w:val="both"/>
        <w:rPr>
          <w:rFonts w:ascii="Times New Roman" w:hAnsi="Times New Roman" w:cs="Times New Roman"/>
          <w:sz w:val="24"/>
          <w:szCs w:val="24"/>
        </w:rPr>
      </w:pPr>
    </w:p>
    <w:sectPr w:rsidR="00B838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multiLevelType w:val="multilevel"/>
    <w:tmpl w:val="2E0D6A8F"/>
    <w:lvl w:ilvl="0">
      <w:start w:val="1"/>
      <w:numFmt w:val="decimal"/>
      <w:lvlText w:val="%1."/>
      <w:lvlJc w:val="left"/>
      <w:pPr>
        <w:ind w:left="720" w:hanging="360"/>
      </w:pPr>
      <w:rPr>
        <w:rFonts w:hint="default"/>
        <w:sz w:val="24"/>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0000001"/>
    <w:multiLevelType w:val="multilevel"/>
    <w:tmpl w:val="5E442A0E"/>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2104690591">
    <w:abstractNumId w:val="0"/>
  </w:num>
  <w:num w:numId="2" w16cid:durableId="17118035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3867"/>
    <w:rsid w:val="006710D8"/>
    <w:rsid w:val="00684CE9"/>
    <w:rsid w:val="00B83867"/>
  </w:rsids>
  <m:mathPr>
    <m:mathFont m:val="Cambria Math"/>
    <m:brkBin m:val="before"/>
    <m:brkBinSub m:val="--"/>
    <m:smallFrac m:val="0"/>
    <m:dispDef/>
    <m:lMargin m:val="0"/>
    <m:rMargin m:val="0"/>
    <m:defJc m:val="centerGroup"/>
    <m:wrapIndent m:val="1440"/>
    <m:intLim m:val="subSup"/>
    <m:naryLim m:val="undOvr"/>
  </m:mathPr>
  <w:themeFontLang w:val="en-GB" w:eastAsia="zh-CN" w:bidi="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82A59B"/>
  <w15:docId w15:val="{DB64C5B7-C86D-45D2-8AFE-91B13644E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DengXian" w:hAnsi="Calibri" w:cs="DengXi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rPr>
  </w:style>
  <w:style w:type="paragraph" w:styleId="Heading1">
    <w:name w:val="heading 1"/>
    <w:basedOn w:val="Normal"/>
    <w:next w:val="Normal"/>
    <w:link w:val="Heading1Char"/>
    <w:uiPriority w:val="9"/>
    <w:qFormat/>
    <w:pPr>
      <w:keepNext/>
      <w:keepLines/>
      <w:spacing w:before="240" w:after="0"/>
      <w:outlineLvl w:val="0"/>
    </w:pPr>
    <w:rPr>
      <w:rFonts w:ascii="Calibri Light" w:eastAsia="DengXian Light" w:hAnsi="Calibri Light" w:cs="DengXian Light"/>
      <w:color w:val="2F5597"/>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Calibri Light" w:eastAsia="DengXian Light" w:hAnsi="Calibri Light" w:cs="DengXian Light"/>
      <w:color w:val="2F5597"/>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Calibri Light" w:eastAsia="DengXian Light" w:hAnsi="Calibri Light" w:cs="DengXian Light"/>
      <w:color w:val="203864"/>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paragraph" w:styleId="NormalWeb">
    <w:name w:val="Normal (Web)"/>
    <w:basedOn w:val="Normal"/>
    <w:uiPriority w:val="99"/>
    <w:qFormat/>
    <w:pPr>
      <w:spacing w:before="100" w:beforeAutospacing="1" w:after="100" w:afterAutospacing="1" w:line="240" w:lineRule="auto"/>
    </w:pPr>
    <w:rPr>
      <w:rFonts w:ascii="Times New Roman" w:hAnsi="Times New Roman" w:cs="Times New Roman"/>
      <w:sz w:val="24"/>
      <w:szCs w:val="24"/>
    </w:rPr>
  </w:style>
  <w:style w:type="character" w:styleId="Strong">
    <w:name w:val="Strong"/>
    <w:basedOn w:val="DefaultParagraphFont"/>
    <w:uiPriority w:val="22"/>
    <w:qFormat/>
    <w:rPr>
      <w:b/>
      <w:bCs/>
    </w:rPr>
  </w:style>
  <w:style w:type="paragraph" w:styleId="TOC2">
    <w:name w:val="toc 2"/>
    <w:basedOn w:val="Normal"/>
    <w:next w:val="Normal"/>
    <w:uiPriority w:val="39"/>
    <w:pPr>
      <w:ind w:leftChars="200" w:left="420"/>
    </w:pPr>
  </w:style>
  <w:style w:type="paragraph" w:styleId="TOC3">
    <w:name w:val="toc 3"/>
    <w:basedOn w:val="Normal"/>
    <w:next w:val="Normal"/>
    <w:uiPriority w:val="39"/>
    <w:pPr>
      <w:ind w:leftChars="400" w:left="840"/>
    </w:pPr>
  </w:style>
  <w:style w:type="character" w:customStyle="1" w:styleId="Heading3Char">
    <w:name w:val="Heading 3 Char"/>
    <w:basedOn w:val="DefaultParagraphFont"/>
    <w:link w:val="Heading3"/>
    <w:uiPriority w:val="9"/>
    <w:qFormat/>
    <w:rPr>
      <w:rFonts w:ascii="Calibri Light" w:eastAsia="DengXian Light" w:hAnsi="Calibri Light" w:cs="DengXian Light"/>
      <w:color w:val="203864"/>
      <w:sz w:val="24"/>
      <w:szCs w:val="24"/>
    </w:rPr>
  </w:style>
  <w:style w:type="paragraph" w:customStyle="1" w:styleId="pdq2pgselectionanchorcontainer">
    <w:name w:val="pdq2pg_selectionanchorcontainer"/>
    <w:basedOn w:val="Normal"/>
    <w:qFormat/>
    <w:pPr>
      <w:spacing w:before="100" w:beforeAutospacing="1" w:after="100" w:afterAutospacing="1" w:line="240" w:lineRule="auto"/>
    </w:pPr>
    <w:rPr>
      <w:rFonts w:ascii="Times New Roman" w:hAnsi="Times New Roman" w:cs="Times New Roman"/>
      <w:sz w:val="24"/>
      <w:szCs w:val="24"/>
    </w:rPr>
  </w:style>
  <w:style w:type="character" w:customStyle="1" w:styleId="Heading1Char">
    <w:name w:val="Heading 1 Char"/>
    <w:basedOn w:val="DefaultParagraphFont"/>
    <w:link w:val="Heading1"/>
    <w:uiPriority w:val="9"/>
    <w:qFormat/>
    <w:rPr>
      <w:rFonts w:ascii="Calibri Light" w:eastAsia="DengXian Light" w:hAnsi="Calibri Light" w:cs="DengXian Light"/>
      <w:color w:val="2F5597"/>
      <w:sz w:val="32"/>
      <w:szCs w:val="32"/>
    </w:rPr>
  </w:style>
  <w:style w:type="character" w:customStyle="1" w:styleId="Heading2Char">
    <w:name w:val="Heading 2 Char"/>
    <w:basedOn w:val="DefaultParagraphFont"/>
    <w:link w:val="Heading2"/>
    <w:uiPriority w:val="9"/>
    <w:rPr>
      <w:rFonts w:ascii="Calibri Light" w:eastAsia="DengXian Light" w:hAnsi="Calibri Light" w:cs="DengXian Light"/>
      <w:color w:val="2F5597"/>
      <w:sz w:val="26"/>
      <w:szCs w:val="26"/>
    </w:rPr>
  </w:style>
  <w:style w:type="paragraph" w:customStyle="1" w:styleId="w6asjqtextbase">
    <w:name w:val="w6asjq_textbase"/>
    <w:basedOn w:val="Normal"/>
    <w:qFormat/>
    <w:pPr>
      <w:spacing w:before="100" w:beforeAutospacing="1" w:after="100" w:afterAutospacing="1" w:line="240" w:lineRule="auto"/>
    </w:pPr>
    <w:rPr>
      <w:rFonts w:ascii="Times New Roman" w:hAnsi="Times New Roman" w:cs="Times New Roman"/>
      <w:sz w:val="24"/>
      <w:szCs w:val="24"/>
    </w:rPr>
  </w:style>
  <w:style w:type="character" w:customStyle="1" w:styleId="w6asjqtextbase1">
    <w:name w:val="w6asjq_textbase1"/>
    <w:basedOn w:val="DefaultParagraphFont"/>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12</Pages>
  <Words>3281</Words>
  <Characters>18707</Characters>
  <Application>Microsoft Office Word</Application>
  <DocSecurity>0</DocSecurity>
  <Lines>155</Lines>
  <Paragraphs>43</Paragraphs>
  <ScaleCrop>false</ScaleCrop>
  <Company/>
  <LinksUpToDate>false</LinksUpToDate>
  <CharactersWithSpaces>21945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Dolapo Mary</dc:creator>
  <cp:lastModifiedBy>Yvonne Cynthia Annobea Annan</cp:lastModifiedBy>
  <cp:revision>45</cp:revision>
  <dcterms:created xsi:type="dcterms:W3CDTF">2026-10-20T06:27:00Z</dcterms:created>
  <dcterms:modified xsi:type="dcterms:W3CDTF">2026-10-23T23:48:00Z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eyJoZGlkIjoiZWYwZTg2MmU2M2I0YjZiYjBhNjUyNmU3YTA1YzE4MDkiLCJ1c2VySWQiOiIzODY1ODgzMjM4OTYxIn0=</vt:lpwstr>
  </property>
  <property fmtid="{D5CDD505-2E9C-101B-9397-08002B2CF9AE}" pid="3" name="KSOProductBuildVer">
    <vt:lpwstr>1033-12.1.0.28099</vt:lpwstr>
  </property>
  <property fmtid="{D5CDD505-2E9C-101B-9397-08002B2CF9AE}" pid="4" name="ICV">
    <vt:lpwstr>2e4452697f714968948a740a72ef00bb_23</vt:lpwstr>
  </property>
</Properties>
</file>