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2C40E9">
      <w:pPr>
        <w:jc w:val="center"/>
        <w:rPr>
          <w:rFonts w:ascii="Arial" w:hAnsi="Arial" w:cs="Arial"/>
          <w:b/>
          <w:bCs/>
        </w:rPr>
      </w:pPr>
    </w:p>
    <w:p w14:paraId="631AD992">
      <w:pPr>
        <w:jc w:val="center"/>
        <w:rPr>
          <w:rFonts w:ascii="Arial" w:hAnsi="Arial" w:cs="Arial"/>
          <w:b/>
          <w:bCs/>
        </w:rPr>
      </w:pPr>
    </w:p>
    <w:p w14:paraId="28D0EF7B">
      <w:pPr>
        <w:jc w:val="center"/>
        <w:rPr>
          <w:rFonts w:ascii="Arial" w:hAnsi="Arial" w:cs="Arial"/>
          <w:b/>
          <w:bCs/>
        </w:rPr>
      </w:pPr>
    </w:p>
    <w:p w14:paraId="33572746">
      <w:pPr>
        <w:jc w:val="center"/>
        <w:rPr>
          <w:rFonts w:ascii="Arial" w:hAnsi="Arial" w:cs="Arial"/>
          <w:b/>
          <w:bCs/>
        </w:rPr>
      </w:pPr>
    </w:p>
    <w:p w14:paraId="268F86F4">
      <w:pPr>
        <w:jc w:val="center"/>
        <w:rPr>
          <w:rFonts w:ascii="Arial" w:hAnsi="Arial" w:cs="Arial"/>
          <w:b/>
          <w:bCs/>
        </w:rPr>
      </w:pPr>
    </w:p>
    <w:p w14:paraId="649E7C60">
      <w:pPr>
        <w:spacing w:line="480" w:lineRule="auto"/>
        <w:jc w:val="center"/>
        <w:rPr>
          <w:rFonts w:ascii="Arial" w:hAnsi="Arial" w:cs="Arial"/>
          <w:b/>
          <w:bCs/>
        </w:rPr>
      </w:pPr>
      <w:r>
        <w:rPr>
          <w:rFonts w:ascii="Arial" w:hAnsi="Arial" w:cs="Arial"/>
          <w:b/>
          <w:bCs/>
        </w:rPr>
        <w:t>Course:</w:t>
      </w:r>
      <w:r>
        <w:rPr>
          <w:rFonts w:ascii="Arial" w:hAnsi="Arial" w:cs="Arial"/>
        </w:rPr>
        <w:t xml:space="preserve"> BSc (Hons) Health and Social Care</w:t>
      </w:r>
      <w:r>
        <w:rPr>
          <w:rFonts w:ascii="Arial" w:hAnsi="Arial" w:cs="Arial"/>
        </w:rPr>
        <w:br w:type="textWrapping"/>
      </w:r>
      <w:r>
        <w:rPr>
          <w:rFonts w:ascii="Arial" w:hAnsi="Arial" w:cs="Arial"/>
          <w:b/>
          <w:bCs/>
        </w:rPr>
        <w:t>Module:</w:t>
      </w:r>
      <w:r>
        <w:rPr>
          <w:rFonts w:ascii="Arial" w:hAnsi="Arial" w:cs="Arial"/>
        </w:rPr>
        <w:t xml:space="preserve"> Independent Project (BMHP6020)</w:t>
      </w:r>
      <w:r>
        <w:rPr>
          <w:rFonts w:ascii="Arial" w:hAnsi="Arial" w:cs="Arial"/>
        </w:rPr>
        <w:br w:type="textWrapping"/>
      </w:r>
      <w:r>
        <w:rPr>
          <w:rFonts w:ascii="Arial" w:hAnsi="Arial" w:cs="Arial"/>
          <w:b/>
          <w:bCs/>
        </w:rPr>
        <w:t>Element 1:</w:t>
      </w:r>
      <w:r>
        <w:rPr>
          <w:rFonts w:ascii="Arial" w:hAnsi="Arial" w:cs="Arial"/>
        </w:rPr>
        <w:t xml:space="preserve"> Project Proposal</w:t>
      </w:r>
      <w:r>
        <w:rPr>
          <w:rFonts w:ascii="Arial" w:hAnsi="Arial" w:cs="Arial"/>
        </w:rPr>
        <w:br w:type="textWrapping"/>
      </w:r>
      <w:r>
        <w:rPr>
          <w:rFonts w:ascii="Arial" w:hAnsi="Arial" w:cs="Arial"/>
          <w:b/>
          <w:bCs/>
        </w:rPr>
        <w:t>Student name:</w:t>
      </w:r>
      <w:r>
        <w:rPr>
          <w:rFonts w:ascii="Arial" w:hAnsi="Arial" w:cs="Arial"/>
        </w:rPr>
        <w:t xml:space="preserve"> </w:t>
      </w:r>
      <w:r>
        <w:rPr>
          <w:rFonts w:ascii="Arial" w:hAnsi="Arial" w:cs="Arial"/>
          <w:lang w:val="en"/>
          <w:woUserID w:val="1"/>
        </w:rPr>
        <w:t>Pavlin Enchev</w:t>
      </w:r>
      <w:r>
        <w:rPr>
          <w:rFonts w:ascii="Arial" w:hAnsi="Arial" w:cs="Arial"/>
        </w:rPr>
        <w:br w:type="textWrapping"/>
      </w:r>
      <w:r>
        <w:rPr>
          <w:rFonts w:ascii="Arial" w:hAnsi="Arial" w:cs="Arial"/>
          <w:b/>
          <w:bCs/>
        </w:rPr>
        <w:t>Student ID:</w:t>
      </w:r>
      <w:r>
        <w:rPr>
          <w:rFonts w:ascii="Arial" w:hAnsi="Arial" w:cs="Arial"/>
        </w:rPr>
        <w:t xml:space="preserve"> </w:t>
      </w:r>
      <w:r>
        <w:rPr>
          <w:rFonts w:ascii="Arial" w:hAnsi="Arial" w:cs="Arial"/>
          <w:lang w:val="en"/>
          <w:woUserID w:val="1"/>
        </w:rPr>
        <w:t>2327272</w:t>
      </w:r>
      <w:r>
        <w:rPr>
          <w:rFonts w:ascii="Arial" w:hAnsi="Arial" w:cs="Arial"/>
        </w:rPr>
        <w:br w:type="textWrapping"/>
      </w:r>
      <w:r>
        <w:rPr>
          <w:rFonts w:ascii="Arial" w:hAnsi="Arial" w:cs="Arial"/>
          <w:b/>
          <w:bCs/>
        </w:rPr>
        <w:t>Date of submission:</w:t>
      </w:r>
      <w:r>
        <w:rPr>
          <w:rFonts w:hint="default" w:ascii="Arial" w:hAnsi="Arial" w:cs="Arial"/>
          <w:b/>
          <w:bCs/>
          <w:lang w:val="en-GB"/>
        </w:rPr>
        <w:t xml:space="preserve"> 26</w:t>
      </w:r>
      <w:bookmarkStart w:id="0" w:name="_GoBack"/>
      <w:bookmarkEnd w:id="0"/>
      <w:r>
        <w:rPr>
          <w:rFonts w:hint="default" w:ascii="Arial" w:hAnsi="Arial" w:cs="Arial"/>
          <w:b/>
          <w:bCs/>
          <w:lang w:val="en-GB"/>
        </w:rPr>
        <w:t>.10</w:t>
      </w:r>
      <w:r>
        <w:rPr>
          <w:rFonts w:hint="default" w:ascii="Arial" w:hAnsi="Arial" w:cs="Arial"/>
          <w:lang w:val="en-GB"/>
          <w:woUserID w:val="1"/>
        </w:rPr>
        <w:t>.2026</w:t>
      </w:r>
      <w:r>
        <w:rPr>
          <w:rFonts w:ascii="Arial" w:hAnsi="Arial" w:cs="Arial"/>
          <w:b/>
          <w:bCs/>
        </w:rPr>
        <w:br w:type="page"/>
      </w:r>
    </w:p>
    <w:p w14:paraId="52F3BE86">
      <w:pPr>
        <w:spacing w:line="480" w:lineRule="auto"/>
        <w:rPr>
          <w:rFonts w:ascii="Arial" w:hAnsi="Arial" w:cs="Arial"/>
          <w:b/>
          <w:bCs/>
        </w:rPr>
      </w:pPr>
      <w:r>
        <w:rPr>
          <w:rFonts w:ascii="Arial" w:hAnsi="Arial" w:cs="Arial"/>
          <w:b/>
          <w:bCs/>
        </w:rPr>
        <w:t xml:space="preserve">My project title: </w:t>
      </w:r>
      <w:r>
        <w:rPr>
          <w:rFonts w:ascii="Arial" w:hAnsi="Arial" w:cs="Arial"/>
          <w:b/>
          <w:bCs/>
          <w:i/>
          <w:iCs/>
        </w:rPr>
        <w:t>Strategic Health Management and Organisational Culture in UK Healthcare Organisations</w:t>
      </w:r>
    </w:p>
    <w:p w14:paraId="6BE10D8B">
      <w:pPr>
        <w:spacing w:line="480" w:lineRule="auto"/>
        <w:rPr>
          <w:rFonts w:ascii="Arial" w:hAnsi="Arial" w:cs="Arial"/>
          <w:b/>
          <w:bCs/>
        </w:rPr>
      </w:pPr>
      <w:r>
        <w:rPr>
          <w:rFonts w:ascii="Arial" w:hAnsi="Arial" w:cs="Arial"/>
          <w:b/>
          <w:bCs/>
        </w:rPr>
        <w:t>1. Aim</w:t>
      </w:r>
    </w:p>
    <w:p w14:paraId="33D178CB">
      <w:pPr>
        <w:spacing w:line="480" w:lineRule="auto"/>
        <w:rPr>
          <w:rFonts w:ascii="Arial" w:hAnsi="Arial" w:cs="Arial"/>
        </w:rPr>
      </w:pPr>
      <w:r>
        <w:rPr>
          <w:rFonts w:ascii="Arial" w:hAnsi="Arial" w:cs="Arial"/>
        </w:rPr>
        <w:t>To examine the effects of strategic health management and organisational culture on staff performance, quality of service and patient care in UK healthcare organisations, in particular in the NHS.</w:t>
      </w:r>
    </w:p>
    <w:p w14:paraId="0613E1C9">
      <w:pPr>
        <w:spacing w:line="480" w:lineRule="auto"/>
        <w:rPr>
          <w:rFonts w:ascii="Arial" w:hAnsi="Arial" w:cs="Arial"/>
          <w:b/>
          <w:bCs/>
        </w:rPr>
      </w:pPr>
      <w:r>
        <w:rPr>
          <w:rFonts w:ascii="Arial" w:hAnsi="Arial" w:cs="Arial"/>
          <w:b/>
          <w:bCs/>
        </w:rPr>
        <w:t>2. Objectives</w:t>
      </w:r>
    </w:p>
    <w:p w14:paraId="43C98DEC">
      <w:pPr>
        <w:numPr>
          <w:ilvl w:val="0"/>
          <w:numId w:val="1"/>
        </w:numPr>
        <w:spacing w:line="480" w:lineRule="auto"/>
        <w:rPr>
          <w:rFonts w:ascii="Arial" w:hAnsi="Arial" w:cs="Arial"/>
        </w:rPr>
      </w:pPr>
      <w:r>
        <w:rPr>
          <w:rFonts w:ascii="Arial" w:hAnsi="Arial" w:cs="Arial"/>
        </w:rPr>
        <w:t>To explore the relationship of strategic management, leadership, and organisational culture in UK healthcare.</w:t>
      </w:r>
    </w:p>
    <w:p w14:paraId="26566F87">
      <w:pPr>
        <w:numPr>
          <w:ilvl w:val="0"/>
          <w:numId w:val="1"/>
        </w:numPr>
        <w:spacing w:line="480" w:lineRule="auto"/>
        <w:rPr>
          <w:rFonts w:ascii="Arial" w:hAnsi="Arial" w:cs="Arial"/>
        </w:rPr>
      </w:pPr>
      <w:r>
        <w:rPr>
          <w:rFonts w:ascii="Arial" w:hAnsi="Arial" w:cs="Arial"/>
        </w:rPr>
        <w:t>To examine how workplace culture affects staff motivation, teamwork and the quality of patient care.</w:t>
      </w:r>
    </w:p>
    <w:p w14:paraId="5D014AE2">
      <w:pPr>
        <w:numPr>
          <w:ilvl w:val="0"/>
          <w:numId w:val="1"/>
        </w:numPr>
        <w:spacing w:line="480" w:lineRule="auto"/>
        <w:rPr>
          <w:rFonts w:ascii="Arial" w:hAnsi="Arial" w:cs="Arial"/>
        </w:rPr>
      </w:pPr>
      <w:r>
        <w:rPr>
          <w:rFonts w:ascii="Arial" w:hAnsi="Arial" w:cs="Arial"/>
        </w:rPr>
        <w:t>To identify management approaches that foster organisational cultures that are conducive to care provision.</w:t>
      </w:r>
    </w:p>
    <w:p w14:paraId="15A2ACD3">
      <w:pPr>
        <w:spacing w:line="480" w:lineRule="auto"/>
        <w:rPr>
          <w:rFonts w:ascii="Arial" w:hAnsi="Arial" w:cs="Arial"/>
          <w:b/>
          <w:bCs/>
        </w:rPr>
      </w:pPr>
      <w:r>
        <w:rPr>
          <w:rFonts w:ascii="Arial" w:hAnsi="Arial" w:cs="Arial"/>
          <w:b/>
          <w:bCs/>
        </w:rPr>
        <w:t>3. Background/Rationale</w:t>
      </w:r>
    </w:p>
    <w:p w14:paraId="1CCCE3A3">
      <w:pPr>
        <w:spacing w:line="480" w:lineRule="auto"/>
        <w:rPr>
          <w:rFonts w:ascii="Arial" w:hAnsi="Arial" w:cs="Arial"/>
        </w:rPr>
      </w:pPr>
      <w:r>
        <w:rPr>
          <w:rFonts w:ascii="Arial" w:hAnsi="Arial" w:cs="Arial"/>
        </w:rPr>
        <w:t>There are different types of strategic health management including planning, organising, and utilising assets to meet health care objectives (Huebner and Flessa, 2022). The culture of a health organisation is the collective principles, beliefs, and behaviours that affect how staff interact with one another. This matter because health organisations must constantly improve, effectively manage resources and not lose sight of their staff.</w:t>
      </w:r>
    </w:p>
    <w:p w14:paraId="7B45948A">
      <w:pPr>
        <w:spacing w:line="480" w:lineRule="auto"/>
        <w:rPr>
          <w:rFonts w:ascii="Arial" w:hAnsi="Arial" w:cs="Arial"/>
        </w:rPr>
      </w:pPr>
      <w:r>
        <w:rPr>
          <w:rFonts w:ascii="Arial" w:hAnsi="Arial" w:cs="Arial"/>
        </w:rPr>
        <w:t>As NHS England (2023), compassionate and inclusive leadership has a role in developing positive working environments. The King's Fund (2025) also refers to staff wellbeing, leadership support and staff engagement as a means to improve work conditions. Meanwhile, a range of workplace issues like poor communication, workload, and workplace behaviours can hinder staff providing quality care (Aunger et al., 2023).</w:t>
      </w:r>
    </w:p>
    <w:p w14:paraId="37607868">
      <w:pPr>
        <w:spacing w:line="480" w:lineRule="auto"/>
        <w:rPr>
          <w:rFonts w:ascii="Arial" w:hAnsi="Arial" w:cs="Arial"/>
        </w:rPr>
      </w:pPr>
      <w:r>
        <w:rPr>
          <w:rFonts w:ascii="Arial" w:hAnsi="Arial" w:cs="Arial"/>
        </w:rPr>
        <w:t>This project is significant because strategic management involves more than just meeting targets. It also takes a workplace culture that supports staff, encourages learning, and puts patients at the centre of decisions. Understanding this relationship may help identify practical ways to improve healthcare management and service delivery.</w:t>
      </w:r>
    </w:p>
    <w:p w14:paraId="0AF7F471">
      <w:pPr>
        <w:spacing w:line="480" w:lineRule="auto"/>
        <w:rPr>
          <w:rFonts w:ascii="Arial" w:hAnsi="Arial" w:cs="Arial"/>
          <w:b/>
          <w:bCs/>
        </w:rPr>
      </w:pPr>
      <w:r>
        <w:rPr>
          <w:rFonts w:ascii="Arial" w:hAnsi="Arial" w:cs="Arial"/>
          <w:b/>
          <w:bCs/>
        </w:rPr>
        <w:t>4. Methods</w:t>
      </w:r>
    </w:p>
    <w:p w14:paraId="6569518A">
      <w:pPr>
        <w:spacing w:line="480" w:lineRule="auto"/>
        <w:rPr>
          <w:rFonts w:ascii="Arial" w:hAnsi="Arial" w:cs="Arial"/>
        </w:rPr>
      </w:pPr>
      <w:r>
        <w:rPr>
          <w:rFonts w:ascii="Arial" w:hAnsi="Arial" w:cs="Arial"/>
        </w:rPr>
        <w:t xml:space="preserve">The project will adopt a secondary research approach, which will employ a literature review. Primary data will not be gathered. Academic journal articles, books, and important UK healthcare reports will be searched on </w:t>
      </w:r>
      <w:r>
        <w:rPr>
          <w:rFonts w:ascii="Arial" w:hAnsi="Arial" w:cs="Arial"/>
          <w:i/>
          <w:iCs/>
        </w:rPr>
        <w:t>Google Scholar, CINAHL, and PubMed</w:t>
      </w:r>
      <w:r>
        <w:rPr>
          <w:rFonts w:ascii="Arial" w:hAnsi="Arial" w:cs="Arial"/>
        </w:rPr>
        <w:t>. The search will be conducted by strategic health management, organisation culture, healthcare leadership, staff performance and patient care as key words. The sources will be screened for relevance, credibility, and publication date; the search results will then be grouped and compared as themes to identify similarities, differences, and gaps in the evidence.</w:t>
      </w:r>
    </w:p>
    <w:p w14:paraId="146A07B5">
      <w:pPr>
        <w:spacing w:line="480" w:lineRule="auto"/>
        <w:rPr>
          <w:rFonts w:ascii="Arial" w:hAnsi="Arial" w:cs="Arial"/>
          <w:b/>
          <w:bCs/>
        </w:rPr>
      </w:pPr>
      <w:r>
        <w:rPr>
          <w:rFonts w:ascii="Arial" w:hAnsi="Arial" w:cs="Arial"/>
          <w:b/>
          <w:bCs/>
        </w:rPr>
        <w:t>5. Resources</w:t>
      </w:r>
    </w:p>
    <w:p w14:paraId="42B665CC">
      <w:pPr>
        <w:spacing w:line="480" w:lineRule="auto"/>
        <w:rPr>
          <w:rFonts w:ascii="Arial" w:hAnsi="Arial" w:cs="Arial"/>
        </w:rPr>
      </w:pPr>
      <w:r>
        <w:rPr>
          <w:rFonts w:ascii="Arial" w:hAnsi="Arial" w:cs="Arial"/>
        </w:rPr>
        <w:t>Resources will involve journal papers, reports of various healthcare sectors, the university library, software for word processing, internet sources. Harvard referencing guidance will be used as a template to properly reference sources.</w:t>
      </w:r>
    </w:p>
    <w:p w14:paraId="2F7B2FA2">
      <w:pPr>
        <w:rPr>
          <w:rFonts w:ascii="Arial" w:hAnsi="Arial" w:cs="Arial"/>
          <w:b/>
          <w:bCs/>
          <w:sz w:val="28"/>
          <w:szCs w:val="28"/>
        </w:rPr>
      </w:pPr>
      <w:r>
        <w:rPr>
          <w:rFonts w:ascii="Arial" w:hAnsi="Arial" w:cs="Arial"/>
          <w:b/>
          <w:bCs/>
        </w:rPr>
        <w:t xml:space="preserve">6. </w:t>
      </w:r>
      <w:r>
        <w:t>Timescale:</w:t>
      </w:r>
    </w:p>
    <w:tbl>
      <w:tblPr>
        <w:tblStyle w:val="15"/>
        <w:tblW w:w="9782" w:type="dxa"/>
        <w:tblInd w:w="-2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17"/>
        <w:gridCol w:w="1469"/>
        <w:gridCol w:w="1474"/>
        <w:gridCol w:w="1503"/>
        <w:gridCol w:w="1578"/>
        <w:gridCol w:w="1541"/>
      </w:tblGrid>
      <w:tr w14:paraId="635EE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17" w:type="dxa"/>
          </w:tcPr>
          <w:p w14:paraId="41A16392">
            <w:pPr>
              <w:spacing w:after="0"/>
              <w:rPr>
                <w:rFonts w:ascii="Arial" w:hAnsi="Arial" w:cs="Arial"/>
                <w:b/>
                <w:bCs/>
              </w:rPr>
            </w:pPr>
            <w:r>
              <w:rPr>
                <w:rFonts w:ascii="Arial" w:hAnsi="Arial" w:cs="Arial"/>
                <w:b/>
                <w:bCs/>
              </w:rPr>
              <w:t xml:space="preserve">Chapter </w:t>
            </w:r>
          </w:p>
        </w:tc>
        <w:tc>
          <w:tcPr>
            <w:tcW w:w="1469" w:type="dxa"/>
          </w:tcPr>
          <w:p w14:paraId="6775C0C9">
            <w:pPr>
              <w:spacing w:after="0"/>
              <w:rPr>
                <w:rFonts w:hint="default" w:ascii="Arial" w:hAnsi="Arial" w:cs="Arial"/>
                <w:b/>
                <w:bCs/>
                <w:color w:val="000000" w:themeColor="text1"/>
                <w:lang w:val="en-GB"/>
                <w14:textFill>
                  <w14:solidFill>
                    <w14:schemeClr w14:val="tx1"/>
                  </w14:solidFill>
                </w14:textFill>
              </w:rPr>
            </w:pPr>
          </w:p>
        </w:tc>
        <w:tc>
          <w:tcPr>
            <w:tcW w:w="1474" w:type="dxa"/>
          </w:tcPr>
          <w:p w14:paraId="2B71DCAD">
            <w:pPr>
              <w:spacing w:after="0"/>
              <w:rPr>
                <w:rFonts w:ascii="Arial" w:hAnsi="Arial" w:cs="Arial"/>
                <w:color w:val="000000" w:themeColor="text1"/>
                <w14:textFill>
                  <w14:solidFill>
                    <w14:schemeClr w14:val="tx1"/>
                  </w14:solidFill>
                </w14:textFill>
              </w:rPr>
            </w:pPr>
          </w:p>
        </w:tc>
        <w:tc>
          <w:tcPr>
            <w:tcW w:w="1503" w:type="dxa"/>
          </w:tcPr>
          <w:p w14:paraId="4A2BA3C7">
            <w:pPr>
              <w:spacing w:after="0"/>
              <w:rPr>
                <w:rFonts w:ascii="Arial" w:hAnsi="Arial" w:cs="Arial"/>
                <w:color w:val="000000" w:themeColor="text1"/>
                <w14:textFill>
                  <w14:solidFill>
                    <w14:schemeClr w14:val="tx1"/>
                  </w14:solidFill>
                </w14:textFill>
              </w:rPr>
            </w:pPr>
          </w:p>
        </w:tc>
        <w:tc>
          <w:tcPr>
            <w:tcW w:w="1578" w:type="dxa"/>
          </w:tcPr>
          <w:p w14:paraId="0736D559">
            <w:pPr>
              <w:spacing w:after="0"/>
              <w:rPr>
                <w:rFonts w:ascii="Arial" w:hAnsi="Arial" w:cs="Arial"/>
                <w:color w:val="000000" w:themeColor="text1"/>
                <w14:textFill>
                  <w14:solidFill>
                    <w14:schemeClr w14:val="tx1"/>
                  </w14:solidFill>
                </w14:textFill>
              </w:rPr>
            </w:pPr>
          </w:p>
        </w:tc>
        <w:tc>
          <w:tcPr>
            <w:tcW w:w="1541" w:type="dxa"/>
          </w:tcPr>
          <w:p w14:paraId="5DA378D1">
            <w:pPr>
              <w:spacing w:after="0"/>
              <w:rPr>
                <w:rFonts w:ascii="Arial" w:hAnsi="Arial" w:cs="Arial"/>
                <w:color w:val="000000" w:themeColor="text1"/>
                <w14:textFill>
                  <w14:solidFill>
                    <w14:schemeClr w14:val="tx1"/>
                  </w14:solidFill>
                </w14:textFill>
              </w:rPr>
            </w:pPr>
          </w:p>
        </w:tc>
      </w:tr>
      <w:tr w14:paraId="6614E7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17" w:type="dxa"/>
          </w:tcPr>
          <w:p w14:paraId="49DE95F4">
            <w:pPr>
              <w:spacing w:after="0"/>
              <w:rPr>
                <w:rFonts w:ascii="Arial" w:hAnsi="Arial" w:cs="Arial"/>
              </w:rPr>
            </w:pPr>
            <w:r>
              <w:rPr>
                <w:rFonts w:ascii="Arial" w:hAnsi="Arial" w:cs="Arial"/>
              </w:rPr>
              <w:t>Chapter:1</w:t>
            </w:r>
          </w:p>
          <w:p w14:paraId="7B2B9F8F">
            <w:pPr>
              <w:spacing w:after="0"/>
              <w:rPr>
                <w:rFonts w:ascii="Arial" w:hAnsi="Arial" w:cs="Arial"/>
              </w:rPr>
            </w:pPr>
            <w:r>
              <w:rPr>
                <w:rFonts w:ascii="Arial" w:hAnsi="Arial" w:cs="Arial"/>
              </w:rPr>
              <w:t>Introduction</w:t>
            </w:r>
          </w:p>
          <w:p w14:paraId="53951CB2">
            <w:pPr>
              <w:spacing w:after="0"/>
              <w:rPr>
                <w:rFonts w:ascii="Arial" w:hAnsi="Arial" w:cs="Arial"/>
              </w:rPr>
            </w:pPr>
          </w:p>
        </w:tc>
        <w:tc>
          <w:tcPr>
            <w:tcW w:w="1469" w:type="dxa"/>
            <w:shd w:val="clear" w:color="auto" w:fill="4472C4" w:themeFill="accent1"/>
          </w:tcPr>
          <w:p w14:paraId="1A7ABA4C">
            <w:pPr>
              <w:spacing w:after="0"/>
              <w:rPr>
                <w:rFonts w:hint="default" w:ascii="Arial" w:hAnsi="Arial" w:cs="Arial"/>
                <w:b/>
                <w:bCs/>
                <w:lang w:val="en-GB"/>
              </w:rPr>
            </w:pPr>
            <w:r>
              <w:rPr>
                <w:rFonts w:hint="default" w:ascii="Arial" w:hAnsi="Arial" w:cs="Arial"/>
                <w:b/>
                <w:bCs/>
                <w:lang w:val="en-GB"/>
              </w:rPr>
              <w:t>20.10.2026</w:t>
            </w:r>
          </w:p>
          <w:p w14:paraId="7149C315">
            <w:pPr>
              <w:spacing w:after="0"/>
              <w:rPr>
                <w:rFonts w:ascii="Arial" w:hAnsi="Arial" w:cs="Arial"/>
                <w:b/>
                <w:bCs/>
              </w:rPr>
            </w:pPr>
          </w:p>
          <w:p w14:paraId="35CDF5CA">
            <w:pPr>
              <w:spacing w:after="0"/>
              <w:rPr>
                <w:rFonts w:ascii="Arial" w:hAnsi="Arial" w:cs="Arial"/>
                <w:b/>
                <w:bCs/>
              </w:rPr>
            </w:pPr>
          </w:p>
          <w:p w14:paraId="395B1548">
            <w:pPr>
              <w:spacing w:after="0"/>
              <w:rPr>
                <w:rFonts w:ascii="Arial" w:hAnsi="Arial" w:cs="Arial"/>
                <w:b/>
                <w:bCs/>
              </w:rPr>
            </w:pPr>
          </w:p>
        </w:tc>
        <w:tc>
          <w:tcPr>
            <w:tcW w:w="1474" w:type="dxa"/>
          </w:tcPr>
          <w:p w14:paraId="764C4F42">
            <w:pPr>
              <w:spacing w:after="0"/>
              <w:rPr>
                <w:rFonts w:ascii="Arial" w:hAnsi="Arial" w:cs="Arial"/>
                <w:b/>
                <w:bCs/>
              </w:rPr>
            </w:pPr>
          </w:p>
        </w:tc>
        <w:tc>
          <w:tcPr>
            <w:tcW w:w="1503" w:type="dxa"/>
          </w:tcPr>
          <w:p w14:paraId="68898A97">
            <w:pPr>
              <w:spacing w:after="0"/>
              <w:rPr>
                <w:rFonts w:ascii="Arial" w:hAnsi="Arial" w:cs="Arial"/>
                <w:b/>
                <w:bCs/>
              </w:rPr>
            </w:pPr>
          </w:p>
        </w:tc>
        <w:tc>
          <w:tcPr>
            <w:tcW w:w="1578" w:type="dxa"/>
          </w:tcPr>
          <w:p w14:paraId="7F96A72E">
            <w:pPr>
              <w:spacing w:after="0"/>
              <w:rPr>
                <w:rFonts w:ascii="Arial" w:hAnsi="Arial" w:cs="Arial"/>
                <w:b/>
                <w:bCs/>
              </w:rPr>
            </w:pPr>
          </w:p>
        </w:tc>
        <w:tc>
          <w:tcPr>
            <w:tcW w:w="1541" w:type="dxa"/>
          </w:tcPr>
          <w:p w14:paraId="5198983B">
            <w:pPr>
              <w:spacing w:after="0"/>
              <w:rPr>
                <w:rFonts w:ascii="Arial" w:hAnsi="Arial" w:cs="Arial"/>
                <w:b/>
                <w:bCs/>
              </w:rPr>
            </w:pPr>
          </w:p>
        </w:tc>
      </w:tr>
      <w:tr w14:paraId="100033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17" w:type="dxa"/>
          </w:tcPr>
          <w:p w14:paraId="4B00F734">
            <w:pPr>
              <w:spacing w:after="0"/>
              <w:rPr>
                <w:rFonts w:ascii="Arial" w:hAnsi="Arial" w:cs="Arial"/>
              </w:rPr>
            </w:pPr>
            <w:r>
              <w:rPr>
                <w:rFonts w:ascii="Arial" w:hAnsi="Arial" w:cs="Arial"/>
              </w:rPr>
              <w:t>Chapter 2:</w:t>
            </w:r>
          </w:p>
          <w:p w14:paraId="7F187575">
            <w:pPr>
              <w:spacing w:after="0"/>
              <w:rPr>
                <w:rFonts w:ascii="Arial" w:hAnsi="Arial" w:cs="Arial"/>
              </w:rPr>
            </w:pPr>
            <w:r>
              <w:rPr>
                <w:rFonts w:ascii="Arial" w:hAnsi="Arial" w:cs="Arial"/>
              </w:rPr>
              <w:t>Background</w:t>
            </w:r>
          </w:p>
          <w:p w14:paraId="685EF519">
            <w:pPr>
              <w:spacing w:after="0"/>
              <w:rPr>
                <w:rFonts w:ascii="Arial" w:hAnsi="Arial" w:cs="Arial"/>
              </w:rPr>
            </w:pPr>
          </w:p>
        </w:tc>
        <w:tc>
          <w:tcPr>
            <w:tcW w:w="1469" w:type="dxa"/>
          </w:tcPr>
          <w:p w14:paraId="1DEDB9FE">
            <w:pPr>
              <w:spacing w:after="0"/>
              <w:rPr>
                <w:rFonts w:ascii="Arial" w:hAnsi="Arial" w:cs="Arial"/>
                <w:b/>
                <w:bCs/>
              </w:rPr>
            </w:pPr>
          </w:p>
          <w:p w14:paraId="44050D0E">
            <w:pPr>
              <w:spacing w:after="0"/>
              <w:rPr>
                <w:rFonts w:ascii="Arial" w:hAnsi="Arial" w:cs="Arial"/>
                <w:b/>
                <w:bCs/>
              </w:rPr>
            </w:pPr>
          </w:p>
          <w:p w14:paraId="10D2AC61">
            <w:pPr>
              <w:spacing w:after="0"/>
              <w:rPr>
                <w:rFonts w:ascii="Arial" w:hAnsi="Arial" w:cs="Arial"/>
                <w:b/>
                <w:bCs/>
              </w:rPr>
            </w:pPr>
          </w:p>
          <w:p w14:paraId="7D2BB3FD">
            <w:pPr>
              <w:spacing w:after="0"/>
              <w:rPr>
                <w:rFonts w:ascii="Arial" w:hAnsi="Arial" w:cs="Arial"/>
                <w:b/>
                <w:bCs/>
              </w:rPr>
            </w:pPr>
          </w:p>
        </w:tc>
        <w:tc>
          <w:tcPr>
            <w:tcW w:w="1474" w:type="dxa"/>
            <w:shd w:val="clear" w:color="auto" w:fill="4472C4" w:themeFill="accent1"/>
          </w:tcPr>
          <w:p w14:paraId="10A4FE4E">
            <w:pPr>
              <w:spacing w:after="0"/>
              <w:rPr>
                <w:rFonts w:hint="default" w:ascii="Arial" w:hAnsi="Arial" w:cs="Arial"/>
                <w:b/>
                <w:bCs/>
                <w:lang w:val="en-GB"/>
              </w:rPr>
            </w:pPr>
            <w:r>
              <w:rPr>
                <w:rFonts w:hint="default" w:ascii="Arial" w:hAnsi="Arial" w:cs="Arial"/>
                <w:b/>
                <w:bCs/>
                <w:lang w:val="en-GB"/>
              </w:rPr>
              <w:t>20.11.2026</w:t>
            </w:r>
          </w:p>
        </w:tc>
        <w:tc>
          <w:tcPr>
            <w:tcW w:w="1503" w:type="dxa"/>
          </w:tcPr>
          <w:p w14:paraId="24BCA086">
            <w:pPr>
              <w:spacing w:after="0"/>
              <w:rPr>
                <w:rFonts w:ascii="Arial" w:hAnsi="Arial" w:cs="Arial"/>
                <w:b/>
                <w:bCs/>
              </w:rPr>
            </w:pPr>
          </w:p>
        </w:tc>
        <w:tc>
          <w:tcPr>
            <w:tcW w:w="1578" w:type="dxa"/>
          </w:tcPr>
          <w:p w14:paraId="7366F245">
            <w:pPr>
              <w:spacing w:after="0"/>
              <w:rPr>
                <w:rFonts w:ascii="Arial" w:hAnsi="Arial" w:cs="Arial"/>
                <w:b/>
                <w:bCs/>
              </w:rPr>
            </w:pPr>
          </w:p>
        </w:tc>
        <w:tc>
          <w:tcPr>
            <w:tcW w:w="1541" w:type="dxa"/>
          </w:tcPr>
          <w:p w14:paraId="4F6926BE">
            <w:pPr>
              <w:spacing w:after="0"/>
              <w:rPr>
                <w:rFonts w:ascii="Arial" w:hAnsi="Arial" w:cs="Arial"/>
                <w:b/>
                <w:bCs/>
              </w:rPr>
            </w:pPr>
          </w:p>
        </w:tc>
      </w:tr>
      <w:tr w14:paraId="593FB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17" w:type="dxa"/>
          </w:tcPr>
          <w:p w14:paraId="72C82F9F">
            <w:pPr>
              <w:spacing w:after="0"/>
              <w:rPr>
                <w:rFonts w:ascii="Arial" w:hAnsi="Arial" w:cs="Arial"/>
              </w:rPr>
            </w:pPr>
            <w:r>
              <w:rPr>
                <w:rFonts w:ascii="Arial" w:hAnsi="Arial" w:cs="Arial"/>
              </w:rPr>
              <w:t>Chapter 3: Methods</w:t>
            </w:r>
          </w:p>
          <w:p w14:paraId="04D7EC10">
            <w:pPr>
              <w:spacing w:after="0"/>
              <w:rPr>
                <w:rFonts w:ascii="Arial" w:hAnsi="Arial" w:cs="Arial"/>
              </w:rPr>
            </w:pPr>
          </w:p>
        </w:tc>
        <w:tc>
          <w:tcPr>
            <w:tcW w:w="1469" w:type="dxa"/>
          </w:tcPr>
          <w:p w14:paraId="6A87DAAE">
            <w:pPr>
              <w:spacing w:after="0"/>
              <w:rPr>
                <w:rFonts w:ascii="Arial" w:hAnsi="Arial" w:cs="Arial"/>
              </w:rPr>
            </w:pPr>
          </w:p>
          <w:p w14:paraId="78DD403D">
            <w:pPr>
              <w:spacing w:after="0"/>
              <w:rPr>
                <w:rFonts w:ascii="Arial" w:hAnsi="Arial" w:cs="Arial"/>
              </w:rPr>
            </w:pPr>
          </w:p>
          <w:p w14:paraId="5AF66E1A">
            <w:pPr>
              <w:spacing w:after="0"/>
              <w:rPr>
                <w:rFonts w:ascii="Arial" w:hAnsi="Arial" w:cs="Arial"/>
              </w:rPr>
            </w:pPr>
          </w:p>
          <w:p w14:paraId="3AEAC4B8">
            <w:pPr>
              <w:spacing w:after="0"/>
              <w:rPr>
                <w:rFonts w:ascii="Arial" w:hAnsi="Arial" w:cs="Arial"/>
              </w:rPr>
            </w:pPr>
          </w:p>
        </w:tc>
        <w:tc>
          <w:tcPr>
            <w:tcW w:w="1474" w:type="dxa"/>
          </w:tcPr>
          <w:p w14:paraId="5B89A88D">
            <w:pPr>
              <w:spacing w:after="0"/>
              <w:rPr>
                <w:rFonts w:ascii="Arial" w:hAnsi="Arial" w:cs="Arial"/>
              </w:rPr>
            </w:pPr>
          </w:p>
        </w:tc>
        <w:tc>
          <w:tcPr>
            <w:tcW w:w="1503" w:type="dxa"/>
            <w:shd w:val="clear" w:color="auto" w:fill="4472C4" w:themeFill="accent1"/>
          </w:tcPr>
          <w:p w14:paraId="4B13FDAB">
            <w:pPr>
              <w:spacing w:after="0"/>
              <w:rPr>
                <w:rFonts w:hint="default" w:ascii="Arial" w:hAnsi="Arial" w:cs="Arial"/>
                <w:lang w:val="en-GB"/>
              </w:rPr>
            </w:pPr>
            <w:r>
              <w:rPr>
                <w:rFonts w:hint="default" w:ascii="Arial" w:hAnsi="Arial" w:cs="Arial"/>
                <w:lang w:val="en-GB"/>
              </w:rPr>
              <w:t>20.12.2026</w:t>
            </w:r>
          </w:p>
        </w:tc>
        <w:tc>
          <w:tcPr>
            <w:tcW w:w="1578" w:type="dxa"/>
          </w:tcPr>
          <w:p w14:paraId="58F757CB">
            <w:pPr>
              <w:spacing w:after="0"/>
              <w:rPr>
                <w:rFonts w:ascii="Arial" w:hAnsi="Arial" w:cs="Arial"/>
              </w:rPr>
            </w:pPr>
          </w:p>
          <w:p w14:paraId="23EFFC50">
            <w:pPr>
              <w:spacing w:after="0"/>
              <w:rPr>
                <w:rFonts w:ascii="Arial" w:hAnsi="Arial" w:cs="Arial"/>
              </w:rPr>
            </w:pPr>
          </w:p>
          <w:p w14:paraId="48AF3C50">
            <w:pPr>
              <w:spacing w:after="0"/>
              <w:rPr>
                <w:rFonts w:ascii="Arial" w:hAnsi="Arial" w:cs="Arial"/>
              </w:rPr>
            </w:pPr>
          </w:p>
        </w:tc>
        <w:tc>
          <w:tcPr>
            <w:tcW w:w="1541" w:type="dxa"/>
          </w:tcPr>
          <w:p w14:paraId="05A9AC32">
            <w:pPr>
              <w:spacing w:after="0"/>
              <w:rPr>
                <w:rFonts w:ascii="Arial" w:hAnsi="Arial" w:cs="Arial"/>
              </w:rPr>
            </w:pPr>
          </w:p>
        </w:tc>
      </w:tr>
      <w:tr w14:paraId="69A969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17" w:type="dxa"/>
          </w:tcPr>
          <w:p w14:paraId="7CBE49AF">
            <w:pPr>
              <w:spacing w:after="0"/>
              <w:rPr>
                <w:rFonts w:ascii="Arial" w:hAnsi="Arial" w:cs="Arial"/>
              </w:rPr>
            </w:pPr>
            <w:r>
              <w:rPr>
                <w:rFonts w:ascii="Arial" w:hAnsi="Arial" w:cs="Arial"/>
              </w:rPr>
              <w:t>Chapter 4: Results and Discussion</w:t>
            </w:r>
          </w:p>
          <w:p w14:paraId="2B1DBB42">
            <w:pPr>
              <w:spacing w:after="0"/>
              <w:rPr>
                <w:rFonts w:ascii="Arial" w:hAnsi="Arial" w:cs="Arial"/>
              </w:rPr>
            </w:pPr>
          </w:p>
        </w:tc>
        <w:tc>
          <w:tcPr>
            <w:tcW w:w="1469" w:type="dxa"/>
          </w:tcPr>
          <w:p w14:paraId="2EA5900B">
            <w:pPr>
              <w:spacing w:after="0"/>
              <w:rPr>
                <w:rFonts w:ascii="Arial" w:hAnsi="Arial" w:cs="Arial"/>
              </w:rPr>
            </w:pPr>
          </w:p>
        </w:tc>
        <w:tc>
          <w:tcPr>
            <w:tcW w:w="1474" w:type="dxa"/>
          </w:tcPr>
          <w:p w14:paraId="2093D143">
            <w:pPr>
              <w:spacing w:after="0"/>
              <w:rPr>
                <w:rFonts w:ascii="Arial" w:hAnsi="Arial" w:cs="Arial"/>
              </w:rPr>
            </w:pPr>
          </w:p>
        </w:tc>
        <w:tc>
          <w:tcPr>
            <w:tcW w:w="1503" w:type="dxa"/>
          </w:tcPr>
          <w:p w14:paraId="61CFB3F5">
            <w:pPr>
              <w:spacing w:after="0"/>
              <w:rPr>
                <w:rFonts w:ascii="Arial" w:hAnsi="Arial" w:cs="Arial"/>
              </w:rPr>
            </w:pPr>
          </w:p>
        </w:tc>
        <w:tc>
          <w:tcPr>
            <w:tcW w:w="1578" w:type="dxa"/>
            <w:shd w:val="clear" w:color="auto" w:fill="4472C4" w:themeFill="accent1"/>
          </w:tcPr>
          <w:p w14:paraId="783795D1">
            <w:pPr>
              <w:spacing w:after="0"/>
              <w:rPr>
                <w:rFonts w:hint="default" w:ascii="Arial" w:hAnsi="Arial" w:cs="Arial"/>
                <w:lang w:val="en-GB"/>
              </w:rPr>
            </w:pPr>
            <w:r>
              <w:rPr>
                <w:rFonts w:hint="default" w:ascii="Arial" w:hAnsi="Arial" w:cs="Arial"/>
                <w:lang w:val="en-GB"/>
              </w:rPr>
              <w:t>20.01.2027</w:t>
            </w:r>
          </w:p>
          <w:p w14:paraId="077B6EA3">
            <w:pPr>
              <w:spacing w:after="0"/>
              <w:rPr>
                <w:rFonts w:ascii="Arial" w:hAnsi="Arial" w:cs="Arial"/>
              </w:rPr>
            </w:pPr>
          </w:p>
          <w:p w14:paraId="2550127F">
            <w:pPr>
              <w:spacing w:after="0"/>
              <w:rPr>
                <w:rFonts w:ascii="Arial" w:hAnsi="Arial" w:cs="Arial"/>
              </w:rPr>
            </w:pPr>
          </w:p>
          <w:p w14:paraId="0BE25D38">
            <w:pPr>
              <w:spacing w:after="0"/>
              <w:rPr>
                <w:rFonts w:ascii="Arial" w:hAnsi="Arial" w:cs="Arial"/>
              </w:rPr>
            </w:pPr>
          </w:p>
        </w:tc>
        <w:tc>
          <w:tcPr>
            <w:tcW w:w="1541" w:type="dxa"/>
          </w:tcPr>
          <w:p w14:paraId="061EE0F9">
            <w:pPr>
              <w:spacing w:after="0"/>
              <w:rPr>
                <w:rFonts w:ascii="Arial" w:hAnsi="Arial" w:cs="Arial"/>
              </w:rPr>
            </w:pPr>
          </w:p>
        </w:tc>
      </w:tr>
      <w:tr w14:paraId="005E0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0" w:hRule="atLeast"/>
        </w:trPr>
        <w:tc>
          <w:tcPr>
            <w:tcW w:w="2217" w:type="dxa"/>
          </w:tcPr>
          <w:p w14:paraId="2348EF8A">
            <w:pPr>
              <w:spacing w:after="0"/>
              <w:rPr>
                <w:rFonts w:ascii="Arial" w:hAnsi="Arial" w:cs="Arial"/>
              </w:rPr>
            </w:pPr>
            <w:r>
              <w:rPr>
                <w:rFonts w:ascii="Arial" w:hAnsi="Arial" w:cs="Arial"/>
              </w:rPr>
              <w:t xml:space="preserve">Chapter: 5 Recommendations and Conclusions </w:t>
            </w:r>
          </w:p>
        </w:tc>
        <w:tc>
          <w:tcPr>
            <w:tcW w:w="1469" w:type="dxa"/>
          </w:tcPr>
          <w:p w14:paraId="401A501C">
            <w:pPr>
              <w:spacing w:after="0"/>
              <w:rPr>
                <w:rFonts w:ascii="Arial" w:hAnsi="Arial" w:cs="Arial"/>
              </w:rPr>
            </w:pPr>
          </w:p>
          <w:p w14:paraId="4C8006E1">
            <w:pPr>
              <w:spacing w:after="0"/>
              <w:rPr>
                <w:rFonts w:ascii="Arial" w:hAnsi="Arial" w:cs="Arial"/>
              </w:rPr>
            </w:pPr>
          </w:p>
          <w:p w14:paraId="6694D53B">
            <w:pPr>
              <w:spacing w:after="0"/>
              <w:rPr>
                <w:rFonts w:ascii="Arial" w:hAnsi="Arial" w:cs="Arial"/>
              </w:rPr>
            </w:pPr>
          </w:p>
          <w:p w14:paraId="76C51D0F">
            <w:pPr>
              <w:spacing w:after="0"/>
              <w:rPr>
                <w:rFonts w:ascii="Arial" w:hAnsi="Arial" w:cs="Arial"/>
              </w:rPr>
            </w:pPr>
          </w:p>
        </w:tc>
        <w:tc>
          <w:tcPr>
            <w:tcW w:w="1474" w:type="dxa"/>
          </w:tcPr>
          <w:p w14:paraId="02F8C67C">
            <w:pPr>
              <w:spacing w:after="0"/>
              <w:rPr>
                <w:rFonts w:ascii="Arial" w:hAnsi="Arial" w:cs="Arial"/>
              </w:rPr>
            </w:pPr>
          </w:p>
        </w:tc>
        <w:tc>
          <w:tcPr>
            <w:tcW w:w="1503" w:type="dxa"/>
          </w:tcPr>
          <w:p w14:paraId="1CE3243E">
            <w:pPr>
              <w:spacing w:after="0"/>
              <w:rPr>
                <w:rFonts w:ascii="Arial" w:hAnsi="Arial" w:cs="Arial"/>
              </w:rPr>
            </w:pPr>
          </w:p>
        </w:tc>
        <w:tc>
          <w:tcPr>
            <w:tcW w:w="1578" w:type="dxa"/>
          </w:tcPr>
          <w:p w14:paraId="50F223E9">
            <w:pPr>
              <w:spacing w:after="0"/>
              <w:rPr>
                <w:rFonts w:ascii="Arial" w:hAnsi="Arial" w:cs="Arial"/>
              </w:rPr>
            </w:pPr>
          </w:p>
        </w:tc>
        <w:tc>
          <w:tcPr>
            <w:tcW w:w="1541" w:type="dxa"/>
            <w:shd w:val="clear" w:color="auto" w:fill="4472C4" w:themeFill="accent1"/>
          </w:tcPr>
          <w:p w14:paraId="745873C3">
            <w:pPr>
              <w:spacing w:after="0"/>
              <w:rPr>
                <w:rFonts w:hint="default" w:ascii="Arial" w:hAnsi="Arial" w:cs="Arial"/>
                <w:lang w:val="en-GB"/>
              </w:rPr>
            </w:pPr>
            <w:r>
              <w:rPr>
                <w:rFonts w:hint="default" w:ascii="Arial" w:hAnsi="Arial" w:cs="Arial"/>
                <w:lang w:val="en-GB"/>
              </w:rPr>
              <w:t>20.02.2027</w:t>
            </w:r>
          </w:p>
        </w:tc>
      </w:tr>
    </w:tbl>
    <w:p w14:paraId="31A77292"/>
    <w:p w14:paraId="11E22E5F"/>
    <w:p w14:paraId="3FAF58B2">
      <w:pPr>
        <w:spacing w:line="480" w:lineRule="auto"/>
        <w:rPr>
          <w:rFonts w:ascii="Arial" w:hAnsi="Arial" w:cs="Arial"/>
          <w:b/>
          <w:bCs/>
        </w:rPr>
      </w:pPr>
    </w:p>
    <w:p w14:paraId="6408FB9B">
      <w:pPr>
        <w:spacing w:line="480" w:lineRule="auto"/>
        <w:rPr>
          <w:rFonts w:ascii="Arial" w:hAnsi="Arial" w:cs="Arial"/>
          <w:b/>
          <w:bCs/>
        </w:rPr>
      </w:pPr>
      <w:r>
        <w:rPr>
          <w:rFonts w:ascii="Arial" w:hAnsi="Arial" w:cs="Arial"/>
          <w:b/>
          <w:bCs/>
        </w:rPr>
        <w:t>7. Self-reflection as researcher</w:t>
      </w:r>
    </w:p>
    <w:p w14:paraId="47A961FB">
      <w:pPr>
        <w:spacing w:line="480" w:lineRule="auto"/>
        <w:rPr>
          <w:rFonts w:ascii="Arial" w:hAnsi="Arial" w:cs="Arial"/>
        </w:rPr>
      </w:pPr>
      <w:r>
        <w:rPr>
          <w:rFonts w:ascii="Arial" w:hAnsi="Arial" w:cs="Arial"/>
        </w:rPr>
        <w:t>Some of my personal strengths are an interest in healthcare management, a keenness to learn, and my ability to organise information. A potential weakness is handling large quantities of literature. I plan to manage this by having clear inclusion criteria, maintaining research notes and making sure I stick to a schedule. I will compare and contrast sources carefully rather than take everything as a given in literature.</w:t>
      </w:r>
    </w:p>
    <w:p w14:paraId="2D81FF1B">
      <w:pPr>
        <w:rPr>
          <w:rFonts w:ascii="Arial" w:hAnsi="Arial" w:cs="Arial"/>
          <w:b/>
          <w:bCs/>
        </w:rPr>
      </w:pPr>
      <w:r>
        <w:rPr>
          <w:rFonts w:ascii="Arial" w:hAnsi="Arial" w:cs="Arial"/>
          <w:b/>
          <w:bCs/>
        </w:rPr>
        <w:br w:type="page"/>
      </w:r>
    </w:p>
    <w:p w14:paraId="4820B54C">
      <w:pPr>
        <w:jc w:val="center"/>
        <w:rPr>
          <w:rFonts w:ascii="Arial" w:hAnsi="Arial" w:cs="Arial"/>
          <w:b/>
          <w:bCs/>
        </w:rPr>
      </w:pPr>
      <w:r>
        <w:rPr>
          <w:rFonts w:ascii="Arial" w:hAnsi="Arial" w:cs="Arial"/>
          <w:b/>
          <w:bCs/>
        </w:rPr>
        <w:t>References List</w:t>
      </w:r>
    </w:p>
    <w:p w14:paraId="5E89742A">
      <w:pPr>
        <w:ind w:left="720" w:hanging="720"/>
        <w:rPr>
          <w:rFonts w:ascii="Arial" w:hAnsi="Arial" w:cs="Arial"/>
        </w:rPr>
      </w:pPr>
      <w:r>
        <w:rPr>
          <w:rFonts w:ascii="Arial" w:hAnsi="Arial" w:cs="Arial"/>
        </w:rPr>
        <w:t xml:space="preserve">Aunger, J.A., Maben, J., Abrams, R., Wright, J., Mannion, R., Pearson, M., Jones, A. and Westbrook, J.I. (2023). Drivers of unprofessional behaviour between staff in acute care hospitals: A realist review. </w:t>
      </w:r>
      <w:r>
        <w:rPr>
          <w:rFonts w:ascii="Arial" w:hAnsi="Arial" w:cs="Arial"/>
          <w:i/>
          <w:iCs/>
        </w:rPr>
        <w:t>BMC Health Services Research</w:t>
      </w:r>
      <w:r>
        <w:rPr>
          <w:rFonts w:ascii="Arial" w:hAnsi="Arial" w:cs="Arial"/>
        </w:rPr>
        <w:t>, [online] 23(1). doi:10.1186/s12913-023-10291-3.</w:t>
      </w:r>
    </w:p>
    <w:p w14:paraId="5A3A46D9">
      <w:pPr>
        <w:ind w:left="720" w:hanging="720"/>
        <w:rPr>
          <w:rFonts w:ascii="Arial" w:hAnsi="Arial" w:cs="Arial"/>
        </w:rPr>
      </w:pPr>
      <w:r>
        <w:rPr>
          <w:rFonts w:ascii="Arial" w:hAnsi="Arial" w:cs="Arial"/>
        </w:rPr>
        <w:t xml:space="preserve">Huebner, C. and Flessa, S. (2022). Strategic management in healthcare: A call for long-term and systems-thinking in an uncertain system. </w:t>
      </w:r>
      <w:r>
        <w:rPr>
          <w:rFonts w:ascii="Arial" w:hAnsi="Arial" w:cs="Arial"/>
          <w:i/>
          <w:iCs/>
        </w:rPr>
        <w:t>International Journal of Environmental Research and Public Health</w:t>
      </w:r>
      <w:r>
        <w:rPr>
          <w:rFonts w:ascii="Arial" w:hAnsi="Arial" w:cs="Arial"/>
        </w:rPr>
        <w:t>, [online] 19(14), p.8617. doi:10.3390/ijerph19148617.</w:t>
      </w:r>
    </w:p>
    <w:p w14:paraId="08BCD9A3">
      <w:pPr>
        <w:ind w:left="720" w:hanging="720"/>
        <w:rPr>
          <w:rFonts w:ascii="Arial" w:hAnsi="Arial" w:cs="Arial"/>
        </w:rPr>
      </w:pPr>
      <w:r>
        <w:rPr>
          <w:rFonts w:ascii="Arial" w:hAnsi="Arial" w:cs="Arial"/>
        </w:rPr>
        <w:t xml:space="preserve">NHS (2023). </w:t>
      </w:r>
      <w:r>
        <w:rPr>
          <w:rFonts w:ascii="Arial" w:hAnsi="Arial" w:cs="Arial"/>
          <w:i/>
          <w:iCs/>
        </w:rPr>
        <w:t>NHS England » changing healthcare cultures – through collective leadership</w:t>
      </w:r>
      <w:r>
        <w:rPr>
          <w:rFonts w:ascii="Arial" w:hAnsi="Arial" w:cs="Arial"/>
        </w:rPr>
        <w:t>. [online] www.england.nhs.uk. Available at: https://www.england.nhs.uk/culture/ [Accessed 19 Oct. 2026].</w:t>
      </w:r>
    </w:p>
    <w:p w14:paraId="4FF5FDC8">
      <w:pPr>
        <w:ind w:left="720" w:hanging="720"/>
        <w:rPr>
          <w:rFonts w:ascii="Arial" w:hAnsi="Arial" w:cs="Arial"/>
        </w:rPr>
      </w:pPr>
      <w:r>
        <w:rPr>
          <w:rFonts w:ascii="Arial" w:hAnsi="Arial" w:cs="Arial"/>
        </w:rPr>
        <w:t xml:space="preserve">The King’s Fund (2025). </w:t>
      </w:r>
      <w:r>
        <w:rPr>
          <w:rFonts w:ascii="Arial" w:hAnsi="Arial" w:cs="Arial"/>
          <w:i/>
          <w:iCs/>
        </w:rPr>
        <w:t>Securing the NHS workforce for the future: Our recommendations for action</w:t>
      </w:r>
      <w:r>
        <w:rPr>
          <w:rFonts w:ascii="Arial" w:hAnsi="Arial" w:cs="Arial"/>
        </w:rPr>
        <w:t>. [online] The King’s Fund. Available at: https://www.kingsfund.org.uk/insight-and-analysis/long-reads/securing-nhs-workforce-future-recommendations-action [Accessed 19 Oct. 2026].</w:t>
      </w:r>
    </w:p>
    <w:p w14:paraId="2B6CAD3D">
      <w:pPr>
        <w:rPr>
          <w:rFonts w:ascii="Arial" w:hAnsi="Arial" w:cs="Arial"/>
        </w:rPr>
      </w:pPr>
    </w:p>
    <w:sectPr>
      <w:pgSz w:w="12240" w:h="15840"/>
      <w:pgMar w:top="1440" w:right="1440" w:bottom="1440" w:left="144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25F4ECA"/>
    <w:multiLevelType w:val="multilevel"/>
    <w:tmpl w:val="525F4ECA"/>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7"/>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582D"/>
    <w:rsid w:val="001B20E9"/>
    <w:rsid w:val="003847F2"/>
    <w:rsid w:val="00667646"/>
    <w:rsid w:val="0088640A"/>
    <w:rsid w:val="00B9582D"/>
    <w:rsid w:val="00C87088"/>
    <w:rsid w:val="00DA6EDA"/>
    <w:rsid w:val="00F3665E"/>
    <w:rsid w:val="1BCD6B9A"/>
    <w:rsid w:val="24714F6B"/>
    <w:rsid w:val="27294BF9"/>
    <w:rsid w:val="29AC474B"/>
    <w:rsid w:val="3C973629"/>
    <w:rsid w:val="56BF1FD5"/>
    <w:rsid w:val="7A894849"/>
    <w:rsid w:val="BFFE1AAF"/>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78" w:lineRule="auto"/>
    </w:pPr>
    <w:rPr>
      <w:rFonts w:asciiTheme="minorHAnsi" w:hAnsiTheme="minorHAnsi" w:eastAsiaTheme="minorHAnsi" w:cstheme="minorBidi"/>
      <w:kern w:val="2"/>
      <w:sz w:val="24"/>
      <w:szCs w:val="24"/>
      <w:lang w:val="en-US" w:eastAsia="en-US" w:bidi="ar-SA"/>
      <w14:ligatures w14:val="standardContextual"/>
    </w:rPr>
  </w:style>
  <w:style w:type="paragraph" w:styleId="2">
    <w:name w:val="heading 1"/>
    <w:basedOn w:val="1"/>
    <w:next w:val="1"/>
    <w:link w:val="17"/>
    <w:qFormat/>
    <w:uiPriority w:val="9"/>
    <w:pPr>
      <w:keepNext/>
      <w:keepLines/>
      <w:spacing w:before="360" w:after="80"/>
      <w:outlineLvl w:val="0"/>
    </w:pPr>
    <w:rPr>
      <w:rFonts w:asciiTheme="majorHAnsi" w:hAnsiTheme="majorHAnsi" w:eastAsiaTheme="majorEastAsia" w:cstheme="majorBidi"/>
      <w:color w:val="2F5597" w:themeColor="accent1" w:themeShade="BF"/>
      <w:sz w:val="40"/>
      <w:szCs w:val="40"/>
    </w:rPr>
  </w:style>
  <w:style w:type="paragraph" w:styleId="3">
    <w:name w:val="heading 2"/>
    <w:basedOn w:val="1"/>
    <w:next w:val="1"/>
    <w:link w:val="18"/>
    <w:semiHidden/>
    <w:unhideWhenUsed/>
    <w:qFormat/>
    <w:uiPriority w:val="9"/>
    <w:pPr>
      <w:keepNext/>
      <w:keepLines/>
      <w:spacing w:before="160" w:after="80"/>
      <w:outlineLvl w:val="1"/>
    </w:pPr>
    <w:rPr>
      <w:rFonts w:asciiTheme="majorHAnsi" w:hAnsiTheme="majorHAnsi" w:eastAsiaTheme="majorEastAsia" w:cstheme="majorBidi"/>
      <w:color w:val="2F5597" w:themeColor="accent1" w:themeShade="BF"/>
      <w:sz w:val="32"/>
      <w:szCs w:val="32"/>
    </w:rPr>
  </w:style>
  <w:style w:type="paragraph" w:styleId="4">
    <w:name w:val="heading 3"/>
    <w:basedOn w:val="1"/>
    <w:next w:val="1"/>
    <w:link w:val="19"/>
    <w:semiHidden/>
    <w:unhideWhenUsed/>
    <w:qFormat/>
    <w:uiPriority w:val="9"/>
    <w:pPr>
      <w:keepNext/>
      <w:keepLines/>
      <w:spacing w:before="160" w:after="80"/>
      <w:outlineLvl w:val="2"/>
    </w:pPr>
    <w:rPr>
      <w:rFonts w:eastAsiaTheme="majorEastAsia" w:cstheme="majorBidi"/>
      <w:color w:val="2F5597" w:themeColor="accent1" w:themeShade="BF"/>
      <w:sz w:val="28"/>
      <w:szCs w:val="28"/>
    </w:rPr>
  </w:style>
  <w:style w:type="paragraph" w:styleId="5">
    <w:name w:val="heading 4"/>
    <w:basedOn w:val="1"/>
    <w:next w:val="1"/>
    <w:link w:val="20"/>
    <w:semiHidden/>
    <w:unhideWhenUsed/>
    <w:qFormat/>
    <w:uiPriority w:val="9"/>
    <w:pPr>
      <w:keepNext/>
      <w:keepLines/>
      <w:spacing w:before="80" w:after="40"/>
      <w:outlineLvl w:val="3"/>
    </w:pPr>
    <w:rPr>
      <w:rFonts w:eastAsiaTheme="majorEastAsia" w:cstheme="majorBidi"/>
      <w:i/>
      <w:iCs/>
      <w:color w:val="2F5597" w:themeColor="accent1" w:themeShade="BF"/>
    </w:rPr>
  </w:style>
  <w:style w:type="paragraph" w:styleId="6">
    <w:name w:val="heading 5"/>
    <w:basedOn w:val="1"/>
    <w:next w:val="1"/>
    <w:link w:val="21"/>
    <w:semiHidden/>
    <w:unhideWhenUsed/>
    <w:qFormat/>
    <w:uiPriority w:val="9"/>
    <w:pPr>
      <w:keepNext/>
      <w:keepLines/>
      <w:spacing w:before="80" w:after="40"/>
      <w:outlineLvl w:val="4"/>
    </w:pPr>
    <w:rPr>
      <w:rFonts w:eastAsiaTheme="majorEastAsia" w:cstheme="majorBidi"/>
      <w:color w:val="2F5597" w:themeColor="accent1" w:themeShade="BF"/>
    </w:rPr>
  </w:style>
  <w:style w:type="paragraph" w:styleId="7">
    <w:name w:val="heading 6"/>
    <w:basedOn w:val="1"/>
    <w:next w:val="1"/>
    <w:link w:val="22"/>
    <w:semiHidden/>
    <w:unhideWhenUsed/>
    <w:qFormat/>
    <w:uiPriority w:val="9"/>
    <w:pPr>
      <w:keepNext/>
      <w:keepLines/>
      <w:spacing w:before="40" w:after="0"/>
      <w:outlineLvl w:val="5"/>
    </w:pPr>
    <w:rPr>
      <w:rFonts w:eastAsiaTheme="majorEastAsia" w:cstheme="majorBidi"/>
      <w:i/>
      <w:iCs/>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23"/>
    <w:semiHidden/>
    <w:unhideWhenUsed/>
    <w:qFormat/>
    <w:uiPriority w:val="9"/>
    <w:pPr>
      <w:keepNext/>
      <w:keepLines/>
      <w:spacing w:before="40" w:after="0"/>
      <w:outlineLvl w:val="6"/>
    </w:pPr>
    <w:rPr>
      <w:rFonts w:eastAsiaTheme="majorEastAsia" w:cstheme="majorBidi"/>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4"/>
    <w:semiHidden/>
    <w:unhideWhenUsed/>
    <w:qFormat/>
    <w:uiPriority w:val="9"/>
    <w:pPr>
      <w:keepNext/>
      <w:keepLines/>
      <w:spacing w:after="0"/>
      <w:outlineLvl w:val="7"/>
    </w:pPr>
    <w:rPr>
      <w:rFonts w:eastAsiaTheme="majorEastAsia" w:cstheme="majorBidi"/>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25"/>
    <w:semiHidden/>
    <w:unhideWhenUsed/>
    <w:qFormat/>
    <w:uiPriority w:val="9"/>
    <w:pPr>
      <w:keepNext/>
      <w:keepLines/>
      <w:spacing w:after="0"/>
      <w:outlineLvl w:val="8"/>
    </w:pPr>
    <w:rPr>
      <w:rFonts w:eastAsiaTheme="majorEastAsia" w:cstheme="majorBidi"/>
      <w:color w:val="262626" w:themeColor="text1" w:themeTint="D9"/>
      <w14:textFill>
        <w14:solidFill>
          <w14:schemeClr w14:val="tx1">
            <w14:lumMod w14:val="85000"/>
            <w14:lumOff w14:val="15000"/>
          </w14:schemeClr>
        </w14:solidFill>
      </w14:textFill>
    </w:rPr>
  </w:style>
  <w:style w:type="character" w:default="1" w:styleId="11">
    <w:name w:val="Default Paragraph Font"/>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character" w:styleId="13">
    <w:name w:val="Hyperlink"/>
    <w:basedOn w:val="11"/>
    <w:unhideWhenUsed/>
    <w:qFormat/>
    <w:uiPriority w:val="99"/>
    <w:rPr>
      <w:color w:val="0563C1" w:themeColor="hyperlink"/>
      <w:u w:val="single"/>
      <w14:textFill>
        <w14:solidFill>
          <w14:schemeClr w14:val="hlink"/>
        </w14:solidFill>
      </w14:textFill>
    </w:rPr>
  </w:style>
  <w:style w:type="paragraph" w:styleId="14">
    <w:name w:val="Subtitle"/>
    <w:basedOn w:val="1"/>
    <w:next w:val="1"/>
    <w:link w:val="27"/>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table" w:styleId="15">
    <w:name w:val="Table Grid"/>
    <w:basedOn w:val="12"/>
    <w:qFormat/>
    <w:uiPriority w:val="39"/>
    <w:pPr>
      <w:spacing w:after="0" w:line="240" w:lineRule="auto"/>
    </w:pPr>
    <w:rPr>
      <w:rFonts w:eastAsiaTheme="minorHAnsi"/>
      <w:kern w:val="0"/>
      <w:lang w:eastAsia="en-US"/>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6">
    <w:name w:val="Title"/>
    <w:basedOn w:val="1"/>
    <w:next w:val="1"/>
    <w:link w:val="26"/>
    <w:qFormat/>
    <w:uiPriority w:val="10"/>
    <w:pPr>
      <w:spacing w:after="80" w:line="240" w:lineRule="auto"/>
      <w:contextualSpacing/>
    </w:pPr>
    <w:rPr>
      <w:rFonts w:asciiTheme="majorHAnsi" w:hAnsiTheme="majorHAnsi" w:eastAsiaTheme="majorEastAsia" w:cstheme="majorBidi"/>
      <w:spacing w:val="-10"/>
      <w:kern w:val="28"/>
      <w:sz w:val="56"/>
      <w:szCs w:val="56"/>
    </w:rPr>
  </w:style>
  <w:style w:type="character" w:customStyle="1" w:styleId="17">
    <w:name w:val="Heading 1 Char"/>
    <w:basedOn w:val="11"/>
    <w:link w:val="2"/>
    <w:qFormat/>
    <w:uiPriority w:val="9"/>
    <w:rPr>
      <w:rFonts w:asciiTheme="majorHAnsi" w:hAnsiTheme="majorHAnsi" w:eastAsiaTheme="majorEastAsia" w:cstheme="majorBidi"/>
      <w:color w:val="2F5597" w:themeColor="accent1" w:themeShade="BF"/>
      <w:sz w:val="40"/>
      <w:szCs w:val="40"/>
    </w:rPr>
  </w:style>
  <w:style w:type="character" w:customStyle="1" w:styleId="18">
    <w:name w:val="Heading 2 Char"/>
    <w:basedOn w:val="11"/>
    <w:link w:val="3"/>
    <w:semiHidden/>
    <w:qFormat/>
    <w:uiPriority w:val="9"/>
    <w:rPr>
      <w:rFonts w:asciiTheme="majorHAnsi" w:hAnsiTheme="majorHAnsi" w:eastAsiaTheme="majorEastAsia" w:cstheme="majorBidi"/>
      <w:color w:val="2F5597" w:themeColor="accent1" w:themeShade="BF"/>
      <w:sz w:val="32"/>
      <w:szCs w:val="32"/>
    </w:rPr>
  </w:style>
  <w:style w:type="character" w:customStyle="1" w:styleId="19">
    <w:name w:val="Heading 3 Char"/>
    <w:basedOn w:val="11"/>
    <w:link w:val="4"/>
    <w:semiHidden/>
    <w:qFormat/>
    <w:uiPriority w:val="9"/>
    <w:rPr>
      <w:rFonts w:eastAsiaTheme="majorEastAsia" w:cstheme="majorBidi"/>
      <w:color w:val="2F5597" w:themeColor="accent1" w:themeShade="BF"/>
      <w:sz w:val="28"/>
      <w:szCs w:val="28"/>
    </w:rPr>
  </w:style>
  <w:style w:type="character" w:customStyle="1" w:styleId="20">
    <w:name w:val="Heading 4 Char"/>
    <w:basedOn w:val="11"/>
    <w:link w:val="5"/>
    <w:semiHidden/>
    <w:qFormat/>
    <w:uiPriority w:val="9"/>
    <w:rPr>
      <w:rFonts w:eastAsiaTheme="majorEastAsia" w:cstheme="majorBidi"/>
      <w:i/>
      <w:iCs/>
      <w:color w:val="2F5597" w:themeColor="accent1" w:themeShade="BF"/>
    </w:rPr>
  </w:style>
  <w:style w:type="character" w:customStyle="1" w:styleId="21">
    <w:name w:val="Heading 5 Char"/>
    <w:basedOn w:val="11"/>
    <w:link w:val="6"/>
    <w:semiHidden/>
    <w:qFormat/>
    <w:uiPriority w:val="9"/>
    <w:rPr>
      <w:rFonts w:eastAsiaTheme="majorEastAsia" w:cstheme="majorBidi"/>
      <w:color w:val="2F5597" w:themeColor="accent1" w:themeShade="BF"/>
    </w:rPr>
  </w:style>
  <w:style w:type="character" w:customStyle="1" w:styleId="22">
    <w:name w:val="Heading 6 Char"/>
    <w:basedOn w:val="11"/>
    <w:link w:val="7"/>
    <w:semiHidden/>
    <w:qFormat/>
    <w:uiPriority w:val="9"/>
    <w:rPr>
      <w:rFonts w:eastAsiaTheme="majorEastAsia" w:cstheme="majorBidi"/>
      <w:i/>
      <w:iCs/>
      <w:color w:val="595959" w:themeColor="text1" w:themeTint="A6"/>
      <w14:textFill>
        <w14:solidFill>
          <w14:schemeClr w14:val="tx1">
            <w14:lumMod w14:val="65000"/>
            <w14:lumOff w14:val="35000"/>
          </w14:schemeClr>
        </w14:solidFill>
      </w14:textFill>
    </w:rPr>
  </w:style>
  <w:style w:type="character" w:customStyle="1" w:styleId="23">
    <w:name w:val="Heading 7 Char"/>
    <w:basedOn w:val="11"/>
    <w:link w:val="8"/>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4">
    <w:name w:val="Heading 8 Char"/>
    <w:basedOn w:val="11"/>
    <w:link w:val="9"/>
    <w:semiHidden/>
    <w:qFormat/>
    <w:uiPriority w:val="9"/>
    <w:rPr>
      <w:rFonts w:eastAsiaTheme="majorEastAsia" w:cstheme="majorBidi"/>
      <w:i/>
      <w:iCs/>
      <w:color w:val="262626" w:themeColor="text1" w:themeTint="D9"/>
      <w14:textFill>
        <w14:solidFill>
          <w14:schemeClr w14:val="tx1">
            <w14:lumMod w14:val="85000"/>
            <w14:lumOff w14:val="15000"/>
          </w14:schemeClr>
        </w14:solidFill>
      </w14:textFill>
    </w:rPr>
  </w:style>
  <w:style w:type="character" w:customStyle="1" w:styleId="25">
    <w:name w:val="Heading 9 Char"/>
    <w:basedOn w:val="11"/>
    <w:link w:val="10"/>
    <w:semiHidden/>
    <w:qFormat/>
    <w:uiPriority w:val="9"/>
    <w:rPr>
      <w:rFonts w:eastAsiaTheme="majorEastAsia" w:cstheme="majorBidi"/>
      <w:color w:val="262626" w:themeColor="text1" w:themeTint="D9"/>
      <w14:textFill>
        <w14:solidFill>
          <w14:schemeClr w14:val="tx1">
            <w14:lumMod w14:val="85000"/>
            <w14:lumOff w14:val="15000"/>
          </w14:schemeClr>
        </w14:solidFill>
      </w14:textFill>
    </w:rPr>
  </w:style>
  <w:style w:type="character" w:customStyle="1" w:styleId="26">
    <w:name w:val="Title Char"/>
    <w:basedOn w:val="11"/>
    <w:link w:val="16"/>
    <w:qFormat/>
    <w:uiPriority w:val="10"/>
    <w:rPr>
      <w:rFonts w:asciiTheme="majorHAnsi" w:hAnsiTheme="majorHAnsi" w:eastAsiaTheme="majorEastAsia" w:cstheme="majorBidi"/>
      <w:spacing w:val="-10"/>
      <w:kern w:val="28"/>
      <w:sz w:val="56"/>
      <w:szCs w:val="56"/>
    </w:rPr>
  </w:style>
  <w:style w:type="character" w:customStyle="1" w:styleId="27">
    <w:name w:val="Subtitle Char"/>
    <w:basedOn w:val="11"/>
    <w:link w:val="14"/>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28">
    <w:name w:val="Quote"/>
    <w:basedOn w:val="1"/>
    <w:next w:val="1"/>
    <w:link w:val="29"/>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29">
    <w:name w:val="Quote Char"/>
    <w:basedOn w:val="11"/>
    <w:link w:val="28"/>
    <w:qFormat/>
    <w:uiPriority w:val="29"/>
    <w:rPr>
      <w:i/>
      <w:iCs/>
      <w:color w:val="404040" w:themeColor="text1" w:themeTint="BF"/>
      <w14:textFill>
        <w14:solidFill>
          <w14:schemeClr w14:val="tx1">
            <w14:lumMod w14:val="75000"/>
            <w14:lumOff w14:val="25000"/>
          </w14:schemeClr>
        </w14:solidFill>
      </w14:textFill>
    </w:rPr>
  </w:style>
  <w:style w:type="paragraph" w:styleId="30">
    <w:name w:val="List Paragraph"/>
    <w:basedOn w:val="1"/>
    <w:qFormat/>
    <w:uiPriority w:val="34"/>
    <w:pPr>
      <w:ind w:left="720"/>
      <w:contextualSpacing/>
    </w:pPr>
  </w:style>
  <w:style w:type="character" w:customStyle="1" w:styleId="31">
    <w:name w:val="Intense Emphasis"/>
    <w:basedOn w:val="11"/>
    <w:qFormat/>
    <w:uiPriority w:val="21"/>
    <w:rPr>
      <w:i/>
      <w:iCs/>
      <w:color w:val="2F5597" w:themeColor="accent1" w:themeShade="BF"/>
    </w:rPr>
  </w:style>
  <w:style w:type="paragraph" w:styleId="32">
    <w:name w:val="Intense Quote"/>
    <w:basedOn w:val="1"/>
    <w:next w:val="1"/>
    <w:link w:val="33"/>
    <w:qFormat/>
    <w:uiPriority w:val="30"/>
    <w:pPr>
      <w:pBdr>
        <w:top w:val="single" w:color="2F5496" w:themeColor="accent1" w:themeShade="BF" w:sz="4" w:space="10"/>
        <w:bottom w:val="single" w:color="2F5496" w:themeColor="accent1" w:themeShade="BF" w:sz="4" w:space="10"/>
      </w:pBdr>
      <w:spacing w:before="360" w:after="360"/>
      <w:ind w:left="864" w:right="864"/>
      <w:jc w:val="center"/>
    </w:pPr>
    <w:rPr>
      <w:i/>
      <w:iCs/>
      <w:color w:val="2F5597" w:themeColor="accent1" w:themeShade="BF"/>
    </w:rPr>
  </w:style>
  <w:style w:type="character" w:customStyle="1" w:styleId="33">
    <w:name w:val="Intense Quote Char"/>
    <w:basedOn w:val="11"/>
    <w:link w:val="32"/>
    <w:qFormat/>
    <w:uiPriority w:val="30"/>
    <w:rPr>
      <w:i/>
      <w:iCs/>
      <w:color w:val="2F5597" w:themeColor="accent1" w:themeShade="BF"/>
    </w:rPr>
  </w:style>
  <w:style w:type="character" w:customStyle="1" w:styleId="34">
    <w:name w:val="Intense Reference"/>
    <w:basedOn w:val="11"/>
    <w:qFormat/>
    <w:uiPriority w:val="32"/>
    <w:rPr>
      <w:b/>
      <w:bCs/>
      <w:smallCaps/>
      <w:color w:val="2F5597" w:themeColor="accent1" w:themeShade="BF"/>
      <w:spacing w:val="5"/>
    </w:rPr>
  </w:style>
  <w:style w:type="character" w:customStyle="1" w:styleId="35">
    <w:name w:val="Unresolved Mention"/>
    <w:basedOn w:val="11"/>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5</Pages>
  <Words>627</Words>
  <Characters>3996</Characters>
  <Lines>32</Lines>
  <Paragraphs>9</Paragraphs>
  <TotalTime>55</TotalTime>
  <ScaleCrop>false</ScaleCrop>
  <LinksUpToDate>false</LinksUpToDate>
  <CharactersWithSpaces>4583</CharactersWithSpaces>
  <Application>WPS Office_12.1.0.29162_F1E327BC-269C-435d-A152-05C5408002CA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2026-10-20T00:16:00Z</dcterms:created>
  <dc:creator>Peter Oundo</dc:creator>
  <cp:lastModifiedBy>pavlin enchev</cp:lastModifiedBy>
  <dcterms:modified xsi:type="dcterms:W3CDTF">2026-10-26T16:42:47Z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1033-12.1.0.29162</vt:lpwstr>
  </property>
  <property fmtid="{D5CDD505-2E9C-101B-9397-08002B2CF9AE}" pid="3" name="ICV">
    <vt:lpwstr>9A933E22B5176C151E2DDF6A5429A515_43</vt:lpwstr>
  </property>
  <property fmtid="{D5CDD505-2E9C-101B-9397-08002B2CF9AE}" pid="4" name="KSOTemplateDocerSaveRecord">
    <vt:lpwstr>eyJoZGlkIjoiYjk5ODM0YmMxOWJiYWQyNDU4MGIzYWRmYTA0ZmI5NDciLCJ1c2VySWQiOiIzNzI4NDc3NTEzMDAxIn0=</vt:lpwstr>
  </property>
</Properties>
</file>