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E539B01" w:rsidR="7908378C" w:rsidRDefault="7908378C" w:rsidP="33572C6E">
            <w:pPr>
              <w:ind w:right="237"/>
              <w:rPr>
                <w:b/>
                <w:bCs/>
                <w:color w:val="auto"/>
                <w:sz w:val="32"/>
                <w:szCs w:val="32"/>
              </w:rPr>
            </w:pPr>
            <w:r w:rsidRPr="33572C6E">
              <w:rPr>
                <w:b/>
                <w:bCs/>
                <w:color w:val="auto"/>
                <w:sz w:val="32"/>
                <w:szCs w:val="32"/>
              </w:rPr>
              <w:t>Learner name:</w:t>
            </w:r>
            <w:r w:rsidR="0000498C">
              <w:rPr>
                <w:b/>
                <w:bCs/>
                <w:color w:val="auto"/>
                <w:sz w:val="32"/>
                <w:szCs w:val="32"/>
              </w:rPr>
              <w:t xml:space="preserve"> Maddison Williams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211A7E6F" w:rsidR="7908378C" w:rsidRDefault="7908378C" w:rsidP="33572C6E">
            <w:pPr>
              <w:ind w:right="237"/>
              <w:rPr>
                <w:b/>
                <w:bCs/>
                <w:color w:val="auto"/>
                <w:sz w:val="32"/>
                <w:szCs w:val="32"/>
              </w:rPr>
            </w:pPr>
            <w:r w:rsidRPr="33572C6E">
              <w:rPr>
                <w:b/>
                <w:bCs/>
                <w:color w:val="auto"/>
                <w:sz w:val="32"/>
                <w:szCs w:val="32"/>
              </w:rPr>
              <w:t>_____</w:t>
            </w:r>
            <w:r w:rsidR="003C512F">
              <w:rPr>
                <w:b/>
                <w:bCs/>
                <w:color w:val="auto"/>
                <w:sz w:val="32"/>
                <w:szCs w:val="32"/>
              </w:rPr>
              <w:t>2236909</w:t>
            </w:r>
            <w:r w:rsidRPr="33572C6E">
              <w:rPr>
                <w:b/>
                <w:bCs/>
                <w:color w:val="auto"/>
                <w:sz w:val="32"/>
                <w:szCs w:val="32"/>
              </w:rPr>
              <w:t>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1C105283"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xml:space="preserve">A policing incident that I attended and played a significant role as lead investigator was a commercial burglary </w:t>
      </w:r>
      <w:proofErr w:type="gramStart"/>
      <w:r w:rsidRPr="00D76A17">
        <w:rPr>
          <w:rFonts w:asciiTheme="minorHAnsi" w:hAnsiTheme="minorHAnsi" w:cstheme="minorHAnsi"/>
          <w:sz w:val="20"/>
          <w:szCs w:val="20"/>
        </w:rPr>
        <w:t>where by</w:t>
      </w:r>
      <w:proofErr w:type="gramEnd"/>
      <w:r w:rsidRPr="00D76A17">
        <w:rPr>
          <w:rFonts w:asciiTheme="minorHAnsi" w:hAnsiTheme="minorHAnsi" w:cstheme="minorHAnsi"/>
          <w:sz w:val="20"/>
          <w:szCs w:val="20"/>
        </w:rPr>
        <w:t xml:space="preserve"> it was reported £50,000 worth of copper wiring had been stolen, however the investigation continued for nearly 6 months and continued break-ins meant further loss of goods with the aggrieved eventually coming to the final estimation of £200,000. </w:t>
      </w:r>
    </w:p>
    <w:p w14:paraId="393A3924"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w:t>
      </w:r>
    </w:p>
    <w:p w14:paraId="09AEF3D9"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xml:space="preserve">The initial report was that there was a break </w:t>
      </w:r>
      <w:proofErr w:type="gramStart"/>
      <w:r w:rsidRPr="00D76A17">
        <w:rPr>
          <w:rFonts w:asciiTheme="minorHAnsi" w:hAnsiTheme="minorHAnsi" w:cstheme="minorHAnsi"/>
          <w:sz w:val="20"/>
          <w:szCs w:val="20"/>
        </w:rPr>
        <w:t>in to</w:t>
      </w:r>
      <w:proofErr w:type="gramEnd"/>
      <w:r w:rsidRPr="00D76A17">
        <w:rPr>
          <w:rFonts w:asciiTheme="minorHAnsi" w:hAnsiTheme="minorHAnsi" w:cstheme="minorHAnsi"/>
          <w:sz w:val="20"/>
          <w:szCs w:val="20"/>
        </w:rPr>
        <w:t xml:space="preserve"> a building on a very busy industrial estate over the weekend and was not reported until the Monday. When I </w:t>
      </w:r>
      <w:proofErr w:type="gramStart"/>
      <w:r w:rsidRPr="00D76A17">
        <w:rPr>
          <w:rFonts w:asciiTheme="minorHAnsi" w:hAnsiTheme="minorHAnsi" w:cstheme="minorHAnsi"/>
          <w:sz w:val="20"/>
          <w:szCs w:val="20"/>
        </w:rPr>
        <w:t>arrived</w:t>
      </w:r>
      <w:proofErr w:type="gramEnd"/>
      <w:r w:rsidRPr="00D76A17">
        <w:rPr>
          <w:rFonts w:asciiTheme="minorHAnsi" w:hAnsiTheme="minorHAnsi" w:cstheme="minorHAnsi"/>
          <w:sz w:val="20"/>
          <w:szCs w:val="20"/>
        </w:rPr>
        <w:t xml:space="preserve"> I was met by the security team, not the reporting person, and was informed that the area had been cleaned up. When I have looked around the site, I have located the entry and exit point onto the property and into the building, taken pictures and have attended the area where the property was stolen. When I had entered the large </w:t>
      </w:r>
      <w:proofErr w:type="gramStart"/>
      <w:r w:rsidRPr="00D76A17">
        <w:rPr>
          <w:rFonts w:asciiTheme="minorHAnsi" w:hAnsiTheme="minorHAnsi" w:cstheme="minorHAnsi"/>
          <w:sz w:val="20"/>
          <w:szCs w:val="20"/>
        </w:rPr>
        <w:t>room</w:t>
      </w:r>
      <w:proofErr w:type="gramEnd"/>
      <w:r w:rsidRPr="00D76A17">
        <w:rPr>
          <w:rFonts w:asciiTheme="minorHAnsi" w:hAnsiTheme="minorHAnsi" w:cstheme="minorHAnsi"/>
          <w:sz w:val="20"/>
          <w:szCs w:val="20"/>
        </w:rPr>
        <w:t xml:space="preserve"> it was essentially completely empty with a variety of different foot prints covering the floor. This is when I was informed that the security was instructed to clear the mess due to flooding however this meant that there was no scope for CSI. </w:t>
      </w:r>
    </w:p>
    <w:p w14:paraId="17CD702D"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xml:space="preserve">I was informed by the reporting person that the building was not in use however was still owned by his company. </w:t>
      </w:r>
    </w:p>
    <w:p w14:paraId="3F55257F"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xml:space="preserve">I was informed that there </w:t>
      </w:r>
      <w:proofErr w:type="gramStart"/>
      <w:r w:rsidRPr="00D76A17">
        <w:rPr>
          <w:rFonts w:asciiTheme="minorHAnsi" w:hAnsiTheme="minorHAnsi" w:cstheme="minorHAnsi"/>
          <w:sz w:val="20"/>
          <w:szCs w:val="20"/>
        </w:rPr>
        <w:t>was</w:t>
      </w:r>
      <w:proofErr w:type="gramEnd"/>
      <w:r w:rsidRPr="00D76A17">
        <w:rPr>
          <w:rFonts w:asciiTheme="minorHAnsi" w:hAnsiTheme="minorHAnsi" w:cstheme="minorHAnsi"/>
          <w:sz w:val="20"/>
          <w:szCs w:val="20"/>
        </w:rPr>
        <w:t xml:space="preserve"> suspicious circumstances surrounding the burglary and he believed that it had been planned and orchestrated amongst the security team. The aggrieved explained that during the afternoon two males that he did not know were walking around the property filming different areas of the building which was caught on </w:t>
      </w:r>
      <w:proofErr w:type="gramStart"/>
      <w:r w:rsidRPr="00D76A17">
        <w:rPr>
          <w:rFonts w:asciiTheme="minorHAnsi" w:hAnsiTheme="minorHAnsi" w:cstheme="minorHAnsi"/>
          <w:sz w:val="20"/>
          <w:szCs w:val="20"/>
        </w:rPr>
        <w:t>CCTV</w:t>
      </w:r>
      <w:proofErr w:type="gramEnd"/>
      <w:r w:rsidRPr="00D76A17">
        <w:rPr>
          <w:rFonts w:asciiTheme="minorHAnsi" w:hAnsiTheme="minorHAnsi" w:cstheme="minorHAnsi"/>
          <w:sz w:val="20"/>
          <w:szCs w:val="20"/>
        </w:rPr>
        <w:t xml:space="preserve"> but he was not informed they would be on site and did not have permission to be there. A couple of hours after this the electricity to the building was lost and has resulted in the fire sprinkler system to be activated and all the lights to turn off. The RP stated that the security team contacted the electricity company who took a few hours to come out. When they have turned up and fixed the problem it was stated that they reported to the security team that there was something odd about the cabling, which was not reported back to the aggrieved. Security guards are supposed to be walking around the site regularly and fill in </w:t>
      </w:r>
      <w:r w:rsidRPr="00D76A17">
        <w:rPr>
          <w:rFonts w:asciiTheme="minorHAnsi" w:hAnsiTheme="minorHAnsi" w:cstheme="minorHAnsi"/>
          <w:sz w:val="20"/>
          <w:szCs w:val="20"/>
        </w:rPr>
        <w:lastRenderedPageBreak/>
        <w:t xml:space="preserve">a </w:t>
      </w:r>
      <w:proofErr w:type="gramStart"/>
      <w:r w:rsidRPr="00D76A17">
        <w:rPr>
          <w:rFonts w:asciiTheme="minorHAnsi" w:hAnsiTheme="minorHAnsi" w:cstheme="minorHAnsi"/>
          <w:sz w:val="20"/>
          <w:szCs w:val="20"/>
        </w:rPr>
        <w:t>log book</w:t>
      </w:r>
      <w:proofErr w:type="gramEnd"/>
      <w:r w:rsidRPr="00D76A17">
        <w:rPr>
          <w:rFonts w:asciiTheme="minorHAnsi" w:hAnsiTheme="minorHAnsi" w:cstheme="minorHAnsi"/>
          <w:sz w:val="20"/>
          <w:szCs w:val="20"/>
        </w:rPr>
        <w:t xml:space="preserve"> discussing what they have seen or what has been done, however the copper wiring being stolen was a significant amount of time after the electricity company had reported it to the security team. </w:t>
      </w:r>
    </w:p>
    <w:p w14:paraId="408C46FD"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w:t>
      </w:r>
    </w:p>
    <w:p w14:paraId="608C272F"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xml:space="preserve">I had conducted the initial enquires, collecting CCTV from neighbouring </w:t>
      </w:r>
      <w:proofErr w:type="gramStart"/>
      <w:r w:rsidRPr="00D76A17">
        <w:rPr>
          <w:rFonts w:asciiTheme="minorHAnsi" w:hAnsiTheme="minorHAnsi" w:cstheme="minorHAnsi"/>
          <w:sz w:val="20"/>
          <w:szCs w:val="20"/>
        </w:rPr>
        <w:t>units  to</w:t>
      </w:r>
      <w:proofErr w:type="gramEnd"/>
      <w:r w:rsidRPr="00D76A17">
        <w:rPr>
          <w:rFonts w:asciiTheme="minorHAnsi" w:hAnsiTheme="minorHAnsi" w:cstheme="minorHAnsi"/>
          <w:sz w:val="20"/>
          <w:szCs w:val="20"/>
        </w:rPr>
        <w:t xml:space="preserve"> which there was CCTV of a van and two cars with multiple individuals putting large items into the back of the van before driving off. The van was parked next to the entry point of where the individuals have accessed the property. </w:t>
      </w:r>
    </w:p>
    <w:p w14:paraId="7BC816A7"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xml:space="preserve">The CCTV was </w:t>
      </w:r>
      <w:proofErr w:type="gramStart"/>
      <w:r w:rsidRPr="00D76A17">
        <w:rPr>
          <w:rFonts w:asciiTheme="minorHAnsi" w:hAnsiTheme="minorHAnsi" w:cstheme="minorHAnsi"/>
          <w:sz w:val="20"/>
          <w:szCs w:val="20"/>
        </w:rPr>
        <w:t>dark</w:t>
      </w:r>
      <w:proofErr w:type="gramEnd"/>
      <w:r w:rsidRPr="00D76A17">
        <w:rPr>
          <w:rFonts w:asciiTheme="minorHAnsi" w:hAnsiTheme="minorHAnsi" w:cstheme="minorHAnsi"/>
          <w:sz w:val="20"/>
          <w:szCs w:val="20"/>
        </w:rPr>
        <w:t xml:space="preserve"> and I was unable to see any distinguishing features that would have allowed me to investigate further and I have put the faces of the unknown individuals filming the area through facial recognition without any hits. </w:t>
      </w:r>
    </w:p>
    <w:p w14:paraId="461A0A0A"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xml:space="preserve">The RP was holding off providing a statement of loss due to him stating that he needed authority through the company which hindered the investigation slightly. </w:t>
      </w:r>
    </w:p>
    <w:p w14:paraId="700007C2"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xml:space="preserve">Throughout this time there were multiple reports of break-ins and on the last report the RP stated that there was a loss of £200,000 worth of cabling and property that had been taken. </w:t>
      </w:r>
    </w:p>
    <w:p w14:paraId="4C368D6B"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color w:val="000000"/>
          <w:sz w:val="20"/>
          <w:szCs w:val="20"/>
          <w:lang w:val="en-US"/>
        </w:rPr>
      </w:pPr>
      <w:r w:rsidRPr="00D76A17">
        <w:rPr>
          <w:rFonts w:asciiTheme="minorHAnsi" w:hAnsiTheme="minorHAnsi" w:cstheme="minorHAnsi"/>
          <w:color w:val="000000"/>
          <w:sz w:val="20"/>
          <w:szCs w:val="20"/>
          <w:lang w:val="en-US"/>
        </w:rPr>
        <w:t> </w:t>
      </w:r>
    </w:p>
    <w:p w14:paraId="63DC2A18"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color w:val="000000"/>
          <w:sz w:val="20"/>
          <w:szCs w:val="20"/>
          <w:lang w:val="en-US"/>
        </w:rPr>
      </w:pPr>
      <w:r w:rsidRPr="00D76A17">
        <w:rPr>
          <w:rFonts w:asciiTheme="minorHAnsi" w:hAnsiTheme="minorHAnsi" w:cstheme="minorHAnsi"/>
          <w:color w:val="000000"/>
          <w:sz w:val="20"/>
          <w:szCs w:val="20"/>
          <w:lang w:val="en-US"/>
        </w:rPr>
        <w:t xml:space="preserve">On the initial visit have provided the RP with safeguarding advice due to the lack of security on the site. There were limited CCTV cameras, with a couple inside the building and facing the front of the building however due to the large area and the size of the building I recommended further cameras would be advised. </w:t>
      </w:r>
    </w:p>
    <w:p w14:paraId="1047CDF6"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color w:val="000000"/>
          <w:sz w:val="20"/>
          <w:szCs w:val="20"/>
          <w:lang w:val="en-US"/>
        </w:rPr>
      </w:pPr>
      <w:r w:rsidRPr="00D76A17">
        <w:rPr>
          <w:rFonts w:asciiTheme="minorHAnsi" w:hAnsiTheme="minorHAnsi" w:cstheme="minorHAnsi"/>
          <w:color w:val="000000"/>
          <w:sz w:val="20"/>
          <w:szCs w:val="20"/>
          <w:lang w:val="en-US"/>
        </w:rPr>
        <w:t>There was a security team on the site however the RP disclosed that he felt that they were involved so I have suggested that it might be worth thinking of changing security team or company. I have explained that if there are further incidents, not to disturb the scene and call police immediately due to forensic opportunities.</w:t>
      </w:r>
    </w:p>
    <w:p w14:paraId="2DB517C8"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color w:val="000000"/>
          <w:sz w:val="20"/>
          <w:szCs w:val="20"/>
          <w:lang w:val="en-US"/>
        </w:rPr>
      </w:pPr>
      <w:r w:rsidRPr="00D76A17">
        <w:rPr>
          <w:rFonts w:asciiTheme="minorHAnsi" w:hAnsiTheme="minorHAnsi" w:cstheme="minorHAnsi"/>
          <w:color w:val="000000"/>
          <w:sz w:val="20"/>
          <w:szCs w:val="20"/>
          <w:lang w:val="en-US"/>
        </w:rPr>
        <w:t xml:space="preserve">Throughout the investigation I have continued to have regular contact and updated the RP </w:t>
      </w:r>
      <w:proofErr w:type="gramStart"/>
      <w:r w:rsidRPr="00D76A17">
        <w:rPr>
          <w:rFonts w:asciiTheme="minorHAnsi" w:hAnsiTheme="minorHAnsi" w:cstheme="minorHAnsi"/>
          <w:color w:val="000000"/>
          <w:sz w:val="20"/>
          <w:szCs w:val="20"/>
          <w:lang w:val="en-US"/>
        </w:rPr>
        <w:t>in regard to</w:t>
      </w:r>
      <w:proofErr w:type="gramEnd"/>
      <w:r w:rsidRPr="00D76A17">
        <w:rPr>
          <w:rFonts w:asciiTheme="minorHAnsi" w:hAnsiTheme="minorHAnsi" w:cstheme="minorHAnsi"/>
          <w:color w:val="000000"/>
          <w:sz w:val="20"/>
          <w:szCs w:val="20"/>
          <w:lang w:val="en-US"/>
        </w:rPr>
        <w:t xml:space="preserve"> the police investigation progress. I have also opted to task for the industrial estate to be placed on the patrol log so that officers were aware of the burglary and would attempt regular patrols around the area </w:t>
      </w:r>
      <w:proofErr w:type="gramStart"/>
      <w:r w:rsidRPr="00D76A17">
        <w:rPr>
          <w:rFonts w:asciiTheme="minorHAnsi" w:hAnsiTheme="minorHAnsi" w:cstheme="minorHAnsi"/>
          <w:color w:val="000000"/>
          <w:sz w:val="20"/>
          <w:szCs w:val="20"/>
          <w:lang w:val="en-US"/>
        </w:rPr>
        <w:t>in an attempt to</w:t>
      </w:r>
      <w:proofErr w:type="gramEnd"/>
      <w:r w:rsidRPr="00D76A17">
        <w:rPr>
          <w:rFonts w:asciiTheme="minorHAnsi" w:hAnsiTheme="minorHAnsi" w:cstheme="minorHAnsi"/>
          <w:color w:val="000000"/>
          <w:sz w:val="20"/>
          <w:szCs w:val="20"/>
          <w:lang w:val="en-US"/>
        </w:rPr>
        <w:t xml:space="preserve"> deter the suspects from returning. I have also altered the neighboring units that a burglary had taken place and advised similar safeguarding tips. </w:t>
      </w:r>
    </w:p>
    <w:p w14:paraId="175E1D17"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color w:val="000000"/>
          <w:sz w:val="20"/>
          <w:szCs w:val="20"/>
          <w:lang w:val="en-US"/>
        </w:rPr>
      </w:pPr>
      <w:r w:rsidRPr="00D76A17">
        <w:rPr>
          <w:rFonts w:asciiTheme="minorHAnsi" w:hAnsiTheme="minorHAnsi" w:cstheme="minorHAnsi"/>
          <w:color w:val="000000"/>
          <w:sz w:val="20"/>
          <w:szCs w:val="20"/>
          <w:lang w:val="en-US"/>
        </w:rPr>
        <w:t xml:space="preserve">Although the advice was general and is given to individuals when they have been a victim of burglary, it is general advice that Is given as a deterring method of </w:t>
      </w:r>
      <w:proofErr w:type="spellStart"/>
      <w:r w:rsidRPr="00D76A17">
        <w:rPr>
          <w:rFonts w:asciiTheme="minorHAnsi" w:hAnsiTheme="minorHAnsi" w:cstheme="minorHAnsi"/>
          <w:color w:val="000000"/>
          <w:sz w:val="20"/>
          <w:szCs w:val="20"/>
          <w:lang w:val="en-US"/>
        </w:rPr>
        <w:t>individials</w:t>
      </w:r>
      <w:proofErr w:type="spellEnd"/>
      <w:r w:rsidRPr="00D76A17">
        <w:rPr>
          <w:rFonts w:asciiTheme="minorHAnsi" w:hAnsiTheme="minorHAnsi" w:cstheme="minorHAnsi"/>
          <w:color w:val="000000"/>
          <w:sz w:val="20"/>
          <w:szCs w:val="20"/>
          <w:lang w:val="en-US"/>
        </w:rPr>
        <w:t xml:space="preserve"> attempting to further cause offences. </w:t>
      </w:r>
    </w:p>
    <w:p w14:paraId="108EAF22"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color w:val="000000"/>
          <w:sz w:val="20"/>
          <w:szCs w:val="20"/>
          <w:lang w:val="en-US"/>
        </w:rPr>
      </w:pPr>
      <w:r w:rsidRPr="00D76A17">
        <w:rPr>
          <w:rFonts w:asciiTheme="minorHAnsi" w:hAnsiTheme="minorHAnsi" w:cstheme="minorHAnsi"/>
          <w:color w:val="000000"/>
          <w:sz w:val="20"/>
          <w:szCs w:val="20"/>
          <w:lang w:val="en-US"/>
        </w:rPr>
        <w:t> </w:t>
      </w:r>
    </w:p>
    <w:p w14:paraId="4CE17288"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color w:val="000000"/>
          <w:sz w:val="20"/>
          <w:szCs w:val="20"/>
          <w:lang w:val="en-US"/>
        </w:rPr>
      </w:pPr>
      <w:r w:rsidRPr="00D76A17">
        <w:rPr>
          <w:rFonts w:asciiTheme="minorHAnsi" w:hAnsiTheme="minorHAnsi" w:cstheme="minorHAnsi"/>
          <w:color w:val="000000"/>
          <w:sz w:val="20"/>
          <w:szCs w:val="20"/>
          <w:lang w:val="en-US"/>
        </w:rPr>
        <w:t xml:space="preserve">The RP has taken into consideration the safeguarding advice and have placed live streaming cameras around the </w:t>
      </w:r>
      <w:proofErr w:type="gramStart"/>
      <w:r w:rsidRPr="00D76A17">
        <w:rPr>
          <w:rFonts w:asciiTheme="minorHAnsi" w:hAnsiTheme="minorHAnsi" w:cstheme="minorHAnsi"/>
          <w:color w:val="000000"/>
          <w:sz w:val="20"/>
          <w:szCs w:val="20"/>
          <w:lang w:val="en-US"/>
        </w:rPr>
        <w:t>building</w:t>
      </w:r>
      <w:proofErr w:type="gramEnd"/>
      <w:r w:rsidRPr="00D76A17">
        <w:rPr>
          <w:rFonts w:asciiTheme="minorHAnsi" w:hAnsiTheme="minorHAnsi" w:cstheme="minorHAnsi"/>
          <w:color w:val="000000"/>
          <w:sz w:val="20"/>
          <w:szCs w:val="20"/>
          <w:lang w:val="en-US"/>
        </w:rPr>
        <w:t xml:space="preserve"> which was manned elsewhere virtually, as well as security motion alarms in the front of the building in the lobby and had hired a different security team. This is when there started to become some confusion. The motion censored alarms would go off at any movement outside the front of the building, such as wild animals so there were a few calls attended whereby they were false. </w:t>
      </w:r>
    </w:p>
    <w:p w14:paraId="7FF3BAAC"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color w:val="000000"/>
          <w:sz w:val="20"/>
          <w:szCs w:val="20"/>
          <w:lang w:val="en-US"/>
        </w:rPr>
      </w:pPr>
      <w:r w:rsidRPr="00D76A17">
        <w:rPr>
          <w:rFonts w:asciiTheme="minorHAnsi" w:hAnsiTheme="minorHAnsi" w:cstheme="minorHAnsi"/>
          <w:color w:val="000000"/>
          <w:sz w:val="20"/>
          <w:szCs w:val="20"/>
          <w:lang w:val="en-US"/>
        </w:rPr>
        <w:t xml:space="preserve">There </w:t>
      </w:r>
      <w:proofErr w:type="gramStart"/>
      <w:r w:rsidRPr="00D76A17">
        <w:rPr>
          <w:rFonts w:asciiTheme="minorHAnsi" w:hAnsiTheme="minorHAnsi" w:cstheme="minorHAnsi"/>
          <w:color w:val="000000"/>
          <w:sz w:val="20"/>
          <w:szCs w:val="20"/>
          <w:lang w:val="en-US"/>
        </w:rPr>
        <w:t>was</w:t>
      </w:r>
      <w:proofErr w:type="gramEnd"/>
      <w:r w:rsidRPr="00D76A17">
        <w:rPr>
          <w:rFonts w:asciiTheme="minorHAnsi" w:hAnsiTheme="minorHAnsi" w:cstheme="minorHAnsi"/>
          <w:color w:val="000000"/>
          <w:sz w:val="20"/>
          <w:szCs w:val="20"/>
          <w:lang w:val="en-US"/>
        </w:rPr>
        <w:t xml:space="preserve"> also issues with the live streaming cameras. There </w:t>
      </w:r>
      <w:proofErr w:type="gramStart"/>
      <w:r w:rsidRPr="00D76A17">
        <w:rPr>
          <w:rFonts w:asciiTheme="minorHAnsi" w:hAnsiTheme="minorHAnsi" w:cstheme="minorHAnsi"/>
          <w:color w:val="000000"/>
          <w:sz w:val="20"/>
          <w:szCs w:val="20"/>
          <w:lang w:val="en-US"/>
        </w:rPr>
        <w:t>was</w:t>
      </w:r>
      <w:proofErr w:type="gramEnd"/>
      <w:r w:rsidRPr="00D76A17">
        <w:rPr>
          <w:rFonts w:asciiTheme="minorHAnsi" w:hAnsiTheme="minorHAnsi" w:cstheme="minorHAnsi"/>
          <w:color w:val="000000"/>
          <w:sz w:val="20"/>
          <w:szCs w:val="20"/>
          <w:lang w:val="en-US"/>
        </w:rPr>
        <w:t xml:space="preserve"> multiple instances where by the RP would call police due to the individual on the camera reporting that there were individuals on site, however this lead to significant communication delays where by instructions and information was relayed through multiple people before being delivered to the police. On one </w:t>
      </w:r>
      <w:proofErr w:type="gramStart"/>
      <w:r w:rsidRPr="00D76A17">
        <w:rPr>
          <w:rFonts w:asciiTheme="minorHAnsi" w:hAnsiTheme="minorHAnsi" w:cstheme="minorHAnsi"/>
          <w:color w:val="000000"/>
          <w:sz w:val="20"/>
          <w:szCs w:val="20"/>
          <w:lang w:val="en-US"/>
        </w:rPr>
        <w:t>occasions</w:t>
      </w:r>
      <w:proofErr w:type="gramEnd"/>
      <w:r w:rsidRPr="00D76A17">
        <w:rPr>
          <w:rFonts w:asciiTheme="minorHAnsi" w:hAnsiTheme="minorHAnsi" w:cstheme="minorHAnsi"/>
          <w:color w:val="000000"/>
          <w:sz w:val="20"/>
          <w:szCs w:val="20"/>
          <w:lang w:val="en-US"/>
        </w:rPr>
        <w:t xml:space="preserve"> I have attended an emergency to this property and the Individual watching the live stream was relaying information to the RP, who was relaying information to the security guard who then relayed information to the officers on scene. When requested for straight communication it was found that it is a different number each time, which was an improvement stated to the RP from police. </w:t>
      </w:r>
    </w:p>
    <w:p w14:paraId="444D4E92"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color w:val="000000"/>
          <w:sz w:val="20"/>
          <w:szCs w:val="20"/>
          <w:lang w:val="en-US"/>
        </w:rPr>
      </w:pPr>
      <w:r w:rsidRPr="00D76A17">
        <w:rPr>
          <w:rFonts w:asciiTheme="minorHAnsi" w:hAnsiTheme="minorHAnsi" w:cstheme="minorHAnsi"/>
          <w:color w:val="000000"/>
          <w:sz w:val="20"/>
          <w:szCs w:val="20"/>
          <w:lang w:val="en-US"/>
        </w:rPr>
        <w:t xml:space="preserve">It was also discovered through </w:t>
      </w:r>
      <w:proofErr w:type="gramStart"/>
      <w:r w:rsidRPr="00D76A17">
        <w:rPr>
          <w:rFonts w:asciiTheme="minorHAnsi" w:hAnsiTheme="minorHAnsi" w:cstheme="minorHAnsi"/>
          <w:color w:val="000000"/>
          <w:sz w:val="20"/>
          <w:szCs w:val="20"/>
          <w:lang w:val="en-US"/>
        </w:rPr>
        <w:t>myself</w:t>
      </w:r>
      <w:proofErr w:type="gramEnd"/>
      <w:r w:rsidRPr="00D76A17">
        <w:rPr>
          <w:rFonts w:asciiTheme="minorHAnsi" w:hAnsiTheme="minorHAnsi" w:cstheme="minorHAnsi"/>
          <w:color w:val="000000"/>
          <w:sz w:val="20"/>
          <w:szCs w:val="20"/>
          <w:lang w:val="en-US"/>
        </w:rPr>
        <w:t xml:space="preserve"> investigating footage from incidents where by people have entered the property without permission that the camera was 12 hour delayed, so the livestream was not in fact live streamed.</w:t>
      </w:r>
    </w:p>
    <w:p w14:paraId="64CC1B11"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color w:val="000000"/>
          <w:sz w:val="20"/>
          <w:szCs w:val="20"/>
          <w:lang w:val="en-US"/>
        </w:rPr>
      </w:pPr>
      <w:proofErr w:type="gramStart"/>
      <w:r w:rsidRPr="00D76A17">
        <w:rPr>
          <w:rFonts w:asciiTheme="minorHAnsi" w:hAnsiTheme="minorHAnsi" w:cstheme="minorHAnsi"/>
          <w:color w:val="000000"/>
          <w:sz w:val="20"/>
          <w:szCs w:val="20"/>
          <w:lang w:val="en-US"/>
        </w:rPr>
        <w:t>This issues</w:t>
      </w:r>
      <w:proofErr w:type="gramEnd"/>
      <w:r w:rsidRPr="00D76A17">
        <w:rPr>
          <w:rFonts w:asciiTheme="minorHAnsi" w:hAnsiTheme="minorHAnsi" w:cstheme="minorHAnsi"/>
          <w:color w:val="000000"/>
          <w:sz w:val="20"/>
          <w:szCs w:val="20"/>
          <w:lang w:val="en-US"/>
        </w:rPr>
        <w:t xml:space="preserve"> was resolved and RP stated that security had been upgraded and that a dog would be on the premises 24 hours. </w:t>
      </w:r>
    </w:p>
    <w:p w14:paraId="053747D3"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w:t>
      </w:r>
    </w:p>
    <w:p w14:paraId="34CB2BAA"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w:t>
      </w:r>
    </w:p>
    <w:p w14:paraId="7156F391"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lastRenderedPageBreak/>
        <w:t>The RP in this incident would be considered a repeat victim as the definition is "A victim who has been subjected to the same or similar offence two or more time within 12 months" (Birch, 2022) and that crime surveys have suggested that 40% of crimes that are reported are incidents that are repeated and committed against individuals that have already been victimised during the same year (Pease and Farrell, 2017)</w:t>
      </w:r>
    </w:p>
    <w:p w14:paraId="2FCB0793"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xml:space="preserve">There has been research that has been conducted that suggests that there is a reason that victims can be repeatedly targeted due to </w:t>
      </w:r>
      <w:proofErr w:type="gramStart"/>
      <w:r w:rsidRPr="00D76A17">
        <w:rPr>
          <w:rFonts w:asciiTheme="minorHAnsi" w:hAnsiTheme="minorHAnsi" w:cstheme="minorHAnsi"/>
          <w:sz w:val="20"/>
          <w:szCs w:val="20"/>
        </w:rPr>
        <w:t>a number of</w:t>
      </w:r>
      <w:proofErr w:type="gramEnd"/>
      <w:r w:rsidRPr="00D76A17">
        <w:rPr>
          <w:rFonts w:asciiTheme="minorHAnsi" w:hAnsiTheme="minorHAnsi" w:cstheme="minorHAnsi"/>
          <w:sz w:val="20"/>
          <w:szCs w:val="20"/>
        </w:rPr>
        <w:t xml:space="preserve"> reasons. One research study has stated that there are two main theories as to why burglaries specifically tend to be revictimized. The first theory suggests that a repeat incident is a consequence of the initial burglary as the suspects have a knowledge of the property and the items that have been taken and most likely to have been replaced and increasing the likely hood of the suspects returning (Johnson, 2008). The second theory is that offenders "target attractive locations" where by if a building falls into </w:t>
      </w:r>
      <w:proofErr w:type="spellStart"/>
      <w:r w:rsidRPr="00D76A17">
        <w:rPr>
          <w:rFonts w:asciiTheme="minorHAnsi" w:hAnsiTheme="minorHAnsi" w:cstheme="minorHAnsi"/>
          <w:sz w:val="20"/>
          <w:szCs w:val="20"/>
        </w:rPr>
        <w:t>a</w:t>
      </w:r>
      <w:proofErr w:type="spellEnd"/>
      <w:r w:rsidRPr="00D76A17">
        <w:rPr>
          <w:rFonts w:asciiTheme="minorHAnsi" w:hAnsiTheme="minorHAnsi" w:cstheme="minorHAnsi"/>
          <w:sz w:val="20"/>
          <w:szCs w:val="20"/>
        </w:rPr>
        <w:t xml:space="preserve"> ideal category, such as dark, secluded area, or an area with no obvious security measures, as well as an area that has easy access points that allow for a quick exit, the property is most likely to be targeted </w:t>
      </w:r>
      <w:proofErr w:type="gramStart"/>
      <w:r w:rsidRPr="00D76A17">
        <w:rPr>
          <w:rFonts w:asciiTheme="minorHAnsi" w:hAnsiTheme="minorHAnsi" w:cstheme="minorHAnsi"/>
          <w:sz w:val="20"/>
          <w:szCs w:val="20"/>
        </w:rPr>
        <w:t>( Johnson</w:t>
      </w:r>
      <w:proofErr w:type="gramEnd"/>
      <w:r w:rsidRPr="00D76A17">
        <w:rPr>
          <w:rFonts w:asciiTheme="minorHAnsi" w:hAnsiTheme="minorHAnsi" w:cstheme="minorHAnsi"/>
          <w:sz w:val="20"/>
          <w:szCs w:val="20"/>
        </w:rPr>
        <w:t xml:space="preserve">, 2008) . In the case of my investigation, the industrial unit hit a few of these ideal points in the two theories. The building was out of the way, large with significant </w:t>
      </w:r>
      <w:proofErr w:type="gramStart"/>
      <w:r w:rsidRPr="00D76A17">
        <w:rPr>
          <w:rFonts w:asciiTheme="minorHAnsi" w:hAnsiTheme="minorHAnsi" w:cstheme="minorHAnsi"/>
          <w:sz w:val="20"/>
          <w:szCs w:val="20"/>
        </w:rPr>
        <w:t>amount</w:t>
      </w:r>
      <w:proofErr w:type="gramEnd"/>
      <w:r w:rsidRPr="00D76A17">
        <w:rPr>
          <w:rFonts w:asciiTheme="minorHAnsi" w:hAnsiTheme="minorHAnsi" w:cstheme="minorHAnsi"/>
          <w:sz w:val="20"/>
          <w:szCs w:val="20"/>
        </w:rPr>
        <w:t xml:space="preserve"> of places to hide, as well as easy access points to allow for a quick exit. The repeat victimisation was also found to be that the same items were continued to be taken. The copper wiring has a large resale value and when the individuals have entered the first time they have taken a significant amount, however they were also made aware just how much copper was inside that one room, there for the money value increased and may have become more attractive opportunity for the individuals to return, knowing it would be difficult for the company to remove it.  It was also common knowledge around the area that the site was being disused and therefor would be an easy target. </w:t>
      </w:r>
    </w:p>
    <w:p w14:paraId="1AEE5CA9"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w:t>
      </w:r>
    </w:p>
    <w:p w14:paraId="45657318"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xml:space="preserve">There has been some research that has been conducted whereby individuals who have previously been involved in crime stated different elements that they look for when they are scoping for potential victims. One research study found often offenders would look at four specific categories, which are occupancy, surveillance, accessibility and security, all of which influenced the property target choice </w:t>
      </w:r>
      <w:proofErr w:type="gramStart"/>
      <w:r w:rsidRPr="00D76A17">
        <w:rPr>
          <w:rFonts w:asciiTheme="minorHAnsi" w:hAnsiTheme="minorHAnsi" w:cstheme="minorHAnsi"/>
          <w:sz w:val="20"/>
          <w:szCs w:val="20"/>
        </w:rPr>
        <w:t>( Palmer</w:t>
      </w:r>
      <w:proofErr w:type="gramEnd"/>
      <w:r w:rsidRPr="00D76A17">
        <w:rPr>
          <w:rFonts w:asciiTheme="minorHAnsi" w:hAnsiTheme="minorHAnsi" w:cstheme="minorHAnsi"/>
          <w:sz w:val="20"/>
          <w:szCs w:val="20"/>
        </w:rPr>
        <w:t xml:space="preserve">, Holmes and </w:t>
      </w:r>
      <w:proofErr w:type="spellStart"/>
      <w:r w:rsidRPr="00D76A17">
        <w:rPr>
          <w:rFonts w:asciiTheme="minorHAnsi" w:hAnsiTheme="minorHAnsi" w:cstheme="minorHAnsi"/>
          <w:sz w:val="20"/>
          <w:szCs w:val="20"/>
        </w:rPr>
        <w:t>Hollin</w:t>
      </w:r>
      <w:proofErr w:type="spellEnd"/>
      <w:r w:rsidRPr="00D76A17">
        <w:rPr>
          <w:rFonts w:asciiTheme="minorHAnsi" w:hAnsiTheme="minorHAnsi" w:cstheme="minorHAnsi"/>
          <w:sz w:val="20"/>
          <w:szCs w:val="20"/>
        </w:rPr>
        <w:t xml:space="preserve">, 2002) . Other factors would influence such as risk factor as well as previous experience that the offender had, however it was reported that new installation of security measures on a property that had already been targeted did little to deter repeat victimisations </w:t>
      </w:r>
      <w:proofErr w:type="gramStart"/>
      <w:r w:rsidRPr="00D76A17">
        <w:rPr>
          <w:rFonts w:asciiTheme="minorHAnsi" w:hAnsiTheme="minorHAnsi" w:cstheme="minorHAnsi"/>
          <w:sz w:val="20"/>
          <w:szCs w:val="20"/>
        </w:rPr>
        <w:t>( Palmer</w:t>
      </w:r>
      <w:proofErr w:type="gramEnd"/>
      <w:r w:rsidRPr="00D76A17">
        <w:rPr>
          <w:rFonts w:asciiTheme="minorHAnsi" w:hAnsiTheme="minorHAnsi" w:cstheme="minorHAnsi"/>
          <w:sz w:val="20"/>
          <w:szCs w:val="20"/>
        </w:rPr>
        <w:t xml:space="preserve">, Holmes and </w:t>
      </w:r>
      <w:proofErr w:type="spellStart"/>
      <w:r w:rsidRPr="00D76A17">
        <w:rPr>
          <w:rFonts w:asciiTheme="minorHAnsi" w:hAnsiTheme="minorHAnsi" w:cstheme="minorHAnsi"/>
          <w:sz w:val="20"/>
          <w:szCs w:val="20"/>
        </w:rPr>
        <w:t>Hollin</w:t>
      </w:r>
      <w:proofErr w:type="spellEnd"/>
      <w:r w:rsidRPr="00D76A17">
        <w:rPr>
          <w:rFonts w:asciiTheme="minorHAnsi" w:hAnsiTheme="minorHAnsi" w:cstheme="minorHAnsi"/>
          <w:sz w:val="20"/>
          <w:szCs w:val="20"/>
        </w:rPr>
        <w:t xml:space="preserve">, 2002). This could be a reflection at the type of offenders that targeted the commercial unit in my investigation as although some of the entries of individuals were no provided with permission, they did not take any items however the offenders that were taking the copper continued to use the same method of entry regardless of the security measures that were put into place. The final report </w:t>
      </w:r>
      <w:proofErr w:type="gramStart"/>
      <w:r w:rsidRPr="00D76A17">
        <w:rPr>
          <w:rFonts w:asciiTheme="minorHAnsi" w:hAnsiTheme="minorHAnsi" w:cstheme="minorHAnsi"/>
          <w:sz w:val="20"/>
          <w:szCs w:val="20"/>
        </w:rPr>
        <w:t>where by</w:t>
      </w:r>
      <w:proofErr w:type="gramEnd"/>
      <w:r w:rsidRPr="00D76A17">
        <w:rPr>
          <w:rFonts w:asciiTheme="minorHAnsi" w:hAnsiTheme="minorHAnsi" w:cstheme="minorHAnsi"/>
          <w:sz w:val="20"/>
          <w:szCs w:val="20"/>
        </w:rPr>
        <w:t xml:space="preserve"> further wiring was taken was conducted when the security guards had dogs present, suggesting that the research that has been conducted could have relevance as to the motivation of the offenders. </w:t>
      </w:r>
    </w:p>
    <w:p w14:paraId="5FFD464B" w14:textId="751410C4"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xml:space="preserve">A further research study found similar finding that when interviewing 50 offenders they reported back that they preferred properties that looked like there was wealth and as well as opportunities that allowed for them to have cover, easy </w:t>
      </w:r>
      <w:proofErr w:type="gramStart"/>
      <w:r w:rsidRPr="00D76A17">
        <w:rPr>
          <w:rFonts w:asciiTheme="minorHAnsi" w:hAnsiTheme="minorHAnsi" w:cstheme="minorHAnsi"/>
          <w:sz w:val="20"/>
          <w:szCs w:val="20"/>
        </w:rPr>
        <w:t>access</w:t>
      </w:r>
      <w:proofErr w:type="gramEnd"/>
      <w:r w:rsidRPr="00D76A17">
        <w:rPr>
          <w:rFonts w:asciiTheme="minorHAnsi" w:hAnsiTheme="minorHAnsi" w:cstheme="minorHAnsi"/>
          <w:sz w:val="20"/>
          <w:szCs w:val="20"/>
        </w:rPr>
        <w:t xml:space="preserve"> and a quick getaway (</w:t>
      </w:r>
      <w:proofErr w:type="spellStart"/>
      <w:r w:rsidRPr="00D76A17">
        <w:rPr>
          <w:rFonts w:asciiTheme="minorHAnsi" w:hAnsiTheme="minorHAnsi" w:cstheme="minorHAnsi"/>
          <w:sz w:val="20"/>
          <w:szCs w:val="20"/>
        </w:rPr>
        <w:t>Tseloni</w:t>
      </w:r>
      <w:proofErr w:type="spellEnd"/>
      <w:r w:rsidRPr="00D76A17">
        <w:rPr>
          <w:rFonts w:asciiTheme="minorHAnsi" w:hAnsiTheme="minorHAnsi" w:cstheme="minorHAnsi"/>
          <w:sz w:val="20"/>
          <w:szCs w:val="20"/>
        </w:rPr>
        <w:t xml:space="preserve">, Thompson, Grove, Tilley and Farrell, 2017). One of the results that were found was that again security cues were again mentioned less frequently with offenders stating that the safety measures did little to deter them as it usually meant that </w:t>
      </w:r>
      <w:proofErr w:type="gramStart"/>
      <w:r w:rsidRPr="00D76A17">
        <w:rPr>
          <w:rFonts w:asciiTheme="minorHAnsi" w:hAnsiTheme="minorHAnsi" w:cstheme="minorHAnsi"/>
          <w:sz w:val="20"/>
          <w:szCs w:val="20"/>
        </w:rPr>
        <w:t>home owners</w:t>
      </w:r>
      <w:proofErr w:type="gramEnd"/>
      <w:r w:rsidRPr="00D76A17">
        <w:rPr>
          <w:rFonts w:asciiTheme="minorHAnsi" w:hAnsiTheme="minorHAnsi" w:cstheme="minorHAnsi"/>
          <w:sz w:val="20"/>
          <w:szCs w:val="20"/>
        </w:rPr>
        <w:t xml:space="preserve"> put </w:t>
      </w:r>
      <w:proofErr w:type="spellStart"/>
      <w:r w:rsidRPr="00D76A17">
        <w:rPr>
          <w:rFonts w:asciiTheme="minorHAnsi" w:hAnsiTheme="minorHAnsi" w:cstheme="minorHAnsi"/>
          <w:sz w:val="20"/>
          <w:szCs w:val="20"/>
        </w:rPr>
        <w:t>to</w:t>
      </w:r>
      <w:proofErr w:type="spellEnd"/>
      <w:r w:rsidRPr="00D76A17">
        <w:rPr>
          <w:rFonts w:asciiTheme="minorHAnsi" w:hAnsiTheme="minorHAnsi" w:cstheme="minorHAnsi"/>
          <w:sz w:val="20"/>
          <w:szCs w:val="20"/>
        </w:rPr>
        <w:t xml:space="preserve"> much ownness of the devices and would become less vigilante meaning properties were actually less secure (</w:t>
      </w:r>
      <w:proofErr w:type="spellStart"/>
      <w:r w:rsidRPr="00D76A17">
        <w:rPr>
          <w:rFonts w:asciiTheme="minorHAnsi" w:hAnsiTheme="minorHAnsi" w:cstheme="minorHAnsi"/>
          <w:sz w:val="20"/>
          <w:szCs w:val="20"/>
        </w:rPr>
        <w:t>Tseloni</w:t>
      </w:r>
      <w:proofErr w:type="spellEnd"/>
      <w:r w:rsidRPr="00D76A17">
        <w:rPr>
          <w:rFonts w:asciiTheme="minorHAnsi" w:hAnsiTheme="minorHAnsi" w:cstheme="minorHAnsi"/>
          <w:sz w:val="20"/>
          <w:szCs w:val="20"/>
        </w:rPr>
        <w:t xml:space="preserve"> et al., 2017)</w:t>
      </w:r>
    </w:p>
    <w:p w14:paraId="127E9EA4"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w:t>
      </w:r>
    </w:p>
    <w:p w14:paraId="1E98A291"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xml:space="preserve">One issues that my victim had was that although there was a significant amount of theft, there were also individuals present that did not have permission to be there, such as one call where by three teenagers were walking through the main part. Although there were a couple of calls </w:t>
      </w:r>
      <w:proofErr w:type="gramStart"/>
      <w:r w:rsidRPr="00D76A17">
        <w:rPr>
          <w:rFonts w:asciiTheme="minorHAnsi" w:hAnsiTheme="minorHAnsi" w:cstheme="minorHAnsi"/>
          <w:sz w:val="20"/>
          <w:szCs w:val="20"/>
        </w:rPr>
        <w:t>similar to</w:t>
      </w:r>
      <w:proofErr w:type="gramEnd"/>
      <w:r w:rsidRPr="00D76A17">
        <w:rPr>
          <w:rFonts w:asciiTheme="minorHAnsi" w:hAnsiTheme="minorHAnsi" w:cstheme="minorHAnsi"/>
          <w:sz w:val="20"/>
          <w:szCs w:val="20"/>
        </w:rPr>
        <w:t xml:space="preserve"> this, the victim stated that he did not believe that they had taken or damaged anything and when watching them through the security cameras they appeared to be walking through the building as a way to cross the area. I have spoken with the victim about the way the individuals are gaining entry to which he has stated that he believes that at certain </w:t>
      </w:r>
      <w:r w:rsidRPr="00D76A17">
        <w:rPr>
          <w:rFonts w:asciiTheme="minorHAnsi" w:hAnsiTheme="minorHAnsi" w:cstheme="minorHAnsi"/>
          <w:sz w:val="20"/>
          <w:szCs w:val="20"/>
        </w:rPr>
        <w:lastRenderedPageBreak/>
        <w:t>times the doors have not been secured so do not believe they have broken in, rather have found an opportunity and believed the building to be abandoned. I have explained that if the individuals have been gaining entry due to the building not being secured then those individuals were trespassing, which is not a criminal offence (CPS, 2019)</w:t>
      </w:r>
    </w:p>
    <w:p w14:paraId="60A155DD"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w:t>
      </w:r>
    </w:p>
    <w:p w14:paraId="2867DA2D"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xml:space="preserve">This policing incident has since been closed due to lack of evidence and no further enquires however during this investigation I have used the Gibbs reflective model (The University of Edinburgh, 2020) through out by obtaining the necessary information, </w:t>
      </w:r>
      <w:proofErr w:type="gramStart"/>
      <w:r w:rsidRPr="00D76A17">
        <w:rPr>
          <w:rFonts w:asciiTheme="minorHAnsi" w:hAnsiTheme="minorHAnsi" w:cstheme="minorHAnsi"/>
          <w:sz w:val="20"/>
          <w:szCs w:val="20"/>
        </w:rPr>
        <w:t>evaluating</w:t>
      </w:r>
      <w:proofErr w:type="gramEnd"/>
      <w:r w:rsidRPr="00D76A17">
        <w:rPr>
          <w:rFonts w:asciiTheme="minorHAnsi" w:hAnsiTheme="minorHAnsi" w:cstheme="minorHAnsi"/>
          <w:sz w:val="20"/>
          <w:szCs w:val="20"/>
        </w:rPr>
        <w:t xml:space="preserve"> and analysing the situation before putting the plan into action </w:t>
      </w:r>
      <w:proofErr w:type="spellStart"/>
      <w:r w:rsidRPr="00D76A17">
        <w:rPr>
          <w:rFonts w:asciiTheme="minorHAnsi" w:hAnsiTheme="minorHAnsi" w:cstheme="minorHAnsi"/>
          <w:sz w:val="20"/>
          <w:szCs w:val="20"/>
        </w:rPr>
        <w:t>eg</w:t>
      </w:r>
      <w:proofErr w:type="spellEnd"/>
      <w:r w:rsidRPr="00D76A17">
        <w:rPr>
          <w:rFonts w:asciiTheme="minorHAnsi" w:hAnsiTheme="minorHAnsi" w:cstheme="minorHAnsi"/>
          <w:sz w:val="20"/>
          <w:szCs w:val="20"/>
        </w:rPr>
        <w:t>, investigation and safeguarding for the victim.</w:t>
      </w:r>
    </w:p>
    <w:p w14:paraId="3329B07D"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xml:space="preserve">One of the final stages of the model is the conclusion (The University of Edinburgh, 2020) which I feel I have learnt a lot. I have understood and carried out investigation techniques that I have not previously used, such as facial recognition, as well as providing continuing and more personalised safeguarding advice, such as explaining that the live stream time was not accurate. </w:t>
      </w:r>
    </w:p>
    <w:p w14:paraId="61647177" w14:textId="77777777" w:rsidR="00D76A17" w:rsidRPr="00D76A17" w:rsidRDefault="00D76A17" w:rsidP="00D76A17">
      <w:pPr>
        <w:pStyle w:val="NormalWeb"/>
        <w:spacing w:before="0" w:beforeAutospacing="0" w:after="0" w:afterAutospacing="0" w:line="276" w:lineRule="auto"/>
        <w:rPr>
          <w:rFonts w:asciiTheme="minorHAnsi" w:hAnsiTheme="minorHAnsi" w:cstheme="minorHAnsi"/>
          <w:sz w:val="20"/>
          <w:szCs w:val="20"/>
        </w:rPr>
      </w:pPr>
      <w:r w:rsidRPr="00D76A17">
        <w:rPr>
          <w:rFonts w:asciiTheme="minorHAnsi" w:hAnsiTheme="minorHAnsi" w:cstheme="minorHAnsi"/>
          <w:sz w:val="20"/>
          <w:szCs w:val="20"/>
        </w:rPr>
        <w:t xml:space="preserve">Taking in all these actions, if I was to deal with a similar situation in the </w:t>
      </w:r>
      <w:proofErr w:type="gramStart"/>
      <w:r w:rsidRPr="00D76A17">
        <w:rPr>
          <w:rFonts w:asciiTheme="minorHAnsi" w:hAnsiTheme="minorHAnsi" w:cstheme="minorHAnsi"/>
          <w:sz w:val="20"/>
          <w:szCs w:val="20"/>
        </w:rPr>
        <w:t>future</w:t>
      </w:r>
      <w:proofErr w:type="gramEnd"/>
      <w:r w:rsidRPr="00D76A17">
        <w:rPr>
          <w:rFonts w:asciiTheme="minorHAnsi" w:hAnsiTheme="minorHAnsi" w:cstheme="minorHAnsi"/>
          <w:sz w:val="20"/>
          <w:szCs w:val="20"/>
        </w:rPr>
        <w:t xml:space="preserve"> I would have more of an understanding as to the different avenues that I may take as well as any hiccups that come along the way.</w:t>
      </w:r>
    </w:p>
    <w:p w14:paraId="5A14BEB8" w14:textId="69952D76" w:rsidR="5B843AF0" w:rsidRPr="00E676F7" w:rsidRDefault="5B843AF0" w:rsidP="00D76A17">
      <w:pPr>
        <w:ind w:right="237"/>
        <w:rPr>
          <w:b/>
          <w:bCs/>
          <w:sz w:val="24"/>
          <w:szCs w:val="24"/>
        </w:rPr>
      </w:pPr>
    </w:p>
    <w:p w14:paraId="473C55DB" w14:textId="77777777" w:rsidR="009D7D94" w:rsidRDefault="009D7D94">
      <w:pPr>
        <w:overflowPunct/>
        <w:autoSpaceDE/>
        <w:autoSpaceDN/>
        <w:adjustRightInd/>
        <w:textAlignment w:val="auto"/>
        <w:rPr>
          <w:b/>
          <w:bCs/>
          <w:sz w:val="24"/>
          <w:szCs w:val="24"/>
        </w:rPr>
      </w:pPr>
    </w:p>
    <w:p w14:paraId="24F02558" w14:textId="77777777" w:rsidR="009D7D94" w:rsidRDefault="009D7D94">
      <w:pPr>
        <w:overflowPunct/>
        <w:autoSpaceDE/>
        <w:autoSpaceDN/>
        <w:adjustRightInd/>
        <w:textAlignment w:val="auto"/>
        <w:rPr>
          <w:b/>
          <w:bCs/>
          <w:sz w:val="24"/>
          <w:szCs w:val="24"/>
        </w:rPr>
      </w:pPr>
    </w:p>
    <w:p w14:paraId="32D3228D" w14:textId="77777777" w:rsidR="009D7D94" w:rsidRDefault="009D7D94">
      <w:pPr>
        <w:overflowPunct/>
        <w:autoSpaceDE/>
        <w:autoSpaceDN/>
        <w:adjustRightInd/>
        <w:textAlignment w:val="auto"/>
        <w:rPr>
          <w:b/>
          <w:bCs/>
          <w:sz w:val="24"/>
          <w:szCs w:val="24"/>
        </w:rPr>
      </w:pPr>
    </w:p>
    <w:p w14:paraId="26F39F36" w14:textId="77777777" w:rsidR="009D7D94" w:rsidRDefault="009D7D94">
      <w:pPr>
        <w:overflowPunct/>
        <w:autoSpaceDE/>
        <w:autoSpaceDN/>
        <w:adjustRightInd/>
        <w:textAlignment w:val="auto"/>
        <w:rPr>
          <w:b/>
          <w:bCs/>
          <w:sz w:val="24"/>
          <w:szCs w:val="24"/>
        </w:rPr>
      </w:pPr>
    </w:p>
    <w:p w14:paraId="68317E39" w14:textId="73C951B1" w:rsidR="00E676F7" w:rsidRPr="00E676F7" w:rsidRDefault="009D7D94">
      <w:pPr>
        <w:overflowPunct/>
        <w:autoSpaceDE/>
        <w:autoSpaceDN/>
        <w:adjustRightInd/>
        <w:textAlignment w:val="auto"/>
        <w:rPr>
          <w:b/>
          <w:bCs/>
          <w:sz w:val="24"/>
          <w:szCs w:val="24"/>
        </w:rPr>
      </w:pPr>
      <w:r>
        <w:rPr>
          <w:b/>
          <w:bCs/>
          <w:sz w:val="24"/>
          <w:szCs w:val="24"/>
        </w:rPr>
        <w:t>Word Count:2111</w:t>
      </w:r>
      <w:r w:rsidR="00E676F7"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t>ANSWER:</w:t>
      </w:r>
    </w:p>
    <w:p w14:paraId="5EEF369C" w14:textId="77777777" w:rsidR="00D76A17" w:rsidRDefault="00D76A17" w:rsidP="5CE196A1">
      <w:pPr>
        <w:ind w:right="237"/>
        <w:jc w:val="both"/>
        <w:rPr>
          <w:b/>
          <w:bCs/>
          <w:sz w:val="24"/>
          <w:szCs w:val="24"/>
        </w:rPr>
      </w:pPr>
    </w:p>
    <w:p w14:paraId="33C237D3"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 domestic abuse incident that I played a significant role was an investigation and casefile that I was allocated </w:t>
      </w:r>
      <w:proofErr w:type="gramStart"/>
      <w:r>
        <w:rPr>
          <w:rFonts w:ascii="Calibri" w:hAnsi="Calibri" w:cs="Calibri"/>
          <w:sz w:val="22"/>
          <w:szCs w:val="22"/>
        </w:rPr>
        <w:t>where by</w:t>
      </w:r>
      <w:proofErr w:type="gramEnd"/>
      <w:r>
        <w:rPr>
          <w:rFonts w:ascii="Calibri" w:hAnsi="Calibri" w:cs="Calibri"/>
          <w:sz w:val="22"/>
          <w:szCs w:val="22"/>
        </w:rPr>
        <w:t xml:space="preserve"> a male had alleged that his ex-partner had assaulted him in a club by smashing a glass on his head unprovoked. </w:t>
      </w:r>
    </w:p>
    <w:p w14:paraId="3CE47A16"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When I have received this investigation, the arrest enquires had already been completed and the subject had been interviewed. The suspect had stated during interview that she did not smash a glass over the </w:t>
      </w:r>
      <w:proofErr w:type="gramStart"/>
      <w:r>
        <w:rPr>
          <w:rFonts w:ascii="Calibri" w:hAnsi="Calibri" w:cs="Calibri"/>
          <w:sz w:val="22"/>
          <w:szCs w:val="22"/>
        </w:rPr>
        <w:t>victims</w:t>
      </w:r>
      <w:proofErr w:type="gramEnd"/>
      <w:r>
        <w:rPr>
          <w:rFonts w:ascii="Calibri" w:hAnsi="Calibri" w:cs="Calibri"/>
          <w:sz w:val="22"/>
          <w:szCs w:val="22"/>
        </w:rPr>
        <w:t xml:space="preserve"> head but had thrown the contents of her drink onto him, which has resulted in her being placed under bail conditions not to make contact with him. When I received the </w:t>
      </w:r>
      <w:proofErr w:type="gramStart"/>
      <w:r>
        <w:rPr>
          <w:rFonts w:ascii="Calibri" w:hAnsi="Calibri" w:cs="Calibri"/>
          <w:sz w:val="22"/>
          <w:szCs w:val="22"/>
        </w:rPr>
        <w:t>case</w:t>
      </w:r>
      <w:proofErr w:type="gramEnd"/>
      <w:r>
        <w:rPr>
          <w:rFonts w:ascii="Calibri" w:hAnsi="Calibri" w:cs="Calibri"/>
          <w:sz w:val="22"/>
          <w:szCs w:val="22"/>
        </w:rPr>
        <w:t xml:space="preserve"> I was to carry out further enquires so that a outcome could be made. </w:t>
      </w:r>
    </w:p>
    <w:p w14:paraId="242C6F11"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7ADA72E"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 had been made aware that there were multiple witnesses that had been identified, however there was no independent witnesses that could be contacted. The definition of a witness is "Someone who sees an event happening, especially a crime or an accident" (Cambridge Dictionary, 2024) however </w:t>
      </w:r>
      <w:proofErr w:type="gramStart"/>
      <w:r>
        <w:rPr>
          <w:rFonts w:ascii="Calibri" w:hAnsi="Calibri" w:cs="Calibri"/>
          <w:sz w:val="22"/>
          <w:szCs w:val="22"/>
        </w:rPr>
        <w:t>ideally</w:t>
      </w:r>
      <w:proofErr w:type="gramEnd"/>
      <w:r>
        <w:rPr>
          <w:rFonts w:ascii="Calibri" w:hAnsi="Calibri" w:cs="Calibri"/>
          <w:sz w:val="22"/>
          <w:szCs w:val="22"/>
        </w:rPr>
        <w:t xml:space="preserve"> I was keeping an eye open for an independent witness to the incident. An independent witness would be beneficial as this is someone who would have no connection to the individuals involved in the incident and would be able to provide an unbiased view on the incident, as the issue that people directly involved in the incident may not recall accurately the details of the situation due to </w:t>
      </w:r>
      <w:proofErr w:type="gramStart"/>
      <w:r>
        <w:rPr>
          <w:rFonts w:ascii="Calibri" w:hAnsi="Calibri" w:cs="Calibri"/>
          <w:sz w:val="22"/>
          <w:szCs w:val="22"/>
        </w:rPr>
        <w:t>a number of</w:t>
      </w:r>
      <w:proofErr w:type="gramEnd"/>
      <w:r>
        <w:rPr>
          <w:rFonts w:ascii="Calibri" w:hAnsi="Calibri" w:cs="Calibri"/>
          <w:sz w:val="22"/>
          <w:szCs w:val="22"/>
        </w:rPr>
        <w:t xml:space="preserve"> factors such as shock or adrenaline (Waring, 2024). In this incident due to the location being in a nightclub and the bouncers immediately removing the suspect and her friends from the venue, it was difficult to locate or identify any independent witnesses. The other two enquires that were also needed was CCTV and medical evidence. </w:t>
      </w:r>
    </w:p>
    <w:p w14:paraId="3BF37EE8"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758530A"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Although initially the case appeared straight forward </w:t>
      </w:r>
      <w:proofErr w:type="gramStart"/>
      <w:r>
        <w:rPr>
          <w:rFonts w:ascii="Calibri" w:hAnsi="Calibri" w:cs="Calibri"/>
          <w:sz w:val="22"/>
          <w:szCs w:val="22"/>
        </w:rPr>
        <w:t>in regard to</w:t>
      </w:r>
      <w:proofErr w:type="gramEnd"/>
      <w:r>
        <w:rPr>
          <w:rFonts w:ascii="Calibri" w:hAnsi="Calibri" w:cs="Calibri"/>
          <w:sz w:val="22"/>
          <w:szCs w:val="22"/>
        </w:rPr>
        <w:t xml:space="preserve"> completing the investigation, the process started to get more complex as time went on which has resulted in me using a variety of different policing models. </w:t>
      </w:r>
    </w:p>
    <w:p w14:paraId="6276686B"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first complication was whilst collecting a witness statement from the friend of the subject who had been named as being present stated that she had been the one to initially throw the contents of her glass over the victim due to him touching her in an inappropriate and sexual manner. The witness stated that she did not want to make a complaint in regard to the sexual touching against the victim but disclosed that there had been a previous serious incident that had been taken to court whereby the victim was the suspect of a serious sexual assault against the </w:t>
      </w:r>
      <w:proofErr w:type="gramStart"/>
      <w:r>
        <w:rPr>
          <w:rFonts w:ascii="Calibri" w:hAnsi="Calibri" w:cs="Calibri"/>
          <w:sz w:val="22"/>
          <w:szCs w:val="22"/>
        </w:rPr>
        <w:t>suspect</w:t>
      </w:r>
      <w:proofErr w:type="gramEnd"/>
      <w:r>
        <w:rPr>
          <w:rFonts w:ascii="Calibri" w:hAnsi="Calibri" w:cs="Calibri"/>
          <w:sz w:val="22"/>
          <w:szCs w:val="22"/>
        </w:rPr>
        <w:t xml:space="preserve"> but it was </w:t>
      </w:r>
      <w:proofErr w:type="spellStart"/>
      <w:r>
        <w:rPr>
          <w:rFonts w:ascii="Calibri" w:hAnsi="Calibri" w:cs="Calibri"/>
          <w:sz w:val="22"/>
          <w:szCs w:val="22"/>
        </w:rPr>
        <w:t>NFA'd</w:t>
      </w:r>
      <w:proofErr w:type="spellEnd"/>
      <w:r>
        <w:rPr>
          <w:rFonts w:ascii="Calibri" w:hAnsi="Calibri" w:cs="Calibri"/>
          <w:sz w:val="22"/>
          <w:szCs w:val="22"/>
        </w:rPr>
        <w:t xml:space="preserve">. The witness stated that since this the two parties have had limited contact </w:t>
      </w:r>
      <w:proofErr w:type="gramStart"/>
      <w:r>
        <w:rPr>
          <w:rFonts w:ascii="Calibri" w:hAnsi="Calibri" w:cs="Calibri"/>
          <w:sz w:val="22"/>
          <w:szCs w:val="22"/>
        </w:rPr>
        <w:t>however</w:t>
      </w:r>
      <w:proofErr w:type="gramEnd"/>
      <w:r>
        <w:rPr>
          <w:rFonts w:ascii="Calibri" w:hAnsi="Calibri" w:cs="Calibri"/>
          <w:sz w:val="22"/>
          <w:szCs w:val="22"/>
        </w:rPr>
        <w:t xml:space="preserve"> he purposely attempts to antagonise the suspect to try and get a reaction, which is what happened the night of the incident.</w:t>
      </w:r>
    </w:p>
    <w:p w14:paraId="7390BD24"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Due to the disclosure of the initial assault from the witness, I was unable to treat her as a suspect to assault due to not being under caution and unable to be interviewed due to section 78 PACE whereby it states that any evidence may be excluded due to the circumstance of how the evidence was obtained and due to the witness not being provided with her rights before (Health and Safety Executive, N.D) her making the disclosure it may not be valid evidence if it was to go to court.  Due to this outcome I have used the National Decision Model (College Of Policing, 2013) and assessed the information that was provided by the witness and looked at the threat that was against the witness from the victim and vice versa, as well as looking at the policy and powers that were available to me, such as community resolution, however due to further outstanding enquires I have continued the investigation before providing an outcome. </w:t>
      </w:r>
    </w:p>
    <w:p w14:paraId="12B4F9FA"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3E6B4E0"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 have collected further witness statements which resulted in a further corroboration with the first witness statement and the witnesses that the victim has provided names to all stated that they did not see the incident however have seen he had a few scratches to his head after the altercation was reported to have happened. </w:t>
      </w:r>
    </w:p>
    <w:p w14:paraId="04B5D30A"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I have conducted intensive CCTV enquires due to the incident happening in a club. I had been informed by multiple individuals that the owner of the CCTV was cousins with the victim and had shown him the CCTV before sending it to police, which could cause bias of recall. Memory recall is a very broad topic which has been investigated by many researchers, whom have suggested that there are multiple reasons as to why recall of a victim may not be accurate such as alcohol consumption (White, 2003), emotional retelling (</w:t>
      </w:r>
      <w:proofErr w:type="spellStart"/>
      <w:r>
        <w:rPr>
          <w:rFonts w:ascii="Calibri" w:hAnsi="Calibri" w:cs="Calibri"/>
          <w:sz w:val="22"/>
          <w:szCs w:val="22"/>
        </w:rPr>
        <w:t>Soleti</w:t>
      </w:r>
      <w:proofErr w:type="spellEnd"/>
      <w:r>
        <w:rPr>
          <w:rFonts w:ascii="Calibri" w:hAnsi="Calibri" w:cs="Calibri"/>
          <w:sz w:val="22"/>
          <w:szCs w:val="22"/>
        </w:rPr>
        <w:t xml:space="preserve">, Wright and </w:t>
      </w:r>
      <w:proofErr w:type="spellStart"/>
      <w:r>
        <w:rPr>
          <w:rFonts w:ascii="Calibri" w:hAnsi="Calibri" w:cs="Calibri"/>
          <w:sz w:val="22"/>
          <w:szCs w:val="22"/>
        </w:rPr>
        <w:t>Curci</w:t>
      </w:r>
      <w:proofErr w:type="spellEnd"/>
      <w:r>
        <w:rPr>
          <w:rFonts w:ascii="Calibri" w:hAnsi="Calibri" w:cs="Calibri"/>
          <w:sz w:val="22"/>
          <w:szCs w:val="22"/>
        </w:rPr>
        <w:t>, 2016) where by individuals recall less details and information due to heightened focus points, with further research supporting the idea of Emotional memories being rewritten (Bolitho, 2017). The accusation that the victim had viewed his CCTV during the police investigation could have suggested that there was a bias in recall.</w:t>
      </w:r>
    </w:p>
    <w:p w14:paraId="4E6DDC0E"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was also mention that the CCTV had been cropped and edited. When speaking to the manager of club he had stated that the CCTV that had been sent to police was not altered or cut however the angle of the CCTV and the incident was not ideal and could only catch the end of the alleged incident. He stated that he had watched the </w:t>
      </w:r>
      <w:proofErr w:type="gramStart"/>
      <w:r>
        <w:rPr>
          <w:rFonts w:ascii="Calibri" w:hAnsi="Calibri" w:cs="Calibri"/>
          <w:sz w:val="22"/>
          <w:szCs w:val="22"/>
        </w:rPr>
        <w:t>CCTV</w:t>
      </w:r>
      <w:proofErr w:type="gramEnd"/>
      <w:r>
        <w:rPr>
          <w:rFonts w:ascii="Calibri" w:hAnsi="Calibri" w:cs="Calibri"/>
          <w:sz w:val="22"/>
          <w:szCs w:val="22"/>
        </w:rPr>
        <w:t xml:space="preserve"> and he could not see any sign of assault. </w:t>
      </w:r>
    </w:p>
    <w:p w14:paraId="679FF27B"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When watching the </w:t>
      </w:r>
      <w:proofErr w:type="gramStart"/>
      <w:r>
        <w:rPr>
          <w:rFonts w:ascii="Calibri" w:hAnsi="Calibri" w:cs="Calibri"/>
          <w:sz w:val="22"/>
          <w:szCs w:val="22"/>
        </w:rPr>
        <w:t>CCTV</w:t>
      </w:r>
      <w:proofErr w:type="gramEnd"/>
      <w:r>
        <w:rPr>
          <w:rFonts w:ascii="Calibri" w:hAnsi="Calibri" w:cs="Calibri"/>
          <w:sz w:val="22"/>
          <w:szCs w:val="22"/>
        </w:rPr>
        <w:t xml:space="preserve"> the only part of the incident that could be caught was the liquid flying across the room and the individual and suspect moving into focus however no assault could be seen. </w:t>
      </w:r>
    </w:p>
    <w:p w14:paraId="7E263A03"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B8C836C"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I have spoken with the victim and have asked if he had any medical evidence to which he stated that he has not. I have explained that medical evidence was important as it was evidence from a medical professional and would help us to establish the level of injury that was sustained (CPS, 2022). The victim has stated that he did not obtain this however had photos that he has taken when he has gotten home, which showed scratches to the back of his head.</w:t>
      </w:r>
    </w:p>
    <w:p w14:paraId="789A834C"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AABFC3C"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Once the final line of enquiry had been </w:t>
      </w:r>
      <w:proofErr w:type="gramStart"/>
      <w:r>
        <w:rPr>
          <w:rFonts w:ascii="Calibri" w:hAnsi="Calibri" w:cs="Calibri"/>
          <w:sz w:val="22"/>
          <w:szCs w:val="22"/>
        </w:rPr>
        <w:t>completed</w:t>
      </w:r>
      <w:proofErr w:type="gramEnd"/>
      <w:r>
        <w:rPr>
          <w:rFonts w:ascii="Calibri" w:hAnsi="Calibri" w:cs="Calibri"/>
          <w:sz w:val="22"/>
          <w:szCs w:val="22"/>
        </w:rPr>
        <w:t xml:space="preserve"> I have presented the evidence to my supervisor and a check of previous incidents it was decided that the case would be no further actioned. </w:t>
      </w:r>
    </w:p>
    <w:p w14:paraId="12F86CEE"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 have contacted the victim to explain that a decision had been decided that with the evidence that was collected that the case would be no further actioned. Due to the behaviour of the victim towards myself the last time I had updated him I was prepared for the difficult conversation and have ensured that I have provided a clear informative reason behind the final rationale. The victim immediately became agitated and stated that he would put in a complaint and that if he was to see the suspect he would act in </w:t>
      </w:r>
      <w:proofErr w:type="spellStart"/>
      <w:r>
        <w:rPr>
          <w:rFonts w:ascii="Calibri" w:hAnsi="Calibri" w:cs="Calibri"/>
          <w:sz w:val="22"/>
          <w:szCs w:val="22"/>
        </w:rPr>
        <w:t>self defensive</w:t>
      </w:r>
      <w:proofErr w:type="spellEnd"/>
      <w:r>
        <w:rPr>
          <w:rFonts w:ascii="Calibri" w:hAnsi="Calibri" w:cs="Calibri"/>
          <w:sz w:val="22"/>
          <w:szCs w:val="22"/>
        </w:rPr>
        <w:t xml:space="preserve">. I have continued to act professional and explained safeguarding advice, as well as informing him that it was a </w:t>
      </w:r>
      <w:proofErr w:type="gramStart"/>
      <w:r>
        <w:rPr>
          <w:rFonts w:ascii="Calibri" w:hAnsi="Calibri" w:cs="Calibri"/>
          <w:sz w:val="22"/>
          <w:szCs w:val="22"/>
        </w:rPr>
        <w:t>victims</w:t>
      </w:r>
      <w:proofErr w:type="gramEnd"/>
      <w:r>
        <w:rPr>
          <w:rFonts w:ascii="Calibri" w:hAnsi="Calibri" w:cs="Calibri"/>
          <w:sz w:val="22"/>
          <w:szCs w:val="22"/>
        </w:rPr>
        <w:t xml:space="preserve"> right to make a complaint he felt that his rights had not been met (College of Policing, 2021) and have explained how he would go about making a complaint in regard to Gwent Police.</w:t>
      </w:r>
    </w:p>
    <w:p w14:paraId="5F77A5D9"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Due to this reaction from the victim I have used the SARA Model, a problem- oriented approach which identifies a specific problem, use thorough analysis to understand the problem and develop a tailored response </w:t>
      </w:r>
      <w:proofErr w:type="gramStart"/>
      <w:r>
        <w:rPr>
          <w:rFonts w:ascii="Calibri" w:hAnsi="Calibri" w:cs="Calibri"/>
          <w:sz w:val="22"/>
          <w:szCs w:val="22"/>
        </w:rPr>
        <w:t>( College</w:t>
      </w:r>
      <w:proofErr w:type="gramEnd"/>
      <w:r>
        <w:rPr>
          <w:rFonts w:ascii="Calibri" w:hAnsi="Calibri" w:cs="Calibri"/>
          <w:sz w:val="22"/>
          <w:szCs w:val="22"/>
        </w:rPr>
        <w:t xml:space="preserve"> Of Policing, 2022). Due to the comment that the victim had made about acting in self-defence I have decided that it was my duty to safeguard the suspect as well due to the previous incidents of domestic violence between them, with her being the victim previously. Previous research by Boxall, Dowling and Morgan (2020) has suggested that there is a difference between male and female perpetrated and found the often female perpetrated incident are often self-defence or retaliatory violence, which is when the perpetrator has been a victim prior by the individual and reacts to a situation, which may explain the behaviour and mindset of the suspect due to her previously having no complaints against her.</w:t>
      </w:r>
    </w:p>
    <w:p w14:paraId="0C22694D"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 have called the suspect and explained the outcome and provided </w:t>
      </w:r>
      <w:proofErr w:type="gramStart"/>
      <w:r>
        <w:rPr>
          <w:rFonts w:ascii="Calibri" w:hAnsi="Calibri" w:cs="Calibri"/>
          <w:sz w:val="22"/>
          <w:szCs w:val="22"/>
        </w:rPr>
        <w:t>safe guarding</w:t>
      </w:r>
      <w:proofErr w:type="gramEnd"/>
      <w:r>
        <w:rPr>
          <w:rFonts w:ascii="Calibri" w:hAnsi="Calibri" w:cs="Calibri"/>
          <w:sz w:val="22"/>
          <w:szCs w:val="22"/>
        </w:rPr>
        <w:t xml:space="preserve"> advice and have explained that she was advised to keep any evidence that she might have to support her defence as if new evidence come to light the investigation may be reopened (College of Policing, 2013). I have then called the witness that had admitted that she had assaulted the victim, explaining that the actions she had carried out was assault and to provide her with a safety plan. </w:t>
      </w:r>
    </w:p>
    <w:p w14:paraId="1F2E5EEE"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0FC8D87" w14:textId="63777EDC"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Some of the challenges that do arise </w:t>
      </w:r>
      <w:proofErr w:type="gramStart"/>
      <w:r>
        <w:rPr>
          <w:rFonts w:ascii="Calibri" w:hAnsi="Calibri" w:cs="Calibri"/>
          <w:sz w:val="22"/>
          <w:szCs w:val="22"/>
        </w:rPr>
        <w:t>in regard to</w:t>
      </w:r>
      <w:proofErr w:type="gramEnd"/>
      <w:r>
        <w:rPr>
          <w:rFonts w:ascii="Calibri" w:hAnsi="Calibri" w:cs="Calibri"/>
          <w:sz w:val="22"/>
          <w:szCs w:val="22"/>
        </w:rPr>
        <w:t xml:space="preserve"> domestic abuse</w:t>
      </w:r>
      <w:r w:rsidR="00CE300C">
        <w:rPr>
          <w:rFonts w:ascii="Calibri" w:hAnsi="Calibri" w:cs="Calibri"/>
          <w:sz w:val="22"/>
          <w:szCs w:val="22"/>
        </w:rPr>
        <w:t xml:space="preserve"> incidents</w:t>
      </w:r>
      <w:r>
        <w:rPr>
          <w:rFonts w:ascii="Calibri" w:hAnsi="Calibri" w:cs="Calibri"/>
          <w:sz w:val="22"/>
          <w:szCs w:val="22"/>
        </w:rPr>
        <w:t xml:space="preserve"> is the </w:t>
      </w:r>
      <w:r w:rsidR="00CE300C">
        <w:rPr>
          <w:rFonts w:ascii="Calibri" w:hAnsi="Calibri" w:cs="Calibri"/>
          <w:sz w:val="22"/>
          <w:szCs w:val="22"/>
        </w:rPr>
        <w:t>complication</w:t>
      </w:r>
      <w:r>
        <w:rPr>
          <w:rFonts w:ascii="Calibri" w:hAnsi="Calibri" w:cs="Calibri"/>
          <w:sz w:val="22"/>
          <w:szCs w:val="22"/>
        </w:rPr>
        <w:t xml:space="preserve"> of when the two parties are still in a current relationship with each other. Some of the strategies that </w:t>
      </w:r>
      <w:r>
        <w:rPr>
          <w:rFonts w:ascii="Calibri" w:hAnsi="Calibri" w:cs="Calibri"/>
          <w:sz w:val="22"/>
          <w:szCs w:val="22"/>
        </w:rPr>
        <w:lastRenderedPageBreak/>
        <w:t>are used to safeguard the victim is to ensure that if the suspect has been arrested there is the option of bail, where by the suspect is given instructions surround not to contact the victim, or if the case is to go no further action to issue a Domestic Violence Protection Notice on the suspect to allow for the victim to have some breathing space (College of Policing, 2015). Due to the two parties in my case not being in a currently relationship bail conditions were appropriate.</w:t>
      </w:r>
    </w:p>
    <w:p w14:paraId="03CE4F4F"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Police across England and Wales offer victims access to a staffed care witness care unit where they act as a single point of contact for victims and provide support throughout the investigation (College of Policing, </w:t>
      </w:r>
      <w:proofErr w:type="spellStart"/>
      <w:r>
        <w:rPr>
          <w:rFonts w:ascii="Calibri" w:hAnsi="Calibri" w:cs="Calibri"/>
          <w:sz w:val="22"/>
          <w:szCs w:val="22"/>
        </w:rPr>
        <w:t>n.d</w:t>
      </w:r>
      <w:proofErr w:type="spellEnd"/>
      <w:r>
        <w:rPr>
          <w:rFonts w:ascii="Calibri" w:hAnsi="Calibri" w:cs="Calibri"/>
          <w:sz w:val="22"/>
          <w:szCs w:val="22"/>
        </w:rPr>
        <w:t xml:space="preserve">) which is another strategy used by officers to allow for effective policing and to allow for a positive communication pathways between officers and the victim, as well as giving the victim a certain sense of involvement as they are updated regularly by the single point of contact, as well as informing victims and witnesses of trial dates and ensuring if the officer has not been in contact to ensure that they are notified of the victims requests and needs (College of Policing, </w:t>
      </w:r>
      <w:proofErr w:type="spellStart"/>
      <w:r>
        <w:rPr>
          <w:rFonts w:ascii="Calibri" w:hAnsi="Calibri" w:cs="Calibri"/>
          <w:sz w:val="22"/>
          <w:szCs w:val="22"/>
        </w:rPr>
        <w:t>n.d</w:t>
      </w:r>
      <w:proofErr w:type="spellEnd"/>
      <w:r>
        <w:rPr>
          <w:rFonts w:ascii="Calibri" w:hAnsi="Calibri" w:cs="Calibri"/>
          <w:sz w:val="22"/>
          <w:szCs w:val="22"/>
        </w:rPr>
        <w:t xml:space="preserve">). </w:t>
      </w:r>
    </w:p>
    <w:p w14:paraId="1CC54652" w14:textId="73797268"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Another strategic implication is the job of an Independent Domestic Violence Advocate (IDVA), who is an individual that works alongside the police and other criminal justice agencies and primarily work with people of </w:t>
      </w:r>
      <w:proofErr w:type="gramStart"/>
      <w:r>
        <w:rPr>
          <w:rFonts w:ascii="Calibri" w:hAnsi="Calibri" w:cs="Calibri"/>
          <w:sz w:val="22"/>
          <w:szCs w:val="22"/>
        </w:rPr>
        <w:t>high risk</w:t>
      </w:r>
      <w:proofErr w:type="gramEnd"/>
      <w:r>
        <w:rPr>
          <w:rFonts w:ascii="Calibri" w:hAnsi="Calibri" w:cs="Calibri"/>
          <w:sz w:val="22"/>
          <w:szCs w:val="22"/>
        </w:rPr>
        <w:t xml:space="preserve"> domestic abuse or individuals who are </w:t>
      </w:r>
      <w:r w:rsidR="00E673AE">
        <w:rPr>
          <w:rFonts w:ascii="Calibri" w:hAnsi="Calibri" w:cs="Calibri"/>
          <w:sz w:val="22"/>
          <w:szCs w:val="22"/>
        </w:rPr>
        <w:t>referred</w:t>
      </w:r>
      <w:r>
        <w:rPr>
          <w:rFonts w:ascii="Calibri" w:hAnsi="Calibri" w:cs="Calibri"/>
          <w:sz w:val="22"/>
          <w:szCs w:val="22"/>
        </w:rPr>
        <w:t xml:space="preserve"> to MARAC with the main goal of protecting the victims and their children's safety (College of Policing, 2015). Although both strategies of support are very useful to officers in domestic cases, and individuals we </w:t>
      </w:r>
      <w:r w:rsidR="00E673AE">
        <w:rPr>
          <w:rFonts w:ascii="Calibri" w:hAnsi="Calibri" w:cs="Calibri"/>
          <w:sz w:val="22"/>
          <w:szCs w:val="22"/>
        </w:rPr>
        <w:t>regularly</w:t>
      </w:r>
      <w:r>
        <w:rPr>
          <w:rFonts w:ascii="Calibri" w:hAnsi="Calibri" w:cs="Calibri"/>
          <w:sz w:val="22"/>
          <w:szCs w:val="22"/>
        </w:rPr>
        <w:t xml:space="preserve"> have contact with to ensure victims safety</w:t>
      </w:r>
      <w:r w:rsidR="00E673AE">
        <w:rPr>
          <w:rFonts w:ascii="Calibri" w:hAnsi="Calibri" w:cs="Calibri"/>
          <w:sz w:val="22"/>
          <w:szCs w:val="22"/>
        </w:rPr>
        <w:t>.</w:t>
      </w:r>
      <w:r>
        <w:rPr>
          <w:rFonts w:ascii="Calibri" w:hAnsi="Calibri" w:cs="Calibri"/>
          <w:sz w:val="22"/>
          <w:szCs w:val="22"/>
        </w:rPr>
        <w:t xml:space="preserve"> </w:t>
      </w:r>
      <w:r w:rsidR="00E673AE">
        <w:rPr>
          <w:rFonts w:ascii="Calibri" w:hAnsi="Calibri" w:cs="Calibri"/>
          <w:sz w:val="22"/>
          <w:szCs w:val="22"/>
        </w:rPr>
        <w:t>I</w:t>
      </w:r>
      <w:r>
        <w:rPr>
          <w:rFonts w:ascii="Calibri" w:hAnsi="Calibri" w:cs="Calibri"/>
          <w:sz w:val="22"/>
          <w:szCs w:val="22"/>
        </w:rPr>
        <w:t xml:space="preserve">n the case of my </w:t>
      </w:r>
      <w:proofErr w:type="gramStart"/>
      <w:r>
        <w:rPr>
          <w:rFonts w:ascii="Calibri" w:hAnsi="Calibri" w:cs="Calibri"/>
          <w:sz w:val="22"/>
          <w:szCs w:val="22"/>
        </w:rPr>
        <w:t>investigation</w:t>
      </w:r>
      <w:proofErr w:type="gramEnd"/>
      <w:r>
        <w:rPr>
          <w:rFonts w:ascii="Calibri" w:hAnsi="Calibri" w:cs="Calibri"/>
          <w:sz w:val="22"/>
          <w:szCs w:val="22"/>
        </w:rPr>
        <w:t xml:space="preserve"> I have considered the options and contingencies and have concluded that the investigation did not reach the threshold for both the DVPN as they were not actively or currently in a relationship, as well as not hitting the threshold for access to the IDVA.</w:t>
      </w:r>
    </w:p>
    <w:p w14:paraId="5727693E"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DFD44DF"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This case was complex in many ways, whereby I had had to take into consideration a lot of different accounts, a disclosure that was not under caution and the further allegations. These outcomes have caused me to work under the problem orientated policing as I have had to problem solve by identifying if there was an issue and develop a tailored response (College of Policing, 2017)</w:t>
      </w:r>
    </w:p>
    <w:p w14:paraId="1847CE38" w14:textId="3C6D424E"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 have used the NDM model through this investigation due to the dynamic and constantly changing direction of potential outcomes (College of Policing, 2013). </w:t>
      </w:r>
      <w:r w:rsidR="00B959A3">
        <w:rPr>
          <w:rFonts w:ascii="Calibri" w:hAnsi="Calibri" w:cs="Calibri"/>
          <w:sz w:val="22"/>
          <w:szCs w:val="22"/>
        </w:rPr>
        <w:t>On reflection</w:t>
      </w:r>
      <w:r>
        <w:rPr>
          <w:rFonts w:ascii="Calibri" w:hAnsi="Calibri" w:cs="Calibri"/>
          <w:sz w:val="22"/>
          <w:szCs w:val="22"/>
        </w:rPr>
        <w:t xml:space="preserve"> </w:t>
      </w:r>
      <w:r w:rsidR="00B959A3">
        <w:rPr>
          <w:rFonts w:ascii="Calibri" w:hAnsi="Calibri" w:cs="Calibri"/>
          <w:sz w:val="22"/>
          <w:szCs w:val="22"/>
        </w:rPr>
        <w:t>to</w:t>
      </w:r>
      <w:r>
        <w:rPr>
          <w:rFonts w:ascii="Calibri" w:hAnsi="Calibri" w:cs="Calibri"/>
          <w:sz w:val="22"/>
          <w:szCs w:val="22"/>
        </w:rPr>
        <w:t xml:space="preserve"> the </w:t>
      </w:r>
      <w:proofErr w:type="gramStart"/>
      <w:r>
        <w:rPr>
          <w:rFonts w:ascii="Calibri" w:hAnsi="Calibri" w:cs="Calibri"/>
          <w:sz w:val="22"/>
          <w:szCs w:val="22"/>
        </w:rPr>
        <w:t>incident</w:t>
      </w:r>
      <w:proofErr w:type="gramEnd"/>
      <w:r>
        <w:rPr>
          <w:rFonts w:ascii="Calibri" w:hAnsi="Calibri" w:cs="Calibri"/>
          <w:sz w:val="22"/>
          <w:szCs w:val="22"/>
        </w:rPr>
        <w:t xml:space="preserve"> I have con</w:t>
      </w:r>
      <w:r w:rsidR="00B959A3">
        <w:rPr>
          <w:rFonts w:ascii="Calibri" w:hAnsi="Calibri" w:cs="Calibri"/>
          <w:sz w:val="22"/>
          <w:szCs w:val="22"/>
        </w:rPr>
        <w:t>tinuously</w:t>
      </w:r>
      <w:r>
        <w:rPr>
          <w:rFonts w:ascii="Calibri" w:hAnsi="Calibri" w:cs="Calibri"/>
          <w:sz w:val="22"/>
          <w:szCs w:val="22"/>
        </w:rPr>
        <w:t xml:space="preserve"> taken into consideration the code of ethics and the ethic policing principles as the basis of all my decisions. I have gathered information and continued to assess the threats and risks that presented to me. I have considered powers and policies such as understanding that due to the caution not being provided to the witness when she has disclosed the incident that it may not be admissible in court. I have constantly taken into consideration the different options and contingencies as I have regularly been considering the possible outcomes, such as CPS charging advice, NFA or alternative disposal such as woman's pathway or community resolution. I have taken action throughout the incident and when I have completed an </w:t>
      </w:r>
      <w:proofErr w:type="gramStart"/>
      <w:r>
        <w:rPr>
          <w:rFonts w:ascii="Calibri" w:hAnsi="Calibri" w:cs="Calibri"/>
          <w:sz w:val="22"/>
          <w:szCs w:val="22"/>
        </w:rPr>
        <w:t>enqui</w:t>
      </w:r>
      <w:r w:rsidR="00B959A3">
        <w:rPr>
          <w:rFonts w:ascii="Calibri" w:hAnsi="Calibri" w:cs="Calibri"/>
          <w:sz w:val="22"/>
          <w:szCs w:val="22"/>
        </w:rPr>
        <w:t>ry</w:t>
      </w:r>
      <w:proofErr w:type="gramEnd"/>
      <w:r>
        <w:rPr>
          <w:rFonts w:ascii="Calibri" w:hAnsi="Calibri" w:cs="Calibri"/>
          <w:sz w:val="22"/>
          <w:szCs w:val="22"/>
        </w:rPr>
        <w:t xml:space="preserve"> I have reviewed not only the information I have collected, I have also reviewed and reflected on the overall investigation. The SARA model has also come into play as I have also used sections such as the analysis </w:t>
      </w:r>
      <w:proofErr w:type="gramStart"/>
      <w:r>
        <w:rPr>
          <w:rFonts w:ascii="Calibri" w:hAnsi="Calibri" w:cs="Calibri"/>
          <w:sz w:val="22"/>
          <w:szCs w:val="22"/>
        </w:rPr>
        <w:t>whereby</w:t>
      </w:r>
      <w:proofErr w:type="gramEnd"/>
      <w:r>
        <w:rPr>
          <w:rFonts w:ascii="Calibri" w:hAnsi="Calibri" w:cs="Calibri"/>
          <w:sz w:val="22"/>
          <w:szCs w:val="22"/>
        </w:rPr>
        <w:t xml:space="preserve"> I have analysed the potential problems and have gathered information to identify underlying issues, as well as develop a tailored response to address the cause of the problem which would be the admission from the witness</w:t>
      </w:r>
      <w:r>
        <w:rPr>
          <w:rFonts w:ascii="Calibri" w:hAnsi="Calibri" w:cs="Calibri"/>
          <w:sz w:val="22"/>
          <w:szCs w:val="22"/>
        </w:rPr>
        <w:t xml:space="preserve"> </w:t>
      </w:r>
      <w:r>
        <w:rPr>
          <w:rFonts w:ascii="Calibri" w:hAnsi="Calibri" w:cs="Calibri"/>
          <w:sz w:val="22"/>
          <w:szCs w:val="22"/>
        </w:rPr>
        <w:t xml:space="preserve">(College of policing, 2017). </w:t>
      </w:r>
    </w:p>
    <w:p w14:paraId="4BA27111" w14:textId="77777777" w:rsidR="00D76A17" w:rsidRPr="00E676F7" w:rsidRDefault="00D76A17" w:rsidP="5CE196A1">
      <w:pPr>
        <w:ind w:right="237"/>
        <w:jc w:val="both"/>
        <w:rPr>
          <w:b/>
          <w:bCs/>
          <w:sz w:val="24"/>
          <w:szCs w:val="24"/>
        </w:rPr>
      </w:pP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9DE1689" w14:textId="63E17F18" w:rsidR="00025650" w:rsidRPr="00B959A3" w:rsidRDefault="009D7D94" w:rsidP="0FF883D4">
      <w:pPr>
        <w:ind w:right="237"/>
        <w:jc w:val="both"/>
        <w:rPr>
          <w:color w:val="000000" w:themeColor="text1"/>
          <w:sz w:val="24"/>
          <w:szCs w:val="24"/>
        </w:rPr>
      </w:pPr>
      <w:r>
        <w:rPr>
          <w:color w:val="000000" w:themeColor="text1"/>
          <w:sz w:val="24"/>
          <w:szCs w:val="24"/>
        </w:rPr>
        <w:t xml:space="preserve">Word Count: </w:t>
      </w:r>
      <w:r w:rsidR="00BC4B7C">
        <w:rPr>
          <w:color w:val="000000" w:themeColor="text1"/>
          <w:sz w:val="24"/>
          <w:szCs w:val="24"/>
        </w:rPr>
        <w:t>212</w:t>
      </w:r>
      <w:r w:rsidR="00B959A3">
        <w:rPr>
          <w:color w:val="000000" w:themeColor="text1"/>
          <w:sz w:val="24"/>
          <w:szCs w:val="24"/>
        </w:rPr>
        <w:t>1</w:t>
      </w:r>
    </w:p>
    <w:p w14:paraId="011FCC29" w14:textId="77777777" w:rsidR="009D7D94" w:rsidRDefault="009D7D94" w:rsidP="5CE196A1">
      <w:pPr>
        <w:ind w:right="237"/>
        <w:jc w:val="center"/>
        <w:rPr>
          <w:b/>
          <w:bCs/>
          <w:color w:val="000000" w:themeColor="text1"/>
          <w:sz w:val="28"/>
          <w:szCs w:val="28"/>
          <w:u w:val="single"/>
        </w:rPr>
      </w:pPr>
    </w:p>
    <w:p w14:paraId="4BD61AD9" w14:textId="77777777" w:rsidR="009D7D94" w:rsidRDefault="009D7D94" w:rsidP="5CE196A1">
      <w:pPr>
        <w:ind w:right="237"/>
        <w:jc w:val="center"/>
        <w:rPr>
          <w:b/>
          <w:bCs/>
          <w:color w:val="000000" w:themeColor="text1"/>
          <w:sz w:val="28"/>
          <w:szCs w:val="28"/>
          <w:u w:val="single"/>
        </w:rPr>
      </w:pPr>
    </w:p>
    <w:p w14:paraId="440C1242" w14:textId="3BE7EF5A"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6C544014" w14:textId="77777777" w:rsidR="009D7D94" w:rsidRDefault="009D7D94" w:rsidP="5CE196A1">
      <w:pPr>
        <w:ind w:left="2880" w:right="237"/>
        <w:rPr>
          <w:rFonts w:eastAsia="Arial"/>
          <w:b/>
          <w:bCs/>
          <w:color w:val="000000" w:themeColor="text1"/>
          <w:sz w:val="28"/>
          <w:szCs w:val="28"/>
          <w:u w:val="single"/>
        </w:rPr>
      </w:pPr>
    </w:p>
    <w:p w14:paraId="51A76AE8" w14:textId="77777777" w:rsidR="009D7D94" w:rsidRDefault="009D7D94" w:rsidP="5CE196A1">
      <w:pPr>
        <w:ind w:left="2880" w:right="237"/>
        <w:rPr>
          <w:rFonts w:eastAsia="Arial"/>
          <w:b/>
          <w:bCs/>
          <w:color w:val="000000" w:themeColor="text1"/>
          <w:sz w:val="28"/>
          <w:szCs w:val="28"/>
          <w:u w:val="single"/>
        </w:rPr>
      </w:pPr>
    </w:p>
    <w:p w14:paraId="5C51AB38" w14:textId="77777777" w:rsidR="009D7D94" w:rsidRDefault="009D7D94" w:rsidP="5CE196A1">
      <w:pPr>
        <w:ind w:left="2880" w:right="237"/>
        <w:rPr>
          <w:rFonts w:eastAsia="Arial"/>
          <w:b/>
          <w:bCs/>
          <w:color w:val="000000" w:themeColor="text1"/>
          <w:sz w:val="28"/>
          <w:szCs w:val="28"/>
          <w:u w:val="single"/>
        </w:rPr>
      </w:pPr>
    </w:p>
    <w:p w14:paraId="7945F8BD" w14:textId="77777777" w:rsidR="009D7D94" w:rsidRDefault="009D7D94" w:rsidP="5CE196A1">
      <w:pPr>
        <w:ind w:left="2880" w:right="237"/>
        <w:rPr>
          <w:rFonts w:eastAsia="Arial"/>
          <w:b/>
          <w:bCs/>
          <w:color w:val="000000" w:themeColor="text1"/>
          <w:sz w:val="28"/>
          <w:szCs w:val="28"/>
          <w:u w:val="single"/>
        </w:rPr>
      </w:pPr>
    </w:p>
    <w:p w14:paraId="43EC7FA9" w14:textId="44227742"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0187FBB5" w:rsidR="0FF883D4" w:rsidRDefault="5CE196A1" w:rsidP="5CE196A1">
      <w:r w:rsidRPr="5CE196A1">
        <w:rPr>
          <w:rFonts w:eastAsia="Arial"/>
          <w:b/>
          <w:bCs/>
          <w:color w:val="000000" w:themeColor="text1"/>
          <w:sz w:val="24"/>
          <w:szCs w:val="24"/>
        </w:rPr>
        <w:t xml:space="preserve">Signed: </w:t>
      </w:r>
      <w:proofErr w:type="spellStart"/>
      <w:proofErr w:type="gramStart"/>
      <w:r w:rsidR="00CE300C">
        <w:rPr>
          <w:rFonts w:eastAsia="Arial"/>
          <w:b/>
          <w:bCs/>
          <w:color w:val="000000" w:themeColor="text1"/>
          <w:sz w:val="24"/>
          <w:szCs w:val="24"/>
        </w:rPr>
        <w:t>M.Williams</w:t>
      </w:r>
      <w:proofErr w:type="spellEnd"/>
      <w:proofErr w:type="gramEnd"/>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22F233AA" w:rsidR="0FF883D4" w:rsidRDefault="00CE300C"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r>
        <w:rPr>
          <w:b/>
          <w:bCs/>
          <w:sz w:val="24"/>
          <w:szCs w:val="24"/>
          <w:lang w:eastAsia="zh-TW"/>
        </w:rPr>
        <w:t>05/08/2024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3CB024A9" w14:textId="39CC4402" w:rsidR="00BC4B7C" w:rsidRDefault="00BC4B7C" w:rsidP="00BC4B7C">
      <w:pPr>
        <w:pStyle w:val="NormalWeb"/>
        <w:spacing w:before="0" w:beforeAutospacing="0" w:after="0" w:afterAutospacing="0"/>
        <w:rPr>
          <w:rFonts w:ascii="Calibri" w:hAnsi="Calibri" w:cs="Calibri"/>
          <w:sz w:val="22"/>
          <w:szCs w:val="22"/>
        </w:rPr>
      </w:pPr>
    </w:p>
    <w:p w14:paraId="4C7B358B" w14:textId="77777777" w:rsidR="00BC4B7C" w:rsidRDefault="00BC4B7C" w:rsidP="00D76A17">
      <w:pPr>
        <w:pStyle w:val="NormalWeb"/>
        <w:spacing w:before="0" w:beforeAutospacing="0" w:after="0" w:afterAutospacing="0"/>
        <w:rPr>
          <w:rFonts w:asciiTheme="minorHAnsi" w:hAnsiTheme="minorHAnsi" w:cstheme="minorHAnsi"/>
          <w:sz w:val="22"/>
          <w:szCs w:val="22"/>
        </w:rPr>
      </w:pPr>
      <w:r w:rsidRPr="009D7D94">
        <w:rPr>
          <w:rFonts w:asciiTheme="minorHAnsi" w:hAnsiTheme="minorHAnsi" w:cstheme="minorHAnsi"/>
          <w:sz w:val="22"/>
          <w:szCs w:val="22"/>
        </w:rPr>
        <w:t>Birch, K. (2022). </w:t>
      </w:r>
      <w:r w:rsidRPr="009D7D94">
        <w:rPr>
          <w:rFonts w:asciiTheme="minorHAnsi" w:hAnsiTheme="minorHAnsi" w:cstheme="minorHAnsi"/>
          <w:i/>
          <w:iCs/>
          <w:color w:val="23272A"/>
          <w:sz w:val="22"/>
          <w:szCs w:val="22"/>
          <w:shd w:val="clear" w:color="auto" w:fill="FEF1C4"/>
        </w:rPr>
        <w:t>Repeat Victim Policy</w:t>
      </w:r>
      <w:r w:rsidRPr="009D7D94">
        <w:rPr>
          <w:rFonts w:asciiTheme="minorHAnsi" w:hAnsiTheme="minorHAnsi" w:cstheme="minorHAnsi"/>
          <w:sz w:val="22"/>
          <w:szCs w:val="22"/>
        </w:rPr>
        <w:t xml:space="preserve">. [online] Available at: </w:t>
      </w:r>
      <w:hyperlink r:id="rId16" w:history="1">
        <w:r w:rsidRPr="009D7D94">
          <w:rPr>
            <w:rStyle w:val="Hyperlink"/>
            <w:rFonts w:asciiTheme="minorHAnsi" w:hAnsiTheme="minorHAnsi" w:cstheme="minorHAnsi"/>
            <w:sz w:val="22"/>
            <w:szCs w:val="22"/>
          </w:rPr>
          <w:t>https://www.surrey.police.uk/SysSiteAssets/foi-media/surrey/policies/repeat-victim-v4-08.2022.pdf</w:t>
        </w:r>
      </w:hyperlink>
      <w:r w:rsidRPr="009D7D94">
        <w:rPr>
          <w:rFonts w:asciiTheme="minorHAnsi" w:hAnsiTheme="minorHAnsi" w:cstheme="minorHAnsi"/>
          <w:sz w:val="22"/>
          <w:szCs w:val="22"/>
        </w:rPr>
        <w:t>.</w:t>
      </w:r>
    </w:p>
    <w:p w14:paraId="4E5C3BC3" w14:textId="77777777" w:rsidR="00BC4B7C" w:rsidRDefault="00BC4B7C" w:rsidP="00D76A17">
      <w:pPr>
        <w:pStyle w:val="NormalWeb"/>
        <w:spacing w:before="0" w:beforeAutospacing="0" w:after="0" w:afterAutospacing="0"/>
        <w:rPr>
          <w:rFonts w:asciiTheme="minorHAnsi" w:hAnsiTheme="minorHAnsi" w:cstheme="minorHAnsi"/>
          <w:sz w:val="22"/>
          <w:szCs w:val="22"/>
        </w:rPr>
      </w:pPr>
    </w:p>
    <w:p w14:paraId="2DC200A5" w14:textId="77777777" w:rsidR="00BC4B7C" w:rsidRDefault="00BC4B7C" w:rsidP="00D76A17">
      <w:pPr>
        <w:pStyle w:val="NormalWeb"/>
        <w:spacing w:before="0" w:beforeAutospacing="0" w:after="0" w:afterAutospacing="0"/>
        <w:rPr>
          <w:rFonts w:asciiTheme="minorHAnsi" w:hAnsiTheme="minorHAnsi" w:cstheme="minorHAnsi"/>
          <w:sz w:val="22"/>
          <w:szCs w:val="22"/>
        </w:rPr>
      </w:pPr>
      <w:r w:rsidRPr="009D7D94">
        <w:rPr>
          <w:rFonts w:asciiTheme="minorHAnsi" w:hAnsiTheme="minorHAnsi" w:cstheme="minorHAnsi"/>
          <w:sz w:val="22"/>
          <w:szCs w:val="22"/>
        </w:rPr>
        <w:t>Bolitho, J. (2017). Inside the restorative justice black box. </w:t>
      </w:r>
      <w:r w:rsidRPr="009D7D94">
        <w:rPr>
          <w:rFonts w:asciiTheme="minorHAnsi" w:hAnsiTheme="minorHAnsi" w:cstheme="minorHAnsi"/>
          <w:i/>
          <w:iCs/>
          <w:color w:val="23272A"/>
          <w:sz w:val="22"/>
          <w:szCs w:val="22"/>
          <w:shd w:val="clear" w:color="auto" w:fill="FEF1C4"/>
        </w:rPr>
        <w:t>International Review of Victimology</w:t>
      </w:r>
      <w:r w:rsidRPr="009D7D94">
        <w:rPr>
          <w:rFonts w:asciiTheme="minorHAnsi" w:hAnsiTheme="minorHAnsi" w:cstheme="minorHAnsi"/>
          <w:sz w:val="22"/>
          <w:szCs w:val="22"/>
        </w:rPr>
        <w:t xml:space="preserve">, 23(3), pp.233–255. </w:t>
      </w:r>
      <w:proofErr w:type="spellStart"/>
      <w:proofErr w:type="gramStart"/>
      <w:r w:rsidRPr="009D7D94">
        <w:rPr>
          <w:rFonts w:asciiTheme="minorHAnsi" w:hAnsiTheme="minorHAnsi" w:cstheme="minorHAnsi"/>
          <w:sz w:val="22"/>
          <w:szCs w:val="22"/>
        </w:rPr>
        <w:t>doi:https</w:t>
      </w:r>
      <w:proofErr w:type="spellEnd"/>
      <w:r w:rsidRPr="009D7D94">
        <w:rPr>
          <w:rFonts w:asciiTheme="minorHAnsi" w:hAnsiTheme="minorHAnsi" w:cstheme="minorHAnsi"/>
          <w:sz w:val="22"/>
          <w:szCs w:val="22"/>
        </w:rPr>
        <w:t>://doi.org/10.1177/0269758017714549</w:t>
      </w:r>
      <w:proofErr w:type="gramEnd"/>
      <w:r w:rsidRPr="009D7D94">
        <w:rPr>
          <w:rFonts w:asciiTheme="minorHAnsi" w:hAnsiTheme="minorHAnsi" w:cstheme="minorHAnsi"/>
          <w:sz w:val="22"/>
          <w:szCs w:val="22"/>
        </w:rPr>
        <w:t>.</w:t>
      </w:r>
    </w:p>
    <w:p w14:paraId="5A2ECC3A" w14:textId="77777777" w:rsidR="00BC4B7C" w:rsidRDefault="00BC4B7C" w:rsidP="00D76A17">
      <w:pPr>
        <w:pStyle w:val="NormalWeb"/>
        <w:spacing w:before="0" w:beforeAutospacing="0" w:after="0" w:afterAutospacing="0"/>
        <w:rPr>
          <w:rFonts w:asciiTheme="minorHAnsi" w:hAnsiTheme="minorHAnsi" w:cstheme="minorHAnsi"/>
          <w:sz w:val="22"/>
          <w:szCs w:val="22"/>
        </w:rPr>
      </w:pPr>
    </w:p>
    <w:p w14:paraId="069F8A0B" w14:textId="77777777" w:rsidR="00BC4B7C" w:rsidRDefault="00BC4B7C" w:rsidP="00D76A17">
      <w:pPr>
        <w:pStyle w:val="NormalWeb"/>
        <w:spacing w:before="0" w:beforeAutospacing="0" w:after="0" w:afterAutospacing="0"/>
        <w:rPr>
          <w:rFonts w:asciiTheme="minorHAnsi" w:hAnsiTheme="minorHAnsi" w:cstheme="minorHAnsi"/>
          <w:sz w:val="22"/>
          <w:szCs w:val="22"/>
        </w:rPr>
      </w:pPr>
      <w:r w:rsidRPr="009D7D94">
        <w:rPr>
          <w:rFonts w:asciiTheme="minorHAnsi" w:hAnsiTheme="minorHAnsi" w:cstheme="minorHAnsi"/>
          <w:sz w:val="22"/>
          <w:szCs w:val="22"/>
        </w:rPr>
        <w:t xml:space="preserve">Boxall, H., Dowling, C. and Morgan, A. (2020). Female perpetrated domestic </w:t>
      </w:r>
      <w:proofErr w:type="spellStart"/>
      <w:proofErr w:type="gramStart"/>
      <w:r w:rsidRPr="009D7D94">
        <w:rPr>
          <w:rFonts w:asciiTheme="minorHAnsi" w:hAnsiTheme="minorHAnsi" w:cstheme="minorHAnsi"/>
          <w:sz w:val="22"/>
          <w:szCs w:val="22"/>
        </w:rPr>
        <w:t>violence:Prevalence</w:t>
      </w:r>
      <w:proofErr w:type="spellEnd"/>
      <w:proofErr w:type="gramEnd"/>
      <w:r w:rsidRPr="009D7D94">
        <w:rPr>
          <w:rFonts w:asciiTheme="minorHAnsi" w:hAnsiTheme="minorHAnsi" w:cstheme="minorHAnsi"/>
          <w:sz w:val="22"/>
          <w:szCs w:val="22"/>
        </w:rPr>
        <w:t xml:space="preserve"> of self- defensive and retaliatory violence. </w:t>
      </w:r>
      <w:proofErr w:type="spellStart"/>
      <w:r w:rsidRPr="009D7D94">
        <w:rPr>
          <w:rFonts w:asciiTheme="minorHAnsi" w:hAnsiTheme="minorHAnsi" w:cstheme="minorHAnsi"/>
          <w:i/>
          <w:iCs/>
          <w:color w:val="23272A"/>
          <w:sz w:val="22"/>
          <w:szCs w:val="22"/>
          <w:shd w:val="clear" w:color="auto" w:fill="FEF1C4"/>
        </w:rPr>
        <w:t>Informit</w:t>
      </w:r>
      <w:proofErr w:type="spellEnd"/>
      <w:r w:rsidRPr="009D7D94">
        <w:rPr>
          <w:rFonts w:asciiTheme="minorHAnsi" w:hAnsiTheme="minorHAnsi" w:cstheme="minorHAnsi"/>
          <w:sz w:val="22"/>
          <w:szCs w:val="22"/>
        </w:rPr>
        <w:t xml:space="preserve">, [online] 583, pp.1–17. Available at: </w:t>
      </w:r>
      <w:hyperlink r:id="rId17" w:history="1">
        <w:r w:rsidRPr="009D7D94">
          <w:rPr>
            <w:rStyle w:val="Hyperlink"/>
            <w:rFonts w:asciiTheme="minorHAnsi" w:hAnsiTheme="minorHAnsi" w:cstheme="minorHAnsi"/>
            <w:sz w:val="22"/>
            <w:szCs w:val="22"/>
          </w:rPr>
          <w:t>https://search.informit.org/doi/abs/10.3316/INFORMIT.950678530915547</w:t>
        </w:r>
      </w:hyperlink>
      <w:r w:rsidRPr="009D7D94">
        <w:rPr>
          <w:rFonts w:asciiTheme="minorHAnsi" w:hAnsiTheme="minorHAnsi" w:cstheme="minorHAnsi"/>
          <w:sz w:val="22"/>
          <w:szCs w:val="22"/>
        </w:rPr>
        <w:t>.</w:t>
      </w:r>
    </w:p>
    <w:p w14:paraId="3731A3C7" w14:textId="77777777" w:rsidR="00BC4B7C" w:rsidRDefault="00BC4B7C" w:rsidP="00D76A17">
      <w:pPr>
        <w:pStyle w:val="NormalWeb"/>
        <w:spacing w:before="0" w:beforeAutospacing="0" w:after="0" w:afterAutospacing="0"/>
        <w:rPr>
          <w:rFonts w:asciiTheme="minorHAnsi" w:hAnsiTheme="minorHAnsi" w:cstheme="minorHAnsi"/>
          <w:sz w:val="22"/>
          <w:szCs w:val="22"/>
        </w:rPr>
      </w:pPr>
    </w:p>
    <w:p w14:paraId="317F8224" w14:textId="77777777" w:rsidR="00BC4B7C" w:rsidRDefault="00BC4B7C" w:rsidP="00D76A17">
      <w:pPr>
        <w:pStyle w:val="NormalWeb"/>
        <w:spacing w:before="0" w:beforeAutospacing="0" w:after="0" w:afterAutospacing="0"/>
        <w:rPr>
          <w:rFonts w:asciiTheme="minorHAnsi" w:hAnsiTheme="minorHAnsi" w:cstheme="minorHAnsi"/>
          <w:sz w:val="22"/>
          <w:szCs w:val="22"/>
        </w:rPr>
      </w:pPr>
      <w:r w:rsidRPr="009D7D94">
        <w:rPr>
          <w:rFonts w:asciiTheme="minorHAnsi" w:hAnsiTheme="minorHAnsi" w:cstheme="minorHAnsi"/>
          <w:sz w:val="22"/>
          <w:szCs w:val="22"/>
        </w:rPr>
        <w:t>Cambridge Dictionary (2024). </w:t>
      </w:r>
      <w:r w:rsidRPr="009D7D94">
        <w:rPr>
          <w:rFonts w:asciiTheme="minorHAnsi" w:hAnsiTheme="minorHAnsi" w:cstheme="minorHAnsi"/>
          <w:i/>
          <w:iCs/>
          <w:color w:val="23272A"/>
          <w:sz w:val="22"/>
          <w:szCs w:val="22"/>
          <w:shd w:val="clear" w:color="auto" w:fill="FEF1C4"/>
        </w:rPr>
        <w:t>WITNESS | meaning in the Cambridge English Dictionary</w:t>
      </w:r>
      <w:r w:rsidRPr="009D7D94">
        <w:rPr>
          <w:rFonts w:asciiTheme="minorHAnsi" w:hAnsiTheme="minorHAnsi" w:cstheme="minorHAnsi"/>
          <w:sz w:val="22"/>
          <w:szCs w:val="22"/>
        </w:rPr>
        <w:t xml:space="preserve">. [online] Available at: </w:t>
      </w:r>
      <w:hyperlink r:id="rId18" w:history="1">
        <w:r w:rsidRPr="009D7D94">
          <w:rPr>
            <w:rStyle w:val="Hyperlink"/>
            <w:rFonts w:asciiTheme="minorHAnsi" w:hAnsiTheme="minorHAnsi" w:cstheme="minorHAnsi"/>
            <w:sz w:val="22"/>
            <w:szCs w:val="22"/>
          </w:rPr>
          <w:t>https://dictionary.cambridge.org/dictionary/english/witness</w:t>
        </w:r>
      </w:hyperlink>
      <w:r w:rsidRPr="009D7D94">
        <w:rPr>
          <w:rFonts w:asciiTheme="minorHAnsi" w:hAnsiTheme="minorHAnsi" w:cstheme="minorHAnsi"/>
          <w:sz w:val="22"/>
          <w:szCs w:val="22"/>
        </w:rPr>
        <w:t>.</w:t>
      </w:r>
    </w:p>
    <w:p w14:paraId="6747E293" w14:textId="77777777" w:rsidR="00BC4B7C" w:rsidRDefault="00BC4B7C" w:rsidP="00D76A17">
      <w:pPr>
        <w:pStyle w:val="NormalWeb"/>
        <w:spacing w:before="0" w:beforeAutospacing="0" w:after="0" w:afterAutospacing="0"/>
        <w:rPr>
          <w:rFonts w:asciiTheme="minorHAnsi" w:hAnsiTheme="minorHAnsi" w:cstheme="minorHAnsi"/>
          <w:sz w:val="22"/>
          <w:szCs w:val="22"/>
        </w:rPr>
      </w:pPr>
    </w:p>
    <w:p w14:paraId="03B0771F" w14:textId="77777777" w:rsidR="00BC4B7C" w:rsidRDefault="00BC4B7C" w:rsidP="00D76A17">
      <w:pPr>
        <w:pStyle w:val="NormalWeb"/>
        <w:spacing w:before="0" w:beforeAutospacing="0" w:after="0" w:afterAutospacing="0"/>
        <w:rPr>
          <w:rFonts w:asciiTheme="minorHAnsi" w:hAnsiTheme="minorHAnsi" w:cstheme="minorHAnsi"/>
          <w:sz w:val="22"/>
          <w:szCs w:val="22"/>
        </w:rPr>
      </w:pPr>
      <w:r w:rsidRPr="009D7D94">
        <w:rPr>
          <w:rFonts w:asciiTheme="minorHAnsi" w:hAnsiTheme="minorHAnsi" w:cstheme="minorHAnsi"/>
          <w:sz w:val="22"/>
          <w:szCs w:val="22"/>
        </w:rPr>
        <w:t>College Of Policing (2013). </w:t>
      </w:r>
      <w:r w:rsidRPr="009D7D94">
        <w:rPr>
          <w:rFonts w:asciiTheme="minorHAnsi" w:hAnsiTheme="minorHAnsi" w:cstheme="minorHAnsi"/>
          <w:i/>
          <w:iCs/>
          <w:color w:val="23272A"/>
          <w:sz w:val="22"/>
          <w:szCs w:val="22"/>
          <w:shd w:val="clear" w:color="auto" w:fill="FEF1C4"/>
        </w:rPr>
        <w:t>National Decision Model</w:t>
      </w:r>
      <w:r w:rsidRPr="009D7D94">
        <w:rPr>
          <w:rFonts w:asciiTheme="minorHAnsi" w:hAnsiTheme="minorHAnsi" w:cstheme="minorHAnsi"/>
          <w:sz w:val="22"/>
          <w:szCs w:val="22"/>
        </w:rPr>
        <w:t xml:space="preserve">. [online] College of Policing. Available at: </w:t>
      </w:r>
      <w:hyperlink r:id="rId19" w:history="1">
        <w:r w:rsidRPr="009D7D94">
          <w:rPr>
            <w:rStyle w:val="Hyperlink"/>
            <w:rFonts w:asciiTheme="minorHAnsi" w:hAnsiTheme="minorHAnsi" w:cstheme="minorHAnsi"/>
            <w:sz w:val="22"/>
            <w:szCs w:val="22"/>
          </w:rPr>
          <w:t>https://www.college.police.uk/app/national-decision-model/national-decision-model</w:t>
        </w:r>
      </w:hyperlink>
      <w:r w:rsidRPr="009D7D94">
        <w:rPr>
          <w:rFonts w:asciiTheme="minorHAnsi" w:hAnsiTheme="minorHAnsi" w:cstheme="minorHAnsi"/>
          <w:sz w:val="22"/>
          <w:szCs w:val="22"/>
        </w:rPr>
        <w:t>.</w:t>
      </w:r>
    </w:p>
    <w:p w14:paraId="6D0A78D4" w14:textId="77777777" w:rsidR="00BC4B7C" w:rsidRDefault="00BC4B7C" w:rsidP="00D76A17">
      <w:pPr>
        <w:pStyle w:val="NormalWeb"/>
        <w:spacing w:before="0" w:beforeAutospacing="0" w:after="0" w:afterAutospacing="0"/>
        <w:rPr>
          <w:rFonts w:asciiTheme="minorHAnsi" w:hAnsiTheme="minorHAnsi" w:cstheme="minorHAnsi"/>
          <w:sz w:val="22"/>
          <w:szCs w:val="22"/>
        </w:rPr>
      </w:pPr>
    </w:p>
    <w:p w14:paraId="23D6A426" w14:textId="77777777" w:rsidR="00BC4B7C" w:rsidRDefault="00BC4B7C" w:rsidP="00D76A17">
      <w:pPr>
        <w:pStyle w:val="NormalWeb"/>
        <w:spacing w:before="0" w:beforeAutospacing="0" w:after="0" w:afterAutospacing="0"/>
        <w:rPr>
          <w:rStyle w:val="Hyperlink"/>
          <w:rFonts w:asciiTheme="minorHAnsi" w:hAnsiTheme="minorHAnsi" w:cstheme="minorHAnsi"/>
          <w:sz w:val="22"/>
          <w:szCs w:val="22"/>
        </w:rPr>
      </w:pPr>
      <w:r w:rsidRPr="009D7D94">
        <w:rPr>
          <w:rFonts w:asciiTheme="minorHAnsi" w:hAnsiTheme="minorHAnsi" w:cstheme="minorHAnsi"/>
          <w:sz w:val="22"/>
          <w:szCs w:val="22"/>
        </w:rPr>
        <w:t>College of Policing (2013). </w:t>
      </w:r>
      <w:r w:rsidRPr="009D7D94">
        <w:rPr>
          <w:rFonts w:asciiTheme="minorHAnsi" w:hAnsiTheme="minorHAnsi" w:cstheme="minorHAnsi"/>
          <w:i/>
          <w:iCs/>
          <w:color w:val="23272A"/>
          <w:sz w:val="22"/>
          <w:szCs w:val="22"/>
          <w:shd w:val="clear" w:color="auto" w:fill="FEF1C4"/>
        </w:rPr>
        <w:t>Possible Justice Outcomes following Investigation</w:t>
      </w:r>
      <w:r w:rsidRPr="009D7D94">
        <w:rPr>
          <w:rFonts w:asciiTheme="minorHAnsi" w:hAnsiTheme="minorHAnsi" w:cstheme="minorHAnsi"/>
          <w:sz w:val="22"/>
          <w:szCs w:val="22"/>
        </w:rPr>
        <w:t xml:space="preserve">. [online] College of Policing. Available at: </w:t>
      </w:r>
      <w:hyperlink r:id="rId20" w:history="1">
        <w:r w:rsidRPr="009D7D94">
          <w:rPr>
            <w:rStyle w:val="Hyperlink"/>
            <w:rFonts w:asciiTheme="minorHAnsi" w:hAnsiTheme="minorHAnsi" w:cstheme="minorHAnsi"/>
            <w:sz w:val="22"/>
            <w:szCs w:val="22"/>
          </w:rPr>
          <w:t>https://www.college.police.uk/app/prosecution-and-case-management/possible-justice-outcomes-following-investigation</w:t>
        </w:r>
      </w:hyperlink>
    </w:p>
    <w:p w14:paraId="7DE010AD" w14:textId="77777777" w:rsidR="00BC4B7C" w:rsidRDefault="00BC4B7C" w:rsidP="00D76A17">
      <w:pPr>
        <w:pStyle w:val="NormalWeb"/>
        <w:spacing w:before="0" w:beforeAutospacing="0" w:after="0" w:afterAutospacing="0"/>
        <w:rPr>
          <w:rStyle w:val="Hyperlink"/>
          <w:rFonts w:asciiTheme="minorHAnsi" w:hAnsiTheme="minorHAnsi" w:cstheme="minorHAnsi"/>
          <w:sz w:val="22"/>
          <w:szCs w:val="22"/>
        </w:rPr>
      </w:pPr>
    </w:p>
    <w:p w14:paraId="7C640F02"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College of Policing (2015). </w:t>
      </w:r>
      <w:r>
        <w:rPr>
          <w:rFonts w:ascii="Calibri" w:hAnsi="Calibri" w:cs="Calibri"/>
          <w:i/>
          <w:iCs/>
          <w:color w:val="23272A"/>
          <w:sz w:val="27"/>
          <w:szCs w:val="27"/>
          <w:shd w:val="clear" w:color="auto" w:fill="FEF1C4"/>
        </w:rPr>
        <w:t>Using domestic violence protection notices and domestic violence protection orders to make victims safer</w:t>
      </w:r>
      <w:r>
        <w:rPr>
          <w:rFonts w:ascii="Calibri" w:hAnsi="Calibri" w:cs="Calibri"/>
          <w:sz w:val="22"/>
          <w:szCs w:val="22"/>
        </w:rPr>
        <w:t xml:space="preserve">. [online] College of Policing. Available at: </w:t>
      </w:r>
      <w:hyperlink r:id="rId21" w:history="1">
        <w:r>
          <w:rPr>
            <w:rStyle w:val="Hyperlink"/>
            <w:rFonts w:ascii="Calibri" w:hAnsi="Calibri" w:cs="Calibri"/>
            <w:sz w:val="22"/>
            <w:szCs w:val="22"/>
          </w:rPr>
          <w:t>https://www.college.police.uk/app/major-investigation-and-public-protection/domestic-abuse/using-domestic-violence-protection-notices-and-domestic-violence-protection-orders-make-victims-safer</w:t>
        </w:r>
      </w:hyperlink>
    </w:p>
    <w:p w14:paraId="6ED89C28" w14:textId="77777777" w:rsidR="00BC4B7C" w:rsidRDefault="00BC4B7C" w:rsidP="00BC4B7C">
      <w:pPr>
        <w:pStyle w:val="NormalWeb"/>
        <w:spacing w:before="0" w:beforeAutospacing="0" w:after="0" w:afterAutospacing="0"/>
        <w:rPr>
          <w:rFonts w:ascii="Calibri" w:hAnsi="Calibri" w:cs="Calibri"/>
          <w:sz w:val="22"/>
          <w:szCs w:val="22"/>
        </w:rPr>
      </w:pPr>
    </w:p>
    <w:p w14:paraId="25A0AB53"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t>College of Policing (2015). </w:t>
      </w:r>
      <w:r>
        <w:rPr>
          <w:rFonts w:ascii="Calibri" w:hAnsi="Calibri" w:cs="Calibri"/>
          <w:i/>
          <w:iCs/>
          <w:color w:val="23272A"/>
          <w:sz w:val="27"/>
          <w:szCs w:val="27"/>
          <w:shd w:val="clear" w:color="auto" w:fill="FEF1C4"/>
        </w:rPr>
        <w:t>Victim Safety and Support</w:t>
      </w:r>
      <w:r>
        <w:rPr>
          <w:rFonts w:ascii="Calibri" w:hAnsi="Calibri" w:cs="Calibri"/>
          <w:sz w:val="22"/>
          <w:szCs w:val="22"/>
        </w:rPr>
        <w:t xml:space="preserve">. [online] College of Policing. Available at: </w:t>
      </w:r>
      <w:hyperlink r:id="rId22" w:history="1">
        <w:r>
          <w:rPr>
            <w:rStyle w:val="Hyperlink"/>
            <w:rFonts w:ascii="Calibri" w:hAnsi="Calibri" w:cs="Calibri"/>
            <w:sz w:val="22"/>
            <w:szCs w:val="22"/>
          </w:rPr>
          <w:t>https://www.college.police.uk/app/major-investigation-and-public-protection/domestic-abuse/victim-safety-and-support</w:t>
        </w:r>
      </w:hyperlink>
      <w:r>
        <w:rPr>
          <w:rFonts w:ascii="Calibri" w:hAnsi="Calibri" w:cs="Calibri"/>
          <w:sz w:val="22"/>
          <w:szCs w:val="22"/>
        </w:rPr>
        <w:t>.</w:t>
      </w:r>
    </w:p>
    <w:p w14:paraId="171381E0" w14:textId="77777777" w:rsidR="00BC4B7C" w:rsidRDefault="00BC4B7C" w:rsidP="00BC4B7C">
      <w:pPr>
        <w:pStyle w:val="NormalWeb"/>
        <w:spacing w:before="0" w:beforeAutospacing="0" w:after="0" w:afterAutospacing="0"/>
        <w:rPr>
          <w:rFonts w:ascii="Calibri" w:hAnsi="Calibri" w:cs="Calibri"/>
          <w:sz w:val="22"/>
          <w:szCs w:val="22"/>
        </w:rPr>
      </w:pPr>
    </w:p>
    <w:p w14:paraId="1FD962B3" w14:textId="77777777" w:rsidR="00BC4B7C" w:rsidRDefault="00BC4B7C" w:rsidP="00D76A17">
      <w:pPr>
        <w:pStyle w:val="NormalWeb"/>
        <w:spacing w:before="0" w:beforeAutospacing="0" w:after="0" w:afterAutospacing="0"/>
        <w:rPr>
          <w:rFonts w:asciiTheme="minorHAnsi" w:hAnsiTheme="minorHAnsi" w:cstheme="minorHAnsi"/>
          <w:sz w:val="22"/>
          <w:szCs w:val="22"/>
        </w:rPr>
      </w:pPr>
      <w:r w:rsidRPr="009D7D94">
        <w:rPr>
          <w:rFonts w:asciiTheme="minorHAnsi" w:hAnsiTheme="minorHAnsi" w:cstheme="minorHAnsi"/>
          <w:sz w:val="22"/>
          <w:szCs w:val="22"/>
        </w:rPr>
        <w:t>College of Policing (2017). </w:t>
      </w:r>
      <w:r w:rsidRPr="009D7D94">
        <w:rPr>
          <w:rFonts w:asciiTheme="minorHAnsi" w:hAnsiTheme="minorHAnsi" w:cstheme="minorHAnsi"/>
          <w:i/>
          <w:iCs/>
          <w:color w:val="23272A"/>
          <w:sz w:val="22"/>
          <w:szCs w:val="22"/>
          <w:shd w:val="clear" w:color="auto" w:fill="FEF1C4"/>
        </w:rPr>
        <w:t>Problem-oriented Policing</w:t>
      </w:r>
      <w:r w:rsidRPr="009D7D94">
        <w:rPr>
          <w:rFonts w:asciiTheme="minorHAnsi" w:hAnsiTheme="minorHAnsi" w:cstheme="minorHAnsi"/>
          <w:sz w:val="22"/>
          <w:szCs w:val="22"/>
        </w:rPr>
        <w:t xml:space="preserve">. [online] College of Policing. Available at: </w:t>
      </w:r>
      <w:hyperlink r:id="rId23" w:history="1">
        <w:r w:rsidRPr="009D7D94">
          <w:rPr>
            <w:rStyle w:val="Hyperlink"/>
            <w:rFonts w:asciiTheme="minorHAnsi" w:hAnsiTheme="minorHAnsi" w:cstheme="minorHAnsi"/>
            <w:sz w:val="22"/>
            <w:szCs w:val="22"/>
          </w:rPr>
          <w:t>https://www.college.police.uk/research/crime-reduction-toolkit/problem-oriented-policing</w:t>
        </w:r>
      </w:hyperlink>
      <w:r w:rsidRPr="009D7D94">
        <w:rPr>
          <w:rFonts w:asciiTheme="minorHAnsi" w:hAnsiTheme="minorHAnsi" w:cstheme="minorHAnsi"/>
          <w:sz w:val="22"/>
          <w:szCs w:val="22"/>
        </w:rPr>
        <w:t>.</w:t>
      </w:r>
    </w:p>
    <w:p w14:paraId="1EDD8022" w14:textId="77777777" w:rsidR="00BC4B7C" w:rsidRDefault="00BC4B7C" w:rsidP="00D76A17">
      <w:pPr>
        <w:pStyle w:val="NormalWeb"/>
        <w:spacing w:before="0" w:beforeAutospacing="0" w:after="0" w:afterAutospacing="0"/>
        <w:rPr>
          <w:rFonts w:asciiTheme="minorHAnsi" w:hAnsiTheme="minorHAnsi" w:cstheme="minorHAnsi"/>
          <w:sz w:val="22"/>
          <w:szCs w:val="22"/>
        </w:rPr>
      </w:pPr>
    </w:p>
    <w:p w14:paraId="71AC34CE" w14:textId="77777777" w:rsidR="00BC4B7C" w:rsidRDefault="00BC4B7C" w:rsidP="00D76A17">
      <w:pPr>
        <w:pStyle w:val="NormalWeb"/>
        <w:spacing w:before="0" w:beforeAutospacing="0" w:after="0" w:afterAutospacing="0"/>
        <w:rPr>
          <w:rFonts w:asciiTheme="minorHAnsi" w:hAnsiTheme="minorHAnsi" w:cstheme="minorHAnsi"/>
          <w:sz w:val="22"/>
          <w:szCs w:val="22"/>
        </w:rPr>
      </w:pPr>
      <w:r w:rsidRPr="009D7D94">
        <w:rPr>
          <w:rFonts w:asciiTheme="minorHAnsi" w:hAnsiTheme="minorHAnsi" w:cstheme="minorHAnsi"/>
          <w:sz w:val="22"/>
          <w:szCs w:val="22"/>
        </w:rPr>
        <w:t>College of Policing (2021). </w:t>
      </w:r>
      <w:r w:rsidRPr="009D7D94">
        <w:rPr>
          <w:rFonts w:asciiTheme="minorHAnsi" w:hAnsiTheme="minorHAnsi" w:cstheme="minorHAnsi"/>
          <w:i/>
          <w:iCs/>
          <w:color w:val="23272A"/>
          <w:sz w:val="22"/>
          <w:szCs w:val="22"/>
          <w:shd w:val="clear" w:color="auto" w:fill="FEF1C4"/>
        </w:rPr>
        <w:t>Victims’ Code for policing</w:t>
      </w:r>
      <w:r w:rsidRPr="009D7D94">
        <w:rPr>
          <w:rFonts w:asciiTheme="minorHAnsi" w:hAnsiTheme="minorHAnsi" w:cstheme="minorHAnsi"/>
          <w:sz w:val="22"/>
          <w:szCs w:val="22"/>
        </w:rPr>
        <w:t xml:space="preserve">. [online] college of policing. Available at: </w:t>
      </w:r>
      <w:hyperlink r:id="rId24" w:history="1">
        <w:r w:rsidRPr="009D7D94">
          <w:rPr>
            <w:rStyle w:val="Hyperlink"/>
            <w:rFonts w:asciiTheme="minorHAnsi" w:hAnsiTheme="minorHAnsi" w:cstheme="minorHAnsi"/>
            <w:sz w:val="22"/>
            <w:szCs w:val="22"/>
          </w:rPr>
          <w:t>https://www.college.police.uk/guidance/victims-code/victims-rights-policing</w:t>
        </w:r>
      </w:hyperlink>
      <w:r w:rsidRPr="009D7D94">
        <w:rPr>
          <w:rFonts w:asciiTheme="minorHAnsi" w:hAnsiTheme="minorHAnsi" w:cstheme="minorHAnsi"/>
          <w:sz w:val="22"/>
          <w:szCs w:val="22"/>
        </w:rPr>
        <w:t>.</w:t>
      </w:r>
    </w:p>
    <w:p w14:paraId="5BB28D35" w14:textId="77777777" w:rsidR="00BC4B7C" w:rsidRDefault="00BC4B7C" w:rsidP="00D76A17">
      <w:pPr>
        <w:pStyle w:val="NormalWeb"/>
        <w:spacing w:before="0" w:beforeAutospacing="0" w:after="0" w:afterAutospacing="0"/>
        <w:rPr>
          <w:rFonts w:asciiTheme="minorHAnsi" w:hAnsiTheme="minorHAnsi" w:cstheme="minorHAnsi"/>
          <w:sz w:val="22"/>
          <w:szCs w:val="22"/>
        </w:rPr>
      </w:pPr>
    </w:p>
    <w:p w14:paraId="7672C37C" w14:textId="77777777" w:rsidR="00BC4B7C" w:rsidRDefault="00BC4B7C" w:rsidP="00D76A17">
      <w:pPr>
        <w:pStyle w:val="NormalWeb"/>
        <w:spacing w:before="0" w:beforeAutospacing="0" w:after="0" w:afterAutospacing="0"/>
        <w:rPr>
          <w:rFonts w:asciiTheme="minorHAnsi" w:hAnsiTheme="minorHAnsi" w:cstheme="minorHAnsi"/>
          <w:sz w:val="22"/>
          <w:szCs w:val="22"/>
        </w:rPr>
      </w:pPr>
      <w:r w:rsidRPr="009D7D94">
        <w:rPr>
          <w:rFonts w:asciiTheme="minorHAnsi" w:hAnsiTheme="minorHAnsi" w:cstheme="minorHAnsi"/>
          <w:sz w:val="22"/>
          <w:szCs w:val="22"/>
        </w:rPr>
        <w:t>College Of Policing (2022). </w:t>
      </w:r>
      <w:r w:rsidRPr="009D7D94">
        <w:rPr>
          <w:rFonts w:asciiTheme="minorHAnsi" w:hAnsiTheme="minorHAnsi" w:cstheme="minorHAnsi"/>
          <w:i/>
          <w:iCs/>
          <w:color w:val="23272A"/>
          <w:sz w:val="22"/>
          <w:szCs w:val="22"/>
          <w:shd w:val="clear" w:color="auto" w:fill="FEF1C4"/>
        </w:rPr>
        <w:t>Problem-solving policing</w:t>
      </w:r>
      <w:r w:rsidRPr="009D7D94">
        <w:rPr>
          <w:rFonts w:asciiTheme="minorHAnsi" w:hAnsiTheme="minorHAnsi" w:cstheme="minorHAnsi"/>
          <w:sz w:val="22"/>
          <w:szCs w:val="22"/>
        </w:rPr>
        <w:t xml:space="preserve">. [online] College of Policing. Available at: </w:t>
      </w:r>
      <w:hyperlink r:id="rId25" w:history="1">
        <w:r w:rsidRPr="009D7D94">
          <w:rPr>
            <w:rStyle w:val="Hyperlink"/>
            <w:rFonts w:asciiTheme="minorHAnsi" w:hAnsiTheme="minorHAnsi" w:cstheme="minorHAnsi"/>
            <w:sz w:val="22"/>
            <w:szCs w:val="22"/>
          </w:rPr>
          <w:t>https://www.college.police.uk/guidance/problem-solving-policing</w:t>
        </w:r>
      </w:hyperlink>
      <w:r w:rsidRPr="009D7D94">
        <w:rPr>
          <w:rFonts w:asciiTheme="minorHAnsi" w:hAnsiTheme="minorHAnsi" w:cstheme="minorHAnsi"/>
          <w:sz w:val="22"/>
          <w:szCs w:val="22"/>
        </w:rPr>
        <w:t>.</w:t>
      </w:r>
    </w:p>
    <w:p w14:paraId="2BC2679B" w14:textId="77777777" w:rsidR="00BC4B7C" w:rsidRDefault="00BC4B7C" w:rsidP="00BC4B7C">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College of Policing. (n.d.). </w:t>
      </w:r>
      <w:r>
        <w:rPr>
          <w:rFonts w:ascii="Calibri" w:hAnsi="Calibri" w:cs="Calibri"/>
          <w:i/>
          <w:iCs/>
          <w:color w:val="23272A"/>
          <w:sz w:val="27"/>
          <w:szCs w:val="27"/>
          <w:shd w:val="clear" w:color="auto" w:fill="FEF1C4"/>
        </w:rPr>
        <w:t>Victim and witness care</w:t>
      </w:r>
      <w:r>
        <w:rPr>
          <w:rFonts w:ascii="Calibri" w:hAnsi="Calibri" w:cs="Calibri"/>
          <w:sz w:val="22"/>
          <w:szCs w:val="22"/>
        </w:rPr>
        <w:t xml:space="preserve">. [online] Available at: </w:t>
      </w:r>
      <w:hyperlink r:id="rId26" w:anchor="witness-care-units" w:history="1">
        <w:r>
          <w:rPr>
            <w:rStyle w:val="Hyperlink"/>
            <w:rFonts w:ascii="Calibri" w:hAnsi="Calibri" w:cs="Calibri"/>
            <w:sz w:val="22"/>
            <w:szCs w:val="22"/>
          </w:rPr>
          <w:t>https://www.college.police.uk/app/prosecution-and-case-management/victim-and-witness-care#witness-care-units</w:t>
        </w:r>
      </w:hyperlink>
      <w:r>
        <w:rPr>
          <w:rFonts w:ascii="Calibri" w:hAnsi="Calibri" w:cs="Calibri"/>
          <w:sz w:val="22"/>
          <w:szCs w:val="22"/>
        </w:rPr>
        <w:t>.</w:t>
      </w:r>
    </w:p>
    <w:p w14:paraId="0E236636" w14:textId="77777777" w:rsidR="00BC4B7C" w:rsidRDefault="00BC4B7C" w:rsidP="00BC4B7C">
      <w:pPr>
        <w:pStyle w:val="NormalWeb"/>
        <w:spacing w:before="0" w:beforeAutospacing="0" w:after="0" w:afterAutospacing="0"/>
        <w:rPr>
          <w:rFonts w:ascii="Calibri" w:hAnsi="Calibri" w:cs="Calibri"/>
          <w:sz w:val="22"/>
          <w:szCs w:val="22"/>
        </w:rPr>
      </w:pPr>
    </w:p>
    <w:p w14:paraId="5C0D6D03" w14:textId="77777777" w:rsidR="00BC4B7C" w:rsidRDefault="00BC4B7C" w:rsidP="00D76A17">
      <w:pPr>
        <w:pStyle w:val="NormalWeb"/>
        <w:spacing w:before="0" w:beforeAutospacing="0" w:after="0" w:afterAutospacing="0"/>
        <w:rPr>
          <w:rFonts w:asciiTheme="minorHAnsi" w:hAnsiTheme="minorHAnsi" w:cstheme="minorHAnsi"/>
          <w:sz w:val="22"/>
          <w:szCs w:val="22"/>
        </w:rPr>
      </w:pPr>
      <w:r w:rsidRPr="009D7D94">
        <w:rPr>
          <w:rFonts w:asciiTheme="minorHAnsi" w:hAnsiTheme="minorHAnsi" w:cstheme="minorHAnsi"/>
          <w:sz w:val="22"/>
          <w:szCs w:val="22"/>
        </w:rPr>
        <w:t>CPS (2019). </w:t>
      </w:r>
      <w:r w:rsidRPr="009D7D94">
        <w:rPr>
          <w:rFonts w:asciiTheme="minorHAnsi" w:hAnsiTheme="minorHAnsi" w:cstheme="minorHAnsi"/>
          <w:i/>
          <w:iCs/>
          <w:color w:val="23272A"/>
          <w:sz w:val="22"/>
          <w:szCs w:val="22"/>
          <w:shd w:val="clear" w:color="auto" w:fill="FEF1C4"/>
        </w:rPr>
        <w:t>Trespass and Nuisance on Land | The Crown Prosecution Service</w:t>
      </w:r>
      <w:r w:rsidRPr="009D7D94">
        <w:rPr>
          <w:rFonts w:asciiTheme="minorHAnsi" w:hAnsiTheme="minorHAnsi" w:cstheme="minorHAnsi"/>
          <w:sz w:val="22"/>
          <w:szCs w:val="22"/>
        </w:rPr>
        <w:t xml:space="preserve">. [online] </w:t>
      </w:r>
      <w:hyperlink r:id="rId27" w:history="1">
        <w:r w:rsidRPr="009D7D94">
          <w:rPr>
            <w:rStyle w:val="Hyperlink"/>
            <w:rFonts w:asciiTheme="minorHAnsi" w:hAnsiTheme="minorHAnsi" w:cstheme="minorHAnsi"/>
            <w:sz w:val="22"/>
            <w:szCs w:val="22"/>
          </w:rPr>
          <w:t>www.cps.gov.uk</w:t>
        </w:r>
      </w:hyperlink>
      <w:r w:rsidRPr="009D7D94">
        <w:rPr>
          <w:rFonts w:asciiTheme="minorHAnsi" w:hAnsiTheme="minorHAnsi" w:cstheme="minorHAnsi"/>
          <w:sz w:val="22"/>
          <w:szCs w:val="22"/>
        </w:rPr>
        <w:t xml:space="preserve">. Available at: </w:t>
      </w:r>
      <w:hyperlink r:id="rId28" w:history="1">
        <w:r w:rsidRPr="009D7D94">
          <w:rPr>
            <w:rStyle w:val="Hyperlink"/>
            <w:rFonts w:asciiTheme="minorHAnsi" w:hAnsiTheme="minorHAnsi" w:cstheme="minorHAnsi"/>
            <w:sz w:val="22"/>
            <w:szCs w:val="22"/>
          </w:rPr>
          <w:t>https://www.cps.gov.uk/legal-guidance/trespass-and-nuisance-land</w:t>
        </w:r>
      </w:hyperlink>
      <w:r w:rsidRPr="009D7D94">
        <w:rPr>
          <w:rFonts w:asciiTheme="minorHAnsi" w:hAnsiTheme="minorHAnsi" w:cstheme="minorHAnsi"/>
          <w:sz w:val="22"/>
          <w:szCs w:val="22"/>
        </w:rPr>
        <w:t>.</w:t>
      </w:r>
    </w:p>
    <w:p w14:paraId="0A1C05C7" w14:textId="77777777" w:rsidR="00BC4B7C" w:rsidRDefault="00BC4B7C" w:rsidP="00D76A17">
      <w:pPr>
        <w:pStyle w:val="NormalWeb"/>
        <w:spacing w:before="0" w:beforeAutospacing="0" w:after="0" w:afterAutospacing="0"/>
        <w:rPr>
          <w:rFonts w:asciiTheme="minorHAnsi" w:hAnsiTheme="minorHAnsi" w:cstheme="minorHAnsi"/>
          <w:sz w:val="22"/>
          <w:szCs w:val="22"/>
        </w:rPr>
      </w:pPr>
      <w:r w:rsidRPr="009D7D94">
        <w:rPr>
          <w:rFonts w:asciiTheme="minorHAnsi" w:hAnsiTheme="minorHAnsi" w:cstheme="minorHAnsi"/>
          <w:sz w:val="22"/>
          <w:szCs w:val="22"/>
        </w:rPr>
        <w:t>Crown Prosecution Service (2022). </w:t>
      </w:r>
      <w:r w:rsidRPr="009D7D94">
        <w:rPr>
          <w:rFonts w:asciiTheme="minorHAnsi" w:hAnsiTheme="minorHAnsi" w:cstheme="minorHAnsi"/>
          <w:i/>
          <w:iCs/>
          <w:color w:val="23272A"/>
          <w:sz w:val="22"/>
          <w:szCs w:val="22"/>
          <w:shd w:val="clear" w:color="auto" w:fill="FEF1C4"/>
        </w:rPr>
        <w:t>Victims’ Guide - How we work with the police as they build their case | The Crown Prosecution Service</w:t>
      </w:r>
      <w:r w:rsidRPr="009D7D94">
        <w:rPr>
          <w:rFonts w:asciiTheme="minorHAnsi" w:hAnsiTheme="minorHAnsi" w:cstheme="minorHAnsi"/>
          <w:sz w:val="22"/>
          <w:szCs w:val="22"/>
        </w:rPr>
        <w:t xml:space="preserve">. [online] Available at: </w:t>
      </w:r>
      <w:hyperlink r:id="rId29" w:history="1">
        <w:r w:rsidRPr="009D7D94">
          <w:rPr>
            <w:rStyle w:val="Hyperlink"/>
            <w:rFonts w:asciiTheme="minorHAnsi" w:hAnsiTheme="minorHAnsi" w:cstheme="minorHAnsi"/>
            <w:sz w:val="22"/>
            <w:szCs w:val="22"/>
          </w:rPr>
          <w:t>https://www.cps.gov.uk/victims-guide/victims-guide-how-we-work-police-they-build-their-case</w:t>
        </w:r>
      </w:hyperlink>
      <w:r w:rsidRPr="009D7D94">
        <w:rPr>
          <w:rFonts w:asciiTheme="minorHAnsi" w:hAnsiTheme="minorHAnsi" w:cstheme="minorHAnsi"/>
          <w:sz w:val="22"/>
          <w:szCs w:val="22"/>
        </w:rPr>
        <w:t>.</w:t>
      </w:r>
    </w:p>
    <w:p w14:paraId="5D4985DB" w14:textId="77777777" w:rsidR="00BC4B7C" w:rsidRDefault="00BC4B7C" w:rsidP="00D76A17">
      <w:pPr>
        <w:pStyle w:val="NormalWeb"/>
        <w:spacing w:before="0" w:beforeAutospacing="0" w:after="0" w:afterAutospacing="0"/>
        <w:rPr>
          <w:rFonts w:asciiTheme="minorHAnsi" w:hAnsiTheme="minorHAnsi" w:cstheme="minorHAnsi"/>
          <w:sz w:val="22"/>
          <w:szCs w:val="22"/>
        </w:rPr>
      </w:pPr>
    </w:p>
    <w:p w14:paraId="7016562B" w14:textId="77777777" w:rsidR="00BC4B7C" w:rsidRDefault="00BC4B7C" w:rsidP="00D76A17">
      <w:pPr>
        <w:pStyle w:val="NormalWeb"/>
        <w:spacing w:before="0" w:beforeAutospacing="0" w:after="0" w:afterAutospacing="0"/>
        <w:rPr>
          <w:rStyle w:val="Hyperlink"/>
          <w:rFonts w:asciiTheme="minorHAnsi" w:hAnsiTheme="minorHAnsi" w:cstheme="minorHAnsi"/>
          <w:sz w:val="22"/>
          <w:szCs w:val="22"/>
        </w:rPr>
      </w:pPr>
      <w:r w:rsidRPr="009D7D94">
        <w:rPr>
          <w:rFonts w:asciiTheme="minorHAnsi" w:hAnsiTheme="minorHAnsi" w:cstheme="minorHAnsi"/>
          <w:sz w:val="22"/>
          <w:szCs w:val="22"/>
        </w:rPr>
        <w:t>Health and Safety Executive (n.d.). </w:t>
      </w:r>
      <w:r w:rsidRPr="009D7D94">
        <w:rPr>
          <w:rFonts w:asciiTheme="minorHAnsi" w:hAnsiTheme="minorHAnsi" w:cstheme="minorHAnsi"/>
          <w:i/>
          <w:iCs/>
          <w:color w:val="23272A"/>
          <w:sz w:val="22"/>
          <w:szCs w:val="22"/>
          <w:shd w:val="clear" w:color="auto" w:fill="FEF1C4"/>
        </w:rPr>
        <w:t>Admissibility of confessions - Investigation - Enforcement Guide (England &amp; Wales)</w:t>
      </w:r>
      <w:r w:rsidRPr="009D7D94">
        <w:rPr>
          <w:rFonts w:asciiTheme="minorHAnsi" w:hAnsiTheme="minorHAnsi" w:cstheme="minorHAnsi"/>
          <w:sz w:val="22"/>
          <w:szCs w:val="22"/>
        </w:rPr>
        <w:t xml:space="preserve">. [online] Available at: </w:t>
      </w:r>
      <w:hyperlink r:id="rId30" w:anchor=":~:text=PACE%20section%2078%2C%20provides%20that" w:history="1">
        <w:r w:rsidRPr="009D7D94">
          <w:rPr>
            <w:rStyle w:val="Hyperlink"/>
            <w:rFonts w:asciiTheme="minorHAnsi" w:hAnsiTheme="minorHAnsi" w:cstheme="minorHAnsi"/>
            <w:sz w:val="22"/>
            <w:szCs w:val="22"/>
          </w:rPr>
          <w:t>https://www.hse.gov.uk/enforce/enforcementguide/investigation/witness-admissibility.htm#:~:text=PACE%20section%2078%2C%20provides%20that</w:t>
        </w:r>
      </w:hyperlink>
    </w:p>
    <w:p w14:paraId="05108EEF" w14:textId="77777777" w:rsidR="00BC4B7C" w:rsidRDefault="00BC4B7C" w:rsidP="00D76A17">
      <w:pPr>
        <w:pStyle w:val="NormalWeb"/>
        <w:spacing w:before="0" w:beforeAutospacing="0" w:after="0" w:afterAutospacing="0"/>
        <w:rPr>
          <w:rStyle w:val="Hyperlink"/>
          <w:rFonts w:asciiTheme="minorHAnsi" w:hAnsiTheme="minorHAnsi" w:cstheme="minorHAnsi"/>
          <w:sz w:val="22"/>
          <w:szCs w:val="22"/>
        </w:rPr>
      </w:pPr>
    </w:p>
    <w:p w14:paraId="23F49646" w14:textId="77777777" w:rsidR="00BC4B7C" w:rsidRDefault="00BC4B7C" w:rsidP="00D76A17">
      <w:pPr>
        <w:pStyle w:val="NormalWeb"/>
        <w:spacing w:before="0" w:beforeAutospacing="0" w:after="0" w:afterAutospacing="0"/>
        <w:rPr>
          <w:rFonts w:asciiTheme="minorHAnsi" w:hAnsiTheme="minorHAnsi" w:cstheme="minorHAnsi"/>
          <w:sz w:val="22"/>
          <w:szCs w:val="22"/>
        </w:rPr>
      </w:pPr>
      <w:r w:rsidRPr="009D7D94">
        <w:rPr>
          <w:rFonts w:asciiTheme="minorHAnsi" w:hAnsiTheme="minorHAnsi" w:cstheme="minorHAnsi"/>
          <w:sz w:val="22"/>
          <w:szCs w:val="22"/>
        </w:rPr>
        <w:t>Johnson, S.D. (2008). Repeat burglary victimisation: a tale of two theories. </w:t>
      </w:r>
      <w:r w:rsidRPr="009D7D94">
        <w:rPr>
          <w:rFonts w:asciiTheme="minorHAnsi" w:hAnsiTheme="minorHAnsi" w:cstheme="minorHAnsi"/>
          <w:i/>
          <w:iCs/>
          <w:color w:val="23272A"/>
          <w:sz w:val="22"/>
          <w:szCs w:val="22"/>
          <w:shd w:val="clear" w:color="auto" w:fill="FEF1C4"/>
        </w:rPr>
        <w:t>Journal of Experimental Criminology</w:t>
      </w:r>
      <w:r w:rsidRPr="009D7D94">
        <w:rPr>
          <w:rFonts w:asciiTheme="minorHAnsi" w:hAnsiTheme="minorHAnsi" w:cstheme="minorHAnsi"/>
          <w:sz w:val="22"/>
          <w:szCs w:val="22"/>
        </w:rPr>
        <w:t xml:space="preserve">, [online] 4(3), pp.215–240. </w:t>
      </w:r>
      <w:proofErr w:type="spellStart"/>
      <w:proofErr w:type="gramStart"/>
      <w:r w:rsidRPr="009D7D94">
        <w:rPr>
          <w:rFonts w:asciiTheme="minorHAnsi" w:hAnsiTheme="minorHAnsi" w:cstheme="minorHAnsi"/>
          <w:sz w:val="22"/>
          <w:szCs w:val="22"/>
        </w:rPr>
        <w:t>doi:https</w:t>
      </w:r>
      <w:proofErr w:type="spellEnd"/>
      <w:r w:rsidRPr="009D7D94">
        <w:rPr>
          <w:rFonts w:asciiTheme="minorHAnsi" w:hAnsiTheme="minorHAnsi" w:cstheme="minorHAnsi"/>
          <w:sz w:val="22"/>
          <w:szCs w:val="22"/>
        </w:rPr>
        <w:t>://doi.org/10.1007/s11292-008-9055-3</w:t>
      </w:r>
      <w:proofErr w:type="gramEnd"/>
      <w:r w:rsidRPr="009D7D94">
        <w:rPr>
          <w:rFonts w:asciiTheme="minorHAnsi" w:hAnsiTheme="minorHAnsi" w:cstheme="minorHAnsi"/>
          <w:sz w:val="22"/>
          <w:szCs w:val="22"/>
        </w:rPr>
        <w:t>.</w:t>
      </w:r>
    </w:p>
    <w:p w14:paraId="7935CF92" w14:textId="77777777" w:rsidR="00BC4B7C" w:rsidRDefault="00BC4B7C" w:rsidP="00D76A17">
      <w:pPr>
        <w:pStyle w:val="NormalWeb"/>
        <w:spacing w:before="0" w:beforeAutospacing="0" w:after="0" w:afterAutospacing="0"/>
        <w:rPr>
          <w:rFonts w:asciiTheme="minorHAnsi" w:hAnsiTheme="minorHAnsi" w:cstheme="minorHAnsi"/>
          <w:sz w:val="22"/>
          <w:szCs w:val="22"/>
        </w:rPr>
      </w:pPr>
      <w:r w:rsidRPr="009D7D94">
        <w:rPr>
          <w:rFonts w:asciiTheme="minorHAnsi" w:hAnsiTheme="minorHAnsi" w:cstheme="minorHAnsi"/>
          <w:sz w:val="22"/>
          <w:szCs w:val="22"/>
        </w:rPr>
        <w:t xml:space="preserve">Palmer, E.J., Holmes, A. and </w:t>
      </w:r>
      <w:proofErr w:type="spellStart"/>
      <w:r w:rsidRPr="009D7D94">
        <w:rPr>
          <w:rFonts w:asciiTheme="minorHAnsi" w:hAnsiTheme="minorHAnsi" w:cstheme="minorHAnsi"/>
          <w:sz w:val="22"/>
          <w:szCs w:val="22"/>
        </w:rPr>
        <w:t>Hollin</w:t>
      </w:r>
      <w:proofErr w:type="spellEnd"/>
      <w:r w:rsidRPr="009D7D94">
        <w:rPr>
          <w:rFonts w:asciiTheme="minorHAnsi" w:hAnsiTheme="minorHAnsi" w:cstheme="minorHAnsi"/>
          <w:sz w:val="22"/>
          <w:szCs w:val="22"/>
        </w:rPr>
        <w:t>, C.R. (2002). Investigating Burglars’ Decisions: Factors Influencing Target Choice, Method of Entry, Reasons for Offending, Repeat Victimisation of a Property and Victim Awareness. </w:t>
      </w:r>
      <w:r w:rsidRPr="009D7D94">
        <w:rPr>
          <w:rFonts w:asciiTheme="minorHAnsi" w:hAnsiTheme="minorHAnsi" w:cstheme="minorHAnsi"/>
          <w:i/>
          <w:iCs/>
          <w:color w:val="23272A"/>
          <w:sz w:val="22"/>
          <w:szCs w:val="22"/>
          <w:shd w:val="clear" w:color="auto" w:fill="FEF1C4"/>
        </w:rPr>
        <w:t>Security Journal</w:t>
      </w:r>
      <w:r w:rsidRPr="009D7D94">
        <w:rPr>
          <w:rFonts w:asciiTheme="minorHAnsi" w:hAnsiTheme="minorHAnsi" w:cstheme="minorHAnsi"/>
          <w:sz w:val="22"/>
          <w:szCs w:val="22"/>
        </w:rPr>
        <w:t>, [online] 15(1), pp.7–18.</w:t>
      </w:r>
      <w:r>
        <w:rPr>
          <w:rFonts w:asciiTheme="minorHAnsi" w:hAnsiTheme="minorHAnsi" w:cstheme="minorHAnsi"/>
          <w:sz w:val="22"/>
          <w:szCs w:val="22"/>
        </w:rPr>
        <w:t xml:space="preserve"> </w:t>
      </w:r>
      <w:proofErr w:type="spellStart"/>
      <w:proofErr w:type="gramStart"/>
      <w:r w:rsidRPr="009D7D94">
        <w:rPr>
          <w:rFonts w:asciiTheme="minorHAnsi" w:hAnsiTheme="minorHAnsi" w:cstheme="minorHAnsi"/>
          <w:sz w:val="22"/>
          <w:szCs w:val="22"/>
        </w:rPr>
        <w:t>doi:https</w:t>
      </w:r>
      <w:proofErr w:type="spellEnd"/>
      <w:r w:rsidRPr="009D7D94">
        <w:rPr>
          <w:rFonts w:asciiTheme="minorHAnsi" w:hAnsiTheme="minorHAnsi" w:cstheme="minorHAnsi"/>
          <w:sz w:val="22"/>
          <w:szCs w:val="22"/>
        </w:rPr>
        <w:t>://doi.org/10.1057/palgrave.sj.8340101</w:t>
      </w:r>
      <w:proofErr w:type="gramEnd"/>
      <w:r w:rsidRPr="009D7D94">
        <w:rPr>
          <w:rFonts w:asciiTheme="minorHAnsi" w:hAnsiTheme="minorHAnsi" w:cstheme="minorHAnsi"/>
          <w:sz w:val="22"/>
          <w:szCs w:val="22"/>
        </w:rPr>
        <w:t>.</w:t>
      </w:r>
    </w:p>
    <w:p w14:paraId="556D7EE6" w14:textId="77777777" w:rsidR="00BC4B7C" w:rsidRDefault="00BC4B7C" w:rsidP="00D76A17">
      <w:pPr>
        <w:pStyle w:val="NormalWeb"/>
        <w:spacing w:before="0" w:beforeAutospacing="0" w:after="0" w:afterAutospacing="0"/>
        <w:rPr>
          <w:rFonts w:asciiTheme="minorHAnsi" w:hAnsiTheme="minorHAnsi" w:cstheme="minorHAnsi"/>
          <w:sz w:val="22"/>
          <w:szCs w:val="22"/>
        </w:rPr>
      </w:pPr>
    </w:p>
    <w:p w14:paraId="20691392" w14:textId="77777777" w:rsidR="00BC4B7C" w:rsidRDefault="00BC4B7C" w:rsidP="00D76A17">
      <w:pPr>
        <w:pStyle w:val="NormalWeb"/>
        <w:spacing w:before="0" w:beforeAutospacing="0" w:after="0" w:afterAutospacing="0"/>
        <w:rPr>
          <w:rFonts w:asciiTheme="minorHAnsi" w:hAnsiTheme="minorHAnsi" w:cstheme="minorHAnsi"/>
          <w:sz w:val="22"/>
          <w:szCs w:val="22"/>
        </w:rPr>
      </w:pPr>
      <w:r w:rsidRPr="009D7D94">
        <w:rPr>
          <w:rFonts w:asciiTheme="minorHAnsi" w:hAnsiTheme="minorHAnsi" w:cstheme="minorHAnsi"/>
          <w:sz w:val="22"/>
          <w:szCs w:val="22"/>
        </w:rPr>
        <w:t xml:space="preserve">Pease, K. and Farrell, G. (2017). Repeat </w:t>
      </w:r>
      <w:proofErr w:type="gramStart"/>
      <w:r w:rsidRPr="009D7D94">
        <w:rPr>
          <w:rFonts w:asciiTheme="minorHAnsi" w:hAnsiTheme="minorHAnsi" w:cstheme="minorHAnsi"/>
          <w:sz w:val="22"/>
          <w:szCs w:val="22"/>
        </w:rPr>
        <w:t>victimisation .</w:t>
      </w:r>
      <w:proofErr w:type="gramEnd"/>
      <w:r w:rsidRPr="009D7D94">
        <w:rPr>
          <w:rFonts w:asciiTheme="minorHAnsi" w:hAnsiTheme="minorHAnsi" w:cstheme="minorHAnsi"/>
          <w:sz w:val="22"/>
          <w:szCs w:val="22"/>
        </w:rPr>
        <w:t xml:space="preserve"> In: R. Wortley and M. </w:t>
      </w:r>
      <w:proofErr w:type="spellStart"/>
      <w:r w:rsidRPr="009D7D94">
        <w:rPr>
          <w:rFonts w:asciiTheme="minorHAnsi" w:hAnsiTheme="minorHAnsi" w:cstheme="minorHAnsi"/>
          <w:sz w:val="22"/>
          <w:szCs w:val="22"/>
        </w:rPr>
        <w:t>Townsley</w:t>
      </w:r>
      <w:proofErr w:type="spellEnd"/>
      <w:r w:rsidRPr="009D7D94">
        <w:rPr>
          <w:rFonts w:asciiTheme="minorHAnsi" w:hAnsiTheme="minorHAnsi" w:cstheme="minorHAnsi"/>
          <w:sz w:val="22"/>
          <w:szCs w:val="22"/>
        </w:rPr>
        <w:t>, eds., </w:t>
      </w:r>
      <w:r w:rsidRPr="009D7D94">
        <w:rPr>
          <w:rFonts w:asciiTheme="minorHAnsi" w:hAnsiTheme="minorHAnsi" w:cstheme="minorHAnsi"/>
          <w:i/>
          <w:iCs/>
          <w:color w:val="23272A"/>
          <w:sz w:val="22"/>
          <w:szCs w:val="22"/>
          <w:shd w:val="clear" w:color="auto" w:fill="FEF1C4"/>
        </w:rPr>
        <w:t>Environmental Criminology and Crime Analysis</w:t>
      </w:r>
      <w:r w:rsidRPr="009D7D94">
        <w:rPr>
          <w:rFonts w:asciiTheme="minorHAnsi" w:hAnsiTheme="minorHAnsi" w:cstheme="minorHAnsi"/>
          <w:sz w:val="22"/>
          <w:szCs w:val="22"/>
        </w:rPr>
        <w:t xml:space="preserve">. [online] London and New York: Routledge Taylor &amp; Francis Group. Available at: </w:t>
      </w:r>
      <w:hyperlink r:id="rId31" w:history="1">
        <w:r w:rsidRPr="009D7D94">
          <w:rPr>
            <w:rStyle w:val="Hyperlink"/>
            <w:rFonts w:asciiTheme="minorHAnsi" w:hAnsiTheme="minorHAnsi" w:cstheme="minorHAnsi"/>
            <w:sz w:val="22"/>
            <w:szCs w:val="22"/>
          </w:rPr>
          <w:t>file:///C:/Users/408962/Downloads/9781315709826_previewpdf.pdf</w:t>
        </w:r>
      </w:hyperlink>
      <w:r w:rsidRPr="009D7D94">
        <w:rPr>
          <w:rFonts w:asciiTheme="minorHAnsi" w:hAnsiTheme="minorHAnsi" w:cstheme="minorHAnsi"/>
          <w:sz w:val="22"/>
          <w:szCs w:val="22"/>
        </w:rPr>
        <w:t xml:space="preserve"> [Accessed 1 Jul. 2024].</w:t>
      </w:r>
    </w:p>
    <w:p w14:paraId="70949E37" w14:textId="77777777" w:rsidR="00BC4B7C" w:rsidRDefault="00BC4B7C" w:rsidP="00D76A17">
      <w:pPr>
        <w:pStyle w:val="NormalWeb"/>
        <w:spacing w:before="0" w:beforeAutospacing="0" w:after="0" w:afterAutospacing="0"/>
        <w:rPr>
          <w:rFonts w:asciiTheme="minorHAnsi" w:hAnsiTheme="minorHAnsi" w:cstheme="minorHAnsi"/>
          <w:sz w:val="22"/>
          <w:szCs w:val="22"/>
        </w:rPr>
      </w:pPr>
    </w:p>
    <w:p w14:paraId="7A208181" w14:textId="77777777" w:rsidR="00BC4B7C" w:rsidRDefault="00BC4B7C" w:rsidP="00D76A17">
      <w:pPr>
        <w:pStyle w:val="NormalWeb"/>
        <w:spacing w:before="0" w:beforeAutospacing="0" w:after="0" w:afterAutospacing="0"/>
        <w:rPr>
          <w:rFonts w:asciiTheme="minorHAnsi" w:hAnsiTheme="minorHAnsi" w:cstheme="minorHAnsi"/>
          <w:sz w:val="22"/>
          <w:szCs w:val="22"/>
        </w:rPr>
      </w:pPr>
      <w:proofErr w:type="spellStart"/>
      <w:r w:rsidRPr="009D7D94">
        <w:rPr>
          <w:rFonts w:asciiTheme="minorHAnsi" w:hAnsiTheme="minorHAnsi" w:cstheme="minorHAnsi"/>
          <w:sz w:val="22"/>
          <w:szCs w:val="22"/>
        </w:rPr>
        <w:t>Soleti</w:t>
      </w:r>
      <w:proofErr w:type="spellEnd"/>
      <w:r w:rsidRPr="009D7D94">
        <w:rPr>
          <w:rFonts w:asciiTheme="minorHAnsi" w:hAnsiTheme="minorHAnsi" w:cstheme="minorHAnsi"/>
          <w:sz w:val="22"/>
          <w:szCs w:val="22"/>
        </w:rPr>
        <w:t xml:space="preserve">, E., Wright, D.B. and </w:t>
      </w:r>
      <w:proofErr w:type="spellStart"/>
      <w:r w:rsidRPr="009D7D94">
        <w:rPr>
          <w:rFonts w:asciiTheme="minorHAnsi" w:hAnsiTheme="minorHAnsi" w:cstheme="minorHAnsi"/>
          <w:sz w:val="22"/>
          <w:szCs w:val="22"/>
        </w:rPr>
        <w:t>Curci</w:t>
      </w:r>
      <w:proofErr w:type="spellEnd"/>
      <w:r w:rsidRPr="009D7D94">
        <w:rPr>
          <w:rFonts w:asciiTheme="minorHAnsi" w:hAnsiTheme="minorHAnsi" w:cstheme="minorHAnsi"/>
          <w:sz w:val="22"/>
          <w:szCs w:val="22"/>
        </w:rPr>
        <w:t>, A. (2016). Emotional discussions reduce memory recall. </w:t>
      </w:r>
      <w:r w:rsidRPr="009D7D94">
        <w:rPr>
          <w:rFonts w:asciiTheme="minorHAnsi" w:hAnsiTheme="minorHAnsi" w:cstheme="minorHAnsi"/>
          <w:i/>
          <w:iCs/>
          <w:color w:val="23272A"/>
          <w:sz w:val="22"/>
          <w:szCs w:val="22"/>
          <w:shd w:val="clear" w:color="auto" w:fill="FEF1C4"/>
        </w:rPr>
        <w:t>Memory</w:t>
      </w:r>
      <w:r w:rsidRPr="009D7D94">
        <w:rPr>
          <w:rFonts w:asciiTheme="minorHAnsi" w:hAnsiTheme="minorHAnsi" w:cstheme="minorHAnsi"/>
          <w:sz w:val="22"/>
          <w:szCs w:val="22"/>
        </w:rPr>
        <w:t xml:space="preserve">, 25(5), pp.697–703. </w:t>
      </w:r>
      <w:proofErr w:type="spellStart"/>
      <w:proofErr w:type="gramStart"/>
      <w:r w:rsidRPr="009D7D94">
        <w:rPr>
          <w:rFonts w:asciiTheme="minorHAnsi" w:hAnsiTheme="minorHAnsi" w:cstheme="minorHAnsi"/>
          <w:sz w:val="22"/>
          <w:szCs w:val="22"/>
        </w:rPr>
        <w:t>doi:https</w:t>
      </w:r>
      <w:proofErr w:type="spellEnd"/>
      <w:r w:rsidRPr="009D7D94">
        <w:rPr>
          <w:rFonts w:asciiTheme="minorHAnsi" w:hAnsiTheme="minorHAnsi" w:cstheme="minorHAnsi"/>
          <w:sz w:val="22"/>
          <w:szCs w:val="22"/>
        </w:rPr>
        <w:t>://doi.org/10.1080/09658211.2016.1206943</w:t>
      </w:r>
      <w:proofErr w:type="gramEnd"/>
      <w:r w:rsidRPr="009D7D94">
        <w:rPr>
          <w:rFonts w:asciiTheme="minorHAnsi" w:hAnsiTheme="minorHAnsi" w:cstheme="minorHAnsi"/>
          <w:sz w:val="22"/>
          <w:szCs w:val="22"/>
        </w:rPr>
        <w:t>.</w:t>
      </w:r>
    </w:p>
    <w:p w14:paraId="4C153E47" w14:textId="77777777" w:rsidR="00BC4B7C" w:rsidRDefault="00BC4B7C" w:rsidP="00D76A17">
      <w:pPr>
        <w:pStyle w:val="NormalWeb"/>
        <w:spacing w:before="0" w:beforeAutospacing="0" w:after="0" w:afterAutospacing="0"/>
        <w:rPr>
          <w:rFonts w:asciiTheme="minorHAnsi" w:hAnsiTheme="minorHAnsi" w:cstheme="minorHAnsi"/>
          <w:sz w:val="22"/>
          <w:szCs w:val="22"/>
        </w:rPr>
      </w:pPr>
      <w:r w:rsidRPr="009D7D94">
        <w:rPr>
          <w:rFonts w:asciiTheme="minorHAnsi" w:hAnsiTheme="minorHAnsi" w:cstheme="minorHAnsi"/>
          <w:sz w:val="22"/>
          <w:szCs w:val="22"/>
        </w:rPr>
        <w:t>The University of Edinburgh (2020). </w:t>
      </w:r>
      <w:r w:rsidRPr="009D7D94">
        <w:rPr>
          <w:rFonts w:asciiTheme="minorHAnsi" w:hAnsiTheme="minorHAnsi" w:cstheme="minorHAnsi"/>
          <w:i/>
          <w:iCs/>
          <w:color w:val="23272A"/>
          <w:sz w:val="22"/>
          <w:szCs w:val="22"/>
          <w:shd w:val="clear" w:color="auto" w:fill="FEF1C4"/>
        </w:rPr>
        <w:t>Gibbs’ Reflective Cycle</w:t>
      </w:r>
      <w:r w:rsidRPr="009D7D94">
        <w:rPr>
          <w:rFonts w:asciiTheme="minorHAnsi" w:hAnsiTheme="minorHAnsi" w:cstheme="minorHAnsi"/>
          <w:sz w:val="22"/>
          <w:szCs w:val="22"/>
        </w:rPr>
        <w:t xml:space="preserve">. [online] The University of Edinburgh. Available at: </w:t>
      </w:r>
      <w:hyperlink r:id="rId32" w:history="1">
        <w:r w:rsidRPr="009D7D94">
          <w:rPr>
            <w:rStyle w:val="Hyperlink"/>
            <w:rFonts w:asciiTheme="minorHAnsi" w:hAnsiTheme="minorHAnsi" w:cstheme="minorHAnsi"/>
            <w:sz w:val="22"/>
            <w:szCs w:val="22"/>
          </w:rPr>
          <w:t>https://www.ed.ac.uk/reflection/reflectors-toolkit/reflecting-on-experience/gibbs-reflective-cycle</w:t>
        </w:r>
      </w:hyperlink>
      <w:r w:rsidRPr="009D7D94">
        <w:rPr>
          <w:rFonts w:asciiTheme="minorHAnsi" w:hAnsiTheme="minorHAnsi" w:cstheme="minorHAnsi"/>
          <w:sz w:val="22"/>
          <w:szCs w:val="22"/>
        </w:rPr>
        <w:t>.</w:t>
      </w:r>
    </w:p>
    <w:p w14:paraId="194CA5B4" w14:textId="77777777" w:rsidR="00BC4B7C" w:rsidRDefault="00BC4B7C" w:rsidP="00D76A17">
      <w:pPr>
        <w:pStyle w:val="NormalWeb"/>
        <w:spacing w:before="0" w:beforeAutospacing="0" w:after="0" w:afterAutospacing="0"/>
        <w:rPr>
          <w:rFonts w:asciiTheme="minorHAnsi" w:hAnsiTheme="minorHAnsi" w:cstheme="minorHAnsi"/>
          <w:sz w:val="22"/>
          <w:szCs w:val="22"/>
        </w:rPr>
      </w:pPr>
    </w:p>
    <w:p w14:paraId="660312EA" w14:textId="77777777" w:rsidR="00BC4B7C" w:rsidRDefault="00BC4B7C" w:rsidP="00D76A17">
      <w:pPr>
        <w:pStyle w:val="NormalWeb"/>
        <w:spacing w:before="0" w:beforeAutospacing="0" w:after="0" w:afterAutospacing="0"/>
        <w:rPr>
          <w:rFonts w:asciiTheme="minorHAnsi" w:hAnsiTheme="minorHAnsi" w:cstheme="minorHAnsi"/>
          <w:sz w:val="22"/>
          <w:szCs w:val="22"/>
        </w:rPr>
      </w:pPr>
      <w:proofErr w:type="spellStart"/>
      <w:r w:rsidRPr="009D7D94">
        <w:rPr>
          <w:rFonts w:asciiTheme="minorHAnsi" w:hAnsiTheme="minorHAnsi" w:cstheme="minorHAnsi"/>
          <w:sz w:val="22"/>
          <w:szCs w:val="22"/>
        </w:rPr>
        <w:t>Tseloni</w:t>
      </w:r>
      <w:proofErr w:type="spellEnd"/>
      <w:r w:rsidRPr="009D7D94">
        <w:rPr>
          <w:rFonts w:asciiTheme="minorHAnsi" w:hAnsiTheme="minorHAnsi" w:cstheme="minorHAnsi"/>
          <w:sz w:val="22"/>
          <w:szCs w:val="22"/>
        </w:rPr>
        <w:t>, A., Thompson, R., Grove, L., Tilley, N. and Farrell, G. (2017). The effectiveness of burglary security devices. </w:t>
      </w:r>
      <w:r w:rsidRPr="009D7D94">
        <w:rPr>
          <w:rFonts w:asciiTheme="minorHAnsi" w:hAnsiTheme="minorHAnsi" w:cstheme="minorHAnsi"/>
          <w:i/>
          <w:iCs/>
          <w:color w:val="23272A"/>
          <w:sz w:val="22"/>
          <w:szCs w:val="22"/>
          <w:shd w:val="clear" w:color="auto" w:fill="FEF1C4"/>
        </w:rPr>
        <w:t>Security Journal</w:t>
      </w:r>
      <w:r w:rsidRPr="009D7D94">
        <w:rPr>
          <w:rFonts w:asciiTheme="minorHAnsi" w:hAnsiTheme="minorHAnsi" w:cstheme="minorHAnsi"/>
          <w:sz w:val="22"/>
          <w:szCs w:val="22"/>
        </w:rPr>
        <w:t xml:space="preserve">, [online] 30(2), pp.646–664. </w:t>
      </w:r>
      <w:proofErr w:type="spellStart"/>
      <w:proofErr w:type="gramStart"/>
      <w:r w:rsidRPr="009D7D94">
        <w:rPr>
          <w:rFonts w:asciiTheme="minorHAnsi" w:hAnsiTheme="minorHAnsi" w:cstheme="minorHAnsi"/>
          <w:sz w:val="22"/>
          <w:szCs w:val="22"/>
        </w:rPr>
        <w:t>doi:https</w:t>
      </w:r>
      <w:proofErr w:type="spellEnd"/>
      <w:r w:rsidRPr="009D7D94">
        <w:rPr>
          <w:rFonts w:asciiTheme="minorHAnsi" w:hAnsiTheme="minorHAnsi" w:cstheme="minorHAnsi"/>
          <w:sz w:val="22"/>
          <w:szCs w:val="22"/>
        </w:rPr>
        <w:t>://doi.org/10.1057/sj.2014.30</w:t>
      </w:r>
      <w:proofErr w:type="gramEnd"/>
      <w:r w:rsidRPr="009D7D94">
        <w:rPr>
          <w:rFonts w:asciiTheme="minorHAnsi" w:hAnsiTheme="minorHAnsi" w:cstheme="minorHAnsi"/>
          <w:sz w:val="22"/>
          <w:szCs w:val="22"/>
        </w:rPr>
        <w:t>.</w:t>
      </w:r>
    </w:p>
    <w:p w14:paraId="69B983D8" w14:textId="77777777" w:rsidR="00BC4B7C" w:rsidRDefault="00BC4B7C" w:rsidP="00D76A17">
      <w:pPr>
        <w:pStyle w:val="NormalWeb"/>
        <w:spacing w:before="0" w:beforeAutospacing="0" w:after="0" w:afterAutospacing="0"/>
        <w:rPr>
          <w:rFonts w:asciiTheme="minorHAnsi" w:hAnsiTheme="minorHAnsi" w:cstheme="minorHAnsi"/>
          <w:sz w:val="22"/>
          <w:szCs w:val="22"/>
        </w:rPr>
      </w:pPr>
    </w:p>
    <w:p w14:paraId="1EF99525" w14:textId="77777777" w:rsidR="00BC4B7C" w:rsidRDefault="00BC4B7C" w:rsidP="00D76A17">
      <w:pPr>
        <w:pStyle w:val="NormalWeb"/>
        <w:spacing w:before="0" w:beforeAutospacing="0" w:after="0" w:afterAutospacing="0"/>
        <w:rPr>
          <w:rFonts w:asciiTheme="minorHAnsi" w:hAnsiTheme="minorHAnsi" w:cstheme="minorHAnsi"/>
          <w:sz w:val="22"/>
          <w:szCs w:val="22"/>
        </w:rPr>
      </w:pPr>
      <w:r w:rsidRPr="009D7D94">
        <w:rPr>
          <w:rFonts w:asciiTheme="minorHAnsi" w:hAnsiTheme="minorHAnsi" w:cstheme="minorHAnsi"/>
          <w:sz w:val="22"/>
          <w:szCs w:val="22"/>
        </w:rPr>
        <w:t>Waring, C. (2024). </w:t>
      </w:r>
      <w:r w:rsidRPr="009D7D94">
        <w:rPr>
          <w:rFonts w:asciiTheme="minorHAnsi" w:hAnsiTheme="minorHAnsi" w:cstheme="minorHAnsi"/>
          <w:i/>
          <w:iCs/>
          <w:color w:val="23272A"/>
          <w:sz w:val="22"/>
          <w:szCs w:val="22"/>
          <w:shd w:val="clear" w:color="auto" w:fill="FEF1C4"/>
        </w:rPr>
        <w:t>The Important Role Witnesses Play in Personal Injury Claims</w:t>
      </w:r>
      <w:r w:rsidRPr="009D7D94">
        <w:rPr>
          <w:rFonts w:asciiTheme="minorHAnsi" w:hAnsiTheme="minorHAnsi" w:cstheme="minorHAnsi"/>
          <w:sz w:val="22"/>
          <w:szCs w:val="22"/>
        </w:rPr>
        <w:t xml:space="preserve">. [online] </w:t>
      </w:r>
      <w:proofErr w:type="spellStart"/>
      <w:r w:rsidRPr="009D7D94">
        <w:rPr>
          <w:rFonts w:asciiTheme="minorHAnsi" w:hAnsiTheme="minorHAnsi" w:cstheme="minorHAnsi"/>
          <w:sz w:val="22"/>
          <w:szCs w:val="22"/>
        </w:rPr>
        <w:t>Mooneerams</w:t>
      </w:r>
      <w:proofErr w:type="spellEnd"/>
      <w:r w:rsidRPr="009D7D94">
        <w:rPr>
          <w:rFonts w:asciiTheme="minorHAnsi" w:hAnsiTheme="minorHAnsi" w:cstheme="minorHAnsi"/>
          <w:sz w:val="22"/>
          <w:szCs w:val="22"/>
        </w:rPr>
        <w:t xml:space="preserve">. Available at: </w:t>
      </w:r>
      <w:hyperlink r:id="rId33" w:anchor=":~:text=If%20there%20is%20a%20dispute" w:history="1">
        <w:r w:rsidRPr="009D7D94">
          <w:rPr>
            <w:rStyle w:val="Hyperlink"/>
            <w:rFonts w:asciiTheme="minorHAnsi" w:hAnsiTheme="minorHAnsi" w:cstheme="minorHAnsi"/>
            <w:sz w:val="22"/>
            <w:szCs w:val="22"/>
          </w:rPr>
          <w:t>https://www.mooneerams.com/blog/the-important-role-witnesses-play-in-personal-injury-claims/#:~:text=If%20there%20is%20a%20dispute</w:t>
        </w:r>
      </w:hyperlink>
      <w:r w:rsidRPr="009D7D94">
        <w:rPr>
          <w:rFonts w:asciiTheme="minorHAnsi" w:hAnsiTheme="minorHAnsi" w:cstheme="minorHAnsi"/>
          <w:sz w:val="22"/>
          <w:szCs w:val="22"/>
        </w:rPr>
        <w:t xml:space="preserve"> </w:t>
      </w:r>
    </w:p>
    <w:p w14:paraId="6A81C9D6" w14:textId="77777777" w:rsidR="00BC4B7C" w:rsidRDefault="00BC4B7C" w:rsidP="00D76A17">
      <w:pPr>
        <w:pStyle w:val="NormalWeb"/>
        <w:spacing w:before="0" w:beforeAutospacing="0" w:after="0" w:afterAutospacing="0"/>
        <w:rPr>
          <w:rFonts w:asciiTheme="minorHAnsi" w:hAnsiTheme="minorHAnsi" w:cstheme="minorHAnsi"/>
          <w:sz w:val="22"/>
          <w:szCs w:val="22"/>
        </w:rPr>
      </w:pPr>
    </w:p>
    <w:p w14:paraId="67DB62C3" w14:textId="77777777" w:rsidR="00BC4B7C" w:rsidRDefault="00BC4B7C" w:rsidP="00D76A17">
      <w:pPr>
        <w:pStyle w:val="NormalWeb"/>
        <w:spacing w:before="0" w:beforeAutospacing="0" w:after="0" w:afterAutospacing="0"/>
        <w:rPr>
          <w:rFonts w:asciiTheme="minorHAnsi" w:hAnsiTheme="minorHAnsi" w:cstheme="minorHAnsi"/>
          <w:sz w:val="22"/>
          <w:szCs w:val="22"/>
        </w:rPr>
      </w:pPr>
      <w:r w:rsidRPr="009D7D94">
        <w:rPr>
          <w:rFonts w:asciiTheme="minorHAnsi" w:hAnsiTheme="minorHAnsi" w:cstheme="minorHAnsi"/>
          <w:sz w:val="22"/>
          <w:szCs w:val="22"/>
        </w:rPr>
        <w:t>White, A.M. (2003). What Happened? Alcohol, Memory Blackouts, and the Brain. </w:t>
      </w:r>
      <w:r w:rsidRPr="009D7D94">
        <w:rPr>
          <w:rFonts w:asciiTheme="minorHAnsi" w:hAnsiTheme="minorHAnsi" w:cstheme="minorHAnsi"/>
          <w:i/>
          <w:iCs/>
          <w:color w:val="23272A"/>
          <w:sz w:val="22"/>
          <w:szCs w:val="22"/>
          <w:shd w:val="clear" w:color="auto" w:fill="FEF1C4"/>
        </w:rPr>
        <w:t>Alcohol Research &amp; Health</w:t>
      </w:r>
      <w:r w:rsidRPr="009D7D94">
        <w:rPr>
          <w:rFonts w:asciiTheme="minorHAnsi" w:hAnsiTheme="minorHAnsi" w:cstheme="minorHAnsi"/>
          <w:sz w:val="22"/>
          <w:szCs w:val="22"/>
        </w:rPr>
        <w:t xml:space="preserve">, [online] 27(2), pp.186–196. Available at: </w:t>
      </w:r>
      <w:hyperlink r:id="rId34" w:history="1">
        <w:r w:rsidRPr="009D7D94">
          <w:rPr>
            <w:rStyle w:val="Hyperlink"/>
            <w:rFonts w:asciiTheme="minorHAnsi" w:hAnsiTheme="minorHAnsi" w:cstheme="minorHAnsi"/>
            <w:sz w:val="22"/>
            <w:szCs w:val="22"/>
          </w:rPr>
          <w:t>https://www.ncbi.nlm.nih.gov/pmc/articles/PMC6668891/</w:t>
        </w:r>
      </w:hyperlink>
      <w:r w:rsidRPr="009D7D94">
        <w:rPr>
          <w:rFonts w:asciiTheme="minorHAnsi" w:hAnsiTheme="minorHAnsi" w:cstheme="minorHAnsi"/>
          <w:sz w:val="22"/>
          <w:szCs w:val="22"/>
        </w:rPr>
        <w:t>.</w:t>
      </w:r>
    </w:p>
    <w:p w14:paraId="1ECFC81C" w14:textId="77777777" w:rsidR="00D76A17" w:rsidRDefault="00D76A17" w:rsidP="00EA28F1">
      <w:pPr>
        <w:keepNext/>
        <w:spacing w:before="240" w:after="60"/>
        <w:ind w:right="237"/>
        <w:jc w:val="both"/>
      </w:pPr>
    </w:p>
    <w:sectPr w:rsidR="00D76A1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D98CE" w14:textId="77777777" w:rsidR="004F3CDE" w:rsidRDefault="004F3CDE">
      <w:r>
        <w:separator/>
      </w:r>
    </w:p>
  </w:endnote>
  <w:endnote w:type="continuationSeparator" w:id="0">
    <w:p w14:paraId="6427EB9F" w14:textId="77777777" w:rsidR="004F3CDE" w:rsidRDefault="004F3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56CB5" w14:textId="77777777" w:rsidR="004F3CDE" w:rsidRDefault="004F3CDE">
      <w:r>
        <w:separator/>
      </w:r>
    </w:p>
  </w:footnote>
  <w:footnote w:type="continuationSeparator" w:id="0">
    <w:p w14:paraId="7B579060" w14:textId="77777777" w:rsidR="004F3CDE" w:rsidRDefault="004F3CDE">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98C"/>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341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512F"/>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578E4"/>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3CDE"/>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0FC6"/>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73B99"/>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21F9"/>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2670"/>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5320"/>
    <w:rsid w:val="0099774D"/>
    <w:rsid w:val="009A310E"/>
    <w:rsid w:val="009A5F3B"/>
    <w:rsid w:val="009B0B61"/>
    <w:rsid w:val="009B28C0"/>
    <w:rsid w:val="009B395A"/>
    <w:rsid w:val="009B7136"/>
    <w:rsid w:val="009B7806"/>
    <w:rsid w:val="009C3AC2"/>
    <w:rsid w:val="009D4365"/>
    <w:rsid w:val="009D4E3B"/>
    <w:rsid w:val="009D7BC9"/>
    <w:rsid w:val="009D7D94"/>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14F0"/>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59A3"/>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4B7C"/>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E300C"/>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6A1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3AE"/>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D76A1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HTMLCite">
    <w:name w:val="HTML Cite"/>
    <w:basedOn w:val="DefaultParagraphFont"/>
    <w:uiPriority w:val="99"/>
    <w:semiHidden/>
    <w:unhideWhenUsed/>
    <w:rsid w:val="00D76A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60584400">
      <w:bodyDiv w:val="1"/>
      <w:marLeft w:val="0"/>
      <w:marRight w:val="0"/>
      <w:marTop w:val="0"/>
      <w:marBottom w:val="0"/>
      <w:divBdr>
        <w:top w:val="none" w:sz="0" w:space="0" w:color="auto"/>
        <w:left w:val="none" w:sz="0" w:space="0" w:color="auto"/>
        <w:bottom w:val="none" w:sz="0" w:space="0" w:color="auto"/>
        <w:right w:val="none" w:sz="0" w:space="0" w:color="auto"/>
      </w:divBdr>
    </w:div>
    <w:div w:id="539628519">
      <w:bodyDiv w:val="1"/>
      <w:marLeft w:val="0"/>
      <w:marRight w:val="0"/>
      <w:marTop w:val="0"/>
      <w:marBottom w:val="0"/>
      <w:divBdr>
        <w:top w:val="none" w:sz="0" w:space="0" w:color="auto"/>
        <w:left w:val="none" w:sz="0" w:space="0" w:color="auto"/>
        <w:bottom w:val="none" w:sz="0" w:space="0" w:color="auto"/>
        <w:right w:val="none" w:sz="0" w:space="0" w:color="auto"/>
      </w:divBdr>
    </w:div>
    <w:div w:id="714622244">
      <w:bodyDiv w:val="1"/>
      <w:marLeft w:val="0"/>
      <w:marRight w:val="0"/>
      <w:marTop w:val="0"/>
      <w:marBottom w:val="0"/>
      <w:divBdr>
        <w:top w:val="none" w:sz="0" w:space="0" w:color="auto"/>
        <w:left w:val="none" w:sz="0" w:space="0" w:color="auto"/>
        <w:bottom w:val="none" w:sz="0" w:space="0" w:color="auto"/>
        <w:right w:val="none" w:sz="0" w:space="0" w:color="auto"/>
      </w:divBdr>
    </w:div>
    <w:div w:id="9913294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96238876">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6071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ictionary.cambridge.org/dictionary/english/witness" TargetMode="External"/><Relationship Id="rId26" Type="http://schemas.openxmlformats.org/officeDocument/2006/relationships/hyperlink" Target="https://www.college.police.uk/app/prosecution-and-case-management/victim-and-witness-care" TargetMode="External"/><Relationship Id="rId3" Type="http://schemas.openxmlformats.org/officeDocument/2006/relationships/customXml" Target="../customXml/item3.xml"/><Relationship Id="rId21" Type="http://schemas.openxmlformats.org/officeDocument/2006/relationships/hyperlink" Target="https://www.college.police.uk/app/major-investigation-and-public-protection/domestic-abuse/using-domestic-violence-protection-notices-and-domestic-violence-protection-orders-make-victims-safer" TargetMode="External"/><Relationship Id="rId34" Type="http://schemas.openxmlformats.org/officeDocument/2006/relationships/hyperlink" Target="https://www.ncbi.nlm.nih.gov/pmc/articles/PMC6668891/"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search.informit.org/doi/abs/10.3316/INFORMIT.950678530915547" TargetMode="External"/><Relationship Id="rId25" Type="http://schemas.openxmlformats.org/officeDocument/2006/relationships/hyperlink" Target="https://www.college.police.uk/guidance/problem-solving-policing" TargetMode="External"/><Relationship Id="rId33" Type="http://schemas.openxmlformats.org/officeDocument/2006/relationships/hyperlink" Target="https://www.mooneerams.com/blog/the-important-role-witnesses-play-in-personal-injury-claims/" TargetMode="External"/><Relationship Id="rId2" Type="http://schemas.openxmlformats.org/officeDocument/2006/relationships/customXml" Target="../customXml/item2.xml"/><Relationship Id="rId16" Type="http://schemas.openxmlformats.org/officeDocument/2006/relationships/hyperlink" Target="https://www.surrey.police.uk/SysSiteAssets/foi-media/surrey/policies/repeat-victim-v4-08.2022.pdf" TargetMode="External"/><Relationship Id="rId20" Type="http://schemas.openxmlformats.org/officeDocument/2006/relationships/hyperlink" Target="https://www.college.police.uk/app/prosecution-and-case-management/possible-justice-outcomes-following-investigation" TargetMode="External"/><Relationship Id="rId29" Type="http://schemas.openxmlformats.org/officeDocument/2006/relationships/hyperlink" Target="https://www.cps.gov.uk/victims-guide/victims-guide-how-we-work-police-they-build-their-ca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victims-code/victims-rights-policing" TargetMode="External"/><Relationship Id="rId32" Type="http://schemas.openxmlformats.org/officeDocument/2006/relationships/hyperlink" Target="https://www.ed.ac.uk/reflection/reflectors-toolkit/reflecting-on-experience/gibbs-reflective-cycle" TargetMode="External"/><Relationship Id="rId37"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college.police.uk/research/crime-reduction-toolkit/problem-oriented-policing" TargetMode="External"/><Relationship Id="rId28" Type="http://schemas.openxmlformats.org/officeDocument/2006/relationships/hyperlink" Target="https://www.cps.gov.uk/legal-guidance/trespass-and-nuisance-land"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lege.police.uk/app/national-decision-model/national-decision-model" TargetMode="External"/><Relationship Id="rId31" Type="http://schemas.openxmlformats.org/officeDocument/2006/relationships/hyperlink" Target="file:///C:\Users\408962\Downloads\9781315709826_previewpdf.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major-investigation-and-public-protection/domestic-abuse/victim-safety-and-support" TargetMode="External"/><Relationship Id="rId27" Type="http://schemas.openxmlformats.org/officeDocument/2006/relationships/hyperlink" Target="http://www.cps.gov.uk" TargetMode="External"/><Relationship Id="rId30" Type="http://schemas.openxmlformats.org/officeDocument/2006/relationships/hyperlink" Target="https://www.hse.gov.uk/enforce/enforcementguide/investigation/witness-admissibility.htm"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22</Pages>
  <Words>6514</Words>
  <Characters>37130</Characters>
  <Application>Microsoft Office Word</Application>
  <DocSecurity>0</DocSecurity>
  <Lines>309</Lines>
  <Paragraphs>87</Paragraphs>
  <ScaleCrop>false</ScaleCrop>
  <Company>Powys County Council</Company>
  <LinksUpToDate>false</LinksUpToDate>
  <CharactersWithSpaces>43557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 Maddison</cp:lastModifiedBy>
  <cp:revision>6</cp:revision>
  <cp:lastPrinted>2014-08-26T08:55:00Z</cp:lastPrinted>
  <dcterms:created xsi:type="dcterms:W3CDTF">2024-08-05T15:31:00Z</dcterms:created>
  <dcterms:modified xsi:type="dcterms:W3CDTF">2024-08-05T15:40:00Z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2024-03-05T20:48:43Z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5ef7ee79-9d7f-4a7e-9fc6-f7dcd2489326</vt:lpwstr>
  </property>
  <property fmtid="{D5CDD505-2E9C-101B-9397-08002B2CF9AE}" pid="9" name="MSIP_Label_f2acd28b-79a3-4a0f-b0ff-4b75658b1549_ContentBits">
    <vt:lpwstr>0</vt:lpwstr>
  </property>
</Properties>
</file>