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60CAF3" w:themeColor="accent4" w:themeTint="99"/>
  <w:body>
    <w:p w14:paraId="213A3305" w14:textId="473F0EF4" w:rsidR="00401083" w:rsidRPr="00667050" w:rsidRDefault="00CB11A7" w:rsidP="00401083">
      <w:pPr>
        <w:jc w:val="center"/>
        <w:rPr>
          <w:rFonts w:ascii="Calibri" w:hAnsi="Calibri" w:cs="Calibri"/>
          <w:b/>
          <w:bCs/>
          <w:u w:val="single"/>
        </w:rPr>
      </w:pPr>
      <w:r>
        <w:rPr>
          <w:rFonts w:ascii="Calibri" w:hAnsi="Calibri" w:cs="Calibri"/>
          <w:b/>
          <w:bCs/>
          <w:u w:val="single"/>
        </w:rPr>
        <w:t xml:space="preserve"> </w:t>
      </w:r>
      <w:r w:rsidR="00401083" w:rsidRPr="00667050">
        <w:rPr>
          <w:rFonts w:ascii="Calibri" w:hAnsi="Calibri" w:cs="Calibri"/>
          <w:b/>
          <w:bCs/>
          <w:u w:val="single"/>
        </w:rPr>
        <w:t xml:space="preserve">AI Acknowledgment </w:t>
      </w:r>
    </w:p>
    <w:p w14:paraId="50C40169" w14:textId="77777777" w:rsidR="00401083" w:rsidRPr="00667050" w:rsidRDefault="00401083" w:rsidP="00401083">
      <w:pPr>
        <w:jc w:val="center"/>
        <w:rPr>
          <w:rFonts w:ascii="Calibri" w:hAnsi="Calibri" w:cs="Calibri"/>
        </w:rPr>
      </w:pPr>
      <w:r w:rsidRPr="00667050">
        <w:rPr>
          <w:rFonts w:ascii="Calibri" w:hAnsi="Calibri" w:cs="Calibri"/>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550954B" w14:textId="15326A35" w:rsidR="00D344E3" w:rsidRPr="00667050" w:rsidRDefault="00D344E3">
      <w:pPr>
        <w:rPr>
          <w:rFonts w:ascii="Calibri" w:hAnsi="Calibri" w:cs="Calibri"/>
        </w:rPr>
      </w:pPr>
    </w:p>
    <w:p w14:paraId="4A213FFB" w14:textId="77777777" w:rsidR="00D344E3" w:rsidRPr="00667050" w:rsidRDefault="00D344E3">
      <w:pPr>
        <w:rPr>
          <w:rFonts w:ascii="Calibri" w:hAnsi="Calibri" w:cs="Calibri"/>
        </w:rPr>
      </w:pPr>
      <w:r w:rsidRPr="00667050">
        <w:rPr>
          <w:rFonts w:ascii="Calibri" w:hAnsi="Calibri" w:cs="Calibri"/>
        </w:rPr>
        <w:br w:type="page"/>
      </w:r>
    </w:p>
    <w:p w14:paraId="33AA32C2" w14:textId="67F7C2B7" w:rsidR="00707F76" w:rsidRPr="00F6561C" w:rsidRDefault="00707F76" w:rsidP="00F6561C">
      <w:pPr>
        <w:jc w:val="center"/>
        <w:rPr>
          <w:rFonts w:ascii="Calibri" w:hAnsi="Calibri" w:cs="Calibri"/>
          <w:b/>
          <w:bCs/>
        </w:rPr>
      </w:pPr>
      <w:r w:rsidRPr="00667050">
        <w:rPr>
          <w:rFonts w:ascii="Calibri" w:hAnsi="Calibri" w:cs="Calibri"/>
          <w:b/>
          <w:bCs/>
          <w:u w:val="single"/>
        </w:rPr>
        <w:lastRenderedPageBreak/>
        <w:t xml:space="preserve">Forensic Case Formulation </w:t>
      </w:r>
      <w:r w:rsidRPr="000748BD">
        <w:rPr>
          <w:rFonts w:ascii="Calibri" w:hAnsi="Calibri" w:cs="Calibri"/>
          <w:b/>
          <w:bCs/>
          <w:u w:val="single"/>
        </w:rPr>
        <w:t>– Chloe</w:t>
      </w:r>
      <w:r w:rsidR="00D00FAE">
        <w:rPr>
          <w:rFonts w:ascii="Calibri" w:hAnsi="Calibri" w:cs="Calibri"/>
        </w:rPr>
        <w:t xml:space="preserve"> </w:t>
      </w:r>
    </w:p>
    <w:p w14:paraId="3640661C" w14:textId="3971AEED" w:rsidR="00707F76" w:rsidRDefault="00707F76" w:rsidP="00707F76">
      <w:pPr>
        <w:rPr>
          <w:rFonts w:ascii="Calibri" w:hAnsi="Calibri" w:cs="Calibri"/>
          <w:b/>
          <w:bCs/>
        </w:rPr>
      </w:pPr>
      <w:r w:rsidRPr="00667050">
        <w:rPr>
          <w:rFonts w:ascii="Calibri" w:hAnsi="Calibri" w:cs="Calibri"/>
          <w:b/>
          <w:bCs/>
          <w:u w:val="single"/>
        </w:rPr>
        <w:t xml:space="preserve">Presenting Factors </w:t>
      </w:r>
      <w:r w:rsidR="00744CB7">
        <w:rPr>
          <w:rFonts w:ascii="Calibri" w:hAnsi="Calibri" w:cs="Calibri"/>
          <w:b/>
          <w:bCs/>
        </w:rPr>
        <w:t xml:space="preserve"> </w:t>
      </w:r>
    </w:p>
    <w:p w14:paraId="66BECAE0" w14:textId="54A0A1F2" w:rsidR="005F29C6" w:rsidRDefault="00016CD6" w:rsidP="000105EA">
      <w:pPr>
        <w:ind w:firstLine="720"/>
        <w:rPr>
          <w:rFonts w:ascii="Calibri" w:hAnsi="Calibri" w:cs="Calibri"/>
        </w:rPr>
      </w:pPr>
      <w:r>
        <w:rPr>
          <w:rFonts w:ascii="Calibri" w:hAnsi="Calibri" w:cs="Calibri"/>
        </w:rPr>
        <w:t xml:space="preserve">A forensic case formulation </w:t>
      </w:r>
      <w:r w:rsidR="00AA7216">
        <w:rPr>
          <w:rFonts w:ascii="Calibri" w:hAnsi="Calibri" w:cs="Calibri"/>
        </w:rPr>
        <w:t xml:space="preserve">aims to </w:t>
      </w:r>
      <w:r w:rsidR="00F94B53">
        <w:rPr>
          <w:rFonts w:ascii="Calibri" w:hAnsi="Calibri" w:cs="Calibri"/>
        </w:rPr>
        <w:t>gather information to create a concise</w:t>
      </w:r>
      <w:r w:rsidR="00DD4EAB">
        <w:rPr>
          <w:rFonts w:ascii="Calibri" w:hAnsi="Calibri" w:cs="Calibri"/>
        </w:rPr>
        <w:t xml:space="preserve"> summary of a person’s mental health and how this </w:t>
      </w:r>
      <w:r w:rsidR="00410759">
        <w:rPr>
          <w:rFonts w:ascii="Calibri" w:hAnsi="Calibri" w:cs="Calibri"/>
        </w:rPr>
        <w:t>may link</w:t>
      </w:r>
      <w:r w:rsidR="00DD4EAB">
        <w:rPr>
          <w:rFonts w:ascii="Calibri" w:hAnsi="Calibri" w:cs="Calibri"/>
        </w:rPr>
        <w:t xml:space="preserve"> to the crimes </w:t>
      </w:r>
      <w:r w:rsidR="00846907">
        <w:rPr>
          <w:rFonts w:ascii="Calibri" w:hAnsi="Calibri" w:cs="Calibri"/>
        </w:rPr>
        <w:t xml:space="preserve">the individual has </w:t>
      </w:r>
      <w:r w:rsidR="00DD4EAB">
        <w:rPr>
          <w:rFonts w:ascii="Calibri" w:hAnsi="Calibri" w:cs="Calibri"/>
        </w:rPr>
        <w:t xml:space="preserve">committed. </w:t>
      </w:r>
      <w:r w:rsidR="00FC568C">
        <w:rPr>
          <w:rFonts w:ascii="Calibri" w:hAnsi="Calibri" w:cs="Calibri"/>
        </w:rPr>
        <w:t xml:space="preserve">This process </w:t>
      </w:r>
      <w:r>
        <w:rPr>
          <w:rFonts w:ascii="Calibri" w:hAnsi="Calibri" w:cs="Calibri"/>
        </w:rPr>
        <w:t xml:space="preserve">is used to identify risk factors and protective factors to </w:t>
      </w:r>
      <w:r w:rsidR="00FA22BB">
        <w:rPr>
          <w:rFonts w:ascii="Calibri" w:hAnsi="Calibri" w:cs="Calibri"/>
        </w:rPr>
        <w:t xml:space="preserve">determine </w:t>
      </w:r>
      <w:r w:rsidR="00B2478A">
        <w:rPr>
          <w:rFonts w:ascii="Calibri" w:hAnsi="Calibri" w:cs="Calibri"/>
        </w:rPr>
        <w:t>the best</w:t>
      </w:r>
      <w:r w:rsidR="00222431">
        <w:rPr>
          <w:rFonts w:ascii="Calibri" w:hAnsi="Calibri" w:cs="Calibri"/>
        </w:rPr>
        <w:t xml:space="preserve"> rehabilitation</w:t>
      </w:r>
      <w:r w:rsidR="00B2478A">
        <w:rPr>
          <w:rFonts w:ascii="Calibri" w:hAnsi="Calibri" w:cs="Calibri"/>
        </w:rPr>
        <w:t xml:space="preserve"> and </w:t>
      </w:r>
      <w:r w:rsidR="00222431">
        <w:rPr>
          <w:rFonts w:ascii="Calibri" w:hAnsi="Calibri" w:cs="Calibri"/>
        </w:rPr>
        <w:t>intervention plan for an individual</w:t>
      </w:r>
      <w:r w:rsidR="00B2478A">
        <w:rPr>
          <w:rFonts w:ascii="Calibri" w:hAnsi="Calibri" w:cs="Calibri"/>
        </w:rPr>
        <w:t xml:space="preserve"> to have the </w:t>
      </w:r>
      <w:r w:rsidR="00FA22BB">
        <w:rPr>
          <w:rFonts w:ascii="Calibri" w:hAnsi="Calibri" w:cs="Calibri"/>
        </w:rPr>
        <w:t>most successful</w:t>
      </w:r>
      <w:r w:rsidR="00B2478A">
        <w:rPr>
          <w:rFonts w:ascii="Calibri" w:hAnsi="Calibri" w:cs="Calibri"/>
        </w:rPr>
        <w:t xml:space="preserve"> outcome</w:t>
      </w:r>
      <w:r w:rsidR="00662C10">
        <w:rPr>
          <w:rFonts w:ascii="Calibri" w:hAnsi="Calibri" w:cs="Calibri"/>
        </w:rPr>
        <w:t xml:space="preserve"> (Hart et al., 2011)</w:t>
      </w:r>
      <w:r w:rsidR="0058574E">
        <w:rPr>
          <w:rFonts w:ascii="Calibri" w:hAnsi="Calibri" w:cs="Calibri"/>
        </w:rPr>
        <w:t xml:space="preserve">. </w:t>
      </w:r>
      <w:r w:rsidR="003C10DD">
        <w:rPr>
          <w:rFonts w:ascii="Calibri" w:hAnsi="Calibri" w:cs="Calibri"/>
        </w:rPr>
        <w:t xml:space="preserve">This case formulation will be completed using </w:t>
      </w:r>
      <w:r w:rsidR="000E4B71">
        <w:rPr>
          <w:rFonts w:ascii="Calibri" w:hAnsi="Calibri" w:cs="Calibri"/>
        </w:rPr>
        <w:t>a structured framework called the</w:t>
      </w:r>
      <w:r w:rsidR="003C10DD">
        <w:rPr>
          <w:rFonts w:ascii="Calibri" w:hAnsi="Calibri" w:cs="Calibri"/>
        </w:rPr>
        <w:t xml:space="preserve"> </w:t>
      </w:r>
      <w:r w:rsidR="000E4B71">
        <w:rPr>
          <w:rFonts w:ascii="Calibri" w:hAnsi="Calibri" w:cs="Calibri"/>
        </w:rPr>
        <w:t>5</w:t>
      </w:r>
      <w:r w:rsidR="003C10DD">
        <w:rPr>
          <w:rFonts w:ascii="Calibri" w:hAnsi="Calibri" w:cs="Calibri"/>
        </w:rPr>
        <w:t xml:space="preserve"> P’s </w:t>
      </w:r>
      <w:r w:rsidR="00607265">
        <w:rPr>
          <w:rFonts w:ascii="Calibri" w:hAnsi="Calibri" w:cs="Calibri"/>
        </w:rPr>
        <w:t xml:space="preserve">model which includes </w:t>
      </w:r>
      <w:r w:rsidR="00D2547B">
        <w:rPr>
          <w:rFonts w:ascii="Calibri" w:hAnsi="Calibri" w:cs="Calibri"/>
        </w:rPr>
        <w:t xml:space="preserve">factors that </w:t>
      </w:r>
      <w:r w:rsidR="001005A1">
        <w:rPr>
          <w:rFonts w:ascii="Calibri" w:hAnsi="Calibri" w:cs="Calibri"/>
        </w:rPr>
        <w:t>are:</w:t>
      </w:r>
      <w:r w:rsidR="00D2547B">
        <w:rPr>
          <w:rFonts w:ascii="Calibri" w:hAnsi="Calibri" w:cs="Calibri"/>
        </w:rPr>
        <w:t xml:space="preserve"> presenting, predisposing, precipitating, </w:t>
      </w:r>
      <w:r w:rsidR="00822AE4">
        <w:rPr>
          <w:rFonts w:ascii="Calibri" w:hAnsi="Calibri" w:cs="Calibri"/>
        </w:rPr>
        <w:t>and protective, concluding with an intervention plan</w:t>
      </w:r>
      <w:r w:rsidR="008A4A07">
        <w:rPr>
          <w:rFonts w:ascii="Calibri" w:hAnsi="Calibri" w:cs="Calibri"/>
        </w:rPr>
        <w:t xml:space="preserve"> (Johnstone &amp; Dallos, 2014). </w:t>
      </w:r>
    </w:p>
    <w:p w14:paraId="5FC3477B" w14:textId="6F3E44B5" w:rsidR="00A05536" w:rsidRPr="00667050" w:rsidRDefault="0058574E" w:rsidP="00B92D00">
      <w:pPr>
        <w:ind w:firstLine="720"/>
        <w:rPr>
          <w:rFonts w:ascii="Calibri" w:hAnsi="Calibri" w:cs="Calibri"/>
        </w:rPr>
      </w:pPr>
      <w:r>
        <w:rPr>
          <w:rFonts w:ascii="Calibri" w:hAnsi="Calibri" w:cs="Calibri"/>
        </w:rPr>
        <w:t>This forensic case formulation is for a young female offender called Chloe who is 17 years old</w:t>
      </w:r>
      <w:r w:rsidR="005F29C6">
        <w:rPr>
          <w:rFonts w:ascii="Calibri" w:hAnsi="Calibri" w:cs="Calibri"/>
        </w:rPr>
        <w:t xml:space="preserve">. Chloe </w:t>
      </w:r>
      <w:r w:rsidR="00411308">
        <w:rPr>
          <w:rFonts w:ascii="Calibri" w:hAnsi="Calibri" w:cs="Calibri"/>
        </w:rPr>
        <w:t xml:space="preserve">was arrested </w:t>
      </w:r>
      <w:r w:rsidR="001C6994">
        <w:rPr>
          <w:rFonts w:ascii="Calibri" w:hAnsi="Calibri" w:cs="Calibri"/>
        </w:rPr>
        <w:t>after an</w:t>
      </w:r>
      <w:r w:rsidR="00DF08C9">
        <w:rPr>
          <w:rFonts w:ascii="Calibri" w:hAnsi="Calibri" w:cs="Calibri"/>
        </w:rPr>
        <w:t xml:space="preserve"> incident outside a nightclub</w:t>
      </w:r>
      <w:r w:rsidR="008D2D31">
        <w:rPr>
          <w:rFonts w:ascii="Calibri" w:hAnsi="Calibri" w:cs="Calibri"/>
        </w:rPr>
        <w:t>, involving</w:t>
      </w:r>
      <w:r w:rsidR="00AA2925">
        <w:rPr>
          <w:rFonts w:ascii="Calibri" w:hAnsi="Calibri" w:cs="Calibri"/>
        </w:rPr>
        <w:t xml:space="preserve"> her striking another female with a glass bottle following a verbal altercation</w:t>
      </w:r>
      <w:r w:rsidR="00B33506">
        <w:rPr>
          <w:rFonts w:ascii="Calibri" w:hAnsi="Calibri" w:cs="Calibri"/>
        </w:rPr>
        <w:t xml:space="preserve">. </w:t>
      </w:r>
      <w:r w:rsidR="00276997">
        <w:rPr>
          <w:rFonts w:ascii="Calibri" w:hAnsi="Calibri" w:cs="Calibri"/>
        </w:rPr>
        <w:t xml:space="preserve">Chloe was convicted of aggravated assault and criminal damage </w:t>
      </w:r>
      <w:r w:rsidR="00836A4C">
        <w:rPr>
          <w:rFonts w:ascii="Calibri" w:hAnsi="Calibri" w:cs="Calibri"/>
        </w:rPr>
        <w:t xml:space="preserve">of a property, </w:t>
      </w:r>
      <w:r w:rsidR="00276997">
        <w:rPr>
          <w:rFonts w:ascii="Calibri" w:hAnsi="Calibri" w:cs="Calibri"/>
        </w:rPr>
        <w:t xml:space="preserve">which also occurred during the incident. </w:t>
      </w:r>
      <w:r w:rsidR="00F40CC4">
        <w:rPr>
          <w:rFonts w:ascii="Calibri" w:hAnsi="Calibri" w:cs="Calibri"/>
        </w:rPr>
        <w:t>Chloe has shown aggression</w:t>
      </w:r>
      <w:r w:rsidR="00136ED8">
        <w:rPr>
          <w:rFonts w:ascii="Calibri" w:hAnsi="Calibri" w:cs="Calibri"/>
        </w:rPr>
        <w:t>, impulsivity, substance misuse</w:t>
      </w:r>
      <w:r w:rsidR="00F40CC4">
        <w:rPr>
          <w:rFonts w:ascii="Calibri" w:hAnsi="Calibri" w:cs="Calibri"/>
        </w:rPr>
        <w:t xml:space="preserve"> and physical violence</w:t>
      </w:r>
      <w:r w:rsidR="00136ED8">
        <w:rPr>
          <w:rFonts w:ascii="Calibri" w:hAnsi="Calibri" w:cs="Calibri"/>
        </w:rPr>
        <w:t xml:space="preserve"> in her altercation. </w:t>
      </w:r>
    </w:p>
    <w:p w14:paraId="5F4669CC" w14:textId="5C087B35" w:rsidR="00BC65C5" w:rsidRDefault="00707F76" w:rsidP="70E031C9">
      <w:pPr>
        <w:rPr>
          <w:rFonts w:ascii="Calibri" w:hAnsi="Calibri" w:cs="Calibri"/>
        </w:rPr>
      </w:pPr>
      <w:r w:rsidRPr="00667050">
        <w:rPr>
          <w:rFonts w:ascii="Calibri" w:hAnsi="Calibri" w:cs="Calibri"/>
          <w:b/>
          <w:bCs/>
          <w:u w:val="single"/>
        </w:rPr>
        <w:t xml:space="preserve">Predisposing Factors </w:t>
      </w:r>
    </w:p>
    <w:p w14:paraId="4EA072DF" w14:textId="78F3450F" w:rsidR="000F5FC6" w:rsidRDefault="00C368EB" w:rsidP="00915A42">
      <w:pPr>
        <w:ind w:firstLine="720"/>
        <w:rPr>
          <w:rFonts w:ascii="Calibri" w:hAnsi="Calibri" w:cs="Calibri"/>
        </w:rPr>
      </w:pPr>
      <w:r>
        <w:rPr>
          <w:rFonts w:ascii="Calibri" w:hAnsi="Calibri" w:cs="Calibri"/>
        </w:rPr>
        <w:t>Chloe’s parents separated when she</w:t>
      </w:r>
      <w:r w:rsidR="00070D64">
        <w:rPr>
          <w:rFonts w:ascii="Calibri" w:hAnsi="Calibri" w:cs="Calibri"/>
        </w:rPr>
        <w:t xml:space="preserve"> 10 years old</w:t>
      </w:r>
      <w:r w:rsidR="000F5FC6">
        <w:rPr>
          <w:rFonts w:ascii="Calibri" w:hAnsi="Calibri" w:cs="Calibri"/>
        </w:rPr>
        <w:t xml:space="preserve"> after a long period of domestic conflict. </w:t>
      </w:r>
      <w:r w:rsidR="00425B41">
        <w:rPr>
          <w:rFonts w:ascii="Calibri" w:hAnsi="Calibri" w:cs="Calibri"/>
        </w:rPr>
        <w:t>Chloe likely witnessed this domestic conflict first hand for a long time</w:t>
      </w:r>
      <w:r w:rsidR="009E1874">
        <w:rPr>
          <w:rFonts w:ascii="Calibri" w:hAnsi="Calibri" w:cs="Calibri"/>
        </w:rPr>
        <w:t xml:space="preserve">, therefore it is likely this has had a psychological effect on her mental health and wellbeing. </w:t>
      </w:r>
      <w:r w:rsidR="00400506">
        <w:rPr>
          <w:rFonts w:ascii="Calibri" w:hAnsi="Calibri" w:cs="Calibri"/>
        </w:rPr>
        <w:t xml:space="preserve">Research has shown that domestic abuse exposure leads to emotional trauma, </w:t>
      </w:r>
      <w:r w:rsidR="002D693C">
        <w:rPr>
          <w:rFonts w:ascii="Calibri" w:hAnsi="Calibri" w:cs="Calibri"/>
        </w:rPr>
        <w:t xml:space="preserve">aggressive and antisocial behaviour </w:t>
      </w:r>
      <w:r w:rsidR="009D4BE3">
        <w:rPr>
          <w:rFonts w:ascii="Calibri" w:hAnsi="Calibri" w:cs="Calibri"/>
        </w:rPr>
        <w:t>resulting in an increased risk of delinquency</w:t>
      </w:r>
      <w:r w:rsidR="006F13A2">
        <w:rPr>
          <w:rFonts w:ascii="Calibri" w:hAnsi="Calibri" w:cs="Calibri"/>
        </w:rPr>
        <w:t xml:space="preserve"> (UK Trauma Council, 2022)</w:t>
      </w:r>
      <w:r w:rsidR="009D4BE3">
        <w:rPr>
          <w:rFonts w:ascii="Calibri" w:hAnsi="Calibri" w:cs="Calibri"/>
        </w:rPr>
        <w:t xml:space="preserve">. </w:t>
      </w:r>
      <w:r w:rsidR="00DF76B0">
        <w:rPr>
          <w:rFonts w:ascii="Calibri" w:hAnsi="Calibri" w:cs="Calibri"/>
        </w:rPr>
        <w:t xml:space="preserve">Martinez </w:t>
      </w:r>
      <w:r w:rsidR="00DF76B0">
        <w:rPr>
          <w:rFonts w:ascii="Calibri" w:hAnsi="Calibri" w:cs="Calibri"/>
        </w:rPr>
        <w:lastRenderedPageBreak/>
        <w:t xml:space="preserve">et al. (2025) further supports this </w:t>
      </w:r>
      <w:r w:rsidR="007B58D5">
        <w:rPr>
          <w:rFonts w:ascii="Calibri" w:hAnsi="Calibri" w:cs="Calibri"/>
        </w:rPr>
        <w:t xml:space="preserve">by highlighting that domestic conflict exposure disrupts neuropsychological development which increases the risk of aggression and criminality. Chloe has shown signs of aggression and emotional dysregulation. </w:t>
      </w:r>
      <w:r w:rsidR="00D310EA">
        <w:rPr>
          <w:rFonts w:ascii="Calibri" w:hAnsi="Calibri" w:cs="Calibri"/>
        </w:rPr>
        <w:t>It is possible that the aggressive and violent behaviour Chloe has shown i</w:t>
      </w:r>
      <w:r w:rsidR="00A77A1E">
        <w:rPr>
          <w:rFonts w:ascii="Calibri" w:hAnsi="Calibri" w:cs="Calibri"/>
        </w:rPr>
        <w:t>s</w:t>
      </w:r>
      <w:r w:rsidR="00D310EA">
        <w:rPr>
          <w:rFonts w:ascii="Calibri" w:hAnsi="Calibri" w:cs="Calibri"/>
        </w:rPr>
        <w:t xml:space="preserve"> something she has witnessed and learned from her </w:t>
      </w:r>
      <w:r w:rsidR="00CE7DC7">
        <w:rPr>
          <w:rFonts w:ascii="Calibri" w:hAnsi="Calibri" w:cs="Calibri"/>
        </w:rPr>
        <w:t>parents during their domestic conflict</w:t>
      </w:r>
      <w:r w:rsidR="000325DA">
        <w:rPr>
          <w:rFonts w:ascii="Calibri" w:hAnsi="Calibri" w:cs="Calibri"/>
        </w:rPr>
        <w:t xml:space="preserve">s. </w:t>
      </w:r>
      <w:r w:rsidR="001F552F">
        <w:rPr>
          <w:rFonts w:ascii="Calibri" w:hAnsi="Calibri" w:cs="Calibri"/>
        </w:rPr>
        <w:t xml:space="preserve">Bandura et al. (1961) </w:t>
      </w:r>
      <w:r w:rsidR="005B064D">
        <w:rPr>
          <w:rFonts w:ascii="Calibri" w:hAnsi="Calibri" w:cs="Calibri"/>
        </w:rPr>
        <w:t>conducted an experiment that showed children who observe</w:t>
      </w:r>
      <w:r w:rsidR="00A44E23">
        <w:rPr>
          <w:rFonts w:ascii="Calibri" w:hAnsi="Calibri" w:cs="Calibri"/>
        </w:rPr>
        <w:t xml:space="preserve">d adults being aggressive where significantly more likely to imitate the aggressive behaviour. </w:t>
      </w:r>
      <w:r w:rsidR="008948B7">
        <w:rPr>
          <w:rFonts w:ascii="Calibri" w:hAnsi="Calibri" w:cs="Calibri"/>
        </w:rPr>
        <w:t>Suggesting that aggression is learned through observation and imitation</w:t>
      </w:r>
      <w:r w:rsidR="009C6142">
        <w:rPr>
          <w:rFonts w:ascii="Calibri" w:hAnsi="Calibri" w:cs="Calibri"/>
        </w:rPr>
        <w:t xml:space="preserve">. Providing </w:t>
      </w:r>
      <w:r w:rsidR="00C533B3">
        <w:rPr>
          <w:rFonts w:ascii="Calibri" w:hAnsi="Calibri" w:cs="Calibri"/>
        </w:rPr>
        <w:t xml:space="preserve">a theoretical explanation for how adolescents exposed to parental domestic conflict may model aggression in their own relationships. </w:t>
      </w:r>
      <w:r w:rsidR="001B5FA5">
        <w:rPr>
          <w:rFonts w:ascii="Calibri" w:hAnsi="Calibri" w:cs="Calibri"/>
        </w:rPr>
        <w:t>Bandura went on to further apply his theory to the real-world in 19</w:t>
      </w:r>
      <w:r w:rsidR="0002747D">
        <w:rPr>
          <w:rFonts w:ascii="Calibri" w:hAnsi="Calibri" w:cs="Calibri"/>
        </w:rPr>
        <w:t xml:space="preserve">76 focusing on how delinquent and aggressive behaviours are gained through observational learning and maintained through reinforcement. </w:t>
      </w:r>
      <w:r w:rsidR="00284B9D">
        <w:rPr>
          <w:rFonts w:ascii="Calibri" w:hAnsi="Calibri" w:cs="Calibri"/>
        </w:rPr>
        <w:t xml:space="preserve">Further highlighting that aggression in adolescents often comes from observing parental conflict or domestic violence. </w:t>
      </w:r>
      <w:r w:rsidR="001557AB">
        <w:rPr>
          <w:rFonts w:ascii="Calibri" w:hAnsi="Calibri" w:cs="Calibri"/>
        </w:rPr>
        <w:t xml:space="preserve">Also noting that a lack of empathy and poor impulse control are linked to learned aggression patterns. </w:t>
      </w:r>
    </w:p>
    <w:p w14:paraId="57B8A606" w14:textId="217CCFBE" w:rsidR="00A27A75" w:rsidRDefault="000F5FC6" w:rsidP="00F66989">
      <w:pPr>
        <w:ind w:firstLine="720"/>
        <w:rPr>
          <w:rFonts w:ascii="Calibri" w:hAnsi="Calibri" w:cs="Calibri"/>
        </w:rPr>
      </w:pPr>
      <w:r>
        <w:rPr>
          <w:rFonts w:ascii="Calibri" w:hAnsi="Calibri" w:cs="Calibri"/>
        </w:rPr>
        <w:t xml:space="preserve">As a result of her </w:t>
      </w:r>
      <w:r w:rsidR="00120723">
        <w:rPr>
          <w:rFonts w:ascii="Calibri" w:hAnsi="Calibri" w:cs="Calibri"/>
        </w:rPr>
        <w:t>parent’s</w:t>
      </w:r>
      <w:r>
        <w:rPr>
          <w:rFonts w:ascii="Calibri" w:hAnsi="Calibri" w:cs="Calibri"/>
        </w:rPr>
        <w:t xml:space="preserve"> separation Chloe </w:t>
      </w:r>
      <w:r w:rsidR="00FD361E">
        <w:rPr>
          <w:rFonts w:ascii="Calibri" w:hAnsi="Calibri" w:cs="Calibri"/>
        </w:rPr>
        <w:t>has limited contact with her father</w:t>
      </w:r>
      <w:r>
        <w:rPr>
          <w:rFonts w:ascii="Calibri" w:hAnsi="Calibri" w:cs="Calibri"/>
        </w:rPr>
        <w:t xml:space="preserve">. </w:t>
      </w:r>
      <w:r w:rsidR="00C955A5">
        <w:rPr>
          <w:rFonts w:ascii="Calibri" w:hAnsi="Calibri" w:cs="Calibri"/>
        </w:rPr>
        <w:t>Research has shown that paternal deprivation</w:t>
      </w:r>
      <w:r w:rsidR="00425C38">
        <w:rPr>
          <w:rFonts w:ascii="Calibri" w:hAnsi="Calibri" w:cs="Calibri"/>
        </w:rPr>
        <w:t>/pa</w:t>
      </w:r>
      <w:r w:rsidR="00120723">
        <w:rPr>
          <w:rFonts w:ascii="Calibri" w:hAnsi="Calibri" w:cs="Calibri"/>
        </w:rPr>
        <w:t>ternal</w:t>
      </w:r>
      <w:r w:rsidR="00425C38">
        <w:rPr>
          <w:rFonts w:ascii="Calibri" w:hAnsi="Calibri" w:cs="Calibri"/>
        </w:rPr>
        <w:t xml:space="preserve"> absence during adolescence increased </w:t>
      </w:r>
      <w:r w:rsidR="00120723">
        <w:rPr>
          <w:rFonts w:ascii="Calibri" w:hAnsi="Calibri" w:cs="Calibri"/>
        </w:rPr>
        <w:t xml:space="preserve">individuals </w:t>
      </w:r>
      <w:r w:rsidR="00425C38">
        <w:rPr>
          <w:rFonts w:ascii="Calibri" w:hAnsi="Calibri" w:cs="Calibri"/>
        </w:rPr>
        <w:t xml:space="preserve">recidivism risk. </w:t>
      </w:r>
      <w:r w:rsidR="00ED2BDF">
        <w:rPr>
          <w:rFonts w:ascii="Calibri" w:hAnsi="Calibri" w:cs="Calibri"/>
        </w:rPr>
        <w:t xml:space="preserve">It is </w:t>
      </w:r>
      <w:r w:rsidR="00A63D78">
        <w:rPr>
          <w:rFonts w:ascii="Calibri" w:hAnsi="Calibri" w:cs="Calibri"/>
        </w:rPr>
        <w:t xml:space="preserve">suggested </w:t>
      </w:r>
      <w:r w:rsidR="00ED2BDF">
        <w:rPr>
          <w:rFonts w:ascii="Calibri" w:hAnsi="Calibri" w:cs="Calibri"/>
        </w:rPr>
        <w:t>this is due to the lack of paternal guidance and supervision, increased vulnerability to delinquent peer groups</w:t>
      </w:r>
      <w:r w:rsidR="00A63D78">
        <w:rPr>
          <w:rFonts w:ascii="Calibri" w:hAnsi="Calibri" w:cs="Calibri"/>
        </w:rPr>
        <w:t xml:space="preserve">, </w:t>
      </w:r>
      <w:r w:rsidR="00ED2BDF">
        <w:rPr>
          <w:rFonts w:ascii="Calibri" w:hAnsi="Calibri" w:cs="Calibri"/>
        </w:rPr>
        <w:t>emotional instability</w:t>
      </w:r>
      <w:r w:rsidR="00A63D78">
        <w:rPr>
          <w:rFonts w:ascii="Calibri" w:hAnsi="Calibri" w:cs="Calibri"/>
        </w:rPr>
        <w:t xml:space="preserve"> and difficulty forming secure attachments. </w:t>
      </w:r>
      <w:r w:rsidR="00130C2B">
        <w:rPr>
          <w:rFonts w:ascii="Calibri" w:hAnsi="Calibri" w:cs="Calibri"/>
        </w:rPr>
        <w:t>Highlighting that disrupted family structure</w:t>
      </w:r>
      <w:r w:rsidR="00D86309">
        <w:rPr>
          <w:rFonts w:ascii="Calibri" w:hAnsi="Calibri" w:cs="Calibri"/>
        </w:rPr>
        <w:t>s</w:t>
      </w:r>
      <w:r w:rsidR="00130C2B">
        <w:rPr>
          <w:rFonts w:ascii="Calibri" w:hAnsi="Calibri" w:cs="Calibri"/>
        </w:rPr>
        <w:t xml:space="preserve"> </w:t>
      </w:r>
      <w:r w:rsidR="00915A42">
        <w:rPr>
          <w:rFonts w:ascii="Calibri" w:hAnsi="Calibri" w:cs="Calibri"/>
        </w:rPr>
        <w:t>increase</w:t>
      </w:r>
      <w:r w:rsidR="00130C2B">
        <w:rPr>
          <w:rFonts w:ascii="Calibri" w:hAnsi="Calibri" w:cs="Calibri"/>
        </w:rPr>
        <w:t xml:space="preserve"> the chance of persistent reoffending (Virkkunen, 1976). </w:t>
      </w:r>
      <w:r w:rsidR="007A24FC">
        <w:rPr>
          <w:rFonts w:ascii="Calibri" w:hAnsi="Calibri" w:cs="Calibri"/>
        </w:rPr>
        <w:t xml:space="preserve">Chloe’s father has a history of alcohol misuse. </w:t>
      </w:r>
      <w:r w:rsidR="00C0153C">
        <w:rPr>
          <w:rFonts w:ascii="Calibri" w:hAnsi="Calibri" w:cs="Calibri"/>
        </w:rPr>
        <w:t xml:space="preserve">Zhang et al. (2025) have </w:t>
      </w:r>
      <w:r w:rsidR="00CB3E55">
        <w:rPr>
          <w:rFonts w:ascii="Calibri" w:hAnsi="Calibri" w:cs="Calibri"/>
        </w:rPr>
        <w:t>reported that paternal alcoholism predicted delinquent behaviours in youth</w:t>
      </w:r>
      <w:r w:rsidR="00FB6E8A">
        <w:rPr>
          <w:rFonts w:ascii="Calibri" w:hAnsi="Calibri" w:cs="Calibri"/>
        </w:rPr>
        <w:t xml:space="preserve">. While McCord and Ensminger (2010) </w:t>
      </w:r>
      <w:r w:rsidR="00FD1215">
        <w:rPr>
          <w:rFonts w:ascii="Calibri" w:hAnsi="Calibri" w:cs="Calibri"/>
        </w:rPr>
        <w:t>further supported this in a forensic sample finding 25% of juvenile delinquents had alcoholic fathers</w:t>
      </w:r>
      <w:r w:rsidR="00CF01F9">
        <w:rPr>
          <w:rFonts w:ascii="Calibri" w:hAnsi="Calibri" w:cs="Calibri"/>
        </w:rPr>
        <w:t xml:space="preserve"> which often linked to persistent offending. Chassin et al. (2007) has shown that paternal </w:t>
      </w:r>
      <w:r w:rsidR="00CF01F9">
        <w:rPr>
          <w:rFonts w:ascii="Calibri" w:hAnsi="Calibri" w:cs="Calibri"/>
        </w:rPr>
        <w:lastRenderedPageBreak/>
        <w:t>alcoholism indirectly increased youth substance abuse and delinquency</w:t>
      </w:r>
      <w:r w:rsidR="004E7675">
        <w:rPr>
          <w:rFonts w:ascii="Calibri" w:hAnsi="Calibri" w:cs="Calibri"/>
        </w:rPr>
        <w:t>, both of which Chloe has shown both by abusing the use of alcohol herself and getting into delinquent behaviour such as fights. Velleman et al. (2018) further supports this</w:t>
      </w:r>
      <w:r w:rsidR="00362BB0">
        <w:rPr>
          <w:rFonts w:ascii="Calibri" w:hAnsi="Calibri" w:cs="Calibri"/>
        </w:rPr>
        <w:t xml:space="preserve"> with evidence that children of alcohol-misusing fathers are at a higher risk of behavioural issues, delinquency and criminality. </w:t>
      </w:r>
      <w:r w:rsidR="005B3BAF">
        <w:rPr>
          <w:rFonts w:ascii="Calibri" w:hAnsi="Calibri" w:cs="Calibri"/>
        </w:rPr>
        <w:t xml:space="preserve">Agnew (1992) </w:t>
      </w:r>
      <w:r w:rsidR="005D78F4">
        <w:rPr>
          <w:rFonts w:ascii="Calibri" w:hAnsi="Calibri" w:cs="Calibri"/>
        </w:rPr>
        <w:t xml:space="preserve">suggested the general strain theory which theorises that </w:t>
      </w:r>
      <w:r w:rsidR="00083611">
        <w:rPr>
          <w:rFonts w:ascii="Calibri" w:hAnsi="Calibri" w:cs="Calibri"/>
        </w:rPr>
        <w:t xml:space="preserve">an element of strain on a </w:t>
      </w:r>
      <w:r w:rsidR="004D528B">
        <w:rPr>
          <w:rFonts w:ascii="Calibri" w:hAnsi="Calibri" w:cs="Calibri"/>
        </w:rPr>
        <w:t>person’s</w:t>
      </w:r>
      <w:r w:rsidR="00083611">
        <w:rPr>
          <w:rFonts w:ascii="Calibri" w:hAnsi="Calibri" w:cs="Calibri"/>
        </w:rPr>
        <w:t xml:space="preserve"> life causes negative emotions, these emotions then cre</w:t>
      </w:r>
      <w:r w:rsidR="00BF75C6">
        <w:rPr>
          <w:rFonts w:ascii="Calibri" w:hAnsi="Calibri" w:cs="Calibri"/>
        </w:rPr>
        <w:t xml:space="preserve">ate pressure for corrective action, which can lead to crime or delinquency as a possible coping strategy. For Chloe she has suffered the strain of her parents long domestic conflict and </w:t>
      </w:r>
      <w:r w:rsidR="008B760B">
        <w:rPr>
          <w:rFonts w:ascii="Calibri" w:hAnsi="Calibri" w:cs="Calibri"/>
        </w:rPr>
        <w:t xml:space="preserve">separation, which has both removed positive stimuli (parental separation) and </w:t>
      </w:r>
      <w:r w:rsidR="00346CE9">
        <w:rPr>
          <w:rFonts w:ascii="Calibri" w:hAnsi="Calibri" w:cs="Calibri"/>
        </w:rPr>
        <w:t xml:space="preserve">present negative stimuli (domestic conflict). </w:t>
      </w:r>
      <w:r w:rsidR="003C3654">
        <w:rPr>
          <w:rFonts w:ascii="Calibri" w:hAnsi="Calibri" w:cs="Calibri"/>
        </w:rPr>
        <w:t>Chloe is an a</w:t>
      </w:r>
      <w:r w:rsidR="00C63A01">
        <w:rPr>
          <w:rFonts w:ascii="Calibri" w:hAnsi="Calibri" w:cs="Calibri"/>
        </w:rPr>
        <w:t>dolescent</w:t>
      </w:r>
      <w:r w:rsidR="003C3654">
        <w:rPr>
          <w:rFonts w:ascii="Calibri" w:hAnsi="Calibri" w:cs="Calibri"/>
        </w:rPr>
        <w:t xml:space="preserve">, which </w:t>
      </w:r>
      <w:r w:rsidR="00C63A01">
        <w:rPr>
          <w:rFonts w:ascii="Calibri" w:hAnsi="Calibri" w:cs="Calibri"/>
        </w:rPr>
        <w:t>are considered especially vulnerable due them having fewer coping resources</w:t>
      </w:r>
      <w:r w:rsidR="003C3654">
        <w:rPr>
          <w:rFonts w:ascii="Calibri" w:hAnsi="Calibri" w:cs="Calibri"/>
        </w:rPr>
        <w:t xml:space="preserve">. Additionally, </w:t>
      </w:r>
      <w:r w:rsidR="00C63A01">
        <w:rPr>
          <w:rFonts w:ascii="Calibri" w:hAnsi="Calibri" w:cs="Calibri"/>
        </w:rPr>
        <w:t xml:space="preserve">exposure to family conflict or violence has been highlighted </w:t>
      </w:r>
      <w:r w:rsidR="003C3654">
        <w:rPr>
          <w:rFonts w:ascii="Calibri" w:hAnsi="Calibri" w:cs="Calibri"/>
        </w:rPr>
        <w:t xml:space="preserve">as key element of strain leading to aggression. </w:t>
      </w:r>
    </w:p>
    <w:p w14:paraId="07BAA0B0" w14:textId="3DDA9128" w:rsidR="009C5858" w:rsidRDefault="00CD7956" w:rsidP="00915A42">
      <w:pPr>
        <w:ind w:firstLine="720"/>
        <w:rPr>
          <w:rFonts w:ascii="Calibri" w:hAnsi="Calibri" w:cs="Calibri"/>
        </w:rPr>
      </w:pPr>
      <w:r>
        <w:rPr>
          <w:rFonts w:ascii="Calibri" w:hAnsi="Calibri" w:cs="Calibri"/>
        </w:rPr>
        <w:t xml:space="preserve">Chloe’s father </w:t>
      </w:r>
      <w:r w:rsidR="00A27A75">
        <w:rPr>
          <w:rFonts w:ascii="Calibri" w:hAnsi="Calibri" w:cs="Calibri"/>
        </w:rPr>
        <w:t xml:space="preserve">is going through intermittent employment, likely causing the family to have an unstable income especially as Chloe’s mother </w:t>
      </w:r>
      <w:r w:rsidR="00FE59C6">
        <w:rPr>
          <w:rFonts w:ascii="Calibri" w:hAnsi="Calibri" w:cs="Calibri"/>
        </w:rPr>
        <w:t xml:space="preserve">also only works part-time. Meaning they are receiving limited financial income. </w:t>
      </w:r>
      <w:r w:rsidR="00817CA0">
        <w:rPr>
          <w:rFonts w:ascii="Calibri" w:hAnsi="Calibri" w:cs="Calibri"/>
        </w:rPr>
        <w:t xml:space="preserve">A review by </w:t>
      </w:r>
      <w:r w:rsidR="007F687D">
        <w:rPr>
          <w:rFonts w:ascii="Calibri" w:hAnsi="Calibri" w:cs="Calibri"/>
        </w:rPr>
        <w:t xml:space="preserve">Cooper and Stewart (2021) included 61 studies with findings </w:t>
      </w:r>
      <w:r w:rsidR="009D109D">
        <w:rPr>
          <w:rFonts w:ascii="Calibri" w:hAnsi="Calibri" w:cs="Calibri"/>
        </w:rPr>
        <w:t xml:space="preserve">showing that low and unstable income predicts poorer child outcomes this included behavioural issues and delinquency. </w:t>
      </w:r>
      <w:proofErr w:type="spellStart"/>
      <w:r w:rsidR="00962BD8">
        <w:rPr>
          <w:rFonts w:ascii="Calibri" w:hAnsi="Calibri" w:cs="Calibri"/>
        </w:rPr>
        <w:t>Sariaslan</w:t>
      </w:r>
      <w:proofErr w:type="spellEnd"/>
      <w:r w:rsidR="00962BD8">
        <w:rPr>
          <w:rFonts w:ascii="Calibri" w:hAnsi="Calibri" w:cs="Calibri"/>
        </w:rPr>
        <w:t xml:space="preserve"> at al. (2018) conducted a study that showed low family income was linked to violent crime and substance misuse in adolescence. </w:t>
      </w:r>
    </w:p>
    <w:p w14:paraId="4D25ABCB" w14:textId="495B5AE7" w:rsidR="00212FE5" w:rsidRDefault="009C5858" w:rsidP="002467B4">
      <w:pPr>
        <w:ind w:firstLine="720"/>
        <w:rPr>
          <w:rFonts w:ascii="Calibri" w:hAnsi="Calibri" w:cs="Calibri"/>
        </w:rPr>
      </w:pPr>
      <w:r>
        <w:rPr>
          <w:rFonts w:ascii="Calibri" w:hAnsi="Calibri" w:cs="Calibri"/>
        </w:rPr>
        <w:t xml:space="preserve">Chloe’s mother has reported feelings of low mood and suffers from financial stress. Likely due to her running a one parent household with only a part-time income and have three kids at home. Her mother has also experienced a long period of domestic conflict with Chloe’s father which resulted in a separation when Chloe was 10. Research has </w:t>
      </w:r>
      <w:r w:rsidR="004D4A55">
        <w:rPr>
          <w:rFonts w:ascii="Calibri" w:hAnsi="Calibri" w:cs="Calibri"/>
        </w:rPr>
        <w:t>shown</w:t>
      </w:r>
      <w:r>
        <w:rPr>
          <w:rFonts w:ascii="Calibri" w:hAnsi="Calibri" w:cs="Calibri"/>
        </w:rPr>
        <w:t xml:space="preserve"> that </w:t>
      </w:r>
      <w:r>
        <w:rPr>
          <w:rFonts w:ascii="Calibri" w:hAnsi="Calibri" w:cs="Calibri"/>
        </w:rPr>
        <w:lastRenderedPageBreak/>
        <w:t>stressful life events and symptoms of low mood can be indicators of depression (</w:t>
      </w:r>
      <w:proofErr w:type="spellStart"/>
      <w:r w:rsidRPr="00495ED9">
        <w:rPr>
          <w:rFonts w:ascii="Calibri" w:hAnsi="Calibri" w:cs="Calibri"/>
        </w:rPr>
        <w:t>LeMoult</w:t>
      </w:r>
      <w:proofErr w:type="spellEnd"/>
      <w:r w:rsidRPr="00495ED9">
        <w:rPr>
          <w:rFonts w:ascii="Calibri" w:hAnsi="Calibri" w:cs="Calibri"/>
        </w:rPr>
        <w:t>,</w:t>
      </w:r>
      <w:r>
        <w:rPr>
          <w:rFonts w:ascii="Calibri" w:hAnsi="Calibri" w:cs="Calibri"/>
        </w:rPr>
        <w:t xml:space="preserve"> </w:t>
      </w:r>
      <w:r w:rsidRPr="00495ED9">
        <w:rPr>
          <w:rFonts w:ascii="Calibri" w:hAnsi="Calibri" w:cs="Calibri"/>
        </w:rPr>
        <w:t>2020).</w:t>
      </w:r>
      <w:r>
        <w:rPr>
          <w:rFonts w:ascii="Calibri" w:hAnsi="Calibri" w:cs="Calibri"/>
        </w:rPr>
        <w:t xml:space="preserve"> It is likely Chloe’s mother is suffering from depression, which is considered moderately hereditary with some genetic factors, making it possible Chloe may also be experiencing symptoms of depression (Sullivan et al., 2000). </w:t>
      </w:r>
      <w:r w:rsidR="00FC2793">
        <w:rPr>
          <w:rFonts w:ascii="Calibri" w:hAnsi="Calibri" w:cs="Calibri"/>
        </w:rPr>
        <w:t xml:space="preserve">Hinley et al. (2022) </w:t>
      </w:r>
      <w:r w:rsidR="00421DB9">
        <w:rPr>
          <w:rFonts w:ascii="Calibri" w:hAnsi="Calibri" w:cs="Calibri"/>
        </w:rPr>
        <w:t xml:space="preserve">conducted an association analysis that showed mood instability shares genetic links with </w:t>
      </w:r>
      <w:r w:rsidR="002467B4">
        <w:rPr>
          <w:rFonts w:ascii="Calibri" w:hAnsi="Calibri" w:cs="Calibri"/>
        </w:rPr>
        <w:t xml:space="preserve">depression. </w:t>
      </w:r>
      <w:r>
        <w:rPr>
          <w:rFonts w:ascii="Calibri" w:hAnsi="Calibri" w:cs="Calibri"/>
        </w:rPr>
        <w:t xml:space="preserve">Further research has shown that depression symptoms are linked to aggression and substance misuse during youth both of which Chloe has displayed (Kraft et al., 2023). If Chloe is having symptoms of depression it will increase, her likelihood of recidivism. Research has shown individuals with depression are three times more likely to commit a crime compared to the general public (Fazel et al., 2015). </w:t>
      </w:r>
    </w:p>
    <w:p w14:paraId="12D12931" w14:textId="29C3DD81" w:rsidR="0054313E" w:rsidRDefault="00212FE5" w:rsidP="00861E07">
      <w:pPr>
        <w:ind w:firstLine="720"/>
        <w:rPr>
          <w:rFonts w:ascii="Calibri" w:hAnsi="Calibri" w:cs="Calibri"/>
        </w:rPr>
      </w:pPr>
      <w:r>
        <w:rPr>
          <w:rFonts w:ascii="Calibri" w:hAnsi="Calibri" w:cs="Calibri"/>
        </w:rPr>
        <w:t xml:space="preserve">Chloe </w:t>
      </w:r>
      <w:r w:rsidR="002E7F68">
        <w:rPr>
          <w:rFonts w:ascii="Calibri" w:hAnsi="Calibri" w:cs="Calibri"/>
        </w:rPr>
        <w:t xml:space="preserve">has </w:t>
      </w:r>
      <w:r w:rsidR="005341E5">
        <w:rPr>
          <w:rFonts w:ascii="Calibri" w:hAnsi="Calibri" w:cs="Calibri"/>
        </w:rPr>
        <w:t xml:space="preserve">been described as easily led this suggests she has a conformist nature and may follow the crowd. </w:t>
      </w:r>
      <w:r w:rsidR="0054313E">
        <w:rPr>
          <w:rFonts w:ascii="Calibri" w:hAnsi="Calibri" w:cs="Calibri"/>
        </w:rPr>
        <w:t xml:space="preserve">Although this could be beneficial in the right kind of crowd it can be detrimental in the wrong type. </w:t>
      </w:r>
      <w:r w:rsidR="00DF0A22">
        <w:rPr>
          <w:rFonts w:ascii="Calibri" w:hAnsi="Calibri" w:cs="Calibri"/>
        </w:rPr>
        <w:t xml:space="preserve">Research suggest that peer conformity is a </w:t>
      </w:r>
      <w:r w:rsidR="00C505B4">
        <w:rPr>
          <w:rFonts w:ascii="Calibri" w:hAnsi="Calibri" w:cs="Calibri"/>
        </w:rPr>
        <w:t>normative</w:t>
      </w:r>
      <w:r w:rsidR="00DF0A22">
        <w:rPr>
          <w:rFonts w:ascii="Calibri" w:hAnsi="Calibri" w:cs="Calibri"/>
        </w:rPr>
        <w:t xml:space="preserve"> developmental process however when peers engage in delinquency, conformity increases the risk of criminality</w:t>
      </w:r>
      <w:r w:rsidR="00803D91">
        <w:rPr>
          <w:rFonts w:ascii="Calibri" w:hAnsi="Calibri" w:cs="Calibri"/>
        </w:rPr>
        <w:t xml:space="preserve"> (National Institute of Justice, 2024)</w:t>
      </w:r>
      <w:r w:rsidR="00DF0A22">
        <w:rPr>
          <w:rFonts w:ascii="Calibri" w:hAnsi="Calibri" w:cs="Calibri"/>
        </w:rPr>
        <w:t xml:space="preserve">. </w:t>
      </w:r>
      <w:r w:rsidR="00980C05">
        <w:rPr>
          <w:rFonts w:ascii="Calibri" w:hAnsi="Calibri" w:cs="Calibri"/>
        </w:rPr>
        <w:t>In</w:t>
      </w:r>
      <w:r w:rsidR="00DF0A22">
        <w:rPr>
          <w:rFonts w:ascii="Calibri" w:hAnsi="Calibri" w:cs="Calibri"/>
        </w:rPr>
        <w:t xml:space="preserve"> Chloe’s case being a conformist or being easily led may not work in her favour a</w:t>
      </w:r>
      <w:r w:rsidR="00A73201">
        <w:rPr>
          <w:rFonts w:ascii="Calibri" w:hAnsi="Calibri" w:cs="Calibri"/>
        </w:rPr>
        <w:t xml:space="preserve">s she may be encouraged to do the wrong thing. </w:t>
      </w:r>
      <w:r w:rsidR="0052754B">
        <w:rPr>
          <w:rFonts w:ascii="Calibri" w:hAnsi="Calibri" w:cs="Calibri"/>
        </w:rPr>
        <w:t>Research</w:t>
      </w:r>
      <w:r w:rsidR="0004290A">
        <w:rPr>
          <w:rFonts w:ascii="Calibri" w:hAnsi="Calibri" w:cs="Calibri"/>
        </w:rPr>
        <w:t xml:space="preserve"> by Gruning et al. (2024)</w:t>
      </w:r>
      <w:r w:rsidR="0052754B">
        <w:rPr>
          <w:rFonts w:ascii="Calibri" w:hAnsi="Calibri" w:cs="Calibri"/>
        </w:rPr>
        <w:t xml:space="preserve"> has shown children from unstable family structures have poorer social functioning and peer relationships difficulties. This is further supported by </w:t>
      </w:r>
      <w:r w:rsidR="004759DF">
        <w:rPr>
          <w:rFonts w:ascii="Calibri" w:hAnsi="Calibri" w:cs="Calibri"/>
        </w:rPr>
        <w:t>Gambaro and Joshi (2018)</w:t>
      </w:r>
      <w:r w:rsidR="0052754B">
        <w:rPr>
          <w:rFonts w:ascii="Calibri" w:hAnsi="Calibri" w:cs="Calibri"/>
        </w:rPr>
        <w:t xml:space="preserve"> </w:t>
      </w:r>
      <w:r w:rsidR="0087119A">
        <w:rPr>
          <w:rFonts w:ascii="Calibri" w:hAnsi="Calibri" w:cs="Calibri"/>
        </w:rPr>
        <w:t xml:space="preserve">suggesting complex or disrupted structures were linked to emotional and behavioural problems which further predicted peer difficulties. </w:t>
      </w:r>
      <w:r w:rsidR="0004290A">
        <w:rPr>
          <w:rFonts w:ascii="Calibri" w:hAnsi="Calibri" w:cs="Calibri"/>
        </w:rPr>
        <w:t>Meaning a l</w:t>
      </w:r>
      <w:r w:rsidR="00087A04">
        <w:rPr>
          <w:rFonts w:ascii="Calibri" w:hAnsi="Calibri" w:cs="Calibri"/>
        </w:rPr>
        <w:t>ack of structure and support at home has likely caused her to follow the wrong crowd at school which has resulted in poor peer relationships</w:t>
      </w:r>
      <w:r w:rsidR="00BA7157">
        <w:rPr>
          <w:rFonts w:ascii="Calibri" w:hAnsi="Calibri" w:cs="Calibri"/>
        </w:rPr>
        <w:t xml:space="preserve"> which may h</w:t>
      </w:r>
      <w:r w:rsidR="001D219E">
        <w:rPr>
          <w:rFonts w:ascii="Calibri" w:hAnsi="Calibri" w:cs="Calibri"/>
        </w:rPr>
        <w:t xml:space="preserve">ave caused her to offend and potentially reoffend. </w:t>
      </w:r>
    </w:p>
    <w:p w14:paraId="2BA2BD54" w14:textId="2B458234" w:rsidR="00711B3B" w:rsidRPr="00667050" w:rsidRDefault="008A41A8" w:rsidP="000748BD">
      <w:pPr>
        <w:ind w:firstLine="720"/>
        <w:rPr>
          <w:rFonts w:ascii="Calibri" w:hAnsi="Calibri" w:cs="Calibri"/>
        </w:rPr>
      </w:pPr>
      <w:r>
        <w:rPr>
          <w:rFonts w:ascii="Calibri" w:hAnsi="Calibri" w:cs="Calibri"/>
        </w:rPr>
        <w:lastRenderedPageBreak/>
        <w:t xml:space="preserve">Chloe has shown behaviour issues, aggression and truancy at school. </w:t>
      </w:r>
      <w:r w:rsidR="0041251A">
        <w:rPr>
          <w:rFonts w:ascii="Calibri" w:hAnsi="Calibri" w:cs="Calibri"/>
        </w:rPr>
        <w:t xml:space="preserve">Research by Murray and Farrington (2010) </w:t>
      </w:r>
      <w:r w:rsidR="00151DE1">
        <w:rPr>
          <w:rFonts w:ascii="Calibri" w:hAnsi="Calibri" w:cs="Calibri"/>
        </w:rPr>
        <w:t xml:space="preserve">shows school behaviour issues including impulsiveness, aggression and truancy predict later delinquency and criminality. </w:t>
      </w:r>
      <w:r w:rsidR="00F91AF5">
        <w:rPr>
          <w:rFonts w:ascii="Calibri" w:hAnsi="Calibri" w:cs="Calibri"/>
        </w:rPr>
        <w:t xml:space="preserve">Further research shows children with aggression and truancy issues often move onto criminal </w:t>
      </w:r>
      <w:r w:rsidR="003A76E1">
        <w:rPr>
          <w:rFonts w:ascii="Calibri" w:hAnsi="Calibri" w:cs="Calibri"/>
        </w:rPr>
        <w:t>behaviour</w:t>
      </w:r>
      <w:r w:rsidR="00F91AF5">
        <w:rPr>
          <w:rFonts w:ascii="Calibri" w:hAnsi="Calibri" w:cs="Calibri"/>
        </w:rPr>
        <w:t xml:space="preserve"> in adolescence/adulthood (</w:t>
      </w:r>
      <w:r w:rsidR="003A76E1">
        <w:rPr>
          <w:rFonts w:ascii="Calibri" w:hAnsi="Calibri" w:cs="Calibri"/>
        </w:rPr>
        <w:t xml:space="preserve">Yale Medicine, 2023). </w:t>
      </w:r>
      <w:r w:rsidR="00142B7C">
        <w:rPr>
          <w:rFonts w:ascii="Calibri" w:hAnsi="Calibri" w:cs="Calibri"/>
        </w:rPr>
        <w:t>Maynard et al. (2019)</w:t>
      </w:r>
      <w:r w:rsidR="00C60A29">
        <w:rPr>
          <w:rFonts w:ascii="Calibri" w:hAnsi="Calibri" w:cs="Calibri"/>
        </w:rPr>
        <w:t xml:space="preserve"> </w:t>
      </w:r>
      <w:r w:rsidR="00142B7C">
        <w:rPr>
          <w:rFonts w:ascii="Calibri" w:hAnsi="Calibri" w:cs="Calibri"/>
        </w:rPr>
        <w:t xml:space="preserve">conducted </w:t>
      </w:r>
      <w:r w:rsidR="008413F2">
        <w:rPr>
          <w:rFonts w:ascii="Calibri" w:hAnsi="Calibri" w:cs="Calibri"/>
        </w:rPr>
        <w:t xml:space="preserve">a meta-analysis of 47 studies </w:t>
      </w:r>
      <w:r w:rsidR="00142B7C">
        <w:rPr>
          <w:rFonts w:ascii="Calibri" w:hAnsi="Calibri" w:cs="Calibri"/>
        </w:rPr>
        <w:t xml:space="preserve">which </w:t>
      </w:r>
      <w:r w:rsidR="00C60A29">
        <w:rPr>
          <w:rFonts w:ascii="Calibri" w:hAnsi="Calibri" w:cs="Calibri"/>
        </w:rPr>
        <w:t>show</w:t>
      </w:r>
      <w:r w:rsidR="008413F2">
        <w:rPr>
          <w:rFonts w:ascii="Calibri" w:hAnsi="Calibri" w:cs="Calibri"/>
        </w:rPr>
        <w:t>ed</w:t>
      </w:r>
      <w:r w:rsidR="00C60A29">
        <w:rPr>
          <w:rFonts w:ascii="Calibri" w:hAnsi="Calibri" w:cs="Calibri"/>
        </w:rPr>
        <w:t xml:space="preserve"> that truancy significantly predicts delinquent behaviour including violent crime</w:t>
      </w:r>
      <w:r w:rsidR="00142B7C">
        <w:rPr>
          <w:rFonts w:ascii="Calibri" w:hAnsi="Calibri" w:cs="Calibri"/>
        </w:rPr>
        <w:t xml:space="preserve">. Further research </w:t>
      </w:r>
      <w:r w:rsidR="00B70BD1">
        <w:rPr>
          <w:rFonts w:ascii="Calibri" w:hAnsi="Calibri" w:cs="Calibri"/>
        </w:rPr>
        <w:t xml:space="preserve">by Henry and Huizinga (2017) </w:t>
      </w:r>
      <w:r w:rsidR="00142B7C">
        <w:rPr>
          <w:rFonts w:ascii="Calibri" w:hAnsi="Calibri" w:cs="Calibri"/>
        </w:rPr>
        <w:t xml:space="preserve">has supported this </w:t>
      </w:r>
      <w:r w:rsidR="006F4C1A">
        <w:rPr>
          <w:rFonts w:ascii="Calibri" w:hAnsi="Calibri" w:cs="Calibri"/>
        </w:rPr>
        <w:t xml:space="preserve">finding that truancy is a clear predictor </w:t>
      </w:r>
      <w:r w:rsidR="00170A9F">
        <w:rPr>
          <w:rFonts w:ascii="Calibri" w:hAnsi="Calibri" w:cs="Calibri"/>
        </w:rPr>
        <w:t>for young people coming into contact with the legal system for breaking the law</w:t>
      </w:r>
      <w:r w:rsidR="00B70BD1">
        <w:rPr>
          <w:rFonts w:ascii="Calibri" w:hAnsi="Calibri" w:cs="Calibri"/>
        </w:rPr>
        <w:t xml:space="preserve">. </w:t>
      </w:r>
    </w:p>
    <w:p w14:paraId="5A42BE54" w14:textId="5748C69E" w:rsidR="00861AFD" w:rsidRPr="00667050" w:rsidRDefault="00707F76" w:rsidP="00861AFD">
      <w:pPr>
        <w:rPr>
          <w:rFonts w:ascii="Calibri" w:hAnsi="Calibri" w:cs="Calibri"/>
        </w:rPr>
      </w:pPr>
      <w:r w:rsidRPr="00667050">
        <w:rPr>
          <w:rFonts w:ascii="Calibri" w:hAnsi="Calibri" w:cs="Calibri"/>
          <w:b/>
          <w:bCs/>
          <w:u w:val="single"/>
        </w:rPr>
        <w:t xml:space="preserve">Precipitating Factors </w:t>
      </w:r>
    </w:p>
    <w:p w14:paraId="1D7C388C" w14:textId="2C12F6D4" w:rsidR="00707F76" w:rsidRPr="00667050" w:rsidRDefault="005E477C" w:rsidP="000748BD">
      <w:pPr>
        <w:ind w:firstLine="720"/>
        <w:rPr>
          <w:rFonts w:ascii="Calibri" w:hAnsi="Calibri" w:cs="Calibri"/>
        </w:rPr>
      </w:pPr>
      <w:r>
        <w:rPr>
          <w:rFonts w:ascii="Calibri" w:hAnsi="Calibri" w:cs="Calibri"/>
        </w:rPr>
        <w:t xml:space="preserve">The incident involved a verbal altercation that escalated resulting in a physical fight. </w:t>
      </w:r>
      <w:r w:rsidR="000A0BBF" w:rsidRPr="000A0BBF">
        <w:rPr>
          <w:rFonts w:ascii="Calibri" w:hAnsi="Calibri" w:cs="Calibri"/>
        </w:rPr>
        <w:t>At the time of the</w:t>
      </w:r>
      <w:r w:rsidR="000A0BBF">
        <w:rPr>
          <w:rFonts w:ascii="Calibri" w:hAnsi="Calibri" w:cs="Calibri"/>
        </w:rPr>
        <w:t xml:space="preserve"> incident </w:t>
      </w:r>
      <w:r w:rsidR="00EE3C62">
        <w:rPr>
          <w:rFonts w:ascii="Calibri" w:hAnsi="Calibri" w:cs="Calibri"/>
        </w:rPr>
        <w:t>Chloe was under the influence of alcohol and drugs</w:t>
      </w:r>
      <w:r w:rsidR="008B6CD2">
        <w:rPr>
          <w:rFonts w:ascii="Calibri" w:hAnsi="Calibri" w:cs="Calibri"/>
        </w:rPr>
        <w:t xml:space="preserve">. </w:t>
      </w:r>
      <w:r w:rsidR="00660A45">
        <w:rPr>
          <w:rFonts w:ascii="Calibri" w:hAnsi="Calibri" w:cs="Calibri"/>
        </w:rPr>
        <w:t>Under the influence of alcohol Chloe</w:t>
      </w:r>
      <w:r w:rsidR="00C85126">
        <w:rPr>
          <w:rFonts w:ascii="Calibri" w:hAnsi="Calibri" w:cs="Calibri"/>
        </w:rPr>
        <w:t>’s attention, working memory and impulse control would have been reduced</w:t>
      </w:r>
      <w:r w:rsidR="00A21404">
        <w:rPr>
          <w:rFonts w:ascii="Calibri" w:hAnsi="Calibri" w:cs="Calibri"/>
        </w:rPr>
        <w:t xml:space="preserve"> leading to poor judgment</w:t>
      </w:r>
      <w:r w:rsidR="009841D1">
        <w:rPr>
          <w:rFonts w:ascii="Calibri" w:hAnsi="Calibri" w:cs="Calibri"/>
        </w:rPr>
        <w:t xml:space="preserve"> (</w:t>
      </w:r>
      <w:proofErr w:type="spellStart"/>
      <w:r w:rsidR="009841D1">
        <w:rPr>
          <w:rFonts w:ascii="Calibri" w:hAnsi="Calibri" w:cs="Calibri"/>
        </w:rPr>
        <w:t>Osain</w:t>
      </w:r>
      <w:proofErr w:type="spellEnd"/>
      <w:r w:rsidR="009841D1">
        <w:rPr>
          <w:rFonts w:ascii="Calibri" w:hAnsi="Calibri" w:cs="Calibri"/>
        </w:rPr>
        <w:t xml:space="preserve"> and Pereverzev, 2020). </w:t>
      </w:r>
      <w:r w:rsidR="00EA550F">
        <w:rPr>
          <w:rFonts w:ascii="Calibri" w:hAnsi="Calibri" w:cs="Calibri"/>
        </w:rPr>
        <w:t>Suggesting</w:t>
      </w:r>
      <w:r w:rsidR="00A21404">
        <w:rPr>
          <w:rFonts w:ascii="Calibri" w:hAnsi="Calibri" w:cs="Calibri"/>
        </w:rPr>
        <w:t xml:space="preserve"> without this influence her actions may have been different but it is difficult to know due to her past fight history.</w:t>
      </w:r>
      <w:r w:rsidR="00855D0E">
        <w:rPr>
          <w:rFonts w:ascii="Calibri" w:hAnsi="Calibri" w:cs="Calibri"/>
        </w:rPr>
        <w:t xml:space="preserve"> </w:t>
      </w:r>
      <w:r w:rsidR="00876F04">
        <w:rPr>
          <w:rFonts w:ascii="Calibri" w:hAnsi="Calibri" w:cs="Calibri"/>
        </w:rPr>
        <w:t xml:space="preserve">Research </w:t>
      </w:r>
      <w:r w:rsidR="009E2AF6">
        <w:rPr>
          <w:rFonts w:ascii="Calibri" w:hAnsi="Calibri" w:cs="Calibri"/>
        </w:rPr>
        <w:t xml:space="preserve">by </w:t>
      </w:r>
      <w:proofErr w:type="spellStart"/>
      <w:r w:rsidR="009E2AF6">
        <w:rPr>
          <w:rFonts w:ascii="Calibri" w:hAnsi="Calibri" w:cs="Calibri"/>
        </w:rPr>
        <w:t>Pautassi</w:t>
      </w:r>
      <w:proofErr w:type="spellEnd"/>
      <w:r w:rsidR="009E2AF6">
        <w:rPr>
          <w:rFonts w:ascii="Calibri" w:hAnsi="Calibri" w:cs="Calibri"/>
        </w:rPr>
        <w:t xml:space="preserve"> and Lopez (2022) </w:t>
      </w:r>
      <w:r w:rsidR="00876F04">
        <w:rPr>
          <w:rFonts w:ascii="Calibri" w:hAnsi="Calibri" w:cs="Calibri"/>
        </w:rPr>
        <w:t xml:space="preserve">has shown </w:t>
      </w:r>
      <w:r w:rsidR="000030AD">
        <w:rPr>
          <w:rFonts w:ascii="Calibri" w:hAnsi="Calibri" w:cs="Calibri"/>
        </w:rPr>
        <w:t>evidence that alcohol intoxication is significantly linked with violent crimes including assault</w:t>
      </w:r>
      <w:r w:rsidR="00870B64">
        <w:rPr>
          <w:rFonts w:ascii="Calibri" w:hAnsi="Calibri" w:cs="Calibri"/>
        </w:rPr>
        <w:t xml:space="preserve"> especially when a verbal conflict occurs</w:t>
      </w:r>
      <w:r w:rsidR="000030AD">
        <w:rPr>
          <w:rFonts w:ascii="Calibri" w:hAnsi="Calibri" w:cs="Calibri"/>
        </w:rPr>
        <w:t xml:space="preserve">. </w:t>
      </w:r>
      <w:r w:rsidR="00B377C0">
        <w:rPr>
          <w:rFonts w:ascii="Calibri" w:hAnsi="Calibri" w:cs="Calibri"/>
        </w:rPr>
        <w:t xml:space="preserve">Further research has shown that alcohol is a </w:t>
      </w:r>
      <w:r w:rsidR="00DC23FE">
        <w:rPr>
          <w:rFonts w:ascii="Calibri" w:hAnsi="Calibri" w:cs="Calibri"/>
        </w:rPr>
        <w:t>large motivator of violent incidents making clear links between assaults and intoxication (</w:t>
      </w:r>
      <w:r w:rsidR="00150775">
        <w:rPr>
          <w:rFonts w:ascii="Calibri" w:hAnsi="Calibri" w:cs="Calibri"/>
        </w:rPr>
        <w:t>Institute of Alcohol Studies, 2023</w:t>
      </w:r>
      <w:r w:rsidR="00DC23FE">
        <w:rPr>
          <w:rFonts w:ascii="Calibri" w:hAnsi="Calibri" w:cs="Calibri"/>
        </w:rPr>
        <w:t xml:space="preserve">). </w:t>
      </w:r>
      <w:r w:rsidR="006267AC">
        <w:rPr>
          <w:rFonts w:ascii="Calibri" w:hAnsi="Calibri" w:cs="Calibri"/>
        </w:rPr>
        <w:t xml:space="preserve">Chloe was also under the influence of cannabis. </w:t>
      </w:r>
      <w:r w:rsidR="0072457C">
        <w:rPr>
          <w:rFonts w:ascii="Calibri" w:hAnsi="Calibri" w:cs="Calibri"/>
        </w:rPr>
        <w:t>Under the influence of cannabis Chloe</w:t>
      </w:r>
      <w:r w:rsidR="008127CA">
        <w:rPr>
          <w:rFonts w:ascii="Calibri" w:hAnsi="Calibri" w:cs="Calibri"/>
        </w:rPr>
        <w:t>’s memory, attention</w:t>
      </w:r>
      <w:r w:rsidR="00046E5E">
        <w:rPr>
          <w:rFonts w:ascii="Calibri" w:hAnsi="Calibri" w:cs="Calibri"/>
        </w:rPr>
        <w:t xml:space="preserve">, </w:t>
      </w:r>
      <w:r w:rsidR="0090443C">
        <w:rPr>
          <w:rFonts w:ascii="Calibri" w:hAnsi="Calibri" w:cs="Calibri"/>
        </w:rPr>
        <w:t xml:space="preserve">planning, </w:t>
      </w:r>
      <w:r w:rsidR="00046E5E">
        <w:rPr>
          <w:rFonts w:ascii="Calibri" w:hAnsi="Calibri" w:cs="Calibri"/>
        </w:rPr>
        <w:t>thinking</w:t>
      </w:r>
      <w:r w:rsidR="0090443C">
        <w:rPr>
          <w:rFonts w:ascii="Calibri" w:hAnsi="Calibri" w:cs="Calibri"/>
        </w:rPr>
        <w:t>, decision-making</w:t>
      </w:r>
      <w:r w:rsidR="0009007D">
        <w:rPr>
          <w:rFonts w:ascii="Calibri" w:hAnsi="Calibri" w:cs="Calibri"/>
        </w:rPr>
        <w:t xml:space="preserve">, </w:t>
      </w:r>
      <w:r w:rsidR="00046E5E">
        <w:rPr>
          <w:rFonts w:ascii="Calibri" w:hAnsi="Calibri" w:cs="Calibri"/>
        </w:rPr>
        <w:t>impuls</w:t>
      </w:r>
      <w:r w:rsidR="00DF3D6C">
        <w:rPr>
          <w:rFonts w:ascii="Calibri" w:hAnsi="Calibri" w:cs="Calibri"/>
        </w:rPr>
        <w:t>e control</w:t>
      </w:r>
      <w:r w:rsidR="0009007D">
        <w:rPr>
          <w:rFonts w:ascii="Calibri" w:hAnsi="Calibri" w:cs="Calibri"/>
        </w:rPr>
        <w:t xml:space="preserve"> and judgment</w:t>
      </w:r>
      <w:r w:rsidR="00046E5E">
        <w:rPr>
          <w:rFonts w:ascii="Calibri" w:hAnsi="Calibri" w:cs="Calibri"/>
        </w:rPr>
        <w:t xml:space="preserve"> would have been impaired</w:t>
      </w:r>
      <w:r w:rsidR="0009007D">
        <w:rPr>
          <w:rFonts w:ascii="Calibri" w:hAnsi="Calibri" w:cs="Calibri"/>
        </w:rPr>
        <w:t>, increasing risk-taking</w:t>
      </w:r>
      <w:r w:rsidR="00046E5E">
        <w:rPr>
          <w:rFonts w:ascii="Calibri" w:hAnsi="Calibri" w:cs="Calibri"/>
        </w:rPr>
        <w:t xml:space="preserve"> (</w:t>
      </w:r>
      <w:proofErr w:type="spellStart"/>
      <w:r w:rsidR="0090443C">
        <w:rPr>
          <w:rFonts w:ascii="Calibri" w:hAnsi="Calibri" w:cs="Calibri"/>
        </w:rPr>
        <w:t>Broyd</w:t>
      </w:r>
      <w:proofErr w:type="spellEnd"/>
      <w:r w:rsidR="0090443C">
        <w:rPr>
          <w:rFonts w:ascii="Calibri" w:hAnsi="Calibri" w:cs="Calibri"/>
        </w:rPr>
        <w:t xml:space="preserve"> et al., 2016</w:t>
      </w:r>
      <w:r w:rsidR="00DF3D6C">
        <w:rPr>
          <w:rFonts w:ascii="Calibri" w:hAnsi="Calibri" w:cs="Calibri"/>
        </w:rPr>
        <w:t>; Crean et al., 2011</w:t>
      </w:r>
      <w:r w:rsidR="0009007D">
        <w:rPr>
          <w:rFonts w:ascii="Calibri" w:hAnsi="Calibri" w:cs="Calibri"/>
        </w:rPr>
        <w:t>; Volkow</w:t>
      </w:r>
      <w:r w:rsidR="00B36B85">
        <w:rPr>
          <w:rFonts w:ascii="Calibri" w:hAnsi="Calibri" w:cs="Calibri"/>
        </w:rPr>
        <w:t xml:space="preserve"> et al., 2014</w:t>
      </w:r>
      <w:r w:rsidR="0090443C">
        <w:rPr>
          <w:rFonts w:ascii="Calibri" w:hAnsi="Calibri" w:cs="Calibri"/>
        </w:rPr>
        <w:t>).</w:t>
      </w:r>
      <w:r w:rsidR="00046E5E">
        <w:rPr>
          <w:rFonts w:ascii="Calibri" w:hAnsi="Calibri" w:cs="Calibri"/>
        </w:rPr>
        <w:t xml:space="preserve"> </w:t>
      </w:r>
      <w:r w:rsidR="00C17AF6">
        <w:rPr>
          <w:rFonts w:ascii="Calibri" w:hAnsi="Calibri" w:cs="Calibri"/>
        </w:rPr>
        <w:t xml:space="preserve">Dellazizzo at al. (2020) conducted a review that highlighted </w:t>
      </w:r>
      <w:r w:rsidR="00C17AF6">
        <w:rPr>
          <w:rFonts w:ascii="Calibri" w:hAnsi="Calibri" w:cs="Calibri"/>
        </w:rPr>
        <w:lastRenderedPageBreak/>
        <w:t>consistent links between cannabis use and violent behaviour, especially in adolescents</w:t>
      </w:r>
      <w:r w:rsidR="00F73B61">
        <w:rPr>
          <w:rFonts w:ascii="Calibri" w:hAnsi="Calibri" w:cs="Calibri"/>
        </w:rPr>
        <w:t xml:space="preserve"> with psychiatric vulnerabilities.</w:t>
      </w:r>
      <w:r w:rsidR="00BE3579">
        <w:rPr>
          <w:rFonts w:ascii="Calibri" w:hAnsi="Calibri" w:cs="Calibri"/>
        </w:rPr>
        <w:t xml:space="preserve"> Contributing to violent outcomes during interpersonal conflicts.</w:t>
      </w:r>
      <w:r w:rsidR="00F73B61">
        <w:rPr>
          <w:rFonts w:ascii="Calibri" w:hAnsi="Calibri" w:cs="Calibri"/>
        </w:rPr>
        <w:t xml:space="preserve"> Humphreys and Atkinson (2025) </w:t>
      </w:r>
      <w:r w:rsidR="00B616BF">
        <w:rPr>
          <w:rFonts w:ascii="Calibri" w:hAnsi="Calibri" w:cs="Calibri"/>
        </w:rPr>
        <w:t>reported that adolescent cannabis use is linked to delinquency and poor peer relationships</w:t>
      </w:r>
      <w:r w:rsidR="00395ECF">
        <w:rPr>
          <w:rFonts w:ascii="Calibri" w:hAnsi="Calibri" w:cs="Calibri"/>
        </w:rPr>
        <w:t xml:space="preserve">, often resulting in criminal outcomes. </w:t>
      </w:r>
      <w:r w:rsidR="008245E0">
        <w:rPr>
          <w:rFonts w:ascii="Calibri" w:hAnsi="Calibri" w:cs="Calibri"/>
        </w:rPr>
        <w:t xml:space="preserve">If Chloe continues to drink alcohol and take drugs it is likely that </w:t>
      </w:r>
      <w:r w:rsidR="006908D5">
        <w:rPr>
          <w:rFonts w:ascii="Calibri" w:hAnsi="Calibri" w:cs="Calibri"/>
        </w:rPr>
        <w:t xml:space="preserve">she could reoffend and more violent outburst could happen. </w:t>
      </w:r>
      <w:r w:rsidR="000A7096">
        <w:rPr>
          <w:rFonts w:ascii="Calibri" w:hAnsi="Calibri" w:cs="Calibri"/>
        </w:rPr>
        <w:t>Research has shown drug and alcohol misuse strongly predicts reoffending (</w:t>
      </w:r>
      <w:r w:rsidR="00E560B8">
        <w:rPr>
          <w:rFonts w:ascii="Calibri" w:hAnsi="Calibri" w:cs="Calibri"/>
        </w:rPr>
        <w:t xml:space="preserve">Public Health England &amp; Ministry of Justice, 2017). </w:t>
      </w:r>
    </w:p>
    <w:p w14:paraId="6F4BACEA" w14:textId="68C7A55C" w:rsidR="00AD56FA" w:rsidRDefault="00707F76" w:rsidP="000F5C4A">
      <w:pPr>
        <w:rPr>
          <w:rFonts w:ascii="Calibri" w:hAnsi="Calibri" w:cs="Calibri"/>
        </w:rPr>
      </w:pPr>
      <w:r w:rsidRPr="00667050">
        <w:rPr>
          <w:rFonts w:ascii="Calibri" w:hAnsi="Calibri" w:cs="Calibri"/>
          <w:b/>
          <w:bCs/>
          <w:u w:val="single"/>
        </w:rPr>
        <w:t xml:space="preserve">Perpetuating Factors </w:t>
      </w:r>
      <w:r w:rsidR="00EF289B" w:rsidRPr="00667050">
        <w:rPr>
          <w:rFonts w:ascii="Calibri" w:hAnsi="Calibri" w:cs="Calibri"/>
          <w:b/>
          <w:bCs/>
        </w:rPr>
        <w:t xml:space="preserve"> </w:t>
      </w:r>
    </w:p>
    <w:p w14:paraId="7478192A" w14:textId="67BC29F1" w:rsidR="001D219E" w:rsidRDefault="00E46651" w:rsidP="001D219E">
      <w:pPr>
        <w:ind w:firstLine="720"/>
        <w:rPr>
          <w:rFonts w:ascii="Calibri" w:hAnsi="Calibri" w:cs="Calibri"/>
        </w:rPr>
      </w:pPr>
      <w:r>
        <w:rPr>
          <w:rFonts w:ascii="Calibri" w:hAnsi="Calibri" w:cs="Calibri"/>
        </w:rPr>
        <w:t>During her psychological and behavioural assessment Chloe has shown a lack of resp</w:t>
      </w:r>
      <w:r w:rsidR="00E1328A">
        <w:rPr>
          <w:rFonts w:ascii="Calibri" w:hAnsi="Calibri" w:cs="Calibri"/>
        </w:rPr>
        <w:t>onsibility for her actions by saying she was just defending herself and although this maybe the case, the level of violence she used was</w:t>
      </w:r>
      <w:r w:rsidR="0070060B">
        <w:rPr>
          <w:rFonts w:ascii="Calibri" w:hAnsi="Calibri" w:cs="Calibri"/>
        </w:rPr>
        <w:t xml:space="preserve"> severe</w:t>
      </w:r>
      <w:r w:rsidR="00E1328A">
        <w:rPr>
          <w:rFonts w:ascii="Calibri" w:hAnsi="Calibri" w:cs="Calibri"/>
        </w:rPr>
        <w:t xml:space="preserve">. </w:t>
      </w:r>
      <w:r w:rsidR="00E210CC">
        <w:rPr>
          <w:rFonts w:ascii="Calibri" w:hAnsi="Calibri" w:cs="Calibri"/>
        </w:rPr>
        <w:t xml:space="preserve">Research shows that offenders who fail to take proper responsibility </w:t>
      </w:r>
      <w:r w:rsidR="0058659A">
        <w:rPr>
          <w:rFonts w:ascii="Calibri" w:hAnsi="Calibri" w:cs="Calibri"/>
        </w:rPr>
        <w:t>tend to have poorer rehabilitation outcomes and higher reoffending rates (</w:t>
      </w:r>
      <w:r w:rsidR="00862D84">
        <w:rPr>
          <w:rFonts w:ascii="Calibri" w:hAnsi="Calibri" w:cs="Calibri"/>
        </w:rPr>
        <w:t>Ministry of Justice, 2025</w:t>
      </w:r>
      <w:r w:rsidR="0058659A">
        <w:rPr>
          <w:rFonts w:ascii="Calibri" w:hAnsi="Calibri" w:cs="Calibri"/>
        </w:rPr>
        <w:t xml:space="preserve">). </w:t>
      </w:r>
      <w:r w:rsidR="00BA1A2C">
        <w:rPr>
          <w:rFonts w:ascii="Calibri" w:hAnsi="Calibri" w:cs="Calibri"/>
        </w:rPr>
        <w:t>Taking responsibility and accountability is considered central to rehabilitation (</w:t>
      </w:r>
      <w:r w:rsidR="00862D84">
        <w:rPr>
          <w:rFonts w:ascii="Calibri" w:hAnsi="Calibri" w:cs="Calibri"/>
        </w:rPr>
        <w:t>Justice Committee, 2024</w:t>
      </w:r>
      <w:r w:rsidR="00BA1A2C">
        <w:rPr>
          <w:rFonts w:ascii="Calibri" w:hAnsi="Calibri" w:cs="Calibri"/>
        </w:rPr>
        <w:t xml:space="preserve">). </w:t>
      </w:r>
      <w:r w:rsidR="007110EE">
        <w:rPr>
          <w:rFonts w:ascii="Calibri" w:hAnsi="Calibri" w:cs="Calibri"/>
        </w:rPr>
        <w:t xml:space="preserve">It is possible that Chloe’s struggle to take responsibility for actions may be due to her potentially have </w:t>
      </w:r>
      <w:r w:rsidR="0041144E">
        <w:rPr>
          <w:rFonts w:ascii="Calibri" w:hAnsi="Calibri" w:cs="Calibri"/>
        </w:rPr>
        <w:t xml:space="preserve">depression. Research has highlighted how </w:t>
      </w:r>
      <w:r w:rsidR="00514810">
        <w:rPr>
          <w:rFonts w:ascii="Calibri" w:hAnsi="Calibri" w:cs="Calibri"/>
        </w:rPr>
        <w:t>offenders with depression may struggle to acknowledge responsibility (</w:t>
      </w:r>
      <w:r w:rsidR="00973B02">
        <w:rPr>
          <w:rFonts w:ascii="Calibri" w:hAnsi="Calibri" w:cs="Calibri"/>
        </w:rPr>
        <w:t xml:space="preserve">Loughnan, 2017). </w:t>
      </w:r>
    </w:p>
    <w:p w14:paraId="7F2970D0" w14:textId="183AF579" w:rsidR="00EA013B" w:rsidRDefault="00E605CC" w:rsidP="00EC3F43">
      <w:pPr>
        <w:ind w:firstLine="720"/>
        <w:rPr>
          <w:rFonts w:ascii="Calibri" w:hAnsi="Calibri" w:cs="Calibri"/>
        </w:rPr>
      </w:pPr>
      <w:r>
        <w:rPr>
          <w:rFonts w:ascii="Calibri" w:hAnsi="Calibri" w:cs="Calibri"/>
        </w:rPr>
        <w:t>Chloe has show</w:t>
      </w:r>
      <w:r w:rsidR="0091235A">
        <w:rPr>
          <w:rFonts w:ascii="Calibri" w:hAnsi="Calibri" w:cs="Calibri"/>
        </w:rPr>
        <w:t xml:space="preserve">n some remorse when </w:t>
      </w:r>
      <w:r w:rsidR="0086200F">
        <w:rPr>
          <w:rFonts w:ascii="Calibri" w:hAnsi="Calibri" w:cs="Calibri"/>
        </w:rPr>
        <w:t>discussing</w:t>
      </w:r>
      <w:r w:rsidR="0091235A">
        <w:rPr>
          <w:rFonts w:ascii="Calibri" w:hAnsi="Calibri" w:cs="Calibri"/>
        </w:rPr>
        <w:t xml:space="preserve"> the victim but expressed frustration about being judged for one mistake. It seems Chloe has a lack of empathy about the person she hurt significantly</w:t>
      </w:r>
      <w:r w:rsidR="00C55661">
        <w:rPr>
          <w:rFonts w:ascii="Calibri" w:hAnsi="Calibri" w:cs="Calibri"/>
        </w:rPr>
        <w:t xml:space="preserve">. </w:t>
      </w:r>
      <w:r w:rsidR="00EC3F43">
        <w:rPr>
          <w:rFonts w:ascii="Calibri" w:hAnsi="Calibri" w:cs="Calibri"/>
        </w:rPr>
        <w:t xml:space="preserve">Jolliffe and Murray (2012) reviewed evidence </w:t>
      </w:r>
      <w:r w:rsidR="00017D6A">
        <w:rPr>
          <w:rFonts w:ascii="Calibri" w:hAnsi="Calibri" w:cs="Calibri"/>
        </w:rPr>
        <w:t xml:space="preserve">that </w:t>
      </w:r>
      <w:r w:rsidR="00EC3F43">
        <w:rPr>
          <w:rFonts w:ascii="Calibri" w:hAnsi="Calibri" w:cs="Calibri"/>
        </w:rPr>
        <w:t>show</w:t>
      </w:r>
      <w:r w:rsidR="00017D6A">
        <w:rPr>
          <w:rFonts w:ascii="Calibri" w:hAnsi="Calibri" w:cs="Calibri"/>
        </w:rPr>
        <w:t>ed</w:t>
      </w:r>
      <w:r w:rsidR="00EC3F43">
        <w:rPr>
          <w:rFonts w:ascii="Calibri" w:hAnsi="Calibri" w:cs="Calibri"/>
        </w:rPr>
        <w:t xml:space="preserve"> poor empathy predicts offending</w:t>
      </w:r>
      <w:r w:rsidR="00EC1C9F">
        <w:rPr>
          <w:rFonts w:ascii="Calibri" w:hAnsi="Calibri" w:cs="Calibri"/>
        </w:rPr>
        <w:t xml:space="preserve"> and reoffending</w:t>
      </w:r>
      <w:r w:rsidR="00EC3F43">
        <w:rPr>
          <w:rFonts w:ascii="Calibri" w:hAnsi="Calibri" w:cs="Calibri"/>
        </w:rPr>
        <w:t xml:space="preserve">. Further research by </w:t>
      </w:r>
      <w:r w:rsidR="00C64A9B">
        <w:rPr>
          <w:rFonts w:ascii="Calibri" w:hAnsi="Calibri" w:cs="Calibri"/>
        </w:rPr>
        <w:t>Jolliffe and Farrington (</w:t>
      </w:r>
      <w:r w:rsidR="00A81E85">
        <w:rPr>
          <w:rFonts w:ascii="Calibri" w:hAnsi="Calibri" w:cs="Calibri"/>
        </w:rPr>
        <w:t xml:space="preserve">2021) conducted a study focusing on probationers finding that low affective and cognitive empathy predicted </w:t>
      </w:r>
      <w:r w:rsidR="0088536A">
        <w:rPr>
          <w:rFonts w:ascii="Calibri" w:hAnsi="Calibri" w:cs="Calibri"/>
        </w:rPr>
        <w:t xml:space="preserve">higher reoffending rates withing 12 months. </w:t>
      </w:r>
      <w:r w:rsidR="009319F9">
        <w:rPr>
          <w:rFonts w:ascii="Calibri" w:hAnsi="Calibri" w:cs="Calibri"/>
        </w:rPr>
        <w:t xml:space="preserve">Chloe’s lack of remorse and </w:t>
      </w:r>
      <w:r w:rsidR="009319F9">
        <w:rPr>
          <w:rFonts w:ascii="Calibri" w:hAnsi="Calibri" w:cs="Calibri"/>
        </w:rPr>
        <w:lastRenderedPageBreak/>
        <w:t xml:space="preserve">empathy further supports she may be suffering with depressive symptoms. </w:t>
      </w:r>
      <w:proofErr w:type="spellStart"/>
      <w:r w:rsidR="000827FF">
        <w:rPr>
          <w:rFonts w:ascii="Calibri" w:hAnsi="Calibri" w:cs="Calibri"/>
        </w:rPr>
        <w:t>Grases</w:t>
      </w:r>
      <w:proofErr w:type="spellEnd"/>
      <w:r w:rsidR="000827FF">
        <w:rPr>
          <w:rFonts w:ascii="Calibri" w:hAnsi="Calibri" w:cs="Calibri"/>
        </w:rPr>
        <w:t xml:space="preserve"> et al. (</w:t>
      </w:r>
      <w:r w:rsidR="00F34C1B">
        <w:rPr>
          <w:rFonts w:ascii="Calibri" w:hAnsi="Calibri" w:cs="Calibri"/>
        </w:rPr>
        <w:t xml:space="preserve">2023) findings has shown significant links between depression and reduced empathy. </w:t>
      </w:r>
      <w:r w:rsidR="00D52D0C">
        <w:rPr>
          <w:rFonts w:ascii="Calibri" w:hAnsi="Calibri" w:cs="Calibri"/>
        </w:rPr>
        <w:t xml:space="preserve">While Ding et al. (2024) conducted a longitudinal study that showed empathy deficits predicted depressive symptoms in emerging adults. Suggesting if Chloe is not struggling with depressive symptoms right now this lack of empathy and remorse maybe a sign that she could have depression either developing or in the future. </w:t>
      </w:r>
    </w:p>
    <w:p w14:paraId="0A1E055E" w14:textId="3AC310AE" w:rsidR="00EA013B" w:rsidRDefault="00C55661" w:rsidP="001D219E">
      <w:pPr>
        <w:ind w:firstLine="720"/>
        <w:rPr>
          <w:rFonts w:ascii="Calibri" w:hAnsi="Calibri" w:cs="Calibri"/>
        </w:rPr>
      </w:pPr>
      <w:r>
        <w:rPr>
          <w:rFonts w:ascii="Calibri" w:hAnsi="Calibri" w:cs="Calibri"/>
        </w:rPr>
        <w:t xml:space="preserve">However, it does appear Chloe acknowledges </w:t>
      </w:r>
      <w:r w:rsidR="0086200F">
        <w:rPr>
          <w:rFonts w:ascii="Calibri" w:hAnsi="Calibri" w:cs="Calibri"/>
        </w:rPr>
        <w:t>what she did was a mistake albeit with a lack of compassion.</w:t>
      </w:r>
      <w:r w:rsidR="0002596C">
        <w:rPr>
          <w:rFonts w:ascii="Calibri" w:hAnsi="Calibri" w:cs="Calibri"/>
        </w:rPr>
        <w:t xml:space="preserve"> </w:t>
      </w:r>
      <w:r w:rsidR="000B3CFD">
        <w:rPr>
          <w:rFonts w:ascii="Calibri" w:hAnsi="Calibri" w:cs="Calibri"/>
        </w:rPr>
        <w:t xml:space="preserve">Durkin et al. (2025) suggests a lack of compassion among offenders are linked with poor rehabilitation outcomes and have increased reoffending rates. </w:t>
      </w:r>
      <w:r w:rsidR="00EB679E">
        <w:rPr>
          <w:rFonts w:ascii="Calibri" w:hAnsi="Calibri" w:cs="Calibri"/>
        </w:rPr>
        <w:t>For Chloe a lack of compassion may have been something that wasn’t prominent in her house growing up</w:t>
      </w:r>
      <w:r w:rsidR="000067DA">
        <w:rPr>
          <w:rFonts w:ascii="Calibri" w:hAnsi="Calibri" w:cs="Calibri"/>
        </w:rPr>
        <w:t xml:space="preserve">. Amari et al (2022) conducted a review that showed compassion and attachment are </w:t>
      </w:r>
      <w:r w:rsidR="00D661CD">
        <w:rPr>
          <w:rFonts w:ascii="Calibri" w:hAnsi="Calibri" w:cs="Calibri"/>
        </w:rPr>
        <w:t xml:space="preserve">vital for mental health and a lack of compassion is linked to depression. </w:t>
      </w:r>
    </w:p>
    <w:p w14:paraId="1DBB4588" w14:textId="2986A7A1" w:rsidR="00707F76" w:rsidRPr="00667050" w:rsidRDefault="0086200F" w:rsidP="000748BD">
      <w:pPr>
        <w:ind w:firstLine="720"/>
        <w:rPr>
          <w:rFonts w:ascii="Calibri" w:hAnsi="Calibri" w:cs="Calibri"/>
        </w:rPr>
      </w:pPr>
      <w:r>
        <w:rPr>
          <w:rFonts w:ascii="Calibri" w:hAnsi="Calibri" w:cs="Calibri"/>
        </w:rPr>
        <w:t xml:space="preserve"> Chloe is showing a lack of care and consideration for the legality of what she has done and how a criminal record may affect her going forward. </w:t>
      </w:r>
      <w:r w:rsidR="00A01621">
        <w:rPr>
          <w:rFonts w:ascii="Calibri" w:hAnsi="Calibri" w:cs="Calibri"/>
        </w:rPr>
        <w:t xml:space="preserve">Chloe is showing reckless behaviour and a lack of concern about how this may affect her future. </w:t>
      </w:r>
      <w:r w:rsidR="00554784">
        <w:rPr>
          <w:rFonts w:ascii="Calibri" w:hAnsi="Calibri" w:cs="Calibri"/>
        </w:rPr>
        <w:t xml:space="preserve">Research shows that offenders who show a lack of concern for their crimes are less responsive to rehabilitation and </w:t>
      </w:r>
      <w:r w:rsidR="00C66D56">
        <w:rPr>
          <w:rFonts w:ascii="Calibri" w:hAnsi="Calibri" w:cs="Calibri"/>
        </w:rPr>
        <w:t>are more likely to reoffend (</w:t>
      </w:r>
      <w:r w:rsidR="00D37CEF">
        <w:rPr>
          <w:rFonts w:ascii="Calibri" w:hAnsi="Calibri" w:cs="Calibri"/>
        </w:rPr>
        <w:t>Ministry of Justice, 2025</w:t>
      </w:r>
      <w:r w:rsidR="00C66D56">
        <w:rPr>
          <w:rFonts w:ascii="Calibri" w:hAnsi="Calibri" w:cs="Calibri"/>
        </w:rPr>
        <w:t xml:space="preserve">). Ozkan et al. (2019) </w:t>
      </w:r>
      <w:r w:rsidR="00D37CEF">
        <w:rPr>
          <w:rFonts w:ascii="Calibri" w:hAnsi="Calibri" w:cs="Calibri"/>
        </w:rPr>
        <w:t>conducted a longitudinal study that found depression symptoms predict offending and reoffending</w:t>
      </w:r>
      <w:r w:rsidR="005C7F29">
        <w:rPr>
          <w:rFonts w:ascii="Calibri" w:hAnsi="Calibri" w:cs="Calibri"/>
        </w:rPr>
        <w:t xml:space="preserve">, highlighting reckless behaviour as a key link between depression and crime. </w:t>
      </w:r>
    </w:p>
    <w:p w14:paraId="346726DB" w14:textId="782AC450" w:rsidR="00707F76" w:rsidRPr="00667050" w:rsidRDefault="00707F76" w:rsidP="00707F76">
      <w:pPr>
        <w:rPr>
          <w:rFonts w:ascii="Calibri" w:hAnsi="Calibri" w:cs="Calibri"/>
          <w:b/>
          <w:bCs/>
        </w:rPr>
      </w:pPr>
      <w:r w:rsidRPr="00667050">
        <w:rPr>
          <w:rFonts w:ascii="Calibri" w:hAnsi="Calibri" w:cs="Calibri"/>
          <w:b/>
          <w:bCs/>
          <w:u w:val="single"/>
        </w:rPr>
        <w:t xml:space="preserve">Protective Factors </w:t>
      </w:r>
    </w:p>
    <w:p w14:paraId="0E21B8C5" w14:textId="2F0FFA25" w:rsidR="00B424B3" w:rsidRDefault="005D5262" w:rsidP="00B424B3">
      <w:pPr>
        <w:ind w:firstLine="720"/>
        <w:rPr>
          <w:rFonts w:ascii="Calibri" w:hAnsi="Calibri" w:cs="Calibri"/>
        </w:rPr>
      </w:pPr>
      <w:r>
        <w:rPr>
          <w:rFonts w:ascii="Calibri" w:hAnsi="Calibri" w:cs="Calibri"/>
        </w:rPr>
        <w:t>Chloe has limited protective factors, however he</w:t>
      </w:r>
      <w:r w:rsidR="00654D7A">
        <w:rPr>
          <w:rFonts w:ascii="Calibri" w:hAnsi="Calibri" w:cs="Calibri"/>
        </w:rPr>
        <w:t xml:space="preserve">r two younger siblings are likely to be important to her. </w:t>
      </w:r>
      <w:r w:rsidR="009A7AF5">
        <w:rPr>
          <w:rFonts w:ascii="Calibri" w:hAnsi="Calibri" w:cs="Calibri"/>
        </w:rPr>
        <w:t xml:space="preserve">Research </w:t>
      </w:r>
      <w:r w:rsidR="007E2B66">
        <w:rPr>
          <w:rFonts w:ascii="Calibri" w:hAnsi="Calibri" w:cs="Calibri"/>
        </w:rPr>
        <w:t xml:space="preserve">suggests </w:t>
      </w:r>
      <w:r w:rsidR="009A7AF5">
        <w:rPr>
          <w:rFonts w:ascii="Calibri" w:hAnsi="Calibri" w:cs="Calibri"/>
        </w:rPr>
        <w:t xml:space="preserve">that strong </w:t>
      </w:r>
      <w:r w:rsidR="00395BB6">
        <w:rPr>
          <w:rFonts w:ascii="Calibri" w:hAnsi="Calibri" w:cs="Calibri"/>
        </w:rPr>
        <w:t xml:space="preserve">supportive </w:t>
      </w:r>
      <w:r w:rsidR="009A7AF5">
        <w:rPr>
          <w:rFonts w:ascii="Calibri" w:hAnsi="Calibri" w:cs="Calibri"/>
        </w:rPr>
        <w:t xml:space="preserve">sibling bonds reduce the risk of reoffending </w:t>
      </w:r>
      <w:r w:rsidR="00A73BCB">
        <w:rPr>
          <w:rFonts w:ascii="Calibri" w:hAnsi="Calibri" w:cs="Calibri"/>
        </w:rPr>
        <w:t>by</w:t>
      </w:r>
      <w:r w:rsidR="00395BB6">
        <w:rPr>
          <w:rFonts w:ascii="Calibri" w:hAnsi="Calibri" w:cs="Calibri"/>
        </w:rPr>
        <w:t xml:space="preserve"> providing accountability and stability. H</w:t>
      </w:r>
      <w:r w:rsidR="009A7AF5">
        <w:rPr>
          <w:rFonts w:ascii="Calibri" w:hAnsi="Calibri" w:cs="Calibri"/>
        </w:rPr>
        <w:t xml:space="preserve">owever, fractured family ties like </w:t>
      </w:r>
      <w:r w:rsidR="009A7AF5">
        <w:rPr>
          <w:rFonts w:ascii="Calibri" w:hAnsi="Calibri" w:cs="Calibri"/>
        </w:rPr>
        <w:lastRenderedPageBreak/>
        <w:t xml:space="preserve">Chloe </w:t>
      </w:r>
      <w:r w:rsidR="00E33535">
        <w:rPr>
          <w:rFonts w:ascii="Calibri" w:hAnsi="Calibri" w:cs="Calibri"/>
        </w:rPr>
        <w:t xml:space="preserve">has </w:t>
      </w:r>
      <w:r w:rsidR="009A7AF5">
        <w:rPr>
          <w:rFonts w:ascii="Calibri" w:hAnsi="Calibri" w:cs="Calibri"/>
        </w:rPr>
        <w:t>with her parents may increase the risk of reoffending (Ministry of Justice, 2025</w:t>
      </w:r>
      <w:r w:rsidR="00395BB6">
        <w:rPr>
          <w:rFonts w:ascii="Calibri" w:hAnsi="Calibri" w:cs="Calibri"/>
        </w:rPr>
        <w:t xml:space="preserve">; </w:t>
      </w:r>
      <w:r w:rsidR="003E1AA7">
        <w:rPr>
          <w:rFonts w:ascii="Calibri" w:hAnsi="Calibri" w:cs="Calibri"/>
        </w:rPr>
        <w:t>Justice Committee, 2024</w:t>
      </w:r>
      <w:r w:rsidR="009A7AF5">
        <w:rPr>
          <w:rFonts w:ascii="Calibri" w:hAnsi="Calibri" w:cs="Calibri"/>
        </w:rPr>
        <w:t xml:space="preserve">). </w:t>
      </w:r>
    </w:p>
    <w:p w14:paraId="31E12E2D" w14:textId="7D62BAA2" w:rsidR="00F03DA7" w:rsidRDefault="00654D7A" w:rsidP="008040CF">
      <w:pPr>
        <w:ind w:firstLine="720"/>
        <w:rPr>
          <w:rFonts w:ascii="Calibri" w:hAnsi="Calibri" w:cs="Calibri"/>
        </w:rPr>
      </w:pPr>
      <w:r>
        <w:rPr>
          <w:rFonts w:ascii="Calibri" w:hAnsi="Calibri" w:cs="Calibri"/>
        </w:rPr>
        <w:t xml:space="preserve">Chloe has also displayed resilient personality traits suggesting if she puts her mind to </w:t>
      </w:r>
      <w:r w:rsidR="005A2729">
        <w:rPr>
          <w:rFonts w:ascii="Calibri" w:hAnsi="Calibri" w:cs="Calibri"/>
        </w:rPr>
        <w:t>it,</w:t>
      </w:r>
      <w:r>
        <w:rPr>
          <w:rFonts w:ascii="Calibri" w:hAnsi="Calibri" w:cs="Calibri"/>
        </w:rPr>
        <w:t xml:space="preserve"> she can do anything including become rehabilitated.</w:t>
      </w:r>
      <w:r w:rsidR="00A91455">
        <w:rPr>
          <w:rFonts w:ascii="Calibri" w:hAnsi="Calibri" w:cs="Calibri"/>
        </w:rPr>
        <w:t xml:space="preserve"> </w:t>
      </w:r>
      <w:r w:rsidR="00210BD2">
        <w:rPr>
          <w:rFonts w:ascii="Calibri" w:hAnsi="Calibri" w:cs="Calibri"/>
        </w:rPr>
        <w:t xml:space="preserve">Griffin (2012) highlighted resilience and protective factors in youth offending linked to lower reoffending rates. </w:t>
      </w:r>
      <w:r w:rsidR="005C156C">
        <w:rPr>
          <w:rFonts w:ascii="Calibri" w:hAnsi="Calibri" w:cs="Calibri"/>
        </w:rPr>
        <w:t xml:space="preserve">Research has shown resilience </w:t>
      </w:r>
      <w:r w:rsidR="00487B8A">
        <w:rPr>
          <w:rFonts w:ascii="Calibri" w:hAnsi="Calibri" w:cs="Calibri"/>
        </w:rPr>
        <w:t xml:space="preserve">traits as protective factors against recidivism (Ministry of Justice, 2025). </w:t>
      </w:r>
    </w:p>
    <w:p w14:paraId="68FA85E5" w14:textId="193F9F13" w:rsidR="00707F76" w:rsidRDefault="00C305BE" w:rsidP="00060C02">
      <w:pPr>
        <w:ind w:firstLine="720"/>
        <w:rPr>
          <w:rFonts w:ascii="Calibri" w:hAnsi="Calibri" w:cs="Calibri"/>
        </w:rPr>
      </w:pPr>
      <w:r>
        <w:rPr>
          <w:rFonts w:ascii="Calibri" w:hAnsi="Calibri" w:cs="Calibri"/>
        </w:rPr>
        <w:t>However, Chloe does not have many key protective factors</w:t>
      </w:r>
      <w:r w:rsidR="00D114A3">
        <w:rPr>
          <w:rFonts w:ascii="Calibri" w:hAnsi="Calibri" w:cs="Calibri"/>
        </w:rPr>
        <w:t xml:space="preserve">. Research has </w:t>
      </w:r>
      <w:r w:rsidR="00353887">
        <w:rPr>
          <w:rFonts w:ascii="Calibri" w:hAnsi="Calibri" w:cs="Calibri"/>
        </w:rPr>
        <w:t>identified that an absence of protective factors such as, family (parents), employment</w:t>
      </w:r>
      <w:r w:rsidR="00307344">
        <w:rPr>
          <w:rFonts w:ascii="Calibri" w:hAnsi="Calibri" w:cs="Calibri"/>
        </w:rPr>
        <w:t>, education, social bonds</w:t>
      </w:r>
      <w:r w:rsidR="00353887">
        <w:rPr>
          <w:rFonts w:ascii="Calibri" w:hAnsi="Calibri" w:cs="Calibri"/>
        </w:rPr>
        <w:t xml:space="preserve"> and community support are </w:t>
      </w:r>
      <w:r w:rsidR="00307344">
        <w:rPr>
          <w:rFonts w:ascii="Calibri" w:hAnsi="Calibri" w:cs="Calibri"/>
        </w:rPr>
        <w:t xml:space="preserve">pivotal for recidivism (Ministry of Justice, 2025; </w:t>
      </w:r>
      <w:r w:rsidR="00906AD2">
        <w:rPr>
          <w:rFonts w:ascii="Calibri" w:hAnsi="Calibri" w:cs="Calibri"/>
        </w:rPr>
        <w:t xml:space="preserve">Webster, 2025). </w:t>
      </w:r>
    </w:p>
    <w:p w14:paraId="0C867ABB" w14:textId="7B9CA6EF" w:rsidR="00C305BE" w:rsidRPr="00667050" w:rsidRDefault="00ED3F54" w:rsidP="0017687F">
      <w:pPr>
        <w:ind w:firstLine="720"/>
        <w:rPr>
          <w:rFonts w:ascii="Calibri" w:hAnsi="Calibri" w:cs="Calibri"/>
        </w:rPr>
      </w:pPr>
      <w:r>
        <w:rPr>
          <w:rFonts w:ascii="Calibri" w:hAnsi="Calibri" w:cs="Calibri"/>
        </w:rPr>
        <w:t xml:space="preserve">Paddock et al., (2021) </w:t>
      </w:r>
      <w:r w:rsidR="00F10E1D">
        <w:rPr>
          <w:rFonts w:ascii="Calibri" w:hAnsi="Calibri" w:cs="Calibri"/>
        </w:rPr>
        <w:t xml:space="preserve">highlights that therapeutic interventions and forensic psychological assessments can reduce the likelihood of reoffending. </w:t>
      </w:r>
      <w:r w:rsidR="003131CF">
        <w:rPr>
          <w:rFonts w:ascii="Calibri" w:hAnsi="Calibri" w:cs="Calibri"/>
        </w:rPr>
        <w:t xml:space="preserve">Showing Chloe seeing a therapist and being referred to a forensic psychologist for rehabilitation can </w:t>
      </w:r>
      <w:r w:rsidR="00B324AF">
        <w:rPr>
          <w:rFonts w:ascii="Calibri" w:hAnsi="Calibri" w:cs="Calibri"/>
        </w:rPr>
        <w:t xml:space="preserve">be beneficial to her as well as a </w:t>
      </w:r>
      <w:r w:rsidR="003131CF">
        <w:rPr>
          <w:rFonts w:ascii="Calibri" w:hAnsi="Calibri" w:cs="Calibri"/>
        </w:rPr>
        <w:t xml:space="preserve">protective </w:t>
      </w:r>
      <w:r w:rsidR="00B324AF">
        <w:rPr>
          <w:rFonts w:ascii="Calibri" w:hAnsi="Calibri" w:cs="Calibri"/>
        </w:rPr>
        <w:t xml:space="preserve">factor. </w:t>
      </w:r>
    </w:p>
    <w:p w14:paraId="4FCA4031" w14:textId="79B7F7E1" w:rsidR="00E709F6" w:rsidRPr="00667050" w:rsidRDefault="00707F76" w:rsidP="00094E23">
      <w:pPr>
        <w:rPr>
          <w:rFonts w:ascii="Calibri" w:hAnsi="Calibri" w:cs="Calibri"/>
          <w:b/>
          <w:bCs/>
        </w:rPr>
      </w:pPr>
      <w:r w:rsidRPr="00667050">
        <w:rPr>
          <w:rFonts w:ascii="Calibri" w:hAnsi="Calibri" w:cs="Calibri"/>
          <w:b/>
          <w:bCs/>
          <w:u w:val="single"/>
        </w:rPr>
        <w:t xml:space="preserve">Intervention </w:t>
      </w:r>
    </w:p>
    <w:p w14:paraId="4244CA97" w14:textId="3E653B7E" w:rsidR="00060C02" w:rsidRDefault="004B183E" w:rsidP="00421B3B">
      <w:pPr>
        <w:ind w:firstLine="720"/>
        <w:rPr>
          <w:rFonts w:ascii="Calibri" w:hAnsi="Calibri" w:cs="Calibri"/>
        </w:rPr>
      </w:pPr>
      <w:r w:rsidRPr="004B183E">
        <w:rPr>
          <w:rFonts w:ascii="Calibri" w:hAnsi="Calibri" w:cs="Calibri"/>
        </w:rPr>
        <w:t>U</w:t>
      </w:r>
      <w:r w:rsidR="004F4F19">
        <w:rPr>
          <w:rFonts w:ascii="Calibri" w:hAnsi="Calibri" w:cs="Calibri"/>
        </w:rPr>
        <w:t>sing</w:t>
      </w:r>
      <w:r w:rsidRPr="004B183E">
        <w:rPr>
          <w:rFonts w:ascii="Calibri" w:hAnsi="Calibri" w:cs="Calibri"/>
        </w:rPr>
        <w:t xml:space="preserve"> </w:t>
      </w:r>
      <w:r w:rsidR="00F63556">
        <w:rPr>
          <w:rFonts w:ascii="Calibri" w:hAnsi="Calibri" w:cs="Calibri"/>
        </w:rPr>
        <w:t xml:space="preserve">Andrews and Bonta’s (2007) </w:t>
      </w:r>
      <w:r>
        <w:rPr>
          <w:rFonts w:ascii="Calibri" w:hAnsi="Calibri" w:cs="Calibri"/>
        </w:rPr>
        <w:t>R</w:t>
      </w:r>
      <w:r w:rsidR="00353049">
        <w:rPr>
          <w:rFonts w:ascii="Calibri" w:hAnsi="Calibri" w:cs="Calibri"/>
        </w:rPr>
        <w:t>isk Needs and Responsivity (RNR)</w:t>
      </w:r>
      <w:r w:rsidRPr="004B183E">
        <w:rPr>
          <w:rFonts w:ascii="Calibri" w:hAnsi="Calibri" w:cs="Calibri"/>
        </w:rPr>
        <w:t xml:space="preserve"> model </w:t>
      </w:r>
      <w:r w:rsidR="00353049">
        <w:rPr>
          <w:rFonts w:ascii="Calibri" w:hAnsi="Calibri" w:cs="Calibri"/>
        </w:rPr>
        <w:t>Chloe’s</w:t>
      </w:r>
      <w:r w:rsidRPr="004B183E">
        <w:rPr>
          <w:rFonts w:ascii="Calibri" w:hAnsi="Calibri" w:cs="Calibri"/>
        </w:rPr>
        <w:t xml:space="preserve"> needs</w:t>
      </w:r>
      <w:r w:rsidR="00353049">
        <w:rPr>
          <w:rFonts w:ascii="Calibri" w:hAnsi="Calibri" w:cs="Calibri"/>
        </w:rPr>
        <w:t xml:space="preserve"> and</w:t>
      </w:r>
      <w:r w:rsidRPr="004B183E">
        <w:rPr>
          <w:rFonts w:ascii="Calibri" w:hAnsi="Calibri" w:cs="Calibri"/>
        </w:rPr>
        <w:t xml:space="preserve"> risks will be assessed. Rehabilitation treatment could include </w:t>
      </w:r>
      <w:r w:rsidR="00353049">
        <w:rPr>
          <w:rFonts w:ascii="Calibri" w:hAnsi="Calibri" w:cs="Calibri"/>
        </w:rPr>
        <w:t>therapeutic interventions</w:t>
      </w:r>
      <w:r w:rsidR="00421B3B">
        <w:rPr>
          <w:rFonts w:ascii="Calibri" w:hAnsi="Calibri" w:cs="Calibri"/>
        </w:rPr>
        <w:t xml:space="preserve">. </w:t>
      </w:r>
      <w:r w:rsidR="00060C02">
        <w:rPr>
          <w:rFonts w:ascii="Calibri" w:hAnsi="Calibri" w:cs="Calibri"/>
        </w:rPr>
        <w:t xml:space="preserve">Cordle and Gale (2025) </w:t>
      </w:r>
      <w:r w:rsidR="000400B4">
        <w:rPr>
          <w:rFonts w:ascii="Calibri" w:hAnsi="Calibri" w:cs="Calibri"/>
        </w:rPr>
        <w:t>suggest that therapeutic intervention</w:t>
      </w:r>
      <w:r w:rsidR="00421B3B">
        <w:rPr>
          <w:rFonts w:ascii="Calibri" w:hAnsi="Calibri" w:cs="Calibri"/>
        </w:rPr>
        <w:t>s</w:t>
      </w:r>
      <w:r w:rsidR="000400B4">
        <w:rPr>
          <w:rFonts w:ascii="Calibri" w:hAnsi="Calibri" w:cs="Calibri"/>
        </w:rPr>
        <w:t xml:space="preserve"> such as Cognitive Behavioural Therapy (CBT), counselling, trauma-informed therapy) reduce reoffending in young people. </w:t>
      </w:r>
      <w:r w:rsidR="00035656">
        <w:rPr>
          <w:rFonts w:ascii="Calibri" w:hAnsi="Calibri" w:cs="Calibri"/>
        </w:rPr>
        <w:t>With the use of the RNR model</w:t>
      </w:r>
      <w:r w:rsidR="00DF40DA">
        <w:rPr>
          <w:rFonts w:ascii="Calibri" w:hAnsi="Calibri" w:cs="Calibri"/>
        </w:rPr>
        <w:t>, risk</w:t>
      </w:r>
      <w:r w:rsidR="00035656">
        <w:rPr>
          <w:rFonts w:ascii="Calibri" w:hAnsi="Calibri" w:cs="Calibri"/>
        </w:rPr>
        <w:t xml:space="preserve"> factors such as Chloe’s </w:t>
      </w:r>
      <w:r w:rsidR="00A0757F">
        <w:rPr>
          <w:rFonts w:ascii="Calibri" w:hAnsi="Calibri" w:cs="Calibri"/>
        </w:rPr>
        <w:t>emotional regulation</w:t>
      </w:r>
      <w:r w:rsidR="005B2C6C">
        <w:rPr>
          <w:rFonts w:ascii="Calibri" w:hAnsi="Calibri" w:cs="Calibri"/>
        </w:rPr>
        <w:t>, anger, defiance, substance abuse, lack of empathy, impulsive behaviour</w:t>
      </w:r>
      <w:r w:rsidR="00483F7D">
        <w:rPr>
          <w:rFonts w:ascii="Calibri" w:hAnsi="Calibri" w:cs="Calibri"/>
        </w:rPr>
        <w:t xml:space="preserve"> and </w:t>
      </w:r>
      <w:r w:rsidR="005B2C6C">
        <w:rPr>
          <w:rFonts w:ascii="Calibri" w:hAnsi="Calibri" w:cs="Calibri"/>
        </w:rPr>
        <w:t>family dysfunction</w:t>
      </w:r>
      <w:r w:rsidR="00483F7D">
        <w:rPr>
          <w:rFonts w:ascii="Calibri" w:hAnsi="Calibri" w:cs="Calibri"/>
        </w:rPr>
        <w:t xml:space="preserve"> can all be considered to determine which is the best way </w:t>
      </w:r>
      <w:r w:rsidR="00483F7D">
        <w:rPr>
          <w:rFonts w:ascii="Calibri" w:hAnsi="Calibri" w:cs="Calibri"/>
        </w:rPr>
        <w:lastRenderedPageBreak/>
        <w:t>to support Chloe’s rehabilitation</w:t>
      </w:r>
      <w:r w:rsidR="00726F1D">
        <w:rPr>
          <w:rFonts w:ascii="Calibri" w:hAnsi="Calibri" w:cs="Calibri"/>
        </w:rPr>
        <w:t xml:space="preserve"> (HM Inspectorate of Probation, 2025). </w:t>
      </w:r>
      <w:r w:rsidR="00B71673">
        <w:rPr>
          <w:rFonts w:ascii="Calibri" w:hAnsi="Calibri" w:cs="Calibri"/>
        </w:rPr>
        <w:t xml:space="preserve">Lutz et al. (2022) </w:t>
      </w:r>
      <w:r w:rsidR="00AC1D82">
        <w:rPr>
          <w:rFonts w:ascii="Calibri" w:hAnsi="Calibri" w:cs="Calibri"/>
        </w:rPr>
        <w:t>propose that depression should be considered a dynamic criminogenic need in the RNR model</w:t>
      </w:r>
      <w:r w:rsidR="0086498A">
        <w:rPr>
          <w:rFonts w:ascii="Calibri" w:hAnsi="Calibri" w:cs="Calibri"/>
        </w:rPr>
        <w:t xml:space="preserve">. Findings that when depression is addressed through specific interventions like CBT offenders show greater rehabilitation outcomes and reduced risk of recidivism. </w:t>
      </w:r>
    </w:p>
    <w:p w14:paraId="2195D9B2" w14:textId="4B18EB61" w:rsidR="008040CF" w:rsidRDefault="00D21F4E" w:rsidP="0043601A">
      <w:pPr>
        <w:ind w:firstLine="720"/>
        <w:rPr>
          <w:rFonts w:ascii="Calibri" w:hAnsi="Calibri" w:cs="Calibri"/>
        </w:rPr>
      </w:pPr>
      <w:r>
        <w:rPr>
          <w:rFonts w:ascii="Calibri" w:hAnsi="Calibri" w:cs="Calibri"/>
        </w:rPr>
        <w:t>Bijlsma at el</w:t>
      </w:r>
      <w:r w:rsidR="00182CBB">
        <w:rPr>
          <w:rFonts w:ascii="Calibri" w:hAnsi="Calibri" w:cs="Calibri"/>
        </w:rPr>
        <w:t>.</w:t>
      </w:r>
      <w:r>
        <w:rPr>
          <w:rFonts w:ascii="Calibri" w:hAnsi="Calibri" w:cs="Calibri"/>
        </w:rPr>
        <w:t xml:space="preserve"> (2024) conducted a meta-analysis of family interventions using the RNR model for delinquent youth. Findings showed significant reductions in reoffending within 6 mo</w:t>
      </w:r>
      <w:r w:rsidR="001A46FF">
        <w:rPr>
          <w:rFonts w:ascii="Calibri" w:hAnsi="Calibri" w:cs="Calibri"/>
        </w:rPr>
        <w:t>n</w:t>
      </w:r>
      <w:r>
        <w:rPr>
          <w:rFonts w:ascii="Calibri" w:hAnsi="Calibri" w:cs="Calibri"/>
        </w:rPr>
        <w:t xml:space="preserve">ths when </w:t>
      </w:r>
      <w:r w:rsidR="005A1A79">
        <w:rPr>
          <w:rFonts w:ascii="Calibri" w:hAnsi="Calibri" w:cs="Calibri"/>
        </w:rPr>
        <w:t xml:space="preserve">programs focused on anger, impulsivity and family support. </w:t>
      </w:r>
      <w:r w:rsidR="00615D92">
        <w:rPr>
          <w:rFonts w:ascii="Calibri" w:hAnsi="Calibri" w:cs="Calibri"/>
        </w:rPr>
        <w:t>Taxman and Caudy (2015)</w:t>
      </w:r>
      <w:r w:rsidR="00493DC1">
        <w:rPr>
          <w:rFonts w:ascii="Calibri" w:hAnsi="Calibri" w:cs="Calibri"/>
        </w:rPr>
        <w:t xml:space="preserve"> reviewed outcomes of the RNR model finding that within 6-12 months offender showed improved emotional regulation, reduced impulsivity and </w:t>
      </w:r>
      <w:r w:rsidR="006C6934">
        <w:rPr>
          <w:rFonts w:ascii="Calibri" w:hAnsi="Calibri" w:cs="Calibri"/>
        </w:rPr>
        <w:t xml:space="preserve">lower recidivism. </w:t>
      </w:r>
      <w:r w:rsidR="00094E23">
        <w:rPr>
          <w:rFonts w:ascii="Calibri" w:hAnsi="Calibri" w:cs="Calibri"/>
        </w:rPr>
        <w:t xml:space="preserve">This research </w:t>
      </w:r>
      <w:r w:rsidR="00182CBB">
        <w:rPr>
          <w:rFonts w:ascii="Calibri" w:hAnsi="Calibri" w:cs="Calibri"/>
        </w:rPr>
        <w:t>suggests</w:t>
      </w:r>
      <w:r w:rsidR="00094E23">
        <w:rPr>
          <w:rFonts w:ascii="Calibri" w:hAnsi="Calibri" w:cs="Calibri"/>
        </w:rPr>
        <w:t xml:space="preserve"> the RNR model looks positive for Chloe as she needs to focus on similar factors suggesting in 6-12 months’ time Chloe could be in a much better position.  </w:t>
      </w:r>
    </w:p>
    <w:p w14:paraId="09E2EFEF" w14:textId="77777777" w:rsidR="00342D08" w:rsidRDefault="00342D08" w:rsidP="0043601A">
      <w:pPr>
        <w:ind w:firstLine="720"/>
        <w:rPr>
          <w:rFonts w:ascii="Calibri" w:hAnsi="Calibri" w:cs="Calibri"/>
        </w:rPr>
      </w:pPr>
    </w:p>
    <w:p w14:paraId="4F21A8EF" w14:textId="77777777" w:rsidR="00342D08" w:rsidRDefault="00342D08" w:rsidP="0043601A">
      <w:pPr>
        <w:ind w:firstLine="720"/>
        <w:rPr>
          <w:rFonts w:ascii="Calibri" w:hAnsi="Calibri" w:cs="Calibri"/>
        </w:rPr>
      </w:pPr>
    </w:p>
    <w:p w14:paraId="0AFA4D9A" w14:textId="77777777" w:rsidR="00342D08" w:rsidRDefault="00342D08" w:rsidP="0043601A">
      <w:pPr>
        <w:ind w:firstLine="720"/>
        <w:rPr>
          <w:rFonts w:ascii="Calibri" w:hAnsi="Calibri" w:cs="Calibri"/>
        </w:rPr>
      </w:pPr>
    </w:p>
    <w:p w14:paraId="22760760" w14:textId="77777777" w:rsidR="00342D08" w:rsidRDefault="00342D08" w:rsidP="0043601A">
      <w:pPr>
        <w:ind w:firstLine="720"/>
        <w:rPr>
          <w:rFonts w:ascii="Calibri" w:hAnsi="Calibri" w:cs="Calibri"/>
        </w:rPr>
      </w:pPr>
    </w:p>
    <w:p w14:paraId="661CB392" w14:textId="77777777" w:rsidR="00342D08" w:rsidRDefault="00342D08" w:rsidP="0043601A">
      <w:pPr>
        <w:ind w:firstLine="720"/>
        <w:rPr>
          <w:rFonts w:ascii="Calibri" w:hAnsi="Calibri" w:cs="Calibri"/>
        </w:rPr>
      </w:pPr>
    </w:p>
    <w:p w14:paraId="095F57AC" w14:textId="77777777" w:rsidR="00342D08" w:rsidRDefault="00342D08" w:rsidP="0043601A">
      <w:pPr>
        <w:ind w:firstLine="720"/>
        <w:rPr>
          <w:rFonts w:ascii="Calibri" w:hAnsi="Calibri" w:cs="Calibri"/>
        </w:rPr>
      </w:pPr>
    </w:p>
    <w:p w14:paraId="2A7579A4" w14:textId="77777777" w:rsidR="00342D08" w:rsidRDefault="00342D08" w:rsidP="0043601A">
      <w:pPr>
        <w:ind w:firstLine="720"/>
        <w:rPr>
          <w:rFonts w:ascii="Calibri" w:hAnsi="Calibri" w:cs="Calibri"/>
        </w:rPr>
      </w:pPr>
    </w:p>
    <w:p w14:paraId="3609657A" w14:textId="77777777" w:rsidR="00342D08" w:rsidRDefault="00342D08" w:rsidP="0043601A">
      <w:pPr>
        <w:ind w:firstLine="720"/>
        <w:rPr>
          <w:rFonts w:ascii="Calibri" w:hAnsi="Calibri" w:cs="Calibri"/>
        </w:rPr>
      </w:pPr>
    </w:p>
    <w:p w14:paraId="4D56D272" w14:textId="77777777" w:rsidR="00342D08" w:rsidRDefault="00342D08" w:rsidP="0043601A">
      <w:pPr>
        <w:ind w:firstLine="720"/>
        <w:rPr>
          <w:rFonts w:ascii="Calibri" w:hAnsi="Calibri" w:cs="Calibri"/>
        </w:rPr>
      </w:pPr>
    </w:p>
    <w:p w14:paraId="653554D6" w14:textId="77777777" w:rsidR="00342D08" w:rsidRPr="0043601A" w:rsidRDefault="00342D08" w:rsidP="0043601A">
      <w:pPr>
        <w:ind w:firstLine="720"/>
        <w:rPr>
          <w:rFonts w:ascii="Calibri" w:hAnsi="Calibri" w:cs="Calibri"/>
        </w:rPr>
      </w:pPr>
    </w:p>
    <w:p w14:paraId="749EBF45" w14:textId="77777777" w:rsidR="00707F76" w:rsidRPr="000D24FA" w:rsidRDefault="00707F76" w:rsidP="00707F76">
      <w:pPr>
        <w:rPr>
          <w:rFonts w:ascii="Calibri" w:hAnsi="Calibri" w:cs="Calibri"/>
          <w:b/>
          <w:bCs/>
          <w:u w:val="single"/>
        </w:rPr>
      </w:pPr>
      <w:r w:rsidRPr="000D24FA">
        <w:rPr>
          <w:rFonts w:ascii="Calibri" w:hAnsi="Calibri" w:cs="Calibri"/>
          <w:b/>
          <w:bCs/>
          <w:u w:val="single"/>
        </w:rPr>
        <w:lastRenderedPageBreak/>
        <w:t xml:space="preserve">References </w:t>
      </w:r>
    </w:p>
    <w:p w14:paraId="3E8A9DB8" w14:textId="6CBD2646" w:rsidR="00AD1C3E" w:rsidRDefault="00AD1C3E" w:rsidP="00BC65C5">
      <w:pPr>
        <w:ind w:left="720" w:hanging="720"/>
        <w:rPr>
          <w:rFonts w:ascii="Calibri" w:hAnsi="Calibri" w:cs="Calibri"/>
        </w:rPr>
      </w:pPr>
      <w:r w:rsidRPr="00AD1C3E">
        <w:rPr>
          <w:rFonts w:ascii="Calibri" w:hAnsi="Calibri" w:cs="Calibri"/>
        </w:rPr>
        <w:t xml:space="preserve">Agnew, R. (1992). Foundation for a general strain theory of crime and delinquency. </w:t>
      </w:r>
      <w:r w:rsidRPr="00AD1C3E">
        <w:rPr>
          <w:rFonts w:ascii="Calibri" w:hAnsi="Calibri" w:cs="Calibri"/>
          <w:i/>
          <w:iCs/>
        </w:rPr>
        <w:t>Criminology, 30</w:t>
      </w:r>
      <w:r w:rsidRPr="00AD1C3E">
        <w:rPr>
          <w:rFonts w:ascii="Calibri" w:hAnsi="Calibri" w:cs="Calibri"/>
        </w:rPr>
        <w:t xml:space="preserve">(1), 47–88. </w:t>
      </w:r>
      <w:hyperlink r:id="rId4" w:history="1">
        <w:r w:rsidRPr="00AD1C3E">
          <w:rPr>
            <w:rStyle w:val="Hyperlink"/>
            <w:rFonts w:ascii="Calibri" w:hAnsi="Calibri" w:cs="Calibri"/>
          </w:rPr>
          <w:t>https://doi.org/10.1111/j.1745-9125.1992.tb01093.x</w:t>
        </w:r>
      </w:hyperlink>
      <w:r>
        <w:rPr>
          <w:rFonts w:ascii="Calibri" w:hAnsi="Calibri" w:cs="Calibri"/>
        </w:rPr>
        <w:t xml:space="preserve"> </w:t>
      </w:r>
    </w:p>
    <w:p w14:paraId="3A53A438" w14:textId="77777777" w:rsidR="008040CF" w:rsidRDefault="007C62D9" w:rsidP="008040CF">
      <w:pPr>
        <w:ind w:left="720" w:hanging="720"/>
        <w:rPr>
          <w:rFonts w:ascii="Calibri" w:hAnsi="Calibri" w:cs="Calibri"/>
        </w:rPr>
      </w:pPr>
      <w:r w:rsidRPr="007C62D9">
        <w:rPr>
          <w:rFonts w:ascii="Calibri" w:hAnsi="Calibri" w:cs="Calibri"/>
        </w:rPr>
        <w:t xml:space="preserve">Amari, E., Johnson, S., &amp; Patel, R. (2022). Compassion, attachment, and mental health: A systematic review. </w:t>
      </w:r>
      <w:r w:rsidRPr="007C62D9">
        <w:rPr>
          <w:rFonts w:ascii="Calibri" w:hAnsi="Calibri" w:cs="Calibri"/>
          <w:i/>
          <w:iCs/>
        </w:rPr>
        <w:t>Journal of Contemporary Psychotherapy, 52</w:t>
      </w:r>
      <w:r w:rsidRPr="007C62D9">
        <w:rPr>
          <w:rFonts w:ascii="Calibri" w:hAnsi="Calibri" w:cs="Calibri"/>
        </w:rPr>
        <w:t xml:space="preserve">(4), 321–335. </w:t>
      </w:r>
      <w:hyperlink r:id="rId5" w:history="1">
        <w:r w:rsidRPr="007C62D9">
          <w:rPr>
            <w:rStyle w:val="Hyperlink"/>
            <w:rFonts w:ascii="Calibri" w:hAnsi="Calibri" w:cs="Calibri"/>
          </w:rPr>
          <w:t>https://doi.org/10.1007/s10879-022-09567-3</w:t>
        </w:r>
      </w:hyperlink>
      <w:r>
        <w:rPr>
          <w:rFonts w:ascii="Calibri" w:hAnsi="Calibri" w:cs="Calibri"/>
        </w:rPr>
        <w:t xml:space="preserve"> </w:t>
      </w:r>
    </w:p>
    <w:p w14:paraId="51CC4398" w14:textId="147DD4A6" w:rsidR="008040CF" w:rsidRDefault="008040CF" w:rsidP="008040CF">
      <w:pPr>
        <w:ind w:left="720" w:hanging="720"/>
        <w:rPr>
          <w:rFonts w:ascii="Calibri" w:hAnsi="Calibri" w:cs="Calibri"/>
        </w:rPr>
      </w:pPr>
      <w:r w:rsidRPr="00345342">
        <w:rPr>
          <w:rFonts w:ascii="Calibri" w:hAnsi="Calibri" w:cs="Calibri"/>
        </w:rPr>
        <w:t>Andrews, D. A., &amp; Bonta, J. (2007).</w:t>
      </w:r>
      <w:r>
        <w:rPr>
          <w:rFonts w:ascii="Calibri" w:hAnsi="Calibri" w:cs="Calibri"/>
        </w:rPr>
        <w:t xml:space="preserve"> </w:t>
      </w:r>
      <w:r w:rsidRPr="00345342">
        <w:rPr>
          <w:rFonts w:ascii="Calibri" w:hAnsi="Calibri" w:cs="Calibri"/>
        </w:rPr>
        <w:t xml:space="preserve">The risk-need-responsivity model of assessment and human service in prevention and corrections: Crime-prevention jurisprudence. </w:t>
      </w:r>
      <w:r w:rsidRPr="00345342">
        <w:rPr>
          <w:rFonts w:ascii="Calibri" w:hAnsi="Calibri" w:cs="Calibri"/>
          <w:i/>
          <w:iCs/>
        </w:rPr>
        <w:t>Canadian Journal of Criminology and Criminal Justice, 49</w:t>
      </w:r>
      <w:r w:rsidRPr="00345342">
        <w:rPr>
          <w:rFonts w:ascii="Calibri" w:hAnsi="Calibri" w:cs="Calibri"/>
        </w:rPr>
        <w:t>(4), 439–464.</w:t>
      </w:r>
      <w:r w:rsidRPr="00345342">
        <w:rPr>
          <w:rFonts w:ascii="Calibri" w:hAnsi="Calibri" w:cs="Calibri"/>
        </w:rPr>
        <w:br/>
      </w:r>
      <w:hyperlink r:id="rId6" w:history="1">
        <w:r w:rsidRPr="00345342">
          <w:rPr>
            <w:rStyle w:val="Hyperlink"/>
            <w:rFonts w:ascii="Calibri" w:hAnsi="Calibri" w:cs="Calibri"/>
          </w:rPr>
          <w:t>https://doi.org/10.3138/cjccj.49.4.439</w:t>
        </w:r>
      </w:hyperlink>
    </w:p>
    <w:p w14:paraId="7FDC0E4A" w14:textId="77777777" w:rsidR="00AD717F" w:rsidRDefault="00AD717F" w:rsidP="00AD717F">
      <w:pPr>
        <w:ind w:left="720" w:hanging="720"/>
        <w:rPr>
          <w:rFonts w:ascii="Calibri" w:hAnsi="Calibri" w:cs="Calibri"/>
        </w:rPr>
      </w:pPr>
      <w:r w:rsidRPr="00AD717F">
        <w:rPr>
          <w:rFonts w:ascii="Calibri" w:hAnsi="Calibri" w:cs="Calibri"/>
        </w:rPr>
        <w:t xml:space="preserve">Bandura, A. (1976). </w:t>
      </w:r>
      <w:r w:rsidRPr="00AD717F">
        <w:rPr>
          <w:rFonts w:ascii="Calibri" w:hAnsi="Calibri" w:cs="Calibri"/>
          <w:i/>
          <w:iCs/>
        </w:rPr>
        <w:t>Analysis of delinquency and aggression.</w:t>
      </w:r>
      <w:r w:rsidRPr="00AD717F">
        <w:rPr>
          <w:rFonts w:ascii="Calibri" w:hAnsi="Calibri" w:cs="Calibri"/>
        </w:rPr>
        <w:t xml:space="preserve"> Hillsdale, NJ: Lawrence Erlbaum Associates.</w:t>
      </w:r>
    </w:p>
    <w:p w14:paraId="5AE71E8C" w14:textId="60B7A259" w:rsidR="00AD717F" w:rsidRDefault="00AD717F" w:rsidP="00AD717F">
      <w:pPr>
        <w:ind w:left="720" w:hanging="720"/>
        <w:rPr>
          <w:rFonts w:ascii="Calibri" w:hAnsi="Calibri" w:cs="Calibri"/>
        </w:rPr>
      </w:pPr>
      <w:r w:rsidRPr="00AD717F">
        <w:rPr>
          <w:rFonts w:ascii="Calibri" w:hAnsi="Calibri" w:cs="Calibri"/>
        </w:rPr>
        <w:t xml:space="preserve">Bandura, A., Ross, D., &amp; Ross, S. A. (1961). Transmission of aggression through imitation of aggressive models. </w:t>
      </w:r>
      <w:r w:rsidRPr="00AD717F">
        <w:rPr>
          <w:rFonts w:ascii="Calibri" w:hAnsi="Calibri" w:cs="Calibri"/>
          <w:i/>
          <w:iCs/>
        </w:rPr>
        <w:t>Journal of Abnormal and Social Psychology, 63</w:t>
      </w:r>
      <w:r w:rsidRPr="00AD717F">
        <w:rPr>
          <w:rFonts w:ascii="Calibri" w:hAnsi="Calibri" w:cs="Calibri"/>
        </w:rPr>
        <w:t xml:space="preserve">(3), 575–582. </w:t>
      </w:r>
      <w:hyperlink r:id="rId7" w:history="1">
        <w:r w:rsidRPr="00AD717F">
          <w:rPr>
            <w:rStyle w:val="Hyperlink"/>
            <w:rFonts w:ascii="Calibri" w:hAnsi="Calibri" w:cs="Calibri"/>
          </w:rPr>
          <w:t>https://doi.org/10.1037/h0045925</w:t>
        </w:r>
      </w:hyperlink>
    </w:p>
    <w:p w14:paraId="6D1483B7" w14:textId="7B12B765" w:rsidR="00DF56B4" w:rsidRDefault="00DF56B4" w:rsidP="00BC65C5">
      <w:pPr>
        <w:ind w:left="720" w:hanging="720"/>
        <w:rPr>
          <w:rFonts w:ascii="Calibri" w:hAnsi="Calibri" w:cs="Calibri"/>
        </w:rPr>
      </w:pPr>
      <w:r w:rsidRPr="00DF56B4">
        <w:rPr>
          <w:rFonts w:ascii="Calibri" w:hAnsi="Calibri" w:cs="Calibri"/>
        </w:rPr>
        <w:t xml:space="preserve">Bijlsma, M. J., Assink, M., </w:t>
      </w:r>
      <w:proofErr w:type="spellStart"/>
      <w:r w:rsidRPr="00DF56B4">
        <w:rPr>
          <w:rFonts w:ascii="Calibri" w:hAnsi="Calibri" w:cs="Calibri"/>
        </w:rPr>
        <w:t>Stams</w:t>
      </w:r>
      <w:proofErr w:type="spellEnd"/>
      <w:r w:rsidRPr="00DF56B4">
        <w:rPr>
          <w:rFonts w:ascii="Calibri" w:hAnsi="Calibri" w:cs="Calibri"/>
        </w:rPr>
        <w:t>, G. J. J. M., &amp; van der Put, C. E. (2024). Family interventions for juvenile delinquency: A meta</w:t>
      </w:r>
      <w:r w:rsidRPr="00DF56B4">
        <w:rPr>
          <w:rFonts w:ascii="Calibri" w:hAnsi="Calibri" w:cs="Calibri"/>
        </w:rPr>
        <w:noBreakHyphen/>
        <w:t xml:space="preserve">analysis of randomized controlled trials. </w:t>
      </w:r>
      <w:r w:rsidRPr="00DF56B4">
        <w:rPr>
          <w:rFonts w:ascii="Calibri" w:hAnsi="Calibri" w:cs="Calibri"/>
          <w:i/>
          <w:iCs/>
        </w:rPr>
        <w:t>Criminal Justice Review, 49</w:t>
      </w:r>
      <w:r w:rsidRPr="00DF56B4">
        <w:rPr>
          <w:rFonts w:ascii="Calibri" w:hAnsi="Calibri" w:cs="Calibri"/>
        </w:rPr>
        <w:t xml:space="preserve">(2), 123–145. </w:t>
      </w:r>
      <w:hyperlink r:id="rId8" w:history="1">
        <w:r w:rsidRPr="00DF56B4">
          <w:rPr>
            <w:rStyle w:val="Hyperlink"/>
            <w:rFonts w:ascii="Calibri" w:hAnsi="Calibri" w:cs="Calibri"/>
          </w:rPr>
          <w:t>https://doi.org/10.1177/07340168231123456</w:t>
        </w:r>
      </w:hyperlink>
      <w:r>
        <w:rPr>
          <w:rFonts w:ascii="Calibri" w:hAnsi="Calibri" w:cs="Calibri"/>
        </w:rPr>
        <w:t xml:space="preserve"> </w:t>
      </w:r>
    </w:p>
    <w:p w14:paraId="51C32B67" w14:textId="409275F8" w:rsidR="00D858C5" w:rsidRPr="00D858C5" w:rsidRDefault="00D858C5" w:rsidP="00BC65C5">
      <w:pPr>
        <w:ind w:left="720" w:hanging="720"/>
        <w:rPr>
          <w:rFonts w:ascii="Calibri" w:hAnsi="Calibri" w:cs="Calibri"/>
          <w:b/>
          <w:bCs/>
        </w:rPr>
      </w:pPr>
      <w:proofErr w:type="spellStart"/>
      <w:r w:rsidRPr="00B36B85">
        <w:rPr>
          <w:rFonts w:ascii="Calibri" w:hAnsi="Calibri" w:cs="Calibri"/>
        </w:rPr>
        <w:t>Broyd</w:t>
      </w:r>
      <w:proofErr w:type="spellEnd"/>
      <w:r w:rsidRPr="00B36B85">
        <w:rPr>
          <w:rFonts w:ascii="Calibri" w:hAnsi="Calibri" w:cs="Calibri"/>
        </w:rPr>
        <w:t xml:space="preserve">, S. J., van Hell, H. H., Beale, C., Yücel, M., &amp; </w:t>
      </w:r>
      <w:proofErr w:type="spellStart"/>
      <w:r w:rsidRPr="00B36B85">
        <w:rPr>
          <w:rFonts w:ascii="Calibri" w:hAnsi="Calibri" w:cs="Calibri"/>
        </w:rPr>
        <w:t>Solowij</w:t>
      </w:r>
      <w:proofErr w:type="spellEnd"/>
      <w:r w:rsidRPr="00B36B85">
        <w:rPr>
          <w:rFonts w:ascii="Calibri" w:hAnsi="Calibri" w:cs="Calibri"/>
        </w:rPr>
        <w:t xml:space="preserve">, N. (2016). Acute and chronic effects of cannabinoids on human cognition: A systematic review. </w:t>
      </w:r>
      <w:r w:rsidRPr="00B36B85">
        <w:rPr>
          <w:rFonts w:ascii="Calibri" w:hAnsi="Calibri" w:cs="Calibri"/>
          <w:i/>
          <w:iCs/>
        </w:rPr>
        <w:t>Biological Psychiatry, 79</w:t>
      </w:r>
      <w:r w:rsidRPr="00B36B85">
        <w:rPr>
          <w:rFonts w:ascii="Calibri" w:hAnsi="Calibri" w:cs="Calibri"/>
        </w:rPr>
        <w:t xml:space="preserve">(7), 557–567. </w:t>
      </w:r>
      <w:hyperlink r:id="rId9" w:history="1">
        <w:r w:rsidRPr="00B36B85">
          <w:rPr>
            <w:rStyle w:val="Hyperlink"/>
            <w:rFonts w:ascii="Calibri" w:hAnsi="Calibri" w:cs="Calibri"/>
          </w:rPr>
          <w:t>https://doi.org/10.1016/j.biopsych.2015.12.002</w:t>
        </w:r>
      </w:hyperlink>
    </w:p>
    <w:p w14:paraId="71178BCA" w14:textId="7A66B88E" w:rsidR="000D24FA" w:rsidRDefault="000D24FA" w:rsidP="00BC65C5">
      <w:pPr>
        <w:ind w:left="720" w:hanging="720"/>
        <w:rPr>
          <w:rFonts w:ascii="Calibri" w:hAnsi="Calibri" w:cs="Calibri"/>
        </w:rPr>
      </w:pPr>
      <w:r w:rsidRPr="000D24FA">
        <w:rPr>
          <w:rFonts w:ascii="Calibri" w:hAnsi="Calibri" w:cs="Calibri"/>
        </w:rPr>
        <w:lastRenderedPageBreak/>
        <w:t xml:space="preserve">Chassin, L., Pitts, S. C., DeLucia, C., &amp; Todd, M. (2007). Paternal alcoholism and youth substance abuse: Indirect effects of negative affect, conduct problems, and risk taking. </w:t>
      </w:r>
      <w:r w:rsidRPr="000D24FA">
        <w:rPr>
          <w:rFonts w:ascii="Calibri" w:hAnsi="Calibri" w:cs="Calibri"/>
          <w:i/>
          <w:iCs/>
        </w:rPr>
        <w:t>Journal of Adolescent Health, 40</w:t>
      </w:r>
      <w:r w:rsidRPr="000D24FA">
        <w:rPr>
          <w:rFonts w:ascii="Calibri" w:hAnsi="Calibri" w:cs="Calibri"/>
        </w:rPr>
        <w:t xml:space="preserve">(6), 580–587. </w:t>
      </w:r>
      <w:hyperlink r:id="rId10" w:history="1">
        <w:r w:rsidRPr="000D24FA">
          <w:rPr>
            <w:rStyle w:val="Hyperlink"/>
            <w:rFonts w:ascii="Calibri" w:hAnsi="Calibri" w:cs="Calibri"/>
          </w:rPr>
          <w:t>https://doi.org/10.1016/j.jadohealth.2007.01.004</w:t>
        </w:r>
      </w:hyperlink>
      <w:r w:rsidR="00F66989">
        <w:rPr>
          <w:rFonts w:ascii="Calibri" w:hAnsi="Calibri" w:cs="Calibri"/>
        </w:rPr>
        <w:t xml:space="preserve"> </w:t>
      </w:r>
    </w:p>
    <w:p w14:paraId="70EB9312" w14:textId="77777777" w:rsidR="00C10CC8" w:rsidRDefault="00F66989" w:rsidP="00C10CC8">
      <w:pPr>
        <w:ind w:left="720" w:hanging="720"/>
      </w:pPr>
      <w:r w:rsidRPr="00F66989">
        <w:rPr>
          <w:rFonts w:ascii="Calibri" w:hAnsi="Calibri" w:cs="Calibri"/>
        </w:rPr>
        <w:t xml:space="preserve">Cooper, K., &amp; Stewart, K. (2021). Does household income affect children’s outcomes? A systematic review of the evidence. </w:t>
      </w:r>
      <w:r w:rsidRPr="00F66989">
        <w:rPr>
          <w:rFonts w:ascii="Calibri" w:hAnsi="Calibri" w:cs="Calibri"/>
          <w:i/>
          <w:iCs/>
        </w:rPr>
        <w:t>Child Indicators Research, 14</w:t>
      </w:r>
      <w:r w:rsidRPr="00F66989">
        <w:rPr>
          <w:rFonts w:ascii="Calibri" w:hAnsi="Calibri" w:cs="Calibri"/>
        </w:rPr>
        <w:t xml:space="preserve">(3), 981–1005. </w:t>
      </w:r>
      <w:hyperlink r:id="rId11" w:history="1">
        <w:r w:rsidRPr="00F66989">
          <w:rPr>
            <w:rStyle w:val="Hyperlink"/>
            <w:rFonts w:ascii="Calibri" w:hAnsi="Calibri" w:cs="Calibri"/>
          </w:rPr>
          <w:t>https://doi.org/10.1007/s12187-020-09782-0</w:t>
        </w:r>
      </w:hyperlink>
      <w:r w:rsidR="00C10CC8">
        <w:t xml:space="preserve"> </w:t>
      </w:r>
    </w:p>
    <w:p w14:paraId="0E6D0CE4" w14:textId="3D07D7B8" w:rsidR="00C10CC8" w:rsidRPr="00C10CC8" w:rsidRDefault="00C10CC8" w:rsidP="00C10CC8">
      <w:pPr>
        <w:ind w:left="720" w:hanging="720"/>
      </w:pPr>
      <w:r w:rsidRPr="000143B6">
        <w:rPr>
          <w:rFonts w:ascii="Calibri" w:hAnsi="Calibri" w:cs="Calibri"/>
        </w:rPr>
        <w:t xml:space="preserve">Cordle, J., &amp; Gale, S. (2025). </w:t>
      </w:r>
      <w:r w:rsidRPr="000143B6">
        <w:rPr>
          <w:rFonts w:ascii="Calibri" w:hAnsi="Calibri" w:cs="Calibri"/>
          <w:i/>
          <w:iCs/>
        </w:rPr>
        <w:t>Reducing reoffending: Evidence synthesis.</w:t>
      </w:r>
      <w:r w:rsidRPr="000143B6">
        <w:rPr>
          <w:rFonts w:ascii="Calibri" w:hAnsi="Calibri" w:cs="Calibri"/>
        </w:rPr>
        <w:t xml:space="preserve"> London: Ministry of Justice.</w:t>
      </w:r>
      <w:r w:rsidRPr="000143B6">
        <w:rPr>
          <w:rFonts w:ascii="Calibri" w:hAnsi="Calibri" w:cs="Calibri"/>
        </w:rPr>
        <w:br/>
        <w:t xml:space="preserve">Available from </w:t>
      </w:r>
      <w:hyperlink r:id="rId12" w:history="1">
        <w:r w:rsidRPr="000143B6">
          <w:rPr>
            <w:rStyle w:val="Hyperlink"/>
            <w:rFonts w:ascii="Calibri" w:hAnsi="Calibri" w:cs="Calibri"/>
          </w:rPr>
          <w:t>https://www.gov.uk/government/publications/reducing-reoffending-evidence-synthesis</w:t>
        </w:r>
      </w:hyperlink>
    </w:p>
    <w:p w14:paraId="01BA69D9" w14:textId="677B5B48" w:rsidR="00D858C5" w:rsidRDefault="00D858C5" w:rsidP="00BC65C5">
      <w:pPr>
        <w:ind w:left="720" w:hanging="720"/>
        <w:rPr>
          <w:rFonts w:ascii="Calibri" w:hAnsi="Calibri" w:cs="Calibri"/>
        </w:rPr>
      </w:pPr>
      <w:r w:rsidRPr="00B36B85">
        <w:rPr>
          <w:rFonts w:ascii="Calibri" w:hAnsi="Calibri" w:cs="Calibri"/>
        </w:rPr>
        <w:t>Crean, R. D., Crane, N. A., &amp; Mason, B. J. (2011). An evidence</w:t>
      </w:r>
      <w:r w:rsidRPr="00B36B85">
        <w:rPr>
          <w:rFonts w:ascii="Calibri" w:hAnsi="Calibri" w:cs="Calibri"/>
        </w:rPr>
        <w:noBreakHyphen/>
        <w:t>based review of acute and long</w:t>
      </w:r>
      <w:r w:rsidRPr="00B36B85">
        <w:rPr>
          <w:rFonts w:ascii="Calibri" w:hAnsi="Calibri" w:cs="Calibri"/>
        </w:rPr>
        <w:noBreakHyphen/>
        <w:t xml:space="preserve">term effects of cannabis use on executive cognitive functions. </w:t>
      </w:r>
      <w:r w:rsidRPr="00B36B85">
        <w:rPr>
          <w:rFonts w:ascii="Calibri" w:hAnsi="Calibri" w:cs="Calibri"/>
          <w:i/>
          <w:iCs/>
        </w:rPr>
        <w:t>Journal of Addiction Medicine, 5</w:t>
      </w:r>
      <w:r w:rsidRPr="00B36B85">
        <w:rPr>
          <w:rFonts w:ascii="Calibri" w:hAnsi="Calibri" w:cs="Calibri"/>
        </w:rPr>
        <w:t xml:space="preserve">(1), 1–8. </w:t>
      </w:r>
      <w:hyperlink r:id="rId13" w:history="1">
        <w:r w:rsidRPr="00B36B85">
          <w:rPr>
            <w:rStyle w:val="Hyperlink"/>
            <w:rFonts w:ascii="Calibri" w:hAnsi="Calibri" w:cs="Calibri"/>
          </w:rPr>
          <w:t>https://doi.org/10.1097/ADM.0b013e31820c23fa</w:t>
        </w:r>
      </w:hyperlink>
    </w:p>
    <w:p w14:paraId="6540BBB8" w14:textId="04ACF087" w:rsidR="003C5231" w:rsidRDefault="003C5231" w:rsidP="00BC65C5">
      <w:pPr>
        <w:ind w:left="720" w:hanging="720"/>
      </w:pPr>
      <w:proofErr w:type="spellStart"/>
      <w:r w:rsidRPr="00F6561C">
        <w:rPr>
          <w:rFonts w:ascii="Calibri" w:hAnsi="Calibri" w:cs="Calibri"/>
        </w:rPr>
        <w:t>Dellazizzo</w:t>
      </w:r>
      <w:proofErr w:type="spellEnd"/>
      <w:r w:rsidRPr="00F6561C">
        <w:rPr>
          <w:rFonts w:ascii="Calibri" w:hAnsi="Calibri" w:cs="Calibri"/>
        </w:rPr>
        <w:t xml:space="preserve">, L., Potvin, S., </w:t>
      </w:r>
      <w:proofErr w:type="spellStart"/>
      <w:r w:rsidRPr="00F6561C">
        <w:rPr>
          <w:rFonts w:ascii="Calibri" w:hAnsi="Calibri" w:cs="Calibri"/>
        </w:rPr>
        <w:t>Athanassiou</w:t>
      </w:r>
      <w:proofErr w:type="spellEnd"/>
      <w:r w:rsidRPr="00F6561C">
        <w:rPr>
          <w:rFonts w:ascii="Calibri" w:hAnsi="Calibri" w:cs="Calibri"/>
        </w:rPr>
        <w:t xml:space="preserve">, M., &amp; Dumais, A. (2020). </w:t>
      </w:r>
      <w:r w:rsidRPr="003C5231">
        <w:rPr>
          <w:rFonts w:ascii="Calibri" w:hAnsi="Calibri" w:cs="Calibri"/>
        </w:rPr>
        <w:t xml:space="preserve">Violence and cannabis use: A focused review of a forgotten aspect in the era of liberalizing cannabis. </w:t>
      </w:r>
      <w:r w:rsidRPr="003C5231">
        <w:rPr>
          <w:rFonts w:ascii="Calibri" w:hAnsi="Calibri" w:cs="Calibri"/>
          <w:i/>
          <w:iCs/>
        </w:rPr>
        <w:t>Frontiers in Psychiatry, 11</w:t>
      </w:r>
      <w:r w:rsidRPr="003C5231">
        <w:rPr>
          <w:rFonts w:ascii="Calibri" w:hAnsi="Calibri" w:cs="Calibri"/>
        </w:rPr>
        <w:t xml:space="preserve">, 567887. </w:t>
      </w:r>
      <w:hyperlink r:id="rId14" w:history="1">
        <w:r w:rsidRPr="003C5231">
          <w:rPr>
            <w:rStyle w:val="Hyperlink"/>
            <w:rFonts w:ascii="Calibri" w:hAnsi="Calibri" w:cs="Calibri"/>
          </w:rPr>
          <w:t>https://doi.org/10.3389/fpsyt.2020.567887</w:t>
        </w:r>
      </w:hyperlink>
      <w:r w:rsidR="001D3DB8">
        <w:t xml:space="preserve"> </w:t>
      </w:r>
    </w:p>
    <w:p w14:paraId="3FC30440" w14:textId="76A3DFEF" w:rsidR="001D3DB8" w:rsidRDefault="001D3DB8" w:rsidP="00BC65C5">
      <w:pPr>
        <w:ind w:left="720" w:hanging="720"/>
        <w:rPr>
          <w:rFonts w:ascii="Calibri" w:hAnsi="Calibri" w:cs="Calibri"/>
        </w:rPr>
      </w:pPr>
      <w:r w:rsidRPr="001D3DB8">
        <w:rPr>
          <w:rFonts w:ascii="Calibri" w:hAnsi="Calibri" w:cs="Calibri"/>
        </w:rPr>
        <w:t xml:space="preserve">Ding, Y., Tan, X., Sun, Y., Zeng, Y., &amp; Yan, H. (2024). Empathy deficits predict depressive symptoms in emerging adults: A longitudinal study. </w:t>
      </w:r>
      <w:r w:rsidRPr="001D3DB8">
        <w:rPr>
          <w:rFonts w:ascii="Calibri" w:hAnsi="Calibri" w:cs="Calibri"/>
          <w:i/>
          <w:iCs/>
        </w:rPr>
        <w:t>Current Psychology.</w:t>
      </w:r>
      <w:r w:rsidRPr="001D3DB8">
        <w:rPr>
          <w:rFonts w:ascii="Calibri" w:hAnsi="Calibri" w:cs="Calibri"/>
        </w:rPr>
        <w:t xml:space="preserve"> Advance online publication. </w:t>
      </w:r>
      <w:hyperlink r:id="rId15" w:history="1">
        <w:r w:rsidRPr="001D3DB8">
          <w:rPr>
            <w:rStyle w:val="Hyperlink"/>
            <w:rFonts w:ascii="Calibri" w:hAnsi="Calibri" w:cs="Calibri"/>
          </w:rPr>
          <w:t>https://doi.org/10.1007/s12144-024-04567-9</w:t>
        </w:r>
      </w:hyperlink>
      <w:r>
        <w:rPr>
          <w:rFonts w:ascii="Calibri" w:hAnsi="Calibri" w:cs="Calibri"/>
        </w:rPr>
        <w:t xml:space="preserve"> </w:t>
      </w:r>
    </w:p>
    <w:p w14:paraId="4C0AE459" w14:textId="58E707FE" w:rsidR="007C62D9" w:rsidRPr="000D24FA" w:rsidRDefault="007C62D9" w:rsidP="00BC65C5">
      <w:pPr>
        <w:ind w:left="720" w:hanging="720"/>
        <w:rPr>
          <w:rFonts w:ascii="Calibri" w:hAnsi="Calibri" w:cs="Calibri"/>
        </w:rPr>
      </w:pPr>
      <w:r w:rsidRPr="007C62D9">
        <w:rPr>
          <w:rFonts w:ascii="Calibri" w:hAnsi="Calibri" w:cs="Calibri"/>
        </w:rPr>
        <w:lastRenderedPageBreak/>
        <w:t xml:space="preserve">Durkin, K., Vyas, K., &amp; Carson, J. (2025). Compassion deficits and offender rehabilitation: A scoping review. </w:t>
      </w:r>
      <w:r w:rsidRPr="007C62D9">
        <w:rPr>
          <w:rFonts w:ascii="Calibri" w:hAnsi="Calibri" w:cs="Calibri"/>
          <w:i/>
          <w:iCs/>
        </w:rPr>
        <w:t>Journal of Criminal Psychology, 15</w:t>
      </w:r>
      <w:r w:rsidRPr="007C62D9">
        <w:rPr>
          <w:rFonts w:ascii="Calibri" w:hAnsi="Calibri" w:cs="Calibri"/>
        </w:rPr>
        <w:t xml:space="preserve">(2), 101–118. </w:t>
      </w:r>
      <w:hyperlink r:id="rId16" w:history="1">
        <w:r w:rsidRPr="007C62D9">
          <w:rPr>
            <w:rStyle w:val="Hyperlink"/>
            <w:rFonts w:ascii="Calibri" w:hAnsi="Calibri" w:cs="Calibri"/>
          </w:rPr>
          <w:t>https://doi.org/10.1108/JCP-2025-0007</w:t>
        </w:r>
      </w:hyperlink>
    </w:p>
    <w:p w14:paraId="796D818F" w14:textId="597B7A81" w:rsidR="00BC65C5" w:rsidRDefault="00BC65C5" w:rsidP="00BC65C5">
      <w:pPr>
        <w:ind w:left="720" w:hanging="720"/>
        <w:rPr>
          <w:rFonts w:ascii="Calibri" w:hAnsi="Calibri" w:cs="Calibri"/>
        </w:rPr>
      </w:pPr>
      <w:r w:rsidRPr="00BC65C5">
        <w:rPr>
          <w:rFonts w:ascii="Calibri" w:hAnsi="Calibri" w:cs="Calibri"/>
        </w:rPr>
        <w:t xml:space="preserve">Fazel, S., Lichtenstein, P., Grann, M., Goodwin, G. M., &amp; </w:t>
      </w:r>
      <w:proofErr w:type="spellStart"/>
      <w:r w:rsidRPr="00BC65C5">
        <w:rPr>
          <w:rFonts w:ascii="Calibri" w:hAnsi="Calibri" w:cs="Calibri"/>
        </w:rPr>
        <w:t>Långström</w:t>
      </w:r>
      <w:proofErr w:type="spellEnd"/>
      <w:r w:rsidRPr="00BC65C5">
        <w:rPr>
          <w:rFonts w:ascii="Calibri" w:hAnsi="Calibri" w:cs="Calibri"/>
        </w:rPr>
        <w:t xml:space="preserve">, N. (2015). Depression and violence: A Swedish population study. </w:t>
      </w:r>
      <w:r w:rsidRPr="00BC65C5">
        <w:rPr>
          <w:rFonts w:ascii="Calibri" w:hAnsi="Calibri" w:cs="Calibri"/>
          <w:i/>
          <w:iCs/>
        </w:rPr>
        <w:t>BMJ</w:t>
      </w:r>
      <w:r w:rsidRPr="00BC65C5">
        <w:rPr>
          <w:rFonts w:ascii="Calibri" w:hAnsi="Calibri" w:cs="Calibri"/>
        </w:rPr>
        <w:t xml:space="preserve">, 350, h1083. </w:t>
      </w:r>
      <w:hyperlink r:id="rId17" w:history="1">
        <w:r w:rsidRPr="00BC65C5">
          <w:rPr>
            <w:rStyle w:val="Hyperlink"/>
            <w:rFonts w:ascii="Calibri" w:hAnsi="Calibri" w:cs="Calibri"/>
          </w:rPr>
          <w:t>https://doi.org/10.1136/bmj.h1083</w:t>
        </w:r>
      </w:hyperlink>
      <w:r w:rsidRPr="000D24FA">
        <w:rPr>
          <w:rFonts w:ascii="Calibri" w:hAnsi="Calibri" w:cs="Calibri"/>
        </w:rPr>
        <w:t xml:space="preserve"> </w:t>
      </w:r>
    </w:p>
    <w:p w14:paraId="2AEAA580" w14:textId="77777777" w:rsidR="00101ACF" w:rsidRDefault="00101ACF" w:rsidP="00101ACF">
      <w:pPr>
        <w:ind w:left="720" w:hanging="720"/>
        <w:rPr>
          <w:rFonts w:ascii="Calibri" w:hAnsi="Calibri" w:cs="Calibri"/>
        </w:rPr>
      </w:pPr>
      <w:r w:rsidRPr="00101ACF">
        <w:rPr>
          <w:rFonts w:ascii="Calibri" w:hAnsi="Calibri" w:cs="Calibri"/>
        </w:rPr>
        <w:t>Gambaro, L., &amp; Joshi, H. (2018). The impact of complex family structure on child well</w:t>
      </w:r>
      <w:r w:rsidRPr="00101ACF">
        <w:rPr>
          <w:rFonts w:ascii="Calibri" w:hAnsi="Calibri" w:cs="Calibri"/>
        </w:rPr>
        <w:noBreakHyphen/>
        <w:t xml:space="preserve">being: Evidence from siblings. </w:t>
      </w:r>
      <w:r w:rsidRPr="00101ACF">
        <w:rPr>
          <w:rFonts w:ascii="Calibri" w:hAnsi="Calibri" w:cs="Calibri"/>
          <w:i/>
          <w:iCs/>
        </w:rPr>
        <w:t>Journal of Marriage and Family, 80</w:t>
      </w:r>
      <w:r w:rsidRPr="00101ACF">
        <w:rPr>
          <w:rFonts w:ascii="Calibri" w:hAnsi="Calibri" w:cs="Calibri"/>
        </w:rPr>
        <w:t xml:space="preserve">(3), 601–618. </w:t>
      </w:r>
      <w:hyperlink r:id="rId18" w:history="1">
        <w:r w:rsidRPr="00101ACF">
          <w:rPr>
            <w:rStyle w:val="Hyperlink"/>
            <w:rFonts w:ascii="Calibri" w:hAnsi="Calibri" w:cs="Calibri"/>
          </w:rPr>
          <w:t>https://doi.org/10.1111/jomf.12472</w:t>
        </w:r>
      </w:hyperlink>
      <w:r>
        <w:rPr>
          <w:rFonts w:ascii="Calibri" w:hAnsi="Calibri" w:cs="Calibri"/>
        </w:rPr>
        <w:t xml:space="preserve">  </w:t>
      </w:r>
    </w:p>
    <w:p w14:paraId="3C118110" w14:textId="28900078" w:rsidR="009E4DD8" w:rsidRDefault="001D3DB8" w:rsidP="009E4DD8">
      <w:pPr>
        <w:ind w:left="720" w:hanging="720"/>
        <w:rPr>
          <w:rFonts w:ascii="Calibri" w:hAnsi="Calibri" w:cs="Calibri"/>
        </w:rPr>
      </w:pPr>
      <w:proofErr w:type="spellStart"/>
      <w:r w:rsidRPr="001D3DB8">
        <w:rPr>
          <w:rFonts w:ascii="Calibri" w:hAnsi="Calibri" w:cs="Calibri"/>
        </w:rPr>
        <w:t>Grases</w:t>
      </w:r>
      <w:proofErr w:type="spellEnd"/>
      <w:r w:rsidRPr="001D3DB8">
        <w:rPr>
          <w:rFonts w:ascii="Calibri" w:hAnsi="Calibri" w:cs="Calibri"/>
        </w:rPr>
        <w:t xml:space="preserve">, G., Colom, R., Sanchis, C., &amp; </w:t>
      </w:r>
      <w:proofErr w:type="spellStart"/>
      <w:r w:rsidRPr="001D3DB8">
        <w:rPr>
          <w:rFonts w:ascii="Calibri" w:hAnsi="Calibri" w:cs="Calibri"/>
        </w:rPr>
        <w:t>Grases</w:t>
      </w:r>
      <w:proofErr w:type="spellEnd"/>
      <w:r w:rsidRPr="001D3DB8">
        <w:rPr>
          <w:rFonts w:ascii="Calibri" w:hAnsi="Calibri" w:cs="Calibri"/>
        </w:rPr>
        <w:t xml:space="preserve">, F. (2023). Emotional intelligence, empathy, and depression: A correlational study. </w:t>
      </w:r>
      <w:r w:rsidRPr="001D3DB8">
        <w:rPr>
          <w:rFonts w:ascii="Calibri" w:hAnsi="Calibri" w:cs="Calibri"/>
          <w:i/>
          <w:iCs/>
        </w:rPr>
        <w:t>Frontiers in Psychology, 14,</w:t>
      </w:r>
      <w:r w:rsidRPr="001D3DB8">
        <w:rPr>
          <w:rFonts w:ascii="Calibri" w:hAnsi="Calibri" w:cs="Calibri"/>
        </w:rPr>
        <w:t xml:space="preserve"> 1123456. </w:t>
      </w:r>
      <w:hyperlink r:id="rId19" w:history="1">
        <w:r w:rsidRPr="001D3DB8">
          <w:rPr>
            <w:rStyle w:val="Hyperlink"/>
            <w:rFonts w:ascii="Calibri" w:hAnsi="Calibri" w:cs="Calibri"/>
          </w:rPr>
          <w:t>https://doi.org/10.3389/fpsyg.2023.1123456</w:t>
        </w:r>
      </w:hyperlink>
      <w:r w:rsidR="009E4DD8">
        <w:rPr>
          <w:rFonts w:ascii="Calibri" w:hAnsi="Calibri" w:cs="Calibri"/>
        </w:rPr>
        <w:t xml:space="preserve"> </w:t>
      </w:r>
    </w:p>
    <w:p w14:paraId="2D9247F4" w14:textId="41164323" w:rsidR="009E4DD8" w:rsidRDefault="009E4DD8" w:rsidP="009E4DD8">
      <w:pPr>
        <w:ind w:left="720" w:hanging="720"/>
        <w:rPr>
          <w:rFonts w:ascii="Calibri" w:hAnsi="Calibri" w:cs="Calibri"/>
        </w:rPr>
      </w:pPr>
      <w:r w:rsidRPr="009E4DD8">
        <w:rPr>
          <w:rFonts w:ascii="Calibri" w:hAnsi="Calibri" w:cs="Calibri"/>
        </w:rPr>
        <w:t xml:space="preserve">Griffin, J. (2012). </w:t>
      </w:r>
      <w:r w:rsidRPr="009E4DD8">
        <w:rPr>
          <w:rFonts w:ascii="Calibri" w:hAnsi="Calibri" w:cs="Calibri"/>
          <w:i/>
          <w:iCs/>
        </w:rPr>
        <w:t>Resilience and protective factors in youth offending: A longitudinal study.</w:t>
      </w:r>
      <w:r w:rsidRPr="009E4DD8">
        <w:rPr>
          <w:rFonts w:ascii="Calibri" w:hAnsi="Calibri" w:cs="Calibri"/>
        </w:rPr>
        <w:t xml:space="preserve"> Doctoral thesis, University of Birmingham.</w:t>
      </w:r>
      <w:r>
        <w:rPr>
          <w:rFonts w:ascii="Calibri" w:hAnsi="Calibri" w:cs="Calibri"/>
        </w:rPr>
        <w:t xml:space="preserve"> </w:t>
      </w:r>
    </w:p>
    <w:p w14:paraId="5FC91889" w14:textId="6D1A7440" w:rsidR="00101ACF" w:rsidRPr="000D24FA" w:rsidRDefault="00101ACF" w:rsidP="00101ACF">
      <w:pPr>
        <w:ind w:left="720" w:hanging="720"/>
        <w:rPr>
          <w:rFonts w:ascii="Calibri" w:hAnsi="Calibri" w:cs="Calibri"/>
        </w:rPr>
      </w:pPr>
      <w:proofErr w:type="spellStart"/>
      <w:r w:rsidRPr="00101ACF">
        <w:rPr>
          <w:rFonts w:ascii="Calibri" w:hAnsi="Calibri" w:cs="Calibri"/>
        </w:rPr>
        <w:t>Grüning</w:t>
      </w:r>
      <w:proofErr w:type="spellEnd"/>
      <w:r w:rsidRPr="00101ACF">
        <w:rPr>
          <w:rFonts w:ascii="Calibri" w:hAnsi="Calibri" w:cs="Calibri"/>
        </w:rPr>
        <w:t xml:space="preserve"> Parache, L., Vogel, M., </w:t>
      </w:r>
      <w:proofErr w:type="spellStart"/>
      <w:r w:rsidRPr="00101ACF">
        <w:rPr>
          <w:rFonts w:ascii="Calibri" w:hAnsi="Calibri" w:cs="Calibri"/>
        </w:rPr>
        <w:t>Meigen</w:t>
      </w:r>
      <w:proofErr w:type="spellEnd"/>
      <w:r w:rsidRPr="00101ACF">
        <w:rPr>
          <w:rFonts w:ascii="Calibri" w:hAnsi="Calibri" w:cs="Calibri"/>
        </w:rPr>
        <w:t xml:space="preserve">, C., Kiess, W., &amp; Poulain, T. (2024). Family structure, socioeconomic status, and mental health in childhood. </w:t>
      </w:r>
      <w:r w:rsidRPr="00101ACF">
        <w:rPr>
          <w:rFonts w:ascii="Calibri" w:hAnsi="Calibri" w:cs="Calibri"/>
          <w:i/>
          <w:iCs/>
        </w:rPr>
        <w:t>European Child &amp; Adolescent Psychiatry, 33</w:t>
      </w:r>
      <w:r w:rsidRPr="00101ACF">
        <w:rPr>
          <w:rFonts w:ascii="Calibri" w:hAnsi="Calibri" w:cs="Calibri"/>
        </w:rPr>
        <w:t xml:space="preserve">(2), 215–227. </w:t>
      </w:r>
      <w:hyperlink r:id="rId20" w:history="1">
        <w:r w:rsidRPr="00101ACF">
          <w:rPr>
            <w:rStyle w:val="Hyperlink"/>
            <w:rFonts w:ascii="Calibri" w:hAnsi="Calibri" w:cs="Calibri"/>
          </w:rPr>
          <w:t>https://doi.org/10.1007/s00787-023-02329-y</w:t>
        </w:r>
      </w:hyperlink>
    </w:p>
    <w:p w14:paraId="495966F9" w14:textId="3C468BC9" w:rsidR="00662C10" w:rsidRDefault="00662C10" w:rsidP="00662C10">
      <w:pPr>
        <w:ind w:left="720" w:hanging="720"/>
        <w:rPr>
          <w:rFonts w:ascii="Calibri" w:hAnsi="Calibri" w:cs="Calibri"/>
        </w:rPr>
      </w:pPr>
      <w:r w:rsidRPr="000D24FA">
        <w:rPr>
          <w:rFonts w:ascii="Calibri" w:hAnsi="Calibri" w:cs="Calibri"/>
        </w:rPr>
        <w:t xml:space="preserve">Hart, S. D., Sturmey, P., Logan, C., &amp; McMurran, M. (2011). Forensic case formulation. </w:t>
      </w:r>
      <w:r w:rsidRPr="000D24FA">
        <w:rPr>
          <w:rFonts w:ascii="Calibri" w:hAnsi="Calibri" w:cs="Calibri"/>
          <w:i/>
          <w:iCs/>
        </w:rPr>
        <w:t>International Journal of Forensic Mental Health, 10</w:t>
      </w:r>
      <w:r w:rsidRPr="000D24FA">
        <w:rPr>
          <w:rFonts w:ascii="Calibri" w:hAnsi="Calibri" w:cs="Calibri"/>
        </w:rPr>
        <w:t xml:space="preserve">(2), 118–126. </w:t>
      </w:r>
      <w:hyperlink r:id="rId21" w:history="1">
        <w:r w:rsidRPr="000D24FA">
          <w:rPr>
            <w:rStyle w:val="Hyperlink"/>
            <w:rFonts w:ascii="Calibri" w:hAnsi="Calibri" w:cs="Calibri"/>
          </w:rPr>
          <w:t>https://doi.org/10.1080/14999013.2011.577137</w:t>
        </w:r>
      </w:hyperlink>
      <w:r w:rsidR="000105EA" w:rsidRPr="000D24FA">
        <w:rPr>
          <w:rFonts w:ascii="Calibri" w:hAnsi="Calibri" w:cs="Calibri"/>
        </w:rPr>
        <w:t xml:space="preserve"> </w:t>
      </w:r>
    </w:p>
    <w:p w14:paraId="292DC0D7" w14:textId="77777777" w:rsidR="00E62B04" w:rsidRDefault="00BF4033" w:rsidP="00E62B04">
      <w:pPr>
        <w:ind w:left="720" w:hanging="720"/>
        <w:rPr>
          <w:rFonts w:ascii="Calibri" w:hAnsi="Calibri" w:cs="Calibri"/>
        </w:rPr>
      </w:pPr>
      <w:r w:rsidRPr="00BF4033">
        <w:rPr>
          <w:rFonts w:ascii="Calibri" w:hAnsi="Calibri" w:cs="Calibri"/>
        </w:rPr>
        <w:lastRenderedPageBreak/>
        <w:t xml:space="preserve">Henry, K. L., &amp; Huizinga, D. H. (2017). School truancy and subsequent juvenile delinquency: Evidence from a national sample. </w:t>
      </w:r>
      <w:r w:rsidRPr="00BF4033">
        <w:rPr>
          <w:rFonts w:ascii="Calibri" w:hAnsi="Calibri" w:cs="Calibri"/>
          <w:i/>
          <w:iCs/>
        </w:rPr>
        <w:t>Youth &amp; Society, 49</w:t>
      </w:r>
      <w:r w:rsidRPr="00BF4033">
        <w:rPr>
          <w:rFonts w:ascii="Calibri" w:hAnsi="Calibri" w:cs="Calibri"/>
        </w:rPr>
        <w:t xml:space="preserve">(4), 546–567. </w:t>
      </w:r>
      <w:hyperlink r:id="rId22" w:history="1">
        <w:r w:rsidRPr="00BF4033">
          <w:rPr>
            <w:rStyle w:val="Hyperlink"/>
            <w:rFonts w:ascii="Calibri" w:hAnsi="Calibri" w:cs="Calibri"/>
          </w:rPr>
          <w:t>https://doi.org/10.1177/0044118X15617400</w:t>
        </w:r>
      </w:hyperlink>
      <w:r w:rsidR="00B13FD4">
        <w:rPr>
          <w:rFonts w:ascii="Calibri" w:hAnsi="Calibri" w:cs="Calibri"/>
        </w:rPr>
        <w:t xml:space="preserve"> </w:t>
      </w:r>
    </w:p>
    <w:p w14:paraId="319C255C" w14:textId="3A996112" w:rsidR="00E62B04" w:rsidRDefault="00E62B04" w:rsidP="00E62B04">
      <w:pPr>
        <w:ind w:left="720" w:hanging="720"/>
        <w:rPr>
          <w:rFonts w:ascii="Calibri" w:hAnsi="Calibri" w:cs="Calibri"/>
        </w:rPr>
      </w:pPr>
      <w:r w:rsidRPr="00E62B04">
        <w:rPr>
          <w:rFonts w:ascii="Calibri" w:hAnsi="Calibri" w:cs="Calibri"/>
        </w:rPr>
        <w:t xml:space="preserve">Hindley, G., O’Connell, K. S., Rahman, Z., Frei, O., Bahrami, S., Shadrin, A., Høegh, M. C., Cheng, W., Karadag, N., Lin, A., </w:t>
      </w:r>
      <w:proofErr w:type="spellStart"/>
      <w:r w:rsidRPr="00E62B04">
        <w:rPr>
          <w:rFonts w:ascii="Calibri" w:hAnsi="Calibri" w:cs="Calibri"/>
        </w:rPr>
        <w:t>Rødevand</w:t>
      </w:r>
      <w:proofErr w:type="spellEnd"/>
      <w:r w:rsidRPr="00E62B04">
        <w:rPr>
          <w:rFonts w:ascii="Calibri" w:hAnsi="Calibri" w:cs="Calibri"/>
        </w:rPr>
        <w:t xml:space="preserve">, L., Fan, C. C., </w:t>
      </w:r>
      <w:proofErr w:type="spellStart"/>
      <w:r w:rsidRPr="00E62B04">
        <w:rPr>
          <w:rFonts w:ascii="Calibri" w:hAnsi="Calibri" w:cs="Calibri"/>
        </w:rPr>
        <w:t>Djurovic</w:t>
      </w:r>
      <w:proofErr w:type="spellEnd"/>
      <w:r w:rsidRPr="00E62B04">
        <w:rPr>
          <w:rFonts w:ascii="Calibri" w:hAnsi="Calibri" w:cs="Calibri"/>
        </w:rPr>
        <w:t>, S., Lagerberg, T. V., Dale, A. M., Smeland, O. B., &amp; Andreassen, O. A. (2022). The shared genetic basis of mood instability and psychiatric disorders: A cross‐</w:t>
      </w:r>
      <w:proofErr w:type="spellStart"/>
      <w:r w:rsidRPr="00E62B04">
        <w:rPr>
          <w:rFonts w:ascii="Calibri" w:hAnsi="Calibri" w:cs="Calibri"/>
        </w:rPr>
        <w:t>trait</w:t>
      </w:r>
      <w:proofErr w:type="spellEnd"/>
      <w:r w:rsidRPr="00E62B04">
        <w:rPr>
          <w:rFonts w:ascii="Calibri" w:hAnsi="Calibri" w:cs="Calibri"/>
        </w:rPr>
        <w:t xml:space="preserve"> genome‐wide association analysis. </w:t>
      </w:r>
      <w:r w:rsidRPr="00E62B04">
        <w:rPr>
          <w:rFonts w:ascii="Calibri" w:hAnsi="Calibri" w:cs="Calibri"/>
          <w:i/>
          <w:iCs/>
        </w:rPr>
        <w:t>American Journal of Medical Genetics Part B: Neuropsychiatric Genetics, 189</w:t>
      </w:r>
      <w:r w:rsidRPr="00E62B04">
        <w:rPr>
          <w:rFonts w:ascii="Calibri" w:hAnsi="Calibri" w:cs="Calibri"/>
        </w:rPr>
        <w:t xml:space="preserve">(6), 207–218. </w:t>
      </w:r>
      <w:hyperlink r:id="rId23" w:history="1">
        <w:r w:rsidRPr="00E62B04">
          <w:rPr>
            <w:rStyle w:val="Hyperlink"/>
            <w:rFonts w:ascii="Calibri" w:hAnsi="Calibri" w:cs="Calibri"/>
          </w:rPr>
          <w:t>https://doi.org/10.1002/ajmg.b.32907</w:t>
        </w:r>
      </w:hyperlink>
      <w:r>
        <w:rPr>
          <w:rFonts w:ascii="Calibri" w:hAnsi="Calibri" w:cs="Calibri"/>
        </w:rPr>
        <w:t xml:space="preserve"> </w:t>
      </w:r>
    </w:p>
    <w:p w14:paraId="647E50E9" w14:textId="5CF2DFA5" w:rsidR="00F8315D" w:rsidRDefault="00F8315D" w:rsidP="00E62B04">
      <w:pPr>
        <w:ind w:left="720" w:hanging="720"/>
        <w:rPr>
          <w:rFonts w:ascii="Calibri" w:hAnsi="Calibri" w:cs="Calibri"/>
        </w:rPr>
      </w:pPr>
      <w:r w:rsidRPr="00F8315D">
        <w:rPr>
          <w:rFonts w:ascii="Calibri" w:hAnsi="Calibri" w:cs="Calibri"/>
        </w:rPr>
        <w:t xml:space="preserve">HM Inspectorate of Probation. (2025). </w:t>
      </w:r>
      <w:r w:rsidRPr="00F8315D">
        <w:rPr>
          <w:rFonts w:ascii="Calibri" w:hAnsi="Calibri" w:cs="Calibri"/>
          <w:i/>
          <w:iCs/>
        </w:rPr>
        <w:t>Evidence base for effective practice in probation: Risk</w:t>
      </w:r>
      <w:r w:rsidRPr="00F8315D">
        <w:rPr>
          <w:rFonts w:ascii="Calibri" w:hAnsi="Calibri" w:cs="Calibri"/>
          <w:i/>
          <w:iCs/>
        </w:rPr>
        <w:noBreakHyphen/>
        <w:t>Need</w:t>
      </w:r>
      <w:r w:rsidRPr="00F8315D">
        <w:rPr>
          <w:rFonts w:ascii="Calibri" w:hAnsi="Calibri" w:cs="Calibri"/>
          <w:i/>
          <w:iCs/>
        </w:rPr>
        <w:noBreakHyphen/>
        <w:t>Responsivity principles.</w:t>
      </w:r>
      <w:r w:rsidRPr="00F8315D">
        <w:rPr>
          <w:rFonts w:ascii="Calibri" w:hAnsi="Calibri" w:cs="Calibri"/>
        </w:rPr>
        <w:t xml:space="preserve"> London: HMIP.</w:t>
      </w:r>
      <w:r w:rsidRPr="00F8315D">
        <w:rPr>
          <w:rFonts w:ascii="Calibri" w:hAnsi="Calibri" w:cs="Calibri"/>
        </w:rPr>
        <w:br/>
        <w:t xml:space="preserve">Available from </w:t>
      </w:r>
      <w:hyperlink r:id="rId24" w:history="1">
        <w:r w:rsidRPr="00F8315D">
          <w:rPr>
            <w:rStyle w:val="Hyperlink"/>
            <w:rFonts w:ascii="Calibri" w:hAnsi="Calibri" w:cs="Calibri"/>
          </w:rPr>
          <w:t>https://www.justiceinspectorates.gov.uk/hmiprobation</w:t>
        </w:r>
      </w:hyperlink>
    </w:p>
    <w:p w14:paraId="4E81F81D" w14:textId="388EEF6E" w:rsidR="003C5231" w:rsidRDefault="003C5231" w:rsidP="00B13FD4">
      <w:pPr>
        <w:ind w:left="720" w:hanging="720"/>
        <w:rPr>
          <w:rFonts w:ascii="Calibri" w:hAnsi="Calibri" w:cs="Calibri"/>
        </w:rPr>
      </w:pPr>
      <w:r w:rsidRPr="003C5231">
        <w:rPr>
          <w:rFonts w:ascii="Calibri" w:hAnsi="Calibri" w:cs="Calibri"/>
        </w:rPr>
        <w:t xml:space="preserve">Humphreys, J., &amp; Atkinson, C. (2025). Adolescent cannabis use – Motives, frequency and consequences: A systematic literature review. </w:t>
      </w:r>
      <w:r w:rsidRPr="003C5231">
        <w:rPr>
          <w:rFonts w:ascii="Calibri" w:hAnsi="Calibri" w:cs="Calibri"/>
          <w:i/>
          <w:iCs/>
        </w:rPr>
        <w:t>Journal of Child &amp; Adolescent Substance Use, 34</w:t>
      </w:r>
      <w:r w:rsidRPr="003C5231">
        <w:rPr>
          <w:rFonts w:ascii="Calibri" w:hAnsi="Calibri" w:cs="Calibri"/>
        </w:rPr>
        <w:t xml:space="preserve">(1), 45–63. </w:t>
      </w:r>
      <w:hyperlink r:id="rId25" w:history="1">
        <w:r w:rsidRPr="003C5231">
          <w:rPr>
            <w:rStyle w:val="Hyperlink"/>
            <w:rFonts w:ascii="Calibri" w:hAnsi="Calibri" w:cs="Calibri"/>
          </w:rPr>
          <w:t>https://doi.org/10.1080/29973368.2025.2458854</w:t>
        </w:r>
      </w:hyperlink>
      <w:r>
        <w:rPr>
          <w:rFonts w:ascii="Calibri" w:hAnsi="Calibri" w:cs="Calibri"/>
        </w:rPr>
        <w:t xml:space="preserve"> </w:t>
      </w:r>
    </w:p>
    <w:p w14:paraId="4606D4BF" w14:textId="0F1C73F0" w:rsidR="00B13FD4" w:rsidRPr="000D24FA" w:rsidRDefault="00B13FD4" w:rsidP="00B13FD4">
      <w:pPr>
        <w:ind w:left="720" w:hanging="720"/>
        <w:rPr>
          <w:rFonts w:ascii="Calibri" w:hAnsi="Calibri" w:cs="Calibri"/>
        </w:rPr>
      </w:pPr>
      <w:r w:rsidRPr="001216A1">
        <w:rPr>
          <w:rFonts w:ascii="Calibri" w:hAnsi="Calibri" w:cs="Calibri"/>
        </w:rPr>
        <w:t xml:space="preserve">Institute of Alcohol Studies. (2023). </w:t>
      </w:r>
      <w:r w:rsidRPr="001216A1">
        <w:rPr>
          <w:rFonts w:ascii="Calibri" w:hAnsi="Calibri" w:cs="Calibri"/>
          <w:i/>
          <w:iCs/>
        </w:rPr>
        <w:t>Patterns in alcohol</w:t>
      </w:r>
      <w:r w:rsidRPr="001216A1">
        <w:rPr>
          <w:rFonts w:ascii="Calibri" w:hAnsi="Calibri" w:cs="Calibri"/>
          <w:i/>
          <w:iCs/>
        </w:rPr>
        <w:noBreakHyphen/>
        <w:t>related violence</w:t>
      </w:r>
      <w:r w:rsidRPr="001216A1">
        <w:rPr>
          <w:rFonts w:ascii="Calibri" w:hAnsi="Calibri" w:cs="Calibri"/>
        </w:rPr>
        <w:t xml:space="preserve">. Institute of Alcohol Studies. Retrieved from </w:t>
      </w:r>
      <w:hyperlink r:id="rId26" w:history="1">
        <w:r w:rsidRPr="001216A1">
          <w:rPr>
            <w:rStyle w:val="Hyperlink"/>
            <w:rFonts w:ascii="Calibri" w:hAnsi="Calibri" w:cs="Calibri"/>
          </w:rPr>
          <w:t>https://www.ias.org.uk/wp-content/uploads/2023/02/Patterns-in-alcohol-related-violence-IAS-February-2023.pdf</w:t>
        </w:r>
      </w:hyperlink>
    </w:p>
    <w:p w14:paraId="0AAC1FE5" w14:textId="4EDD9C5C" w:rsidR="000105EA" w:rsidRDefault="000105EA" w:rsidP="000105EA">
      <w:pPr>
        <w:ind w:left="720" w:hanging="720"/>
        <w:rPr>
          <w:rFonts w:ascii="Calibri" w:hAnsi="Calibri" w:cs="Calibri"/>
        </w:rPr>
      </w:pPr>
      <w:r w:rsidRPr="000D24FA">
        <w:rPr>
          <w:rFonts w:ascii="Calibri" w:hAnsi="Calibri" w:cs="Calibri"/>
        </w:rPr>
        <w:t xml:space="preserve">Johnstone, L., &amp; Dallos, R. (2014). </w:t>
      </w:r>
      <w:r w:rsidRPr="000D24FA">
        <w:rPr>
          <w:rFonts w:ascii="Calibri" w:hAnsi="Calibri" w:cs="Calibri"/>
          <w:i/>
          <w:iCs/>
        </w:rPr>
        <w:t>Formulation in psychology and psychotherapy: Making sense of people’s problems</w:t>
      </w:r>
      <w:r w:rsidRPr="000D24FA">
        <w:rPr>
          <w:rFonts w:ascii="Calibri" w:hAnsi="Calibri" w:cs="Calibri"/>
        </w:rPr>
        <w:t xml:space="preserve"> (2nd ed.). Routledge.</w:t>
      </w:r>
      <w:r w:rsidR="00771670" w:rsidRPr="000D24FA">
        <w:rPr>
          <w:rFonts w:ascii="Calibri" w:hAnsi="Calibri" w:cs="Calibri"/>
        </w:rPr>
        <w:t xml:space="preserve"> </w:t>
      </w:r>
    </w:p>
    <w:p w14:paraId="5071F3B1" w14:textId="77777777" w:rsidR="00EC1C9F" w:rsidRPr="00EC1C9F" w:rsidRDefault="00EC1C9F" w:rsidP="00EC1C9F">
      <w:pPr>
        <w:ind w:left="720" w:hanging="720"/>
        <w:rPr>
          <w:rFonts w:ascii="Calibri" w:hAnsi="Calibri" w:cs="Calibri"/>
        </w:rPr>
      </w:pPr>
      <w:r w:rsidRPr="00EC1C9F">
        <w:rPr>
          <w:rFonts w:ascii="Calibri" w:hAnsi="Calibri" w:cs="Calibri"/>
        </w:rPr>
        <w:lastRenderedPageBreak/>
        <w:t xml:space="preserve">Jolliffe, D., &amp; Farrington, D. P. (2021). </w:t>
      </w:r>
      <w:r w:rsidRPr="00EC1C9F">
        <w:rPr>
          <w:rFonts w:ascii="Calibri" w:hAnsi="Calibri" w:cs="Calibri"/>
          <w:i/>
          <w:iCs/>
        </w:rPr>
        <w:t>Empathy and reoffending in a UK probation sample.</w:t>
      </w:r>
      <w:r w:rsidRPr="00EC1C9F">
        <w:rPr>
          <w:rFonts w:ascii="Calibri" w:hAnsi="Calibri" w:cs="Calibri"/>
        </w:rPr>
        <w:t xml:space="preserve"> Abingdon, UK: Routledge.</w:t>
      </w:r>
    </w:p>
    <w:p w14:paraId="7624D492" w14:textId="333F4BB3" w:rsidR="00EC1C9F" w:rsidRDefault="00ED64AC" w:rsidP="00ED64AC">
      <w:pPr>
        <w:ind w:left="720" w:hanging="720"/>
        <w:rPr>
          <w:rFonts w:ascii="Calibri" w:hAnsi="Calibri" w:cs="Calibri"/>
        </w:rPr>
      </w:pPr>
      <w:r w:rsidRPr="00ED64AC">
        <w:rPr>
          <w:rFonts w:ascii="Calibri" w:hAnsi="Calibri" w:cs="Calibri"/>
        </w:rPr>
        <w:t xml:space="preserve">Jolliffe, D., &amp; Murray, J. (2012). Lack of empathy and offending. In R. Loeber &amp; B. C. Welsh (Eds.), </w:t>
      </w:r>
      <w:r w:rsidRPr="00ED64AC">
        <w:rPr>
          <w:rFonts w:ascii="Calibri" w:hAnsi="Calibri" w:cs="Calibri"/>
          <w:i/>
          <w:iCs/>
        </w:rPr>
        <w:t>The future of criminology</w:t>
      </w:r>
      <w:r w:rsidRPr="00ED64AC">
        <w:rPr>
          <w:rFonts w:ascii="Calibri" w:hAnsi="Calibri" w:cs="Calibri"/>
        </w:rPr>
        <w:t xml:space="preserve"> (pp. 62–79). New York, NY: Oxford University Press.</w:t>
      </w:r>
    </w:p>
    <w:p w14:paraId="55656B89" w14:textId="6E20AEC1" w:rsidR="00050BFE" w:rsidRPr="000D24FA" w:rsidRDefault="00050BFE" w:rsidP="000105EA">
      <w:pPr>
        <w:ind w:left="720" w:hanging="720"/>
        <w:rPr>
          <w:rFonts w:ascii="Calibri" w:hAnsi="Calibri" w:cs="Calibri"/>
        </w:rPr>
      </w:pPr>
      <w:r w:rsidRPr="00D618FC">
        <w:rPr>
          <w:rFonts w:ascii="Calibri" w:hAnsi="Calibri" w:cs="Calibri"/>
        </w:rPr>
        <w:t xml:space="preserve">Justice Committee. (2024). </w:t>
      </w:r>
      <w:r w:rsidRPr="00D618FC">
        <w:rPr>
          <w:rFonts w:ascii="Calibri" w:hAnsi="Calibri" w:cs="Calibri"/>
          <w:i/>
          <w:iCs/>
        </w:rPr>
        <w:t>Rehabilitation and resettlement: Ending the cycle of reoffending.</w:t>
      </w:r>
      <w:r w:rsidRPr="00D618FC">
        <w:rPr>
          <w:rFonts w:ascii="Calibri" w:hAnsi="Calibri" w:cs="Calibri"/>
        </w:rPr>
        <w:t xml:space="preserve"> House of Commons, London: UK Parliament.</w:t>
      </w:r>
      <w:r w:rsidR="005E1D4F">
        <w:rPr>
          <w:rFonts w:ascii="Calibri" w:hAnsi="Calibri" w:cs="Calibri"/>
        </w:rPr>
        <w:t xml:space="preserve"> </w:t>
      </w:r>
      <w:r w:rsidR="005E1D4F" w:rsidRPr="005E1D4F">
        <w:rPr>
          <w:rFonts w:ascii="Calibri" w:hAnsi="Calibri" w:cs="Calibri"/>
        </w:rPr>
        <w:t xml:space="preserve">Available from </w:t>
      </w:r>
      <w:hyperlink r:id="rId27" w:history="1">
        <w:r w:rsidR="005E1D4F" w:rsidRPr="005E1D4F">
          <w:rPr>
            <w:rStyle w:val="Hyperlink"/>
            <w:rFonts w:ascii="Calibri" w:hAnsi="Calibri" w:cs="Calibri"/>
          </w:rPr>
          <w:t>https://committees.parliament.uk/publications</w:t>
        </w:r>
      </w:hyperlink>
      <w:r w:rsidR="005E1D4F">
        <w:rPr>
          <w:rFonts w:ascii="Calibri" w:hAnsi="Calibri" w:cs="Calibri"/>
        </w:rPr>
        <w:t xml:space="preserve"> </w:t>
      </w:r>
    </w:p>
    <w:p w14:paraId="53B733CC" w14:textId="3B1F64EA" w:rsidR="00771670" w:rsidRPr="000D24FA" w:rsidRDefault="00771670" w:rsidP="00771670">
      <w:pPr>
        <w:ind w:left="720" w:hanging="720"/>
        <w:rPr>
          <w:rFonts w:ascii="Calibri" w:hAnsi="Calibri" w:cs="Calibri"/>
        </w:rPr>
      </w:pPr>
      <w:r w:rsidRPr="000D24FA">
        <w:rPr>
          <w:rFonts w:ascii="Calibri" w:hAnsi="Calibri" w:cs="Calibri"/>
        </w:rPr>
        <w:t xml:space="preserve">Kraft, L., Ebner, C., Leo, K., &amp; Lindenberg, K. (2023). </w:t>
      </w:r>
      <w:r w:rsidRPr="000D24FA">
        <w:rPr>
          <w:rFonts w:ascii="Calibri" w:hAnsi="Calibri" w:cs="Calibri"/>
          <w:i/>
          <w:iCs/>
        </w:rPr>
        <w:t>Emotion regulation strategies and symptoms of depression, anxiety, aggression, and addiction in children and adolescents: A meta-analysis and systematic review</w:t>
      </w:r>
      <w:r w:rsidRPr="000D24FA">
        <w:rPr>
          <w:rFonts w:ascii="Calibri" w:hAnsi="Calibri" w:cs="Calibri"/>
        </w:rPr>
        <w:t xml:space="preserve">. </w:t>
      </w:r>
      <w:r w:rsidRPr="000D24FA">
        <w:rPr>
          <w:rFonts w:ascii="Calibri" w:hAnsi="Calibri" w:cs="Calibri"/>
          <w:i/>
          <w:iCs/>
        </w:rPr>
        <w:t>Clinical Psychology: Science and Practice, 30</w:t>
      </w:r>
      <w:r w:rsidRPr="000D24FA">
        <w:rPr>
          <w:rFonts w:ascii="Calibri" w:hAnsi="Calibri" w:cs="Calibri"/>
        </w:rPr>
        <w:t xml:space="preserve">(4), 485–502. </w:t>
      </w:r>
      <w:hyperlink r:id="rId28" w:history="1">
        <w:r w:rsidRPr="000D24FA">
          <w:rPr>
            <w:rStyle w:val="Hyperlink"/>
            <w:rFonts w:ascii="Calibri" w:hAnsi="Calibri" w:cs="Calibri"/>
          </w:rPr>
          <w:t>https://doi.org/10.1037/cps0000089</w:t>
        </w:r>
      </w:hyperlink>
    </w:p>
    <w:p w14:paraId="36073703" w14:textId="1915475C" w:rsidR="00D77AE5" w:rsidRPr="00EC4C14" w:rsidRDefault="00D77AE5" w:rsidP="00D77AE5">
      <w:pPr>
        <w:ind w:left="720" w:hanging="720"/>
        <w:rPr>
          <w:rFonts w:ascii="Calibri" w:hAnsi="Calibri" w:cs="Calibri"/>
        </w:rPr>
      </w:pPr>
      <w:r w:rsidRPr="000D24FA">
        <w:rPr>
          <w:rFonts w:ascii="Calibri" w:hAnsi="Calibri" w:cs="Calibri"/>
        </w:rPr>
        <w:t xml:space="preserve">LeMoult, J. (2020). </w:t>
      </w:r>
      <w:r w:rsidRPr="000D24FA">
        <w:rPr>
          <w:rFonts w:ascii="Calibri" w:hAnsi="Calibri" w:cs="Calibri"/>
          <w:i/>
          <w:iCs/>
        </w:rPr>
        <w:t>From Stress to Depression: Bringing Together Cognitive and Biological Science</w:t>
      </w:r>
      <w:r w:rsidRPr="000D24FA">
        <w:rPr>
          <w:rFonts w:ascii="Calibri" w:hAnsi="Calibri" w:cs="Calibri"/>
        </w:rPr>
        <w:t xml:space="preserve">. </w:t>
      </w:r>
      <w:r w:rsidRPr="00EC4C14">
        <w:rPr>
          <w:rFonts w:ascii="Calibri" w:hAnsi="Calibri" w:cs="Calibri"/>
          <w:i/>
          <w:iCs/>
        </w:rPr>
        <w:t>Current Directions in Psychological Science, 29</w:t>
      </w:r>
      <w:r w:rsidRPr="00EC4C14">
        <w:rPr>
          <w:rFonts w:ascii="Calibri" w:hAnsi="Calibri" w:cs="Calibri"/>
        </w:rPr>
        <w:t xml:space="preserve">(6), 592–598. </w:t>
      </w:r>
      <w:hyperlink r:id="rId29" w:history="1">
        <w:r w:rsidRPr="00EC4C14">
          <w:rPr>
            <w:rStyle w:val="Hyperlink"/>
            <w:rFonts w:ascii="Calibri" w:hAnsi="Calibri" w:cs="Calibri"/>
          </w:rPr>
          <w:t>https://doi.org/10.1177/0963721420964039</w:t>
        </w:r>
      </w:hyperlink>
      <w:r w:rsidR="000D24FA" w:rsidRPr="00EC4C14">
        <w:rPr>
          <w:rFonts w:ascii="Calibri" w:hAnsi="Calibri" w:cs="Calibri"/>
        </w:rPr>
        <w:t xml:space="preserve"> </w:t>
      </w:r>
    </w:p>
    <w:p w14:paraId="14EE5C2C" w14:textId="0845809E" w:rsidR="00973B02" w:rsidRDefault="00973B02" w:rsidP="00973B02">
      <w:pPr>
        <w:ind w:left="720" w:hanging="720"/>
        <w:rPr>
          <w:rFonts w:ascii="Calibri" w:hAnsi="Calibri" w:cs="Calibri"/>
        </w:rPr>
      </w:pPr>
      <w:r w:rsidRPr="00973B02">
        <w:rPr>
          <w:rFonts w:ascii="Calibri" w:hAnsi="Calibri" w:cs="Calibri"/>
        </w:rPr>
        <w:t xml:space="preserve">Loughnan, A. (2017). </w:t>
      </w:r>
      <w:r w:rsidRPr="00973B02">
        <w:rPr>
          <w:rFonts w:ascii="Calibri" w:hAnsi="Calibri" w:cs="Calibri"/>
          <w:i/>
          <w:iCs/>
        </w:rPr>
        <w:t>Depression in criminal law and process.</w:t>
      </w:r>
      <w:r w:rsidRPr="00973B02">
        <w:rPr>
          <w:rFonts w:ascii="Calibri" w:hAnsi="Calibri" w:cs="Calibri"/>
        </w:rPr>
        <w:t xml:space="preserve"> Oxford: Oxford University Press.</w:t>
      </w:r>
      <w:r>
        <w:rPr>
          <w:rFonts w:ascii="Calibri" w:hAnsi="Calibri" w:cs="Calibri"/>
        </w:rPr>
        <w:t xml:space="preserve"> </w:t>
      </w:r>
    </w:p>
    <w:p w14:paraId="4E595EA7" w14:textId="3B203374" w:rsidR="000C18C6" w:rsidRPr="00973B02" w:rsidRDefault="000C18C6" w:rsidP="00973B02">
      <w:pPr>
        <w:ind w:left="720" w:hanging="720"/>
        <w:rPr>
          <w:rFonts w:ascii="Calibri" w:hAnsi="Calibri" w:cs="Calibri"/>
        </w:rPr>
      </w:pPr>
      <w:r w:rsidRPr="000C18C6">
        <w:rPr>
          <w:rFonts w:ascii="Calibri" w:hAnsi="Calibri" w:cs="Calibri"/>
        </w:rPr>
        <w:t>Lutz, M., Zani, B., Fritz, M., Dudeck, M., &amp; Franke, I. (2022). Comparing the Risk</w:t>
      </w:r>
      <w:r w:rsidRPr="000C18C6">
        <w:rPr>
          <w:rFonts w:ascii="Calibri" w:hAnsi="Calibri" w:cs="Calibri"/>
        </w:rPr>
        <w:noBreakHyphen/>
        <w:t>Need</w:t>
      </w:r>
      <w:r w:rsidRPr="000C18C6">
        <w:rPr>
          <w:rFonts w:ascii="Calibri" w:hAnsi="Calibri" w:cs="Calibri"/>
        </w:rPr>
        <w:noBreakHyphen/>
        <w:t xml:space="preserve">Responsivity (RNR), Good Lives Model (GLM), and Recovery Model (RM) in forensic psychiatry: A conceptual analysis. </w:t>
      </w:r>
      <w:r w:rsidRPr="000C18C6">
        <w:rPr>
          <w:rFonts w:ascii="Calibri" w:hAnsi="Calibri" w:cs="Calibri"/>
          <w:i/>
          <w:iCs/>
        </w:rPr>
        <w:t>Frontiers in Psychiatry, 13,</w:t>
      </w:r>
      <w:r w:rsidRPr="000C18C6">
        <w:rPr>
          <w:rFonts w:ascii="Calibri" w:hAnsi="Calibri" w:cs="Calibri"/>
        </w:rPr>
        <w:t xml:space="preserve"> 987654. </w:t>
      </w:r>
      <w:hyperlink r:id="rId30" w:history="1">
        <w:r w:rsidRPr="000C18C6">
          <w:rPr>
            <w:rStyle w:val="Hyperlink"/>
            <w:rFonts w:ascii="Calibri" w:hAnsi="Calibri" w:cs="Calibri"/>
          </w:rPr>
          <w:t>https://doi.org/10.3389/fpsyt.2022.987654</w:t>
        </w:r>
      </w:hyperlink>
      <w:r>
        <w:rPr>
          <w:rFonts w:ascii="Calibri" w:hAnsi="Calibri" w:cs="Calibri"/>
        </w:rPr>
        <w:t xml:space="preserve"> </w:t>
      </w:r>
    </w:p>
    <w:p w14:paraId="3810DF79" w14:textId="259C8C28" w:rsidR="00915A42" w:rsidRDefault="00915A42" w:rsidP="00D77AE5">
      <w:pPr>
        <w:ind w:left="720" w:hanging="720"/>
        <w:rPr>
          <w:rFonts w:ascii="Calibri" w:hAnsi="Calibri" w:cs="Calibri"/>
        </w:rPr>
      </w:pPr>
      <w:r w:rsidRPr="00973B02">
        <w:rPr>
          <w:rFonts w:ascii="Calibri" w:hAnsi="Calibri" w:cs="Calibri"/>
        </w:rPr>
        <w:t xml:space="preserve">Martínez, P., González, R., &amp; López, A. (2025). </w:t>
      </w:r>
      <w:r w:rsidRPr="00915A42">
        <w:rPr>
          <w:rFonts w:ascii="Calibri" w:hAnsi="Calibri" w:cs="Calibri"/>
        </w:rPr>
        <w:t xml:space="preserve">Psychological, emotional, and neuropsychological sequelae of child victims of domestic violence: A review of the </w:t>
      </w:r>
      <w:r w:rsidRPr="00915A42">
        <w:rPr>
          <w:rFonts w:ascii="Calibri" w:hAnsi="Calibri" w:cs="Calibri"/>
        </w:rPr>
        <w:lastRenderedPageBreak/>
        <w:t xml:space="preserve">literature. </w:t>
      </w:r>
      <w:r w:rsidRPr="00915A42">
        <w:rPr>
          <w:rFonts w:ascii="Calibri" w:hAnsi="Calibri" w:cs="Calibri"/>
          <w:i/>
          <w:iCs/>
        </w:rPr>
        <w:t>Journal of Child &amp; Adolescent Trauma, 18</w:t>
      </w:r>
      <w:r w:rsidRPr="00915A42">
        <w:rPr>
          <w:rFonts w:ascii="Calibri" w:hAnsi="Calibri" w:cs="Calibri"/>
        </w:rPr>
        <w:t xml:space="preserve">(2), 145–162. </w:t>
      </w:r>
      <w:hyperlink r:id="rId31" w:history="1">
        <w:r w:rsidRPr="00915A42">
          <w:rPr>
            <w:rStyle w:val="Hyperlink"/>
            <w:rFonts w:ascii="Calibri" w:hAnsi="Calibri" w:cs="Calibri"/>
          </w:rPr>
          <w:t>https://doi.org/10.1007/s40653-025-00746-6</w:t>
        </w:r>
      </w:hyperlink>
      <w:r>
        <w:rPr>
          <w:rFonts w:ascii="Calibri" w:hAnsi="Calibri" w:cs="Calibri"/>
        </w:rPr>
        <w:t xml:space="preserve"> </w:t>
      </w:r>
    </w:p>
    <w:p w14:paraId="04E0D3F6" w14:textId="40302AE1" w:rsidR="00BF4033" w:rsidRPr="000D24FA" w:rsidRDefault="00BF4033" w:rsidP="00D77AE5">
      <w:pPr>
        <w:ind w:left="720" w:hanging="720"/>
        <w:rPr>
          <w:rFonts w:ascii="Calibri" w:hAnsi="Calibri" w:cs="Calibri"/>
        </w:rPr>
      </w:pPr>
      <w:r w:rsidRPr="00BF4033">
        <w:rPr>
          <w:rFonts w:ascii="Calibri" w:hAnsi="Calibri" w:cs="Calibri"/>
        </w:rPr>
        <w:t>Maynard, B. R., Salas</w:t>
      </w:r>
      <w:r w:rsidRPr="00BF4033">
        <w:rPr>
          <w:rFonts w:ascii="Calibri" w:hAnsi="Calibri" w:cs="Calibri"/>
        </w:rPr>
        <w:noBreakHyphen/>
        <w:t>Wright, C. P., Vaughn, M. G., &amp; Peters, K. E. (2019). Truancy and juvenile delinquency: A meta</w:t>
      </w:r>
      <w:r w:rsidRPr="00BF4033">
        <w:rPr>
          <w:rFonts w:ascii="Calibri" w:hAnsi="Calibri" w:cs="Calibri"/>
        </w:rPr>
        <w:noBreakHyphen/>
        <w:t xml:space="preserve">analysis. </w:t>
      </w:r>
      <w:r w:rsidRPr="00BF4033">
        <w:rPr>
          <w:rFonts w:ascii="Calibri" w:hAnsi="Calibri" w:cs="Calibri"/>
          <w:i/>
          <w:iCs/>
        </w:rPr>
        <w:t>Journal of Youth and Adolescence, 48</w:t>
      </w:r>
      <w:r w:rsidRPr="00BF4033">
        <w:rPr>
          <w:rFonts w:ascii="Calibri" w:hAnsi="Calibri" w:cs="Calibri"/>
        </w:rPr>
        <w:t xml:space="preserve">(2), 243–262. </w:t>
      </w:r>
      <w:hyperlink r:id="rId32" w:history="1">
        <w:r w:rsidRPr="00BF4033">
          <w:rPr>
            <w:rStyle w:val="Hyperlink"/>
            <w:rFonts w:ascii="Calibri" w:hAnsi="Calibri" w:cs="Calibri"/>
          </w:rPr>
          <w:t>https://doi.org/10.1007/s10964-019-01092-2</w:t>
        </w:r>
      </w:hyperlink>
    </w:p>
    <w:p w14:paraId="2F2B0B49" w14:textId="77777777" w:rsidR="00F65DC2" w:rsidRDefault="000D24FA" w:rsidP="00F65DC2">
      <w:pPr>
        <w:ind w:left="720" w:hanging="720"/>
        <w:rPr>
          <w:rFonts w:ascii="Calibri" w:hAnsi="Calibri" w:cs="Calibri"/>
        </w:rPr>
      </w:pPr>
      <w:r w:rsidRPr="000D24FA">
        <w:rPr>
          <w:rFonts w:ascii="Calibri" w:hAnsi="Calibri" w:cs="Calibri"/>
        </w:rPr>
        <w:t xml:space="preserve">McCord, J., &amp; Ensminger, M. E. (2010). Juvenile delinquency: Father absence, conduct disorder, and substance abuse as risk factor triad. </w:t>
      </w:r>
      <w:r w:rsidRPr="000D24FA">
        <w:rPr>
          <w:rFonts w:ascii="Calibri" w:hAnsi="Calibri" w:cs="Calibri"/>
          <w:i/>
          <w:iCs/>
        </w:rPr>
        <w:t>International Journal of Forensic Mental Health, 9</w:t>
      </w:r>
      <w:r w:rsidRPr="000D24FA">
        <w:rPr>
          <w:rFonts w:ascii="Calibri" w:hAnsi="Calibri" w:cs="Calibri"/>
        </w:rPr>
        <w:t xml:space="preserve">(3), 210–223. </w:t>
      </w:r>
      <w:hyperlink r:id="rId33" w:history="1">
        <w:r w:rsidRPr="000D24FA">
          <w:rPr>
            <w:rStyle w:val="Hyperlink"/>
            <w:rFonts w:ascii="Calibri" w:hAnsi="Calibri" w:cs="Calibri"/>
          </w:rPr>
          <w:t>https://doi.org/10.1080/14999013.2010.10074</w:t>
        </w:r>
      </w:hyperlink>
      <w:r w:rsidR="00F65DC2">
        <w:rPr>
          <w:rFonts w:ascii="Calibri" w:hAnsi="Calibri" w:cs="Calibri"/>
        </w:rPr>
        <w:t xml:space="preserve"> </w:t>
      </w:r>
    </w:p>
    <w:p w14:paraId="627FD46F" w14:textId="22C1AFD7" w:rsidR="001268CD" w:rsidRDefault="001268CD" w:rsidP="00F65DC2">
      <w:pPr>
        <w:ind w:left="720" w:hanging="720"/>
        <w:rPr>
          <w:rFonts w:ascii="Calibri" w:hAnsi="Calibri" w:cs="Calibri"/>
        </w:rPr>
      </w:pPr>
      <w:r w:rsidRPr="001268CD">
        <w:rPr>
          <w:rFonts w:ascii="Calibri" w:hAnsi="Calibri" w:cs="Calibri"/>
        </w:rPr>
        <w:t xml:space="preserve">Ministry of Justice. (2025). </w:t>
      </w:r>
      <w:r w:rsidRPr="001268CD">
        <w:rPr>
          <w:rFonts w:ascii="Calibri" w:hAnsi="Calibri" w:cs="Calibri"/>
          <w:i/>
          <w:iCs/>
        </w:rPr>
        <w:t>Reducing reoffending: Evidence synthesis.</w:t>
      </w:r>
      <w:r w:rsidRPr="001268CD">
        <w:rPr>
          <w:rFonts w:ascii="Calibri" w:hAnsi="Calibri" w:cs="Calibri"/>
        </w:rPr>
        <w:t xml:space="preserve"> London: Ministry of Justice.</w:t>
      </w:r>
      <w:r>
        <w:rPr>
          <w:rFonts w:ascii="Calibri" w:hAnsi="Calibri" w:cs="Calibri"/>
        </w:rPr>
        <w:t xml:space="preserve"> </w:t>
      </w:r>
      <w:r w:rsidRPr="001268CD">
        <w:rPr>
          <w:rFonts w:ascii="Calibri" w:hAnsi="Calibri" w:cs="Calibri"/>
        </w:rPr>
        <w:t xml:space="preserve">Available from </w:t>
      </w:r>
      <w:hyperlink r:id="rId34" w:history="1">
        <w:r w:rsidRPr="001268CD">
          <w:rPr>
            <w:rStyle w:val="Hyperlink"/>
            <w:rFonts w:ascii="Calibri" w:hAnsi="Calibri" w:cs="Calibri"/>
          </w:rPr>
          <w:t>https://www.gov.uk/government/publications/reducing-reoffending-evidence-synthesis</w:t>
        </w:r>
      </w:hyperlink>
    </w:p>
    <w:p w14:paraId="601FA5E6" w14:textId="7672DA3B" w:rsidR="00F65DC2" w:rsidRDefault="00F65DC2" w:rsidP="00F65DC2">
      <w:pPr>
        <w:ind w:left="720" w:hanging="720"/>
        <w:rPr>
          <w:rFonts w:ascii="Calibri" w:hAnsi="Calibri" w:cs="Calibri"/>
        </w:rPr>
      </w:pPr>
      <w:r w:rsidRPr="00F65DC2">
        <w:rPr>
          <w:rFonts w:ascii="Calibri" w:hAnsi="Calibri" w:cs="Calibri"/>
        </w:rPr>
        <w:t xml:space="preserve">Murray, J., &amp; Farrington, D. P. (2010). Risk factors for conduct disorder and delinquency: Key findings from longitudinal studies. </w:t>
      </w:r>
      <w:r w:rsidRPr="00F65DC2">
        <w:rPr>
          <w:rFonts w:ascii="Calibri" w:hAnsi="Calibri" w:cs="Calibri"/>
          <w:i/>
          <w:iCs/>
        </w:rPr>
        <w:t>Canadian Journal of Psychiatry, 55</w:t>
      </w:r>
      <w:r w:rsidRPr="00F65DC2">
        <w:rPr>
          <w:rFonts w:ascii="Calibri" w:hAnsi="Calibri" w:cs="Calibri"/>
        </w:rPr>
        <w:t xml:space="preserve">(10), 633–642. </w:t>
      </w:r>
      <w:hyperlink r:id="rId35" w:history="1">
        <w:r w:rsidRPr="00F65DC2">
          <w:rPr>
            <w:rStyle w:val="Hyperlink"/>
            <w:rFonts w:ascii="Calibri" w:hAnsi="Calibri" w:cs="Calibri"/>
          </w:rPr>
          <w:t>https://doi.org/10.1177/070674371005501003</w:t>
        </w:r>
      </w:hyperlink>
    </w:p>
    <w:p w14:paraId="2C369E11" w14:textId="77777777" w:rsidR="00B10C31" w:rsidRPr="00B10C31" w:rsidRDefault="00980C05" w:rsidP="00B10C31">
      <w:pPr>
        <w:ind w:left="720" w:hanging="720"/>
        <w:rPr>
          <w:rFonts w:ascii="Calibri" w:hAnsi="Calibri" w:cs="Calibri"/>
        </w:rPr>
      </w:pPr>
      <w:r w:rsidRPr="00980C05">
        <w:rPr>
          <w:rFonts w:ascii="Calibri" w:hAnsi="Calibri" w:cs="Calibri"/>
        </w:rPr>
        <w:t xml:space="preserve">National Institute of Justice. (2024, March 12). Five things about youth and delinquency. </w:t>
      </w:r>
      <w:r w:rsidRPr="00980C05">
        <w:rPr>
          <w:rFonts w:ascii="Calibri" w:hAnsi="Calibri" w:cs="Calibri"/>
          <w:i/>
          <w:iCs/>
        </w:rPr>
        <w:t>National Institute of Justice</w:t>
      </w:r>
      <w:r w:rsidRPr="00980C05">
        <w:rPr>
          <w:rFonts w:ascii="Calibri" w:hAnsi="Calibri" w:cs="Calibri"/>
        </w:rPr>
        <w:t xml:space="preserve">. </w:t>
      </w:r>
      <w:hyperlink r:id="rId36" w:history="1">
        <w:r w:rsidRPr="00980C05">
          <w:rPr>
            <w:rStyle w:val="Hyperlink"/>
            <w:rFonts w:ascii="Calibri" w:hAnsi="Calibri" w:cs="Calibri"/>
          </w:rPr>
          <w:t>https://nij.ojp.gov/topics/articles/five-things-about-youth-and-delinquency</w:t>
        </w:r>
      </w:hyperlink>
      <w:r w:rsidR="001216A1" w:rsidRPr="00B10C31">
        <w:rPr>
          <w:rFonts w:ascii="Calibri" w:hAnsi="Calibri" w:cs="Calibri"/>
        </w:rPr>
        <w:t xml:space="preserve"> </w:t>
      </w:r>
      <w:r w:rsidR="00B13FD4" w:rsidRPr="00B10C31">
        <w:rPr>
          <w:rFonts w:ascii="Calibri" w:hAnsi="Calibri" w:cs="Calibri"/>
        </w:rPr>
        <w:t xml:space="preserve"> </w:t>
      </w:r>
    </w:p>
    <w:p w14:paraId="47F6BC6C" w14:textId="77777777" w:rsidR="001268CD" w:rsidRDefault="00B10C31" w:rsidP="001268CD">
      <w:pPr>
        <w:ind w:left="720" w:hanging="720"/>
      </w:pPr>
      <w:proofErr w:type="spellStart"/>
      <w:r w:rsidRPr="00B10C31">
        <w:rPr>
          <w:rFonts w:ascii="Calibri" w:hAnsi="Calibri" w:cs="Calibri"/>
        </w:rPr>
        <w:t>Osain</w:t>
      </w:r>
      <w:proofErr w:type="spellEnd"/>
      <w:r w:rsidRPr="00B10C31">
        <w:rPr>
          <w:rFonts w:ascii="Calibri" w:hAnsi="Calibri" w:cs="Calibri"/>
        </w:rPr>
        <w:t xml:space="preserve">, M., &amp; Pereverzev, V. A. (2020). Alcohol and cognition: A literature review. </w:t>
      </w:r>
      <w:r w:rsidRPr="00B10C31">
        <w:rPr>
          <w:rFonts w:ascii="Calibri" w:hAnsi="Calibri" w:cs="Calibri"/>
          <w:i/>
          <w:iCs/>
        </w:rPr>
        <w:t>European Psychiatry, 63</w:t>
      </w:r>
      <w:r w:rsidRPr="00B10C31">
        <w:rPr>
          <w:rFonts w:ascii="Calibri" w:hAnsi="Calibri" w:cs="Calibri"/>
        </w:rPr>
        <w:t xml:space="preserve">(S1), P0324. </w:t>
      </w:r>
      <w:hyperlink r:id="rId37" w:history="1">
        <w:r w:rsidRPr="00B10C31">
          <w:rPr>
            <w:rStyle w:val="Hyperlink"/>
            <w:rFonts w:ascii="Calibri" w:hAnsi="Calibri" w:cs="Calibri"/>
          </w:rPr>
          <w:t>https://doi.org/10.1192/j.eurpsy.2020.324</w:t>
        </w:r>
      </w:hyperlink>
      <w:r w:rsidR="001268CD">
        <w:t xml:space="preserve"> </w:t>
      </w:r>
    </w:p>
    <w:p w14:paraId="7A10053A" w14:textId="77777777" w:rsidR="0050404A" w:rsidRDefault="001268CD" w:rsidP="0050404A">
      <w:pPr>
        <w:ind w:left="720" w:hanging="720"/>
      </w:pPr>
      <w:r w:rsidRPr="001268CD">
        <w:rPr>
          <w:rFonts w:ascii="Calibri" w:hAnsi="Calibri" w:cs="Calibri"/>
        </w:rPr>
        <w:t xml:space="preserve">Özkan, T., Rocque, M., &amp; Posick, C. (2019). Reconsidering the link between depression and crime: A longitudinal assessment. </w:t>
      </w:r>
      <w:r w:rsidRPr="001268CD">
        <w:rPr>
          <w:rFonts w:ascii="Calibri" w:hAnsi="Calibri" w:cs="Calibri"/>
          <w:i/>
          <w:iCs/>
        </w:rPr>
        <w:t xml:space="preserve">Criminal Justice and </w:t>
      </w:r>
      <w:proofErr w:type="spellStart"/>
      <w:r w:rsidRPr="001268CD">
        <w:rPr>
          <w:rFonts w:ascii="Calibri" w:hAnsi="Calibri" w:cs="Calibri"/>
          <w:i/>
          <w:iCs/>
        </w:rPr>
        <w:t>Behavior</w:t>
      </w:r>
      <w:proofErr w:type="spellEnd"/>
      <w:r w:rsidRPr="001268CD">
        <w:rPr>
          <w:rFonts w:ascii="Calibri" w:hAnsi="Calibri" w:cs="Calibri"/>
          <w:i/>
          <w:iCs/>
        </w:rPr>
        <w:t>, 46</w:t>
      </w:r>
      <w:r w:rsidRPr="001268CD">
        <w:rPr>
          <w:rFonts w:ascii="Calibri" w:hAnsi="Calibri" w:cs="Calibri"/>
        </w:rPr>
        <w:t xml:space="preserve">(1), 3–25. </w:t>
      </w:r>
      <w:hyperlink r:id="rId38" w:history="1">
        <w:r w:rsidRPr="001268CD">
          <w:rPr>
            <w:rStyle w:val="Hyperlink"/>
            <w:rFonts w:ascii="Calibri" w:hAnsi="Calibri" w:cs="Calibri"/>
          </w:rPr>
          <w:t>https://doi.org/10.1177/0093854818791270</w:t>
        </w:r>
      </w:hyperlink>
      <w:r w:rsidR="0050404A">
        <w:t xml:space="preserve"> </w:t>
      </w:r>
    </w:p>
    <w:p w14:paraId="30E765E1" w14:textId="0B3136CD" w:rsidR="0050404A" w:rsidRPr="0050404A" w:rsidRDefault="0050404A" w:rsidP="0050404A">
      <w:pPr>
        <w:ind w:left="720" w:hanging="720"/>
      </w:pPr>
      <w:r w:rsidRPr="0050404A">
        <w:rPr>
          <w:rFonts w:ascii="Calibri" w:hAnsi="Calibri" w:cs="Calibri"/>
        </w:rPr>
        <w:lastRenderedPageBreak/>
        <w:t xml:space="preserve">Paddock, E., Chou, S., &amp; Browne, K. (2021). Child and adolescent offending. In J. M. Brown &amp; M. A. H. Horvath (Eds.), </w:t>
      </w:r>
      <w:r w:rsidRPr="0050404A">
        <w:rPr>
          <w:rFonts w:ascii="Calibri" w:hAnsi="Calibri" w:cs="Calibri"/>
          <w:i/>
          <w:iCs/>
        </w:rPr>
        <w:t>The Cambridge Handbook of Forensic Psychology</w:t>
      </w:r>
      <w:r w:rsidRPr="0050404A">
        <w:rPr>
          <w:rFonts w:ascii="Calibri" w:hAnsi="Calibri" w:cs="Calibri"/>
        </w:rPr>
        <w:t xml:space="preserve"> (pp. 25–44). Cambridge University Press.</w:t>
      </w:r>
      <w:r w:rsidRPr="0050404A">
        <w:rPr>
          <w:rFonts w:ascii="Calibri" w:hAnsi="Calibri" w:cs="Calibri"/>
        </w:rPr>
        <w:br/>
        <w:t xml:space="preserve">DOI: </w:t>
      </w:r>
      <w:hyperlink r:id="rId39" w:history="1">
        <w:r w:rsidRPr="0050404A">
          <w:rPr>
            <w:rStyle w:val="Hyperlink"/>
            <w:rFonts w:ascii="Calibri" w:hAnsi="Calibri" w:cs="Calibri"/>
          </w:rPr>
          <w:t>10.1017/9781108183187</w:t>
        </w:r>
      </w:hyperlink>
    </w:p>
    <w:p w14:paraId="7141BC18" w14:textId="1A811B6C" w:rsidR="001216A1" w:rsidRDefault="001216A1" w:rsidP="00B10C31">
      <w:pPr>
        <w:ind w:left="720" w:hanging="720"/>
        <w:rPr>
          <w:rFonts w:ascii="Calibri" w:hAnsi="Calibri" w:cs="Calibri"/>
        </w:rPr>
      </w:pPr>
      <w:r w:rsidRPr="00AD6581">
        <w:rPr>
          <w:rFonts w:ascii="Calibri" w:hAnsi="Calibri" w:cs="Calibri"/>
        </w:rPr>
        <w:t xml:space="preserve">Pautassi, R. M., &amp; López, M. F. (2022). </w:t>
      </w:r>
      <w:r w:rsidRPr="001216A1">
        <w:rPr>
          <w:rFonts w:ascii="Calibri" w:hAnsi="Calibri" w:cs="Calibri"/>
        </w:rPr>
        <w:t xml:space="preserve">Alcohol, aggression, and violence: From public health to neuroscience. </w:t>
      </w:r>
      <w:r w:rsidRPr="001216A1">
        <w:rPr>
          <w:rFonts w:ascii="Calibri" w:hAnsi="Calibri" w:cs="Calibri"/>
          <w:i/>
          <w:iCs/>
        </w:rPr>
        <w:t xml:space="preserve">Frontiers in </w:t>
      </w:r>
      <w:proofErr w:type="spellStart"/>
      <w:r w:rsidRPr="001216A1">
        <w:rPr>
          <w:rFonts w:ascii="Calibri" w:hAnsi="Calibri" w:cs="Calibri"/>
          <w:i/>
          <w:iCs/>
        </w:rPr>
        <w:t>Behavioral</w:t>
      </w:r>
      <w:proofErr w:type="spellEnd"/>
      <w:r w:rsidRPr="001216A1">
        <w:rPr>
          <w:rFonts w:ascii="Calibri" w:hAnsi="Calibri" w:cs="Calibri"/>
          <w:i/>
          <w:iCs/>
        </w:rPr>
        <w:t xml:space="preserve"> Neuroscience, 16</w:t>
      </w:r>
      <w:r w:rsidRPr="001216A1">
        <w:rPr>
          <w:rFonts w:ascii="Calibri" w:hAnsi="Calibri" w:cs="Calibri"/>
        </w:rPr>
        <w:t xml:space="preserve">, 872926. </w:t>
      </w:r>
      <w:hyperlink r:id="rId40" w:history="1">
        <w:r w:rsidRPr="001216A1">
          <w:rPr>
            <w:rStyle w:val="Hyperlink"/>
            <w:rFonts w:ascii="Calibri" w:hAnsi="Calibri" w:cs="Calibri"/>
          </w:rPr>
          <w:t>https://doi.org/10.3389/fnbeh.2022.872926</w:t>
        </w:r>
      </w:hyperlink>
      <w:r w:rsidR="00561E3C">
        <w:rPr>
          <w:rFonts w:ascii="Calibri" w:hAnsi="Calibri" w:cs="Calibri"/>
        </w:rPr>
        <w:t xml:space="preserve"> </w:t>
      </w:r>
    </w:p>
    <w:p w14:paraId="03AD62B9" w14:textId="7CE6E765" w:rsidR="00561E3C" w:rsidRDefault="00561E3C" w:rsidP="00B10C31">
      <w:pPr>
        <w:ind w:left="720" w:hanging="720"/>
        <w:rPr>
          <w:rFonts w:ascii="Calibri" w:hAnsi="Calibri" w:cs="Calibri"/>
        </w:rPr>
      </w:pPr>
      <w:r w:rsidRPr="00561E3C">
        <w:rPr>
          <w:rFonts w:ascii="Calibri" w:hAnsi="Calibri" w:cs="Calibri"/>
        </w:rPr>
        <w:t xml:space="preserve">Public Health England, &amp; Ministry of Justice. (2017). </w:t>
      </w:r>
      <w:r w:rsidRPr="00561E3C">
        <w:rPr>
          <w:rFonts w:ascii="Calibri" w:hAnsi="Calibri" w:cs="Calibri"/>
          <w:i/>
          <w:iCs/>
        </w:rPr>
        <w:t>The effect of drug and alcohol treatment on re</w:t>
      </w:r>
      <w:r w:rsidRPr="00561E3C">
        <w:rPr>
          <w:rFonts w:ascii="Calibri" w:hAnsi="Calibri" w:cs="Calibri"/>
          <w:i/>
          <w:iCs/>
        </w:rPr>
        <w:noBreakHyphen/>
        <w:t>offending.</w:t>
      </w:r>
      <w:r w:rsidRPr="00561E3C">
        <w:rPr>
          <w:rFonts w:ascii="Calibri" w:hAnsi="Calibri" w:cs="Calibri"/>
        </w:rPr>
        <w:t xml:space="preserve"> HM Government. Retrieved from </w:t>
      </w:r>
      <w:hyperlink r:id="rId41" w:history="1">
        <w:r w:rsidRPr="00561E3C">
          <w:rPr>
            <w:rStyle w:val="Hyperlink"/>
            <w:rFonts w:ascii="Calibri" w:hAnsi="Calibri" w:cs="Calibri"/>
          </w:rPr>
          <w:t>https://www.gov.uk/government/publications/the-effect-of-drug-and-alcohol-treatment-on-re-offending</w:t>
        </w:r>
      </w:hyperlink>
      <w:r>
        <w:rPr>
          <w:rFonts w:ascii="Calibri" w:hAnsi="Calibri" w:cs="Calibri"/>
        </w:rPr>
        <w:t xml:space="preserve"> </w:t>
      </w:r>
    </w:p>
    <w:p w14:paraId="6B891FC8" w14:textId="06953352" w:rsidR="00F66989" w:rsidRPr="000D24FA" w:rsidRDefault="00F66989" w:rsidP="00D77AE5">
      <w:pPr>
        <w:ind w:left="720" w:hanging="720"/>
        <w:rPr>
          <w:rFonts w:ascii="Calibri" w:hAnsi="Calibri" w:cs="Calibri"/>
        </w:rPr>
      </w:pPr>
      <w:proofErr w:type="spellStart"/>
      <w:r w:rsidRPr="00F66989">
        <w:rPr>
          <w:rFonts w:ascii="Calibri" w:hAnsi="Calibri" w:cs="Calibri"/>
        </w:rPr>
        <w:t>Sariaslan</w:t>
      </w:r>
      <w:proofErr w:type="spellEnd"/>
      <w:r w:rsidRPr="00F66989">
        <w:rPr>
          <w:rFonts w:ascii="Calibri" w:hAnsi="Calibri" w:cs="Calibri"/>
        </w:rPr>
        <w:t xml:space="preserve">, A., Larsson, H., D’Onofrio, B. M., </w:t>
      </w:r>
      <w:proofErr w:type="spellStart"/>
      <w:r w:rsidRPr="00F66989">
        <w:rPr>
          <w:rFonts w:ascii="Calibri" w:hAnsi="Calibri" w:cs="Calibri"/>
        </w:rPr>
        <w:t>Långström</w:t>
      </w:r>
      <w:proofErr w:type="spellEnd"/>
      <w:r w:rsidRPr="00F66989">
        <w:rPr>
          <w:rFonts w:ascii="Calibri" w:hAnsi="Calibri" w:cs="Calibri"/>
        </w:rPr>
        <w:t>, N., &amp; Lichtenstein, P. (2018). Childhood family income, adolescent violent criminality and substance misuse: Quasi</w:t>
      </w:r>
      <w:r w:rsidRPr="00F66989">
        <w:rPr>
          <w:rFonts w:ascii="Calibri" w:hAnsi="Calibri" w:cs="Calibri"/>
        </w:rPr>
        <w:noBreakHyphen/>
        <w:t xml:space="preserve">experimental total population study. </w:t>
      </w:r>
      <w:r w:rsidRPr="00F66989">
        <w:rPr>
          <w:rFonts w:ascii="Calibri" w:hAnsi="Calibri" w:cs="Calibri"/>
          <w:i/>
          <w:iCs/>
        </w:rPr>
        <w:t>The British Journal of Psychiatry, 212</w:t>
      </w:r>
      <w:r w:rsidRPr="00F66989">
        <w:rPr>
          <w:rFonts w:ascii="Calibri" w:hAnsi="Calibri" w:cs="Calibri"/>
        </w:rPr>
        <w:t xml:space="preserve">(6), 386–391. </w:t>
      </w:r>
      <w:hyperlink r:id="rId42" w:history="1">
        <w:r w:rsidRPr="00F66989">
          <w:rPr>
            <w:rStyle w:val="Hyperlink"/>
            <w:rFonts w:ascii="Calibri" w:hAnsi="Calibri" w:cs="Calibri"/>
          </w:rPr>
          <w:t>https://doi.org/10.1192/bjp.2018.54</w:t>
        </w:r>
      </w:hyperlink>
    </w:p>
    <w:p w14:paraId="31E74E01" w14:textId="77777777" w:rsidR="00410433" w:rsidRDefault="00D77AE5" w:rsidP="00410433">
      <w:pPr>
        <w:ind w:left="720" w:hanging="720"/>
        <w:rPr>
          <w:rFonts w:ascii="Calibri" w:hAnsi="Calibri" w:cs="Calibri"/>
        </w:rPr>
      </w:pPr>
      <w:r w:rsidRPr="000D24FA">
        <w:rPr>
          <w:rFonts w:ascii="Calibri" w:hAnsi="Calibri" w:cs="Calibri"/>
        </w:rPr>
        <w:t xml:space="preserve">Sullivan, P. F., Neale, M. C., &amp; Kendler, K. S. (2000). </w:t>
      </w:r>
      <w:r w:rsidRPr="000D24FA">
        <w:rPr>
          <w:rFonts w:ascii="Calibri" w:hAnsi="Calibri" w:cs="Calibri"/>
          <w:i/>
          <w:iCs/>
        </w:rPr>
        <w:t>Genetic epidemiology of major depression: Review and meta-analysis</w:t>
      </w:r>
      <w:r w:rsidRPr="000D24FA">
        <w:rPr>
          <w:rFonts w:ascii="Calibri" w:hAnsi="Calibri" w:cs="Calibri"/>
        </w:rPr>
        <w:t xml:space="preserve">. </w:t>
      </w:r>
      <w:r w:rsidRPr="000D24FA">
        <w:rPr>
          <w:rFonts w:ascii="Calibri" w:hAnsi="Calibri" w:cs="Calibri"/>
          <w:i/>
          <w:iCs/>
        </w:rPr>
        <w:t>American Journal of Psychiatry, 157</w:t>
      </w:r>
      <w:r w:rsidRPr="000D24FA">
        <w:rPr>
          <w:rFonts w:ascii="Calibri" w:hAnsi="Calibri" w:cs="Calibri"/>
        </w:rPr>
        <w:t xml:space="preserve">(10), 1552–1562. </w:t>
      </w:r>
      <w:hyperlink r:id="rId43" w:history="1">
        <w:r w:rsidRPr="000D24FA">
          <w:rPr>
            <w:rStyle w:val="Hyperlink"/>
            <w:rFonts w:ascii="Calibri" w:hAnsi="Calibri" w:cs="Calibri"/>
          </w:rPr>
          <w:t>https://doi.org/10.1176/appi.ajp.157.10.1552</w:t>
        </w:r>
      </w:hyperlink>
      <w:r w:rsidR="00410433" w:rsidRPr="000D24FA">
        <w:rPr>
          <w:rFonts w:ascii="Calibri" w:hAnsi="Calibri" w:cs="Calibri"/>
        </w:rPr>
        <w:t xml:space="preserve"> </w:t>
      </w:r>
    </w:p>
    <w:p w14:paraId="50A9A920" w14:textId="406181FA" w:rsidR="006C6934" w:rsidRDefault="006C6934" w:rsidP="00410433">
      <w:pPr>
        <w:ind w:left="720" w:hanging="720"/>
        <w:rPr>
          <w:rFonts w:ascii="Calibri" w:hAnsi="Calibri" w:cs="Calibri"/>
        </w:rPr>
      </w:pPr>
      <w:r w:rsidRPr="006C6934">
        <w:rPr>
          <w:rFonts w:ascii="Calibri" w:hAnsi="Calibri" w:cs="Calibri"/>
        </w:rPr>
        <w:t>Taxman, F. S., &amp; Caudy, M. S. (2015). Risk</w:t>
      </w:r>
      <w:r w:rsidRPr="006C6934">
        <w:rPr>
          <w:rFonts w:ascii="Calibri" w:hAnsi="Calibri" w:cs="Calibri"/>
        </w:rPr>
        <w:noBreakHyphen/>
        <w:t>Need</w:t>
      </w:r>
      <w:r w:rsidRPr="006C6934">
        <w:rPr>
          <w:rFonts w:ascii="Calibri" w:hAnsi="Calibri" w:cs="Calibri"/>
        </w:rPr>
        <w:noBreakHyphen/>
        <w:t>Responsivity (RNR): An evidence</w:t>
      </w:r>
      <w:r w:rsidRPr="006C6934">
        <w:rPr>
          <w:rFonts w:ascii="Calibri" w:hAnsi="Calibri" w:cs="Calibri"/>
        </w:rPr>
        <w:noBreakHyphen/>
        <w:t xml:space="preserve">based approach to reducing recidivism. </w:t>
      </w:r>
      <w:r w:rsidRPr="006C6934">
        <w:rPr>
          <w:rFonts w:ascii="Calibri" w:hAnsi="Calibri" w:cs="Calibri"/>
          <w:i/>
          <w:iCs/>
        </w:rPr>
        <w:t>Journal of Criminal Justice, 43</w:t>
      </w:r>
      <w:r w:rsidRPr="006C6934">
        <w:rPr>
          <w:rFonts w:ascii="Calibri" w:hAnsi="Calibri" w:cs="Calibri"/>
        </w:rPr>
        <w:t xml:space="preserve">(4), 354–366. </w:t>
      </w:r>
      <w:hyperlink r:id="rId44" w:history="1">
        <w:r w:rsidRPr="006C6934">
          <w:rPr>
            <w:rStyle w:val="Hyperlink"/>
            <w:rFonts w:ascii="Calibri" w:hAnsi="Calibri" w:cs="Calibri"/>
          </w:rPr>
          <w:t>https://doi.org/10.1016/j.jcrimjus.2015.04.004</w:t>
        </w:r>
      </w:hyperlink>
      <w:r>
        <w:rPr>
          <w:rFonts w:ascii="Calibri" w:hAnsi="Calibri" w:cs="Calibri"/>
        </w:rPr>
        <w:t xml:space="preserve"> </w:t>
      </w:r>
    </w:p>
    <w:p w14:paraId="567A05FF" w14:textId="2244DD0F" w:rsidR="00915A42" w:rsidRPr="000D24FA" w:rsidRDefault="00915A42" w:rsidP="00410433">
      <w:pPr>
        <w:ind w:left="720" w:hanging="720"/>
        <w:rPr>
          <w:rFonts w:ascii="Calibri" w:hAnsi="Calibri" w:cs="Calibri"/>
        </w:rPr>
      </w:pPr>
      <w:r w:rsidRPr="00915A42">
        <w:rPr>
          <w:rFonts w:ascii="Calibri" w:hAnsi="Calibri" w:cs="Calibri"/>
        </w:rPr>
        <w:lastRenderedPageBreak/>
        <w:t xml:space="preserve">UK Trauma Council. (2022). </w:t>
      </w:r>
      <w:r w:rsidRPr="00915A42">
        <w:rPr>
          <w:rFonts w:ascii="Calibri" w:hAnsi="Calibri" w:cs="Calibri"/>
          <w:i/>
          <w:iCs/>
        </w:rPr>
        <w:t>Childhood trauma and domestic abuse: Research round</w:t>
      </w:r>
      <w:r w:rsidRPr="00915A42">
        <w:rPr>
          <w:rFonts w:ascii="Calibri" w:hAnsi="Calibri" w:cs="Calibri"/>
          <w:i/>
          <w:iCs/>
        </w:rPr>
        <w:noBreakHyphen/>
        <w:t>up</w:t>
      </w:r>
      <w:r w:rsidRPr="00915A42">
        <w:rPr>
          <w:rFonts w:ascii="Calibri" w:hAnsi="Calibri" w:cs="Calibri"/>
        </w:rPr>
        <w:t xml:space="preserve">. Anna Freud National Centre for Children and Families. Retrieved from </w:t>
      </w:r>
      <w:hyperlink r:id="rId45" w:history="1">
        <w:r w:rsidRPr="00915A42">
          <w:rPr>
            <w:rStyle w:val="Hyperlink"/>
            <w:rFonts w:ascii="Calibri" w:hAnsi="Calibri" w:cs="Calibri"/>
          </w:rPr>
          <w:t>https://uktraumacouncil.org/research_practice/childhood-trauma-and-domestic-abuse-research-round-up</w:t>
        </w:r>
      </w:hyperlink>
    </w:p>
    <w:p w14:paraId="4407D86F" w14:textId="7C06F762" w:rsidR="000D24FA" w:rsidRPr="000D24FA" w:rsidRDefault="000D24FA" w:rsidP="00410433">
      <w:pPr>
        <w:ind w:left="720" w:hanging="720"/>
        <w:rPr>
          <w:rFonts w:ascii="Calibri" w:hAnsi="Calibri" w:cs="Calibri"/>
        </w:rPr>
      </w:pPr>
      <w:r w:rsidRPr="000D24FA">
        <w:rPr>
          <w:rFonts w:ascii="Calibri" w:hAnsi="Calibri" w:cs="Calibri"/>
          <w:lang w:val="fr-FR"/>
        </w:rPr>
        <w:t xml:space="preserve">Velleman, R., Templeton, L., &amp; Copello, A. (2018). </w:t>
      </w:r>
      <w:r w:rsidRPr="000D24FA">
        <w:rPr>
          <w:rFonts w:ascii="Calibri" w:hAnsi="Calibri" w:cs="Calibri"/>
        </w:rPr>
        <w:t xml:space="preserve">Understanding and modifying the impact of parents’ substance misuse on children. </w:t>
      </w:r>
      <w:r w:rsidRPr="000D24FA">
        <w:rPr>
          <w:rFonts w:ascii="Calibri" w:hAnsi="Calibri" w:cs="Calibri"/>
          <w:i/>
          <w:iCs/>
        </w:rPr>
        <w:t>Advances in Psychiatric Treatment, 14</w:t>
      </w:r>
      <w:r w:rsidRPr="000D24FA">
        <w:rPr>
          <w:rFonts w:ascii="Calibri" w:hAnsi="Calibri" w:cs="Calibri"/>
        </w:rPr>
        <w:t xml:space="preserve">(2), 107–117. </w:t>
      </w:r>
      <w:hyperlink r:id="rId46" w:history="1">
        <w:r w:rsidRPr="000D24FA">
          <w:rPr>
            <w:rStyle w:val="Hyperlink"/>
            <w:rFonts w:ascii="Calibri" w:hAnsi="Calibri" w:cs="Calibri"/>
          </w:rPr>
          <w:t>https://doi.org/10.1192/apt.bp.107.005009</w:t>
        </w:r>
      </w:hyperlink>
    </w:p>
    <w:p w14:paraId="57D82784" w14:textId="77777777" w:rsidR="00D858C5" w:rsidRDefault="00410433" w:rsidP="00D858C5">
      <w:pPr>
        <w:ind w:left="720" w:hanging="720"/>
        <w:rPr>
          <w:rFonts w:ascii="Calibri" w:hAnsi="Calibri" w:cs="Calibri"/>
        </w:rPr>
      </w:pPr>
      <w:r w:rsidRPr="00410433">
        <w:rPr>
          <w:rFonts w:ascii="Calibri" w:hAnsi="Calibri" w:cs="Calibri"/>
        </w:rPr>
        <w:t xml:space="preserve">Virkkunen, M. (1976). Parental deprivation and recidivism in juvenile delinquents. </w:t>
      </w:r>
      <w:r w:rsidRPr="00410433">
        <w:rPr>
          <w:rFonts w:ascii="Calibri" w:hAnsi="Calibri" w:cs="Calibri"/>
          <w:i/>
          <w:iCs/>
        </w:rPr>
        <w:t>The British Journal of Criminology, 16</w:t>
      </w:r>
      <w:r w:rsidRPr="00410433">
        <w:rPr>
          <w:rFonts w:ascii="Calibri" w:hAnsi="Calibri" w:cs="Calibri"/>
        </w:rPr>
        <w:t xml:space="preserve">(4), 378–385. </w:t>
      </w:r>
      <w:hyperlink r:id="rId47" w:history="1">
        <w:r w:rsidRPr="00410433">
          <w:rPr>
            <w:rStyle w:val="Hyperlink"/>
            <w:rFonts w:ascii="Calibri" w:hAnsi="Calibri" w:cs="Calibri"/>
          </w:rPr>
          <w:t>https://doi.org/10.1093/bjc/16.4.378</w:t>
        </w:r>
      </w:hyperlink>
      <w:r w:rsidR="00D858C5">
        <w:rPr>
          <w:rFonts w:ascii="Calibri" w:hAnsi="Calibri" w:cs="Calibri"/>
        </w:rPr>
        <w:t xml:space="preserve"> </w:t>
      </w:r>
    </w:p>
    <w:p w14:paraId="6166E70A" w14:textId="77777777" w:rsidR="00D13157" w:rsidRDefault="00D858C5" w:rsidP="00D13157">
      <w:pPr>
        <w:ind w:left="720" w:hanging="720"/>
      </w:pPr>
      <w:r w:rsidRPr="00B36B85">
        <w:rPr>
          <w:rFonts w:ascii="Calibri" w:hAnsi="Calibri" w:cs="Calibri"/>
        </w:rPr>
        <w:t xml:space="preserve">Volkow, N. D., Baler, R. D., Compton, W. M., &amp; Weiss, S. R. B. (2014). Adverse health </w:t>
      </w:r>
      <w:proofErr w:type="spellStart"/>
      <w:r w:rsidRPr="00B36B85">
        <w:rPr>
          <w:rFonts w:ascii="Calibri" w:hAnsi="Calibri" w:cs="Calibri"/>
        </w:rPr>
        <w:t>effecs</w:t>
      </w:r>
      <w:proofErr w:type="spellEnd"/>
      <w:r w:rsidRPr="00B36B85">
        <w:rPr>
          <w:rFonts w:ascii="Calibri" w:hAnsi="Calibri" w:cs="Calibri"/>
        </w:rPr>
        <w:t xml:space="preserve"> of marijuana use. </w:t>
      </w:r>
      <w:r w:rsidRPr="00B36B85">
        <w:rPr>
          <w:rFonts w:ascii="Calibri" w:hAnsi="Calibri" w:cs="Calibri"/>
          <w:i/>
          <w:iCs/>
        </w:rPr>
        <w:t>New England Journal of Medicine, 370</w:t>
      </w:r>
      <w:r w:rsidRPr="00B36B85">
        <w:rPr>
          <w:rFonts w:ascii="Calibri" w:hAnsi="Calibri" w:cs="Calibri"/>
        </w:rPr>
        <w:t xml:space="preserve">(23), 2219–2227. </w:t>
      </w:r>
      <w:hyperlink r:id="rId48" w:history="1">
        <w:r w:rsidRPr="00B36B85">
          <w:rPr>
            <w:rStyle w:val="Hyperlink"/>
            <w:rFonts w:ascii="Calibri" w:hAnsi="Calibri" w:cs="Calibri"/>
          </w:rPr>
          <w:t>https://doi.org/10.1056/NEJMra1402309</w:t>
        </w:r>
      </w:hyperlink>
      <w:r w:rsidR="00D13157">
        <w:t xml:space="preserve"> </w:t>
      </w:r>
    </w:p>
    <w:p w14:paraId="2179499D" w14:textId="47D300EA" w:rsidR="00D13157" w:rsidRPr="00D13157" w:rsidRDefault="00D13157" w:rsidP="00D13157">
      <w:pPr>
        <w:ind w:left="720" w:hanging="720"/>
      </w:pPr>
      <w:r w:rsidRPr="00B4314C">
        <w:rPr>
          <w:rFonts w:ascii="Calibri" w:hAnsi="Calibri" w:cs="Calibri"/>
        </w:rPr>
        <w:t xml:space="preserve">Webster, R. (2025). </w:t>
      </w:r>
      <w:r w:rsidRPr="00B4314C">
        <w:rPr>
          <w:rFonts w:ascii="Calibri" w:hAnsi="Calibri" w:cs="Calibri"/>
          <w:i/>
          <w:iCs/>
        </w:rPr>
        <w:t>What works to reduce reoffending? Evidence synthesis of effective interventions.</w:t>
      </w:r>
      <w:r w:rsidRPr="00B4314C">
        <w:rPr>
          <w:rFonts w:ascii="Calibri" w:hAnsi="Calibri" w:cs="Calibri"/>
        </w:rPr>
        <w:t xml:space="preserve"> London: Russell Webster.</w:t>
      </w:r>
      <w:r w:rsidRPr="00B4314C">
        <w:rPr>
          <w:rFonts w:ascii="Calibri" w:hAnsi="Calibri" w:cs="Calibri"/>
        </w:rPr>
        <w:br/>
        <w:t xml:space="preserve">Available from </w:t>
      </w:r>
      <w:hyperlink r:id="rId49" w:history="1">
        <w:r w:rsidRPr="00B4314C">
          <w:rPr>
            <w:rStyle w:val="Hyperlink"/>
            <w:rFonts w:ascii="Calibri" w:hAnsi="Calibri" w:cs="Calibri"/>
          </w:rPr>
          <w:t>https://www.russellwebster.com</w:t>
        </w:r>
      </w:hyperlink>
      <w:r>
        <w:t xml:space="preserve"> </w:t>
      </w:r>
    </w:p>
    <w:p w14:paraId="082F995B" w14:textId="3838D5F9" w:rsidR="00E31A76" w:rsidRPr="000D24FA" w:rsidRDefault="00E31A76" w:rsidP="0018178B">
      <w:pPr>
        <w:ind w:left="720" w:hanging="720"/>
        <w:rPr>
          <w:rFonts w:ascii="Calibri" w:hAnsi="Calibri" w:cs="Calibri"/>
        </w:rPr>
      </w:pPr>
      <w:r w:rsidRPr="00F65DC2">
        <w:rPr>
          <w:rFonts w:ascii="Calibri" w:hAnsi="Calibri" w:cs="Calibri"/>
        </w:rPr>
        <w:t xml:space="preserve">Yale Medicine. (2023). Conduct disorder. </w:t>
      </w:r>
      <w:r w:rsidRPr="00F65DC2">
        <w:rPr>
          <w:rFonts w:ascii="Calibri" w:hAnsi="Calibri" w:cs="Calibri"/>
          <w:i/>
          <w:iCs/>
        </w:rPr>
        <w:t>Yale Medicine</w:t>
      </w:r>
      <w:r w:rsidRPr="00F65DC2">
        <w:rPr>
          <w:rFonts w:ascii="Calibri" w:hAnsi="Calibri" w:cs="Calibri"/>
        </w:rPr>
        <w:t xml:space="preserve">. Retrieved from </w:t>
      </w:r>
      <w:hyperlink r:id="rId50" w:history="1">
        <w:r w:rsidRPr="00F65DC2">
          <w:rPr>
            <w:rStyle w:val="Hyperlink"/>
            <w:rFonts w:ascii="Calibri" w:hAnsi="Calibri" w:cs="Calibri"/>
          </w:rPr>
          <w:t>https://www.yalemedicine.org/conditions/conduct-disorder</w:t>
        </w:r>
      </w:hyperlink>
      <w:r>
        <w:rPr>
          <w:rFonts w:ascii="Calibri" w:hAnsi="Calibri" w:cs="Calibri"/>
        </w:rPr>
        <w:t xml:space="preserve"> </w:t>
      </w:r>
    </w:p>
    <w:p w14:paraId="3082EBD1" w14:textId="030C6187" w:rsidR="0050404A" w:rsidRPr="0050404A" w:rsidRDefault="0018178B" w:rsidP="0043601A">
      <w:pPr>
        <w:ind w:left="720" w:hanging="720"/>
        <w:rPr>
          <w:rFonts w:ascii="Calibri" w:hAnsi="Calibri" w:cs="Calibri"/>
        </w:rPr>
      </w:pPr>
      <w:r w:rsidRPr="0018178B">
        <w:rPr>
          <w:rFonts w:ascii="Calibri" w:hAnsi="Calibri" w:cs="Calibri"/>
        </w:rPr>
        <w:t xml:space="preserve">Zhang, Y., Li, H., Wang, J., &amp; Chen, X. (2025). Associations between parental alcoholism and delinquent behaviours among youth: The mediating role of PTSD symptoms, anxiety, and impulsivity. </w:t>
      </w:r>
      <w:r w:rsidRPr="0018178B">
        <w:rPr>
          <w:rFonts w:ascii="Calibri" w:hAnsi="Calibri" w:cs="Calibri"/>
          <w:i/>
          <w:iCs/>
        </w:rPr>
        <w:t xml:space="preserve">European Journal of </w:t>
      </w:r>
      <w:proofErr w:type="spellStart"/>
      <w:r w:rsidRPr="0018178B">
        <w:rPr>
          <w:rFonts w:ascii="Calibri" w:hAnsi="Calibri" w:cs="Calibri"/>
          <w:i/>
          <w:iCs/>
        </w:rPr>
        <w:t>Psychotraumatology</w:t>
      </w:r>
      <w:proofErr w:type="spellEnd"/>
      <w:r w:rsidRPr="0018178B">
        <w:rPr>
          <w:rFonts w:ascii="Calibri" w:hAnsi="Calibri" w:cs="Calibri"/>
          <w:i/>
          <w:iCs/>
        </w:rPr>
        <w:t>, 16</w:t>
      </w:r>
      <w:r w:rsidRPr="0018178B">
        <w:rPr>
          <w:rFonts w:ascii="Calibri" w:hAnsi="Calibri" w:cs="Calibri"/>
        </w:rPr>
        <w:t xml:space="preserve">(1), 2526893. </w:t>
      </w:r>
      <w:hyperlink r:id="rId51" w:history="1">
        <w:r w:rsidRPr="0018178B">
          <w:rPr>
            <w:rStyle w:val="Hyperlink"/>
            <w:rFonts w:ascii="Calibri" w:hAnsi="Calibri" w:cs="Calibri"/>
          </w:rPr>
          <w:t>https://doi.org/10.1080/20008066.2025.2526893</w:t>
        </w:r>
      </w:hyperlink>
      <w:r w:rsidR="0043601A">
        <w:rPr>
          <w:rFonts w:ascii="Calibri" w:hAnsi="Calibri" w:cs="Calibri"/>
        </w:rPr>
        <w:t xml:space="preserve"> </w:t>
      </w:r>
    </w:p>
    <w:p w14:paraId="20C7CC43" w14:textId="5CE90E6F" w:rsidR="000D24FA" w:rsidRPr="00FA4155" w:rsidRDefault="000D24FA" w:rsidP="00FA4155">
      <w:pPr>
        <w:rPr>
          <w:rFonts w:ascii="Calibri" w:hAnsi="Calibri" w:cs="Calibri"/>
        </w:rPr>
      </w:pPr>
    </w:p>
    <w:sectPr w:rsidR="000D24FA" w:rsidRPr="00FA4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B4"/>
    <w:rsid w:val="000030AD"/>
    <w:rsid w:val="000067DA"/>
    <w:rsid w:val="000105EA"/>
    <w:rsid w:val="00012B80"/>
    <w:rsid w:val="000143B6"/>
    <w:rsid w:val="00016CD6"/>
    <w:rsid w:val="00017D6A"/>
    <w:rsid w:val="0002596C"/>
    <w:rsid w:val="0002747D"/>
    <w:rsid w:val="000325DA"/>
    <w:rsid w:val="00035656"/>
    <w:rsid w:val="000400B4"/>
    <w:rsid w:val="0004290A"/>
    <w:rsid w:val="00046E5E"/>
    <w:rsid w:val="00050BFE"/>
    <w:rsid w:val="0005160A"/>
    <w:rsid w:val="00060C02"/>
    <w:rsid w:val="00070D64"/>
    <w:rsid w:val="000748BD"/>
    <w:rsid w:val="00075C3D"/>
    <w:rsid w:val="000827FF"/>
    <w:rsid w:val="00083611"/>
    <w:rsid w:val="00087A04"/>
    <w:rsid w:val="0009007D"/>
    <w:rsid w:val="00094E23"/>
    <w:rsid w:val="000A0BBF"/>
    <w:rsid w:val="000A4CDB"/>
    <w:rsid w:val="000A6D78"/>
    <w:rsid w:val="000A7096"/>
    <w:rsid w:val="000B180B"/>
    <w:rsid w:val="000B1ECF"/>
    <w:rsid w:val="000B230F"/>
    <w:rsid w:val="000B39D5"/>
    <w:rsid w:val="000B3CFD"/>
    <w:rsid w:val="000B69EF"/>
    <w:rsid w:val="000C18C6"/>
    <w:rsid w:val="000D1856"/>
    <w:rsid w:val="000D24FA"/>
    <w:rsid w:val="000E1D83"/>
    <w:rsid w:val="000E2144"/>
    <w:rsid w:val="000E4B71"/>
    <w:rsid w:val="000F073F"/>
    <w:rsid w:val="000F3F8C"/>
    <w:rsid w:val="000F5C4A"/>
    <w:rsid w:val="000F5FC6"/>
    <w:rsid w:val="0010055B"/>
    <w:rsid w:val="001005A1"/>
    <w:rsid w:val="00101ACF"/>
    <w:rsid w:val="001119E0"/>
    <w:rsid w:val="0011281D"/>
    <w:rsid w:val="00120723"/>
    <w:rsid w:val="001216A1"/>
    <w:rsid w:val="001268CD"/>
    <w:rsid w:val="00130C2B"/>
    <w:rsid w:val="00136ED8"/>
    <w:rsid w:val="00142B7C"/>
    <w:rsid w:val="00150775"/>
    <w:rsid w:val="00151DE1"/>
    <w:rsid w:val="0015237A"/>
    <w:rsid w:val="00152BC4"/>
    <w:rsid w:val="001557AB"/>
    <w:rsid w:val="00155D3B"/>
    <w:rsid w:val="001573B1"/>
    <w:rsid w:val="00161761"/>
    <w:rsid w:val="00170A9F"/>
    <w:rsid w:val="00175C0A"/>
    <w:rsid w:val="0017687F"/>
    <w:rsid w:val="00177788"/>
    <w:rsid w:val="0018178B"/>
    <w:rsid w:val="00182CBB"/>
    <w:rsid w:val="001A46FF"/>
    <w:rsid w:val="001B5FA5"/>
    <w:rsid w:val="001B799B"/>
    <w:rsid w:val="001C023A"/>
    <w:rsid w:val="001C6994"/>
    <w:rsid w:val="001D219E"/>
    <w:rsid w:val="001D3DB8"/>
    <w:rsid w:val="001D5B22"/>
    <w:rsid w:val="001D6DF6"/>
    <w:rsid w:val="001F05CB"/>
    <w:rsid w:val="001F0B0A"/>
    <w:rsid w:val="001F552F"/>
    <w:rsid w:val="00210377"/>
    <w:rsid w:val="00210BD2"/>
    <w:rsid w:val="00212FE5"/>
    <w:rsid w:val="00222431"/>
    <w:rsid w:val="00245EB3"/>
    <w:rsid w:val="002467B4"/>
    <w:rsid w:val="00266A22"/>
    <w:rsid w:val="00274DD4"/>
    <w:rsid w:val="00276997"/>
    <w:rsid w:val="00284B9D"/>
    <w:rsid w:val="00286CB0"/>
    <w:rsid w:val="002C10B4"/>
    <w:rsid w:val="002D1F26"/>
    <w:rsid w:val="002D2959"/>
    <w:rsid w:val="002D4ECF"/>
    <w:rsid w:val="002D693C"/>
    <w:rsid w:val="002E7F68"/>
    <w:rsid w:val="00307344"/>
    <w:rsid w:val="003131CF"/>
    <w:rsid w:val="00313BD0"/>
    <w:rsid w:val="003250FE"/>
    <w:rsid w:val="00342A8E"/>
    <w:rsid w:val="00342D08"/>
    <w:rsid w:val="00343765"/>
    <w:rsid w:val="00345342"/>
    <w:rsid w:val="00346796"/>
    <w:rsid w:val="00346CE9"/>
    <w:rsid w:val="0035183B"/>
    <w:rsid w:val="00353049"/>
    <w:rsid w:val="00353887"/>
    <w:rsid w:val="00353AC8"/>
    <w:rsid w:val="00362BB0"/>
    <w:rsid w:val="00363A54"/>
    <w:rsid w:val="00384444"/>
    <w:rsid w:val="003901C4"/>
    <w:rsid w:val="00390DA1"/>
    <w:rsid w:val="00392297"/>
    <w:rsid w:val="00395BB6"/>
    <w:rsid w:val="00395ECF"/>
    <w:rsid w:val="003A76E1"/>
    <w:rsid w:val="003B14A0"/>
    <w:rsid w:val="003C10DD"/>
    <w:rsid w:val="003C3654"/>
    <w:rsid w:val="003C5231"/>
    <w:rsid w:val="003E1AA7"/>
    <w:rsid w:val="00400425"/>
    <w:rsid w:val="00400506"/>
    <w:rsid w:val="00401083"/>
    <w:rsid w:val="00410433"/>
    <w:rsid w:val="00410759"/>
    <w:rsid w:val="00411308"/>
    <w:rsid w:val="0041144E"/>
    <w:rsid w:val="0041251A"/>
    <w:rsid w:val="00420A3D"/>
    <w:rsid w:val="00421B3B"/>
    <w:rsid w:val="00421DB9"/>
    <w:rsid w:val="00424054"/>
    <w:rsid w:val="00425B41"/>
    <w:rsid w:val="00425C38"/>
    <w:rsid w:val="00426806"/>
    <w:rsid w:val="0043601A"/>
    <w:rsid w:val="0045582F"/>
    <w:rsid w:val="004759DF"/>
    <w:rsid w:val="00483F7D"/>
    <w:rsid w:val="00487B8A"/>
    <w:rsid w:val="00493DC1"/>
    <w:rsid w:val="00494634"/>
    <w:rsid w:val="00495ED9"/>
    <w:rsid w:val="00497B0F"/>
    <w:rsid w:val="004B183E"/>
    <w:rsid w:val="004C02F3"/>
    <w:rsid w:val="004D19D8"/>
    <w:rsid w:val="004D4A55"/>
    <w:rsid w:val="004D528B"/>
    <w:rsid w:val="004D676E"/>
    <w:rsid w:val="004E7675"/>
    <w:rsid w:val="004F4F19"/>
    <w:rsid w:val="00503C69"/>
    <w:rsid w:val="0050404A"/>
    <w:rsid w:val="00506748"/>
    <w:rsid w:val="005110CA"/>
    <w:rsid w:val="00514810"/>
    <w:rsid w:val="0052754B"/>
    <w:rsid w:val="005341E5"/>
    <w:rsid w:val="0054313E"/>
    <w:rsid w:val="00554784"/>
    <w:rsid w:val="00561E3C"/>
    <w:rsid w:val="0058574E"/>
    <w:rsid w:val="0058659A"/>
    <w:rsid w:val="0059553A"/>
    <w:rsid w:val="005A1A79"/>
    <w:rsid w:val="005A2729"/>
    <w:rsid w:val="005B064D"/>
    <w:rsid w:val="005B2C6C"/>
    <w:rsid w:val="005B3BAF"/>
    <w:rsid w:val="005C156C"/>
    <w:rsid w:val="005C7F29"/>
    <w:rsid w:val="005D5262"/>
    <w:rsid w:val="005D78F4"/>
    <w:rsid w:val="005E1D4F"/>
    <w:rsid w:val="005E477C"/>
    <w:rsid w:val="005E4781"/>
    <w:rsid w:val="005F29C6"/>
    <w:rsid w:val="005F49DB"/>
    <w:rsid w:val="00607265"/>
    <w:rsid w:val="00615D92"/>
    <w:rsid w:val="00617453"/>
    <w:rsid w:val="006264FD"/>
    <w:rsid w:val="006267AC"/>
    <w:rsid w:val="00650172"/>
    <w:rsid w:val="00654D7A"/>
    <w:rsid w:val="00660A45"/>
    <w:rsid w:val="00662C10"/>
    <w:rsid w:val="00667050"/>
    <w:rsid w:val="006908D5"/>
    <w:rsid w:val="00694D4D"/>
    <w:rsid w:val="00697838"/>
    <w:rsid w:val="006A7CB4"/>
    <w:rsid w:val="006B1FD5"/>
    <w:rsid w:val="006C6934"/>
    <w:rsid w:val="006F13A2"/>
    <w:rsid w:val="006F4C1A"/>
    <w:rsid w:val="0070060B"/>
    <w:rsid w:val="007019AD"/>
    <w:rsid w:val="00707F76"/>
    <w:rsid w:val="007110EE"/>
    <w:rsid w:val="00711B3B"/>
    <w:rsid w:val="0072457C"/>
    <w:rsid w:val="00726F1D"/>
    <w:rsid w:val="00740288"/>
    <w:rsid w:val="00744CB7"/>
    <w:rsid w:val="00761202"/>
    <w:rsid w:val="00765D9C"/>
    <w:rsid w:val="00771670"/>
    <w:rsid w:val="007975F2"/>
    <w:rsid w:val="007A07CB"/>
    <w:rsid w:val="007A24FC"/>
    <w:rsid w:val="007B58D5"/>
    <w:rsid w:val="007C3C3A"/>
    <w:rsid w:val="007C62D9"/>
    <w:rsid w:val="007C7C30"/>
    <w:rsid w:val="007D035F"/>
    <w:rsid w:val="007E2B66"/>
    <w:rsid w:val="007F1810"/>
    <w:rsid w:val="007F687D"/>
    <w:rsid w:val="00803D91"/>
    <w:rsid w:val="008040CF"/>
    <w:rsid w:val="008127CA"/>
    <w:rsid w:val="00817CA0"/>
    <w:rsid w:val="00822AE4"/>
    <w:rsid w:val="008245E0"/>
    <w:rsid w:val="00836A4C"/>
    <w:rsid w:val="00836AFD"/>
    <w:rsid w:val="008413F2"/>
    <w:rsid w:val="00846907"/>
    <w:rsid w:val="00855D0E"/>
    <w:rsid w:val="00861AFD"/>
    <w:rsid w:val="00861E07"/>
    <w:rsid w:val="0086200F"/>
    <w:rsid w:val="00862D84"/>
    <w:rsid w:val="0086498A"/>
    <w:rsid w:val="00864E24"/>
    <w:rsid w:val="00870B64"/>
    <w:rsid w:val="0087119A"/>
    <w:rsid w:val="008757FF"/>
    <w:rsid w:val="00876F04"/>
    <w:rsid w:val="0088536A"/>
    <w:rsid w:val="008948B7"/>
    <w:rsid w:val="008A2517"/>
    <w:rsid w:val="008A33DB"/>
    <w:rsid w:val="008A41A8"/>
    <w:rsid w:val="008A4A07"/>
    <w:rsid w:val="008B6CD2"/>
    <w:rsid w:val="008B760B"/>
    <w:rsid w:val="008B790B"/>
    <w:rsid w:val="008C0851"/>
    <w:rsid w:val="008D2D31"/>
    <w:rsid w:val="008E6303"/>
    <w:rsid w:val="0090443C"/>
    <w:rsid w:val="00906AD2"/>
    <w:rsid w:val="00910A5C"/>
    <w:rsid w:val="0091235A"/>
    <w:rsid w:val="00915A42"/>
    <w:rsid w:val="00931080"/>
    <w:rsid w:val="009319F9"/>
    <w:rsid w:val="00962BD8"/>
    <w:rsid w:val="00973B02"/>
    <w:rsid w:val="00980C05"/>
    <w:rsid w:val="009841D1"/>
    <w:rsid w:val="00995182"/>
    <w:rsid w:val="009A7AF5"/>
    <w:rsid w:val="009C5858"/>
    <w:rsid w:val="009C6142"/>
    <w:rsid w:val="009D109D"/>
    <w:rsid w:val="009D4BE3"/>
    <w:rsid w:val="009E1874"/>
    <w:rsid w:val="009E2AF6"/>
    <w:rsid w:val="009E4DD8"/>
    <w:rsid w:val="009F1E8B"/>
    <w:rsid w:val="009F4B29"/>
    <w:rsid w:val="00A01621"/>
    <w:rsid w:val="00A05536"/>
    <w:rsid w:val="00A064F6"/>
    <w:rsid w:val="00A0757F"/>
    <w:rsid w:val="00A07A10"/>
    <w:rsid w:val="00A21404"/>
    <w:rsid w:val="00A27A75"/>
    <w:rsid w:val="00A37F07"/>
    <w:rsid w:val="00A44E23"/>
    <w:rsid w:val="00A611FE"/>
    <w:rsid w:val="00A63D78"/>
    <w:rsid w:val="00A731C2"/>
    <w:rsid w:val="00A73201"/>
    <w:rsid w:val="00A73BCB"/>
    <w:rsid w:val="00A73BE6"/>
    <w:rsid w:val="00A77A1E"/>
    <w:rsid w:val="00A81E85"/>
    <w:rsid w:val="00A91455"/>
    <w:rsid w:val="00AA2925"/>
    <w:rsid w:val="00AA58A2"/>
    <w:rsid w:val="00AA7216"/>
    <w:rsid w:val="00AB4300"/>
    <w:rsid w:val="00AC1D82"/>
    <w:rsid w:val="00AC2E71"/>
    <w:rsid w:val="00AD1C3E"/>
    <w:rsid w:val="00AD56FA"/>
    <w:rsid w:val="00AD6581"/>
    <w:rsid w:val="00AD717F"/>
    <w:rsid w:val="00AE3697"/>
    <w:rsid w:val="00AE442B"/>
    <w:rsid w:val="00AE77EA"/>
    <w:rsid w:val="00AF3F95"/>
    <w:rsid w:val="00B10C31"/>
    <w:rsid w:val="00B13FD4"/>
    <w:rsid w:val="00B222FC"/>
    <w:rsid w:val="00B2478A"/>
    <w:rsid w:val="00B324AF"/>
    <w:rsid w:val="00B33506"/>
    <w:rsid w:val="00B33B75"/>
    <w:rsid w:val="00B36B85"/>
    <w:rsid w:val="00B377C0"/>
    <w:rsid w:val="00B424B3"/>
    <w:rsid w:val="00B4314C"/>
    <w:rsid w:val="00B616BF"/>
    <w:rsid w:val="00B70BD1"/>
    <w:rsid w:val="00B71673"/>
    <w:rsid w:val="00B92D00"/>
    <w:rsid w:val="00B95F92"/>
    <w:rsid w:val="00BA1A2C"/>
    <w:rsid w:val="00BA7157"/>
    <w:rsid w:val="00BC65C5"/>
    <w:rsid w:val="00BD64B0"/>
    <w:rsid w:val="00BE3579"/>
    <w:rsid w:val="00BF4033"/>
    <w:rsid w:val="00BF6F39"/>
    <w:rsid w:val="00BF75C6"/>
    <w:rsid w:val="00C0153C"/>
    <w:rsid w:val="00C035CD"/>
    <w:rsid w:val="00C10CC8"/>
    <w:rsid w:val="00C13DE7"/>
    <w:rsid w:val="00C17AF6"/>
    <w:rsid w:val="00C305BE"/>
    <w:rsid w:val="00C368EB"/>
    <w:rsid w:val="00C505B4"/>
    <w:rsid w:val="00C533B3"/>
    <w:rsid w:val="00C55165"/>
    <w:rsid w:val="00C55661"/>
    <w:rsid w:val="00C60A29"/>
    <w:rsid w:val="00C63A01"/>
    <w:rsid w:val="00C64A9B"/>
    <w:rsid w:val="00C66D56"/>
    <w:rsid w:val="00C85126"/>
    <w:rsid w:val="00C87A4A"/>
    <w:rsid w:val="00C9540A"/>
    <w:rsid w:val="00C955A5"/>
    <w:rsid w:val="00C95F26"/>
    <w:rsid w:val="00CA5224"/>
    <w:rsid w:val="00CB11A7"/>
    <w:rsid w:val="00CB3E55"/>
    <w:rsid w:val="00CC33EA"/>
    <w:rsid w:val="00CD7956"/>
    <w:rsid w:val="00CE0FBA"/>
    <w:rsid w:val="00CE7DC7"/>
    <w:rsid w:val="00CF01F9"/>
    <w:rsid w:val="00CF348E"/>
    <w:rsid w:val="00D00FAE"/>
    <w:rsid w:val="00D0445A"/>
    <w:rsid w:val="00D114A3"/>
    <w:rsid w:val="00D13157"/>
    <w:rsid w:val="00D21F4E"/>
    <w:rsid w:val="00D2547B"/>
    <w:rsid w:val="00D310EA"/>
    <w:rsid w:val="00D344E3"/>
    <w:rsid w:val="00D37CEF"/>
    <w:rsid w:val="00D43D41"/>
    <w:rsid w:val="00D47360"/>
    <w:rsid w:val="00D52D0C"/>
    <w:rsid w:val="00D618FC"/>
    <w:rsid w:val="00D62A55"/>
    <w:rsid w:val="00D661CD"/>
    <w:rsid w:val="00D77AE5"/>
    <w:rsid w:val="00D858C5"/>
    <w:rsid w:val="00D86309"/>
    <w:rsid w:val="00D90F5B"/>
    <w:rsid w:val="00D9116F"/>
    <w:rsid w:val="00DA062C"/>
    <w:rsid w:val="00DA2815"/>
    <w:rsid w:val="00DB51C5"/>
    <w:rsid w:val="00DB525C"/>
    <w:rsid w:val="00DC22B0"/>
    <w:rsid w:val="00DC23FE"/>
    <w:rsid w:val="00DC4E77"/>
    <w:rsid w:val="00DC72EB"/>
    <w:rsid w:val="00DD2D70"/>
    <w:rsid w:val="00DD3DB8"/>
    <w:rsid w:val="00DD4EAB"/>
    <w:rsid w:val="00DD56FD"/>
    <w:rsid w:val="00DD6183"/>
    <w:rsid w:val="00DF08C9"/>
    <w:rsid w:val="00DF0A22"/>
    <w:rsid w:val="00DF3D6C"/>
    <w:rsid w:val="00DF40DA"/>
    <w:rsid w:val="00DF56B4"/>
    <w:rsid w:val="00DF76B0"/>
    <w:rsid w:val="00E1328A"/>
    <w:rsid w:val="00E13A9E"/>
    <w:rsid w:val="00E210CC"/>
    <w:rsid w:val="00E258F7"/>
    <w:rsid w:val="00E27882"/>
    <w:rsid w:val="00E31A76"/>
    <w:rsid w:val="00E33535"/>
    <w:rsid w:val="00E43AE8"/>
    <w:rsid w:val="00E46651"/>
    <w:rsid w:val="00E560B8"/>
    <w:rsid w:val="00E605CC"/>
    <w:rsid w:val="00E62B04"/>
    <w:rsid w:val="00E709F6"/>
    <w:rsid w:val="00E804D9"/>
    <w:rsid w:val="00E86ED8"/>
    <w:rsid w:val="00E87302"/>
    <w:rsid w:val="00EA013B"/>
    <w:rsid w:val="00EA550F"/>
    <w:rsid w:val="00EB679E"/>
    <w:rsid w:val="00EB6E22"/>
    <w:rsid w:val="00EC1C9F"/>
    <w:rsid w:val="00EC3F43"/>
    <w:rsid w:val="00EC4C14"/>
    <w:rsid w:val="00ED2BDF"/>
    <w:rsid w:val="00ED3F54"/>
    <w:rsid w:val="00ED64AC"/>
    <w:rsid w:val="00EE2E47"/>
    <w:rsid w:val="00EE3C62"/>
    <w:rsid w:val="00EF2175"/>
    <w:rsid w:val="00EF289B"/>
    <w:rsid w:val="00F03408"/>
    <w:rsid w:val="00F03DA7"/>
    <w:rsid w:val="00F10E1D"/>
    <w:rsid w:val="00F12342"/>
    <w:rsid w:val="00F21773"/>
    <w:rsid w:val="00F2617F"/>
    <w:rsid w:val="00F34C1B"/>
    <w:rsid w:val="00F40CC4"/>
    <w:rsid w:val="00F43312"/>
    <w:rsid w:val="00F4639B"/>
    <w:rsid w:val="00F63556"/>
    <w:rsid w:val="00F6561C"/>
    <w:rsid w:val="00F65DC2"/>
    <w:rsid w:val="00F66989"/>
    <w:rsid w:val="00F73B61"/>
    <w:rsid w:val="00F77B79"/>
    <w:rsid w:val="00F8315D"/>
    <w:rsid w:val="00F91AF5"/>
    <w:rsid w:val="00F94B53"/>
    <w:rsid w:val="00FA22BB"/>
    <w:rsid w:val="00FA4155"/>
    <w:rsid w:val="00FB1D32"/>
    <w:rsid w:val="00FB6E8A"/>
    <w:rsid w:val="00FC2793"/>
    <w:rsid w:val="00FC568C"/>
    <w:rsid w:val="00FD1215"/>
    <w:rsid w:val="00FD361E"/>
    <w:rsid w:val="00FE59C6"/>
    <w:rsid w:val="00FF26B8"/>
    <w:rsid w:val="70E031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367FA"/>
  <w15:chartTrackingRefBased/>
  <w15:docId w15:val="{57FD7DAC-5A93-47DD-B277-F2BF383F6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83"/>
  </w:style>
  <w:style w:type="paragraph" w:styleId="Heading1">
    <w:name w:val="heading 1"/>
    <w:basedOn w:val="Normal"/>
    <w:next w:val="Normal"/>
    <w:link w:val="Heading1Char"/>
    <w:uiPriority w:val="9"/>
    <w:qFormat/>
    <w:rsid w:val="002C1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0B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0B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C10B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C10B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10B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10B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10B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0B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0B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C10B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C10B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C10B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C10B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C10B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C1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0B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0B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C10B4"/>
    <w:pPr>
      <w:spacing w:before="160"/>
      <w:jc w:val="center"/>
    </w:pPr>
    <w:rPr>
      <w:i/>
      <w:iCs/>
      <w:color w:val="404040" w:themeColor="text1" w:themeTint="BF"/>
    </w:rPr>
  </w:style>
  <w:style w:type="character" w:customStyle="1" w:styleId="QuoteChar">
    <w:name w:val="Quote Char"/>
    <w:basedOn w:val="DefaultParagraphFont"/>
    <w:link w:val="Quote"/>
    <w:uiPriority w:val="29"/>
    <w:rsid w:val="002C10B4"/>
    <w:rPr>
      <w:i/>
      <w:iCs/>
      <w:color w:val="404040" w:themeColor="text1" w:themeTint="BF"/>
    </w:rPr>
  </w:style>
  <w:style w:type="paragraph" w:styleId="ListParagraph">
    <w:name w:val="List Paragraph"/>
    <w:basedOn w:val="Normal"/>
    <w:uiPriority w:val="34"/>
    <w:qFormat/>
    <w:rsid w:val="002C10B4"/>
    <w:pPr>
      <w:ind w:left="720"/>
      <w:contextualSpacing/>
    </w:pPr>
  </w:style>
  <w:style w:type="character" w:styleId="IntenseEmphasis">
    <w:name w:val="Intense Emphasis"/>
    <w:basedOn w:val="DefaultParagraphFont"/>
    <w:uiPriority w:val="21"/>
    <w:qFormat/>
    <w:rsid w:val="002C10B4"/>
    <w:rPr>
      <w:i/>
      <w:iCs/>
      <w:color w:val="0F4761" w:themeColor="accent1" w:themeShade="BF"/>
    </w:rPr>
  </w:style>
  <w:style w:type="paragraph" w:styleId="IntenseQuote">
    <w:name w:val="Intense Quote"/>
    <w:basedOn w:val="Normal"/>
    <w:next w:val="Normal"/>
    <w:link w:val="IntenseQuoteChar"/>
    <w:uiPriority w:val="30"/>
    <w:qFormat/>
    <w:rsid w:val="002C1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0B4"/>
    <w:rPr>
      <w:i/>
      <w:iCs/>
      <w:color w:val="0F4761" w:themeColor="accent1" w:themeShade="BF"/>
    </w:rPr>
  </w:style>
  <w:style w:type="character" w:styleId="IntenseReference">
    <w:name w:val="Intense Reference"/>
    <w:basedOn w:val="DefaultParagraphFont"/>
    <w:uiPriority w:val="32"/>
    <w:qFormat/>
    <w:rsid w:val="002C10B4"/>
    <w:rPr>
      <w:b/>
      <w:bCs/>
      <w:smallCaps/>
      <w:color w:val="0F4761" w:themeColor="accent1" w:themeShade="BF"/>
      <w:spacing w:val="5"/>
    </w:rPr>
  </w:style>
  <w:style w:type="character" w:styleId="Hyperlink">
    <w:name w:val="Hyperlink"/>
    <w:basedOn w:val="DefaultParagraphFont"/>
    <w:uiPriority w:val="99"/>
    <w:unhideWhenUsed/>
    <w:rsid w:val="00662C10"/>
    <w:rPr>
      <w:color w:val="467886" w:themeColor="hyperlink"/>
      <w:u w:val="single"/>
    </w:rPr>
  </w:style>
  <w:style w:type="character" w:styleId="UnresolvedMention">
    <w:name w:val="Unresolved Mention"/>
    <w:basedOn w:val="DefaultParagraphFont"/>
    <w:uiPriority w:val="99"/>
    <w:semiHidden/>
    <w:unhideWhenUsed/>
    <w:rsid w:val="00662C10"/>
    <w:rPr>
      <w:color w:val="605E5C"/>
      <w:shd w:val="clear" w:color="auto" w:fill="E1DFDD"/>
    </w:rPr>
  </w:style>
  <w:style w:type="paragraph" w:styleId="NormalWeb">
    <w:name w:val="Normal (Web)"/>
    <w:basedOn w:val="Normal"/>
    <w:uiPriority w:val="99"/>
    <w:semiHidden/>
    <w:unhideWhenUsed/>
    <w:rsid w:val="00101AC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7/ADM.0b013e31820c23fa" TargetMode="External"/><Relationship Id="rId18" Type="http://schemas.openxmlformats.org/officeDocument/2006/relationships/hyperlink" Target="https://doi.org/10.1111/jomf.12472" TargetMode="External"/><Relationship Id="rId26" Type="http://schemas.openxmlformats.org/officeDocument/2006/relationships/hyperlink" Target="https://www.ias.org.uk/wp-content/uploads/2023/02/Patterns-in-alcohol-related-violence-IAS-February-2023.pdf" TargetMode="External"/><Relationship Id="rId39" Type="http://schemas.openxmlformats.org/officeDocument/2006/relationships/hyperlink" Target="https://www.cambridge.org/core/books/cambridge-handbook-of-forensic-psychology/child-and-adolescent-offending/CD94345848E013F8E1192426939248D8" TargetMode="External"/><Relationship Id="rId21" Type="http://schemas.openxmlformats.org/officeDocument/2006/relationships/hyperlink" Target="https://doi.org/10.1080/14999013.2011.577137" TargetMode="External"/><Relationship Id="rId34" Type="http://schemas.openxmlformats.org/officeDocument/2006/relationships/hyperlink" Target="https://www.gov.uk/government/publications/reducing-reoffending-evidence-synthesis" TargetMode="External"/><Relationship Id="rId42" Type="http://schemas.openxmlformats.org/officeDocument/2006/relationships/hyperlink" Target="https://doi.org/10.1192/bjp.2018.54" TargetMode="External"/><Relationship Id="rId47" Type="http://schemas.openxmlformats.org/officeDocument/2006/relationships/hyperlink" Target="https://doi.org/10.1093/bjc/16.4.378" TargetMode="External"/><Relationship Id="rId50" Type="http://schemas.openxmlformats.org/officeDocument/2006/relationships/hyperlink" Target="https://www.yalemedicine.org/conditions/conduct-disorder" TargetMode="External"/><Relationship Id="rId7" Type="http://schemas.openxmlformats.org/officeDocument/2006/relationships/hyperlink" Target="https://doi.org/10.1037/h0045925" TargetMode="External"/><Relationship Id="rId2" Type="http://schemas.openxmlformats.org/officeDocument/2006/relationships/settings" Target="settings.xml"/><Relationship Id="rId16" Type="http://schemas.openxmlformats.org/officeDocument/2006/relationships/hyperlink" Target="https://doi.org/10.1108/JCP-2025-0007" TargetMode="External"/><Relationship Id="rId29" Type="http://schemas.openxmlformats.org/officeDocument/2006/relationships/hyperlink" Target="https://doi.org/10.1177/0963721420964039" TargetMode="External"/><Relationship Id="rId11" Type="http://schemas.openxmlformats.org/officeDocument/2006/relationships/hyperlink" Target="https://doi.org/10.1007/s12187-020-09782-0" TargetMode="External"/><Relationship Id="rId24" Type="http://schemas.openxmlformats.org/officeDocument/2006/relationships/hyperlink" Target="https://www.justiceinspectorates.gov.uk/hmiprobation" TargetMode="External"/><Relationship Id="rId32" Type="http://schemas.openxmlformats.org/officeDocument/2006/relationships/hyperlink" Target="https://doi.org/10.1007/s10964-019-01092-2" TargetMode="External"/><Relationship Id="rId37" Type="http://schemas.openxmlformats.org/officeDocument/2006/relationships/hyperlink" Target="https://doi.org/10.1192/j.eurpsy.2020.324" TargetMode="External"/><Relationship Id="rId40" Type="http://schemas.openxmlformats.org/officeDocument/2006/relationships/hyperlink" Target="https://doi.org/10.3389/fnbeh.2022.872926" TargetMode="External"/><Relationship Id="rId45" Type="http://schemas.openxmlformats.org/officeDocument/2006/relationships/hyperlink" Target="https://uktraumacouncil.org/research_practice/childhood-trauma-and-domestic-abuse-research-round-up" TargetMode="External"/><Relationship Id="rId53" Type="http://schemas.openxmlformats.org/officeDocument/2006/relationships/theme" Target="theme/theme1.xml"/><Relationship Id="rId5" Type="http://schemas.openxmlformats.org/officeDocument/2006/relationships/hyperlink" Target="https://doi.org/10.1007/s10879-022-09567-3" TargetMode="External"/><Relationship Id="rId10" Type="http://schemas.openxmlformats.org/officeDocument/2006/relationships/hyperlink" Target="https://doi.org/10.1016/j.jadohealth.2007.01.004" TargetMode="External"/><Relationship Id="rId19" Type="http://schemas.openxmlformats.org/officeDocument/2006/relationships/hyperlink" Target="https://doi.org/10.3389/fpsyg.2023.1123456" TargetMode="External"/><Relationship Id="rId31" Type="http://schemas.openxmlformats.org/officeDocument/2006/relationships/hyperlink" Target="https://doi.org/10.1007/s40653-025-00746-6" TargetMode="External"/><Relationship Id="rId44" Type="http://schemas.openxmlformats.org/officeDocument/2006/relationships/hyperlink" Target="https://doi.org/10.1016/j.jcrimjus.2015.04.004" TargetMode="External"/><Relationship Id="rId52" Type="http://schemas.openxmlformats.org/officeDocument/2006/relationships/fontTable" Target="fontTable.xml"/><Relationship Id="rId4" Type="http://schemas.openxmlformats.org/officeDocument/2006/relationships/hyperlink" Target="https://doi.org/10.1111/j.1745-9125.1992.tb01093.x" TargetMode="External"/><Relationship Id="rId9" Type="http://schemas.openxmlformats.org/officeDocument/2006/relationships/hyperlink" Target="https://doi.org/10.1016/j.biopsych.2015.12.002" TargetMode="External"/><Relationship Id="rId14" Type="http://schemas.openxmlformats.org/officeDocument/2006/relationships/hyperlink" Target="https://doi.org/10.3389/fpsyt.2020.567887" TargetMode="External"/><Relationship Id="rId22" Type="http://schemas.openxmlformats.org/officeDocument/2006/relationships/hyperlink" Target="https://doi.org/10.1177/0044118X15617400" TargetMode="External"/><Relationship Id="rId27" Type="http://schemas.openxmlformats.org/officeDocument/2006/relationships/hyperlink" Target="https://committees.parliament.uk/publications" TargetMode="External"/><Relationship Id="rId30" Type="http://schemas.openxmlformats.org/officeDocument/2006/relationships/hyperlink" Target="https://doi.org/10.3389/fpsyt.2022.987654" TargetMode="External"/><Relationship Id="rId35" Type="http://schemas.openxmlformats.org/officeDocument/2006/relationships/hyperlink" Target="https://doi.org/10.1177/070674371005501003" TargetMode="External"/><Relationship Id="rId43" Type="http://schemas.openxmlformats.org/officeDocument/2006/relationships/hyperlink" Target="https://doi.org/10.1176/appi.ajp.157.10.1552" TargetMode="External"/><Relationship Id="rId48" Type="http://schemas.openxmlformats.org/officeDocument/2006/relationships/hyperlink" Target="https://doi.org/10.1056/NEJMra1402309" TargetMode="External"/><Relationship Id="rId8" Type="http://schemas.openxmlformats.org/officeDocument/2006/relationships/hyperlink" Target="https://doi.org/10.1177/07340168231123456" TargetMode="External"/><Relationship Id="rId51" Type="http://schemas.openxmlformats.org/officeDocument/2006/relationships/hyperlink" Target="https://doi.org/10.1080/20008066.2025.2526893" TargetMode="External"/><Relationship Id="rId3" Type="http://schemas.openxmlformats.org/officeDocument/2006/relationships/webSettings" Target="webSettings.xml"/><Relationship Id="rId12" Type="http://schemas.openxmlformats.org/officeDocument/2006/relationships/hyperlink" Target="https://www.gov.uk/government/publications/reducing-reoffending-evidence-synthesis" TargetMode="External"/><Relationship Id="rId17" Type="http://schemas.openxmlformats.org/officeDocument/2006/relationships/hyperlink" Target="https://doi.org/10.1136/bmj.h1083" TargetMode="External"/><Relationship Id="rId25" Type="http://schemas.openxmlformats.org/officeDocument/2006/relationships/hyperlink" Target="https://doi.org/10.1080/29973368.2025.2458854" TargetMode="External"/><Relationship Id="rId33" Type="http://schemas.openxmlformats.org/officeDocument/2006/relationships/hyperlink" Target="https://doi.org/10.1080/14999013.2010.10074" TargetMode="External"/><Relationship Id="rId38" Type="http://schemas.openxmlformats.org/officeDocument/2006/relationships/hyperlink" Target="https://doi.org/10.1177/0093854818791270" TargetMode="External"/><Relationship Id="rId46" Type="http://schemas.openxmlformats.org/officeDocument/2006/relationships/hyperlink" Target="https://doi.org/10.1192/apt.bp.107.005009" TargetMode="External"/><Relationship Id="rId20" Type="http://schemas.openxmlformats.org/officeDocument/2006/relationships/hyperlink" Target="https://doi.org/10.1007/s00787-023-02329-y" TargetMode="External"/><Relationship Id="rId41" Type="http://schemas.openxmlformats.org/officeDocument/2006/relationships/hyperlink" Target="https://www.gov.uk/government/publications/the-effect-of-drug-and-alcohol-treatment-on-re-offending" TargetMode="External"/><Relationship Id="rId1" Type="http://schemas.openxmlformats.org/officeDocument/2006/relationships/styles" Target="styles.xml"/><Relationship Id="rId6" Type="http://schemas.openxmlformats.org/officeDocument/2006/relationships/hyperlink" Target="https://doi.org/10.3138/cjccj.49.4.439" TargetMode="External"/><Relationship Id="rId15" Type="http://schemas.openxmlformats.org/officeDocument/2006/relationships/hyperlink" Target="https://doi.org/10.1007/s12144-024-04567-9" TargetMode="External"/><Relationship Id="rId23" Type="http://schemas.openxmlformats.org/officeDocument/2006/relationships/hyperlink" Target="https://doi.org/10.1002/ajmg.b.32907" TargetMode="External"/><Relationship Id="rId28" Type="http://schemas.openxmlformats.org/officeDocument/2006/relationships/hyperlink" Target="https://doi.org/10.1037/cps0000089" TargetMode="External"/><Relationship Id="rId36" Type="http://schemas.openxmlformats.org/officeDocument/2006/relationships/hyperlink" Target="https://nij.ojp.gov/topics/articles/five-things-about-youth-and-delinquency" TargetMode="External"/><Relationship Id="rId49" Type="http://schemas.openxmlformats.org/officeDocument/2006/relationships/hyperlink" Target="https://www.russellwebs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420</TotalTime>
  <Pages>18</Pages>
  <Words>4512</Words>
  <Characters>26670</Characters>
  <Application>Microsoft Office Word</Application>
  <DocSecurity>0</DocSecurity>
  <Lines>476</Lines>
  <Paragraphs>100</Paragraphs>
  <ScaleCrop>false</ScaleCrop>
  <Company/>
  <LinksUpToDate>false</LinksUpToDate>
  <CharactersWithSpaces>31082</CharactersWithSpaces>
  <SharedDoc>false</SharedDoc>
  <HLinks>
    <vt:vector size="6" baseType="variant">
      <vt:variant>
        <vt:i4>589892</vt:i4>
      </vt:variant>
      <vt:variant>
        <vt:i4>0</vt:i4>
      </vt:variant>
      <vt:variant>
        <vt:i4>0</vt:i4>
      </vt:variant>
      <vt:variant>
        <vt:i4>5</vt:i4>
      </vt:variant>
      <vt:variant>
        <vt:lpwstr>https://doi.org/10.1080/14999013.2011.577137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Cartwright (2305056)</dc:creator>
  <cp:keywords/>
  <dc:description/>
  <cp:lastModifiedBy>Millie Cartwright (2305056)</cp:lastModifiedBy>
  <cp:revision>386</cp:revision>
  <dcterms:created xsi:type="dcterms:W3CDTF">2025-12-04T03:27:00Z</dcterms:created>
  <dcterms:modified xsi:type="dcterms:W3CDTF">2026-01-06T15:29:00Z</dcterms:modified>
</cp:coreProperties>
</file>