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ED22A" w14:textId="77777777" w:rsidR="00F743F9" w:rsidRPr="00F743F9" w:rsidRDefault="00F743F9" w:rsidP="00F743F9">
      <w:pPr>
        <w:spacing w:before="0" w:after="160" w:line="259" w:lineRule="auto"/>
        <w:jc w:val="center"/>
        <w:rPr>
          <w:rFonts w:ascii="Arial" w:hAnsi="Arial" w:cs="Arial"/>
          <w:b/>
          <w:bCs/>
          <w:sz w:val="48"/>
          <w:szCs w:val="44"/>
          <w:lang w:val="en-NG"/>
        </w:rPr>
      </w:pPr>
      <w:proofErr w:type="spellStart"/>
      <w:r w:rsidRPr="00F743F9">
        <w:rPr>
          <w:rFonts w:ascii="Arial" w:hAnsi="Arial" w:cs="Arial"/>
          <w:b/>
          <w:bCs/>
          <w:sz w:val="48"/>
          <w:szCs w:val="44"/>
          <w:lang w:val="en-NG"/>
        </w:rPr>
        <w:t>MindCare</w:t>
      </w:r>
      <w:proofErr w:type="spellEnd"/>
      <w:r w:rsidRPr="00F743F9">
        <w:rPr>
          <w:rFonts w:ascii="Arial" w:hAnsi="Arial" w:cs="Arial"/>
          <w:b/>
          <w:bCs/>
          <w:sz w:val="48"/>
          <w:szCs w:val="44"/>
          <w:lang w:val="en-NG"/>
        </w:rPr>
        <w:t>: A Digital Mental Health Support System for UK Care Workers</w:t>
      </w:r>
    </w:p>
    <w:p w14:paraId="5F1E1AD9" w14:textId="77777777" w:rsidR="00F743F9" w:rsidRDefault="00F743F9" w:rsidP="00F743F9">
      <w:pPr>
        <w:spacing w:before="0" w:after="160" w:line="259" w:lineRule="auto"/>
        <w:jc w:val="left"/>
        <w:rPr>
          <w:rFonts w:ascii="Arial" w:hAnsi="Arial" w:cs="Arial"/>
          <w:b/>
          <w:bCs/>
          <w:sz w:val="36"/>
          <w:szCs w:val="32"/>
          <w:lang w:val="en-NG"/>
        </w:rPr>
      </w:pPr>
    </w:p>
    <w:p w14:paraId="4BEDC415" w14:textId="77777777" w:rsidR="00F743F9" w:rsidRDefault="00F743F9" w:rsidP="00F743F9">
      <w:pPr>
        <w:spacing w:before="0" w:after="160" w:line="259" w:lineRule="auto"/>
        <w:jc w:val="left"/>
        <w:rPr>
          <w:rFonts w:ascii="Arial" w:hAnsi="Arial" w:cs="Arial"/>
          <w:b/>
          <w:bCs/>
          <w:sz w:val="36"/>
          <w:szCs w:val="32"/>
          <w:lang w:val="en-NG"/>
        </w:rPr>
      </w:pPr>
    </w:p>
    <w:p w14:paraId="71D17949" w14:textId="5B101DD7" w:rsidR="00F743F9" w:rsidRPr="00F743F9" w:rsidRDefault="00F743F9" w:rsidP="00F743F9">
      <w:pPr>
        <w:spacing w:before="0" w:after="160"/>
        <w:jc w:val="left"/>
        <w:rPr>
          <w:rFonts w:ascii="Arial" w:hAnsi="Arial" w:cs="Arial"/>
          <w:b/>
          <w:bCs/>
          <w:sz w:val="36"/>
          <w:szCs w:val="32"/>
          <w:lang w:val="en-NG"/>
        </w:rPr>
      </w:pPr>
      <w:r w:rsidRPr="00F743F9">
        <w:rPr>
          <w:rFonts w:ascii="Arial" w:hAnsi="Arial" w:cs="Arial"/>
          <w:b/>
          <w:bCs/>
          <w:sz w:val="36"/>
          <w:szCs w:val="32"/>
          <w:lang w:val="en-NG"/>
        </w:rPr>
        <w:t xml:space="preserve">Module Title: </w:t>
      </w:r>
      <w:r w:rsidRPr="00F743F9">
        <w:rPr>
          <w:rFonts w:ascii="Arial" w:hAnsi="Arial" w:cs="Arial"/>
          <w:b/>
          <w:bCs/>
          <w:sz w:val="36"/>
          <w:szCs w:val="32"/>
        </w:rPr>
        <w:t>Changemakers: Creativity and Value Creation</w:t>
      </w:r>
      <w:r w:rsidRPr="00F743F9">
        <w:rPr>
          <w:rFonts w:ascii="Arial" w:hAnsi="Arial" w:cs="Arial"/>
          <w:b/>
          <w:bCs/>
          <w:sz w:val="36"/>
          <w:szCs w:val="32"/>
          <w:lang w:val="en-NG"/>
        </w:rPr>
        <w:br/>
        <w:t>Assignment Title: Component 2 – Poster and Pitch</w:t>
      </w:r>
    </w:p>
    <w:p w14:paraId="0C26D22B" w14:textId="38387FD4" w:rsidR="00F743F9" w:rsidRPr="00F743F9" w:rsidRDefault="00F743F9" w:rsidP="00F743F9">
      <w:pPr>
        <w:spacing w:before="0" w:after="160"/>
        <w:jc w:val="left"/>
        <w:rPr>
          <w:rFonts w:ascii="Arial" w:hAnsi="Arial" w:cs="Arial"/>
          <w:b/>
          <w:bCs/>
          <w:sz w:val="36"/>
          <w:szCs w:val="32"/>
          <w:lang w:val="en-NG"/>
        </w:rPr>
      </w:pPr>
      <w:r w:rsidRPr="00F743F9">
        <w:rPr>
          <w:rFonts w:ascii="Arial" w:hAnsi="Arial" w:cs="Arial"/>
          <w:b/>
          <w:bCs/>
          <w:sz w:val="36"/>
          <w:szCs w:val="32"/>
          <w:lang w:val="en-NG"/>
        </w:rPr>
        <w:t xml:space="preserve">Student Name: </w:t>
      </w:r>
      <w:r>
        <w:rPr>
          <w:rFonts w:ascii="Arial" w:hAnsi="Arial" w:cs="Arial"/>
          <w:b/>
          <w:bCs/>
          <w:sz w:val="36"/>
          <w:szCs w:val="32"/>
          <w:lang w:val="en-NG"/>
        </w:rPr>
        <w:t>Folasade Oluwakemi Alabi</w:t>
      </w:r>
      <w:r w:rsidRPr="00F743F9">
        <w:rPr>
          <w:rFonts w:ascii="Arial" w:hAnsi="Arial" w:cs="Arial"/>
          <w:b/>
          <w:bCs/>
          <w:sz w:val="36"/>
          <w:szCs w:val="32"/>
          <w:lang w:val="en-NG"/>
        </w:rPr>
        <w:br/>
        <w:t xml:space="preserve">Student ID: </w:t>
      </w:r>
      <w:r>
        <w:rPr>
          <w:rFonts w:ascii="Arial" w:hAnsi="Arial" w:cs="Arial"/>
          <w:b/>
          <w:bCs/>
          <w:sz w:val="36"/>
          <w:szCs w:val="32"/>
          <w:lang w:val="en-NG"/>
        </w:rPr>
        <w:t>1817626</w:t>
      </w:r>
    </w:p>
    <w:p w14:paraId="5D0C7EA8" w14:textId="77777777" w:rsidR="00F743F9" w:rsidRDefault="00F743F9" w:rsidP="00F743F9">
      <w:pPr>
        <w:spacing w:before="0" w:after="160"/>
        <w:jc w:val="left"/>
        <w:rPr>
          <w:rFonts w:ascii="Arial" w:hAnsi="Arial" w:cs="Arial"/>
          <w:b/>
          <w:bCs/>
          <w:sz w:val="36"/>
          <w:szCs w:val="32"/>
        </w:rPr>
      </w:pPr>
      <w:r w:rsidRPr="00F743F9">
        <w:rPr>
          <w:rFonts w:ascii="Arial" w:hAnsi="Arial" w:cs="Arial"/>
          <w:b/>
          <w:bCs/>
          <w:sz w:val="36"/>
          <w:szCs w:val="32"/>
          <w:lang w:val="en-NG"/>
        </w:rPr>
        <w:t xml:space="preserve">Lecturer: </w:t>
      </w:r>
      <w:r w:rsidRPr="00F743F9">
        <w:rPr>
          <w:rFonts w:ascii="Arial" w:hAnsi="Arial" w:cs="Arial"/>
          <w:b/>
          <w:bCs/>
          <w:sz w:val="36"/>
          <w:szCs w:val="32"/>
        </w:rPr>
        <w:t xml:space="preserve">G1 Laila Surani </w:t>
      </w:r>
    </w:p>
    <w:p w14:paraId="2C3B4A68" w14:textId="67191449" w:rsidR="00F743F9" w:rsidRPr="00F743F9" w:rsidRDefault="00F743F9" w:rsidP="00F743F9">
      <w:pPr>
        <w:spacing w:before="0" w:after="160"/>
        <w:ind w:left="1440"/>
        <w:jc w:val="left"/>
        <w:rPr>
          <w:rFonts w:ascii="Arial" w:hAnsi="Arial" w:cs="Arial"/>
          <w:b/>
          <w:bCs/>
          <w:sz w:val="36"/>
          <w:szCs w:val="32"/>
          <w:lang w:val="en-NG"/>
        </w:rPr>
      </w:pPr>
      <w:r>
        <w:rPr>
          <w:rFonts w:ascii="Arial" w:hAnsi="Arial" w:cs="Arial"/>
          <w:b/>
          <w:bCs/>
          <w:sz w:val="36"/>
          <w:szCs w:val="32"/>
        </w:rPr>
        <w:t xml:space="preserve">  </w:t>
      </w:r>
      <w:r w:rsidRPr="00F743F9">
        <w:rPr>
          <w:rFonts w:ascii="Arial" w:hAnsi="Arial" w:cs="Arial"/>
          <w:b/>
          <w:bCs/>
          <w:sz w:val="36"/>
          <w:szCs w:val="32"/>
        </w:rPr>
        <w:t>G2 Caroline Salami (module leader</w:t>
      </w:r>
      <w:r>
        <w:rPr>
          <w:rFonts w:ascii="Arial" w:hAnsi="Arial" w:cs="Arial"/>
          <w:b/>
          <w:bCs/>
          <w:sz w:val="36"/>
          <w:szCs w:val="32"/>
        </w:rPr>
        <w:t>)</w:t>
      </w:r>
    </w:p>
    <w:p w14:paraId="4029096B" w14:textId="77777777" w:rsidR="00F743F9" w:rsidRDefault="00F743F9">
      <w:pPr>
        <w:spacing w:before="0" w:after="160" w:line="259" w:lineRule="auto"/>
        <w:jc w:val="left"/>
        <w:rPr>
          <w:rFonts w:ascii="Arial" w:hAnsi="Arial" w:cs="Arial"/>
          <w:b/>
          <w:bCs/>
          <w:sz w:val="36"/>
          <w:szCs w:val="32"/>
          <w:lang w:val="en-NG"/>
        </w:rPr>
      </w:pPr>
      <w:r>
        <w:rPr>
          <w:rFonts w:ascii="Arial" w:hAnsi="Arial" w:cs="Arial"/>
          <w:b/>
          <w:bCs/>
          <w:sz w:val="36"/>
          <w:szCs w:val="32"/>
          <w:lang w:val="en-NG"/>
        </w:rPr>
        <w:br w:type="page"/>
      </w:r>
    </w:p>
    <w:p w14:paraId="4AF93145" w14:textId="1C172D14" w:rsidR="00F743F9" w:rsidRPr="00F743F9" w:rsidRDefault="00F743F9" w:rsidP="00F743F9">
      <w:pPr>
        <w:spacing w:line="360" w:lineRule="auto"/>
        <w:jc w:val="center"/>
        <w:rPr>
          <w:rFonts w:ascii="Arial" w:hAnsi="Arial" w:cs="Arial"/>
          <w:b/>
          <w:bCs/>
          <w:lang w:val="en-NG"/>
        </w:rPr>
      </w:pPr>
      <w:r w:rsidRPr="00F743F9">
        <w:rPr>
          <w:rFonts w:ascii="Arial" w:hAnsi="Arial" w:cs="Arial"/>
          <w:b/>
          <w:bCs/>
          <w:noProof/>
          <w:lang w:val="en-NG"/>
        </w:rPr>
        <w:lastRenderedPageBreak/>
        <w:drawing>
          <wp:inline distT="0" distB="0" distL="0" distR="0" wp14:anchorId="54E40A1E" wp14:editId="4B6509DF">
            <wp:extent cx="9171296" cy="6114197"/>
            <wp:effectExtent l="0" t="0" r="0" b="1270"/>
            <wp:docPr id="6430710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9190919" cy="6127279"/>
                    </a:xfrm>
                    <a:prstGeom prst="rect">
                      <a:avLst/>
                    </a:prstGeom>
                    <a:noFill/>
                  </pic:spPr>
                </pic:pic>
              </a:graphicData>
            </a:graphic>
          </wp:inline>
        </w:drawing>
      </w:r>
      <w:r w:rsidRPr="00F743F9">
        <w:rPr>
          <w:rFonts w:ascii="Arial" w:hAnsi="Arial" w:cs="Arial"/>
          <w:b/>
          <w:bCs/>
          <w:sz w:val="36"/>
          <w:szCs w:val="32"/>
          <w:lang w:val="en-NG"/>
        </w:rPr>
        <w:lastRenderedPageBreak/>
        <w:t>PITCH</w:t>
      </w:r>
    </w:p>
    <w:p w14:paraId="16EA9DBF" w14:textId="77777777" w:rsidR="00F743F9" w:rsidRPr="00F743F9" w:rsidRDefault="00F743F9" w:rsidP="00F743F9">
      <w:pPr>
        <w:spacing w:line="360" w:lineRule="auto"/>
        <w:rPr>
          <w:rFonts w:ascii="Arial" w:hAnsi="Arial" w:cs="Arial"/>
          <w:b/>
          <w:bCs/>
          <w:lang w:val="en-NG"/>
        </w:rPr>
      </w:pPr>
      <w:r w:rsidRPr="00F743F9">
        <w:rPr>
          <w:rFonts w:ascii="Arial" w:hAnsi="Arial" w:cs="Arial"/>
          <w:b/>
          <w:bCs/>
          <w:lang w:val="en-NG"/>
        </w:rPr>
        <w:t>Introduction</w:t>
      </w:r>
    </w:p>
    <w:p w14:paraId="41B268FA"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The increasing demands placed on healthcare and social care workers in the UK have led to rising levels of stress, burnout, and emotional fatigue. Frontline staff, especially within the NHS and wider care sector, are often exposed to heavy workloads and emotionally challenging situations. Despite this, access to timely and confidential mental health support is still limited. This creates a clear gap in the system, affecting not only staff wellbeing but also the overall quality of care provided to patients.</w:t>
      </w:r>
    </w:p>
    <w:p w14:paraId="74720852" w14:textId="77777777" w:rsidR="00F743F9" w:rsidRPr="00F743F9" w:rsidRDefault="00F743F9" w:rsidP="00F743F9">
      <w:pPr>
        <w:spacing w:line="360" w:lineRule="auto"/>
        <w:rPr>
          <w:rFonts w:ascii="Arial" w:hAnsi="Arial" w:cs="Arial"/>
          <w:lang w:val="en-NG"/>
        </w:rPr>
      </w:pPr>
      <w:proofErr w:type="spellStart"/>
      <w:r w:rsidRPr="00F743F9">
        <w:rPr>
          <w:rFonts w:ascii="Arial" w:hAnsi="Arial" w:cs="Arial"/>
          <w:lang w:val="en-NG"/>
        </w:rPr>
        <w:t>MindCare</w:t>
      </w:r>
      <w:proofErr w:type="spellEnd"/>
      <w:r w:rsidRPr="00F743F9">
        <w:rPr>
          <w:rFonts w:ascii="Arial" w:hAnsi="Arial" w:cs="Arial"/>
          <w:lang w:val="en-NG"/>
        </w:rPr>
        <w:t xml:space="preserve"> is a digital mental health support system developed to address this issue. It offers accessible, confidential, and real-time psychological support through a mobile platform designed specifically for healthcare and social care workers. By improving staff wellbeing, </w:t>
      </w:r>
      <w:proofErr w:type="spellStart"/>
      <w:r w:rsidRPr="00F743F9">
        <w:rPr>
          <w:rFonts w:ascii="Arial" w:hAnsi="Arial" w:cs="Arial"/>
          <w:lang w:val="en-NG"/>
        </w:rPr>
        <w:t>MindCare</w:t>
      </w:r>
      <w:proofErr w:type="spellEnd"/>
      <w:r w:rsidRPr="00F743F9">
        <w:rPr>
          <w:rFonts w:ascii="Arial" w:hAnsi="Arial" w:cs="Arial"/>
          <w:lang w:val="en-NG"/>
        </w:rPr>
        <w:t xml:space="preserve"> aims to support workforce sustainability and enhance patient care outcomes.</w:t>
      </w:r>
    </w:p>
    <w:p w14:paraId="4ABF8266" w14:textId="77777777" w:rsidR="00F743F9" w:rsidRPr="00F743F9" w:rsidRDefault="00F743F9" w:rsidP="00F743F9">
      <w:pPr>
        <w:spacing w:line="360" w:lineRule="auto"/>
        <w:rPr>
          <w:rFonts w:ascii="Arial" w:hAnsi="Arial" w:cs="Arial"/>
          <w:b/>
          <w:bCs/>
          <w:lang w:val="en-NG"/>
        </w:rPr>
      </w:pPr>
      <w:r w:rsidRPr="00F743F9">
        <w:rPr>
          <w:rFonts w:ascii="Arial" w:hAnsi="Arial" w:cs="Arial"/>
          <w:b/>
          <w:bCs/>
          <w:lang w:val="en-NG"/>
        </w:rPr>
        <w:t>Background</w:t>
      </w:r>
    </w:p>
    <w:p w14:paraId="2FFA72B3"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Mental health challenges among healthcare workers have become a major concern in the UK, particularly following the increasing pressures within the NHS. High workloads, staff shortages, and emotionally demanding roles have all contributed to rising levels of stress, burnout, and psychological distress. According to NHS England (2022), a large proportion of healthcare staff report experiencing work-related stress, with many also showing symptoms of anxiety and depression. Similarly, the Health and Safety Executive (2023) identified stress, depression, and anxiety as leading causes of work-related ill health, especially within the health and social care sector.</w:t>
      </w:r>
    </w:p>
    <w:p w14:paraId="360F093B"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lastRenderedPageBreak/>
        <w:t>Burnout does not only affect individual staff members, but also has wider consequences for healthcare delivery. Research shows that high levels of burnout are linked to reduced productivity, increased absenteeism, and a decline in the quality of patient care. The King’s Fund (2021) further highlights that staff wellbeing is closely connected to patient safety and overall service efficiency, making it a key issue within the healthcare system.</w:t>
      </w:r>
    </w:p>
    <w:p w14:paraId="79E1EBDB"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Although support services exist, many healthcare workers still face barriers such as stigma, lack of time, and concerns about confidentiality, which prevent them from seeking help. The World Health Organization (2022) emphasises that accessible and confidential mental health support is essential, particularly through digital solutions that can be used flexibly.</w:t>
      </w:r>
    </w:p>
    <w:p w14:paraId="6B221F13"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 xml:space="preserve">This clearly highlights a gap in the current system, reinforcing the need for practical and accessible solutions such as </w:t>
      </w:r>
      <w:proofErr w:type="spellStart"/>
      <w:r w:rsidRPr="00F743F9">
        <w:rPr>
          <w:rFonts w:ascii="Arial" w:hAnsi="Arial" w:cs="Arial"/>
          <w:lang w:val="en-NG"/>
        </w:rPr>
        <w:t>MindCare</w:t>
      </w:r>
      <w:proofErr w:type="spellEnd"/>
      <w:r w:rsidRPr="00F743F9">
        <w:rPr>
          <w:rFonts w:ascii="Arial" w:hAnsi="Arial" w:cs="Arial"/>
          <w:lang w:val="en-NG"/>
        </w:rPr>
        <w:t>.</w:t>
      </w:r>
    </w:p>
    <w:p w14:paraId="39430EBB" w14:textId="77777777" w:rsidR="00F743F9" w:rsidRPr="00F743F9" w:rsidRDefault="00F743F9" w:rsidP="00F743F9">
      <w:pPr>
        <w:spacing w:line="360" w:lineRule="auto"/>
        <w:rPr>
          <w:rFonts w:ascii="Arial" w:hAnsi="Arial" w:cs="Arial"/>
          <w:b/>
          <w:bCs/>
          <w:lang w:val="en-NG"/>
        </w:rPr>
      </w:pPr>
      <w:r w:rsidRPr="00F743F9">
        <w:rPr>
          <w:rFonts w:ascii="Arial" w:hAnsi="Arial" w:cs="Arial"/>
          <w:b/>
          <w:bCs/>
          <w:lang w:val="en-NG"/>
        </w:rPr>
        <w:t>Innovation Description</w:t>
      </w:r>
    </w:p>
    <w:p w14:paraId="5C98E151" w14:textId="77777777" w:rsidR="00F743F9" w:rsidRPr="00F743F9" w:rsidRDefault="00F743F9" w:rsidP="00F743F9">
      <w:pPr>
        <w:spacing w:line="360" w:lineRule="auto"/>
        <w:rPr>
          <w:rFonts w:ascii="Arial" w:hAnsi="Arial" w:cs="Arial"/>
          <w:lang w:val="en-NG"/>
        </w:rPr>
      </w:pPr>
      <w:proofErr w:type="spellStart"/>
      <w:r w:rsidRPr="00F743F9">
        <w:rPr>
          <w:rFonts w:ascii="Arial" w:hAnsi="Arial" w:cs="Arial"/>
          <w:lang w:val="en-NG"/>
        </w:rPr>
        <w:t>MindCare</w:t>
      </w:r>
      <w:proofErr w:type="spellEnd"/>
      <w:r w:rsidRPr="00F743F9">
        <w:rPr>
          <w:rFonts w:ascii="Arial" w:hAnsi="Arial" w:cs="Arial"/>
          <w:lang w:val="en-NG"/>
        </w:rPr>
        <w:t xml:space="preserve"> is a digital mental health support system designed specifically for healthcare and social care workers in the UK. It is delivered through a mobile app and web-based platform, allowing users to access support instantly, confidentially, and at their own convenience. Unlike traditional services that often require appointments or face-to-face interaction, </w:t>
      </w:r>
      <w:proofErr w:type="spellStart"/>
      <w:r w:rsidRPr="00F743F9">
        <w:rPr>
          <w:rFonts w:ascii="Arial" w:hAnsi="Arial" w:cs="Arial"/>
          <w:lang w:val="en-NG"/>
        </w:rPr>
        <w:t>MindCare</w:t>
      </w:r>
      <w:proofErr w:type="spellEnd"/>
      <w:r w:rsidRPr="00F743F9">
        <w:rPr>
          <w:rFonts w:ascii="Arial" w:hAnsi="Arial" w:cs="Arial"/>
          <w:lang w:val="en-NG"/>
        </w:rPr>
        <w:t xml:space="preserve"> allows staff to access support at any time, which is particularly useful for those working long or irregular shifts.</w:t>
      </w:r>
    </w:p>
    <w:p w14:paraId="7008C1E8"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The platform includes several key features aimed at improving both usability and effectiveness. These include an AI-powered chatbot that provides immediate support, mood tracking tools that help users monitor their mental wellbeing over time, and self-assessment features that can identify early signs of stress or burnout. In addition, the system includes a referral option that connects users to professional mental health services when needed, creating a clear pathway from initial support to more advanced care.</w:t>
      </w:r>
    </w:p>
    <w:p w14:paraId="1B03C730"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lastRenderedPageBreak/>
        <w:t xml:space="preserve">What makes </w:t>
      </w:r>
      <w:proofErr w:type="spellStart"/>
      <w:r w:rsidRPr="00F743F9">
        <w:rPr>
          <w:rFonts w:ascii="Arial" w:hAnsi="Arial" w:cs="Arial"/>
          <w:lang w:val="en-NG"/>
        </w:rPr>
        <w:t>MindCare</w:t>
      </w:r>
      <w:proofErr w:type="spellEnd"/>
      <w:r w:rsidRPr="00F743F9">
        <w:rPr>
          <w:rFonts w:ascii="Arial" w:hAnsi="Arial" w:cs="Arial"/>
          <w:lang w:val="en-NG"/>
        </w:rPr>
        <w:t xml:space="preserve"> different is its focus on accessibility, confidentiality, and integration within existing healthcare systems. By working alongside NHS and care organisations, it helps reduce stigma while still protecting user privacy through secure data systems. This approach supports early intervention and helps reduce the long-term impact of stress and burnout on healthcare workers.</w:t>
      </w:r>
    </w:p>
    <w:p w14:paraId="5E51F39C" w14:textId="77777777" w:rsidR="00F743F9" w:rsidRPr="00F743F9" w:rsidRDefault="00F743F9" w:rsidP="00F743F9">
      <w:pPr>
        <w:spacing w:line="360" w:lineRule="auto"/>
        <w:rPr>
          <w:rFonts w:ascii="Arial" w:hAnsi="Arial" w:cs="Arial"/>
          <w:b/>
          <w:bCs/>
          <w:lang w:val="en-NG"/>
        </w:rPr>
      </w:pPr>
      <w:r w:rsidRPr="00F743F9">
        <w:rPr>
          <w:rFonts w:ascii="Arial" w:hAnsi="Arial" w:cs="Arial"/>
          <w:b/>
          <w:bCs/>
          <w:lang w:val="en-NG"/>
        </w:rPr>
        <w:t>Impact on Health and Social Care</w:t>
      </w:r>
    </w:p>
    <w:p w14:paraId="08FB8C01" w14:textId="77777777" w:rsidR="00F743F9" w:rsidRPr="00F743F9" w:rsidRDefault="00F743F9" w:rsidP="00F743F9">
      <w:pPr>
        <w:spacing w:line="360" w:lineRule="auto"/>
        <w:rPr>
          <w:rFonts w:ascii="Arial" w:hAnsi="Arial" w:cs="Arial"/>
          <w:lang w:val="en-NG"/>
        </w:rPr>
      </w:pPr>
      <w:proofErr w:type="spellStart"/>
      <w:r w:rsidRPr="00F743F9">
        <w:rPr>
          <w:rFonts w:ascii="Arial" w:hAnsi="Arial" w:cs="Arial"/>
          <w:lang w:val="en-NG"/>
        </w:rPr>
        <w:t>MindCare</w:t>
      </w:r>
      <w:proofErr w:type="spellEnd"/>
      <w:r w:rsidRPr="00F743F9">
        <w:rPr>
          <w:rFonts w:ascii="Arial" w:hAnsi="Arial" w:cs="Arial"/>
          <w:lang w:val="en-NG"/>
        </w:rPr>
        <w:t xml:space="preserve"> has the potential to create meaningful improvements across both individual staff wellbeing and the wider healthcare system. The main beneficiaries are frontline workers, including nurses, doctors, and social care staff, who often experience high levels of stress and emotional strain. By providing accessible and confidential support, the platform allows early intervention, helping staff manage stress before it develops into more serious conditions.</w:t>
      </w:r>
    </w:p>
    <w:p w14:paraId="3536BE28"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 xml:space="preserve">Improved staff wellbeing also leads to better quality of care. The King’s Fund (2021) highlights that workforce wellbeing is strongly linked to patient safety, staff retention, and overall service performance. By reducing absenteeism and improving emotional resilience, </w:t>
      </w:r>
      <w:proofErr w:type="spellStart"/>
      <w:r w:rsidRPr="00F743F9">
        <w:rPr>
          <w:rFonts w:ascii="Arial" w:hAnsi="Arial" w:cs="Arial"/>
          <w:lang w:val="en-NG"/>
        </w:rPr>
        <w:t>MindCare</w:t>
      </w:r>
      <w:proofErr w:type="spellEnd"/>
      <w:r w:rsidRPr="00F743F9">
        <w:rPr>
          <w:rFonts w:ascii="Arial" w:hAnsi="Arial" w:cs="Arial"/>
          <w:lang w:val="en-NG"/>
        </w:rPr>
        <w:t xml:space="preserve"> supports a more stable workforce, which in turn improves patient outcomes.</w:t>
      </w:r>
    </w:p>
    <w:p w14:paraId="1029DC6D"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The platform also promotes inclusivity by offering support that can be accessed at any time, regardless of location or shift pattern. This is especially important for workers in high-pressure or underserved environments who may not have access to traditional support services.</w:t>
      </w:r>
    </w:p>
    <w:p w14:paraId="30F9F78C"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 xml:space="preserve">More broadly, </w:t>
      </w:r>
      <w:proofErr w:type="spellStart"/>
      <w:r w:rsidRPr="00F743F9">
        <w:rPr>
          <w:rFonts w:ascii="Arial" w:hAnsi="Arial" w:cs="Arial"/>
          <w:lang w:val="en-NG"/>
        </w:rPr>
        <w:t>MindCare</w:t>
      </w:r>
      <w:proofErr w:type="spellEnd"/>
      <w:r w:rsidRPr="00F743F9">
        <w:rPr>
          <w:rFonts w:ascii="Arial" w:hAnsi="Arial" w:cs="Arial"/>
          <w:lang w:val="en-NG"/>
        </w:rPr>
        <w:t xml:space="preserve"> contributes to the common good by supporting those responsible for caring for others. By improving the wellbeing of healthcare workers, it helps maintain a more effective and sustainable healthcare system for patients and communities.</w:t>
      </w:r>
    </w:p>
    <w:p w14:paraId="4345A62F" w14:textId="77777777" w:rsidR="00F743F9" w:rsidRPr="00F743F9" w:rsidRDefault="00F743F9" w:rsidP="00F743F9">
      <w:pPr>
        <w:spacing w:line="360" w:lineRule="auto"/>
        <w:rPr>
          <w:rFonts w:ascii="Arial" w:hAnsi="Arial" w:cs="Arial"/>
          <w:b/>
          <w:bCs/>
          <w:lang w:val="en-NG"/>
        </w:rPr>
      </w:pPr>
      <w:r w:rsidRPr="00F743F9">
        <w:rPr>
          <w:rFonts w:ascii="Arial" w:hAnsi="Arial" w:cs="Arial"/>
          <w:b/>
          <w:bCs/>
          <w:lang w:val="en-NG"/>
        </w:rPr>
        <w:lastRenderedPageBreak/>
        <w:t>Public and Stakeholder Involvement</w:t>
      </w:r>
    </w:p>
    <w:p w14:paraId="620533A9"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 xml:space="preserve">The development and implementation of </w:t>
      </w:r>
      <w:proofErr w:type="spellStart"/>
      <w:r w:rsidRPr="00F743F9">
        <w:rPr>
          <w:rFonts w:ascii="Arial" w:hAnsi="Arial" w:cs="Arial"/>
          <w:lang w:val="en-NG"/>
        </w:rPr>
        <w:t>MindCare</w:t>
      </w:r>
      <w:proofErr w:type="spellEnd"/>
      <w:r w:rsidRPr="00F743F9">
        <w:rPr>
          <w:rFonts w:ascii="Arial" w:hAnsi="Arial" w:cs="Arial"/>
          <w:lang w:val="en-NG"/>
        </w:rPr>
        <w:t xml:space="preserve"> will involve close collaboration with key stakeholders, including healthcare workers, NHS organisations, and mental health professionals. Frontline staff will be involved through feedback sessions, surveys, and pilot testing, ensuring that the platform is practical and suited to their needs. This co-production approach helps improve engagement and increases the chances of successful adoption.</w:t>
      </w:r>
    </w:p>
    <w:p w14:paraId="7C9BD6D9"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Healthcare organisations will support implementation by integrating the system into existing wellbeing programmes, while mental health professionals will ensure that all support provided is evidence-based and aligned with current standards.</w:t>
      </w:r>
    </w:p>
    <w:p w14:paraId="018E37B9"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Public engagement will also be encouraged through awareness campaigns and internal communication channels, helping to reduce stigma and promote the use of mental health support services.</w:t>
      </w:r>
    </w:p>
    <w:p w14:paraId="3B335E74" w14:textId="77777777" w:rsidR="00F743F9" w:rsidRPr="00F743F9" w:rsidRDefault="00F743F9" w:rsidP="00F743F9">
      <w:pPr>
        <w:spacing w:line="360" w:lineRule="auto"/>
        <w:rPr>
          <w:rFonts w:ascii="Arial" w:hAnsi="Arial" w:cs="Arial"/>
          <w:b/>
          <w:bCs/>
          <w:lang w:val="en-NG"/>
        </w:rPr>
      </w:pPr>
      <w:r w:rsidRPr="00F743F9">
        <w:rPr>
          <w:rFonts w:ascii="Arial" w:hAnsi="Arial" w:cs="Arial"/>
          <w:b/>
          <w:bCs/>
          <w:lang w:val="en-NG"/>
        </w:rPr>
        <w:t>Policies, Services, and Professional Links</w:t>
      </w:r>
    </w:p>
    <w:p w14:paraId="3CBB4F9F" w14:textId="77777777" w:rsidR="00F743F9" w:rsidRPr="00F743F9" w:rsidRDefault="00F743F9" w:rsidP="00F743F9">
      <w:pPr>
        <w:spacing w:line="360" w:lineRule="auto"/>
        <w:rPr>
          <w:rFonts w:ascii="Arial" w:hAnsi="Arial" w:cs="Arial"/>
          <w:lang w:val="en-NG"/>
        </w:rPr>
      </w:pPr>
      <w:proofErr w:type="spellStart"/>
      <w:r w:rsidRPr="00F743F9">
        <w:rPr>
          <w:rFonts w:ascii="Arial" w:hAnsi="Arial" w:cs="Arial"/>
          <w:lang w:val="en-NG"/>
        </w:rPr>
        <w:t>MindCare</w:t>
      </w:r>
      <w:proofErr w:type="spellEnd"/>
      <w:r w:rsidRPr="00F743F9">
        <w:rPr>
          <w:rFonts w:ascii="Arial" w:hAnsi="Arial" w:cs="Arial"/>
          <w:lang w:val="en-NG"/>
        </w:rPr>
        <w:t xml:space="preserve"> aligns with key UK health and social care policies and professional standards. The Care Act 2014 emphasises the importance of promoting wellbeing, which includes supporting the mental health of care workers. The Equality Act 2010 also supports equal access to services, reinforcing the need for inclusive mental health support.</w:t>
      </w:r>
    </w:p>
    <w:p w14:paraId="78EA6B8A"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 xml:space="preserve">The system complements existing NHS services, including staff wellbeing programmes and occupational health support, by offering a more flexible and immediate solution. It also aligns with professional standards set by the Nursing and Midwifery Council and the </w:t>
      </w:r>
      <w:r w:rsidRPr="00F743F9">
        <w:rPr>
          <w:rFonts w:ascii="Arial" w:hAnsi="Arial" w:cs="Arial"/>
          <w:lang w:val="en-NG"/>
        </w:rPr>
        <w:lastRenderedPageBreak/>
        <w:t>Health and Care Professions Council, which highlight the importance of maintaining both professional competence and personal wellbeing.</w:t>
      </w:r>
    </w:p>
    <w:p w14:paraId="542C72BC"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 xml:space="preserve">By working alongside existing services and policies, </w:t>
      </w:r>
      <w:proofErr w:type="spellStart"/>
      <w:r w:rsidRPr="00F743F9">
        <w:rPr>
          <w:rFonts w:ascii="Arial" w:hAnsi="Arial" w:cs="Arial"/>
          <w:lang w:val="en-NG"/>
        </w:rPr>
        <w:t>MindCare</w:t>
      </w:r>
      <w:proofErr w:type="spellEnd"/>
      <w:r w:rsidRPr="00F743F9">
        <w:rPr>
          <w:rFonts w:ascii="Arial" w:hAnsi="Arial" w:cs="Arial"/>
          <w:lang w:val="en-NG"/>
        </w:rPr>
        <w:t xml:space="preserve"> remains both relevant and practical within the healthcare system.</w:t>
      </w:r>
    </w:p>
    <w:p w14:paraId="06AD2C37" w14:textId="77777777" w:rsidR="00F743F9" w:rsidRPr="00F743F9" w:rsidRDefault="00F743F9" w:rsidP="00F743F9">
      <w:pPr>
        <w:spacing w:line="360" w:lineRule="auto"/>
        <w:rPr>
          <w:rFonts w:ascii="Arial" w:hAnsi="Arial" w:cs="Arial"/>
          <w:b/>
          <w:bCs/>
          <w:lang w:val="en-NG"/>
        </w:rPr>
      </w:pPr>
      <w:r w:rsidRPr="00F743F9">
        <w:rPr>
          <w:rFonts w:ascii="Arial" w:hAnsi="Arial" w:cs="Arial"/>
          <w:b/>
          <w:bCs/>
          <w:lang w:val="en-NG"/>
        </w:rPr>
        <w:t>Conclusion</w:t>
      </w:r>
    </w:p>
    <w:p w14:paraId="3C85F64C" w14:textId="77777777" w:rsidR="00F743F9" w:rsidRPr="00F743F9" w:rsidRDefault="00F743F9" w:rsidP="00F743F9">
      <w:pPr>
        <w:spacing w:line="360" w:lineRule="auto"/>
        <w:rPr>
          <w:rFonts w:ascii="Arial" w:hAnsi="Arial" w:cs="Arial"/>
          <w:lang w:val="en-NG"/>
        </w:rPr>
      </w:pPr>
      <w:proofErr w:type="spellStart"/>
      <w:r w:rsidRPr="00F743F9">
        <w:rPr>
          <w:rFonts w:ascii="Arial" w:hAnsi="Arial" w:cs="Arial"/>
          <w:lang w:val="en-NG"/>
        </w:rPr>
        <w:t>MindCare</w:t>
      </w:r>
      <w:proofErr w:type="spellEnd"/>
      <w:r w:rsidRPr="00F743F9">
        <w:rPr>
          <w:rFonts w:ascii="Arial" w:hAnsi="Arial" w:cs="Arial"/>
          <w:lang w:val="en-NG"/>
        </w:rPr>
        <w:t xml:space="preserve"> addresses an important gap in the UK health and social care system by providing accessible and confidential mental health support for frontline workers. Through the use of digital technology, it offers a practical and scalable solution that encourages early intervention and reduces the risk of burnout. Overall, the innovation supports both staff wellbeing and the long-term effectiveness of healthcare services.</w:t>
      </w:r>
    </w:p>
    <w:p w14:paraId="1D4255AB" w14:textId="60C4781E" w:rsidR="00F743F9" w:rsidRPr="00F743F9" w:rsidRDefault="00F743F9" w:rsidP="00F743F9">
      <w:pPr>
        <w:spacing w:before="0" w:after="160" w:line="360" w:lineRule="auto"/>
        <w:jc w:val="left"/>
        <w:rPr>
          <w:rFonts w:ascii="Arial" w:hAnsi="Arial" w:cs="Arial"/>
        </w:rPr>
      </w:pPr>
      <w:r w:rsidRPr="00F743F9">
        <w:rPr>
          <w:rFonts w:ascii="Arial" w:hAnsi="Arial" w:cs="Arial"/>
        </w:rPr>
        <w:br w:type="page"/>
      </w:r>
    </w:p>
    <w:p w14:paraId="15237485" w14:textId="77777777" w:rsidR="00F743F9" w:rsidRPr="00F743F9" w:rsidRDefault="00F743F9" w:rsidP="00F743F9">
      <w:pPr>
        <w:spacing w:line="360" w:lineRule="auto"/>
        <w:rPr>
          <w:rFonts w:ascii="Arial" w:hAnsi="Arial" w:cs="Arial"/>
          <w:b/>
          <w:bCs/>
          <w:lang w:val="en-NG"/>
        </w:rPr>
      </w:pPr>
      <w:r w:rsidRPr="00F743F9">
        <w:rPr>
          <w:rFonts w:ascii="Arial" w:hAnsi="Arial" w:cs="Arial"/>
          <w:b/>
          <w:bCs/>
          <w:lang w:val="en-NG"/>
        </w:rPr>
        <w:lastRenderedPageBreak/>
        <w:t xml:space="preserve">References </w:t>
      </w:r>
    </w:p>
    <w:p w14:paraId="0C39DB60"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 xml:space="preserve">Care Act 2014. (2014). </w:t>
      </w:r>
      <w:r w:rsidRPr="00F743F9">
        <w:rPr>
          <w:rFonts w:ascii="Arial" w:hAnsi="Arial" w:cs="Arial"/>
          <w:i/>
          <w:iCs/>
          <w:lang w:val="en-NG"/>
        </w:rPr>
        <w:t>Care Act 2014</w:t>
      </w:r>
      <w:r w:rsidRPr="00F743F9">
        <w:rPr>
          <w:rFonts w:ascii="Arial" w:hAnsi="Arial" w:cs="Arial"/>
          <w:lang w:val="en-NG"/>
        </w:rPr>
        <w:t>. London: HMSO.</w:t>
      </w:r>
    </w:p>
    <w:p w14:paraId="22A1A92D"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 xml:space="preserve">Equality Act 2010. (2010). </w:t>
      </w:r>
      <w:r w:rsidRPr="00F743F9">
        <w:rPr>
          <w:rFonts w:ascii="Arial" w:hAnsi="Arial" w:cs="Arial"/>
          <w:i/>
          <w:iCs/>
          <w:lang w:val="en-NG"/>
        </w:rPr>
        <w:t>Equality Act 2010</w:t>
      </w:r>
      <w:r w:rsidRPr="00F743F9">
        <w:rPr>
          <w:rFonts w:ascii="Arial" w:hAnsi="Arial" w:cs="Arial"/>
          <w:lang w:val="en-NG"/>
        </w:rPr>
        <w:t>. London: HMSO.</w:t>
      </w:r>
    </w:p>
    <w:p w14:paraId="2EE3D8C6"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 xml:space="preserve">Health and Safety Executive (2023) </w:t>
      </w:r>
      <w:r w:rsidRPr="00F743F9">
        <w:rPr>
          <w:rFonts w:ascii="Arial" w:hAnsi="Arial" w:cs="Arial"/>
          <w:i/>
          <w:iCs/>
          <w:lang w:val="en-NG"/>
        </w:rPr>
        <w:t>Work-related stress, anxiety or depression statistics in Great Britain</w:t>
      </w:r>
      <w:r w:rsidRPr="00F743F9">
        <w:rPr>
          <w:rFonts w:ascii="Arial" w:hAnsi="Arial" w:cs="Arial"/>
          <w:lang w:val="en-NG"/>
        </w:rPr>
        <w:t xml:space="preserve">. Available at: </w:t>
      </w:r>
      <w:hyperlink r:id="rId5" w:tgtFrame="_new" w:history="1">
        <w:r w:rsidRPr="00F743F9">
          <w:rPr>
            <w:rStyle w:val="Hyperlink"/>
            <w:rFonts w:ascii="Arial" w:hAnsi="Arial" w:cs="Arial"/>
            <w:lang w:val="en-NG"/>
          </w:rPr>
          <w:t>https://www.hse.gov.uk</w:t>
        </w:r>
      </w:hyperlink>
      <w:r w:rsidRPr="00F743F9">
        <w:rPr>
          <w:rFonts w:ascii="Arial" w:hAnsi="Arial" w:cs="Arial"/>
          <w:lang w:val="en-NG"/>
        </w:rPr>
        <w:t xml:space="preserve"> (Accessed: 28 April 2026).</w:t>
      </w:r>
    </w:p>
    <w:p w14:paraId="75FFEAF5"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 xml:space="preserve">NHS England (2022) </w:t>
      </w:r>
      <w:r w:rsidRPr="00F743F9">
        <w:rPr>
          <w:rFonts w:ascii="Arial" w:hAnsi="Arial" w:cs="Arial"/>
          <w:i/>
          <w:iCs/>
          <w:lang w:val="en-NG"/>
        </w:rPr>
        <w:t>NHS Staff Survey Results</w:t>
      </w:r>
      <w:r w:rsidRPr="00F743F9">
        <w:rPr>
          <w:rFonts w:ascii="Arial" w:hAnsi="Arial" w:cs="Arial"/>
          <w:lang w:val="en-NG"/>
        </w:rPr>
        <w:t xml:space="preserve">. Available at: </w:t>
      </w:r>
      <w:hyperlink r:id="rId6" w:tgtFrame="_new" w:history="1">
        <w:r w:rsidRPr="00F743F9">
          <w:rPr>
            <w:rStyle w:val="Hyperlink"/>
            <w:rFonts w:ascii="Arial" w:hAnsi="Arial" w:cs="Arial"/>
            <w:lang w:val="en-NG"/>
          </w:rPr>
          <w:t>https://www.england.nhs.uk</w:t>
        </w:r>
      </w:hyperlink>
      <w:r w:rsidRPr="00F743F9">
        <w:rPr>
          <w:rFonts w:ascii="Arial" w:hAnsi="Arial" w:cs="Arial"/>
          <w:lang w:val="en-NG"/>
        </w:rPr>
        <w:t xml:space="preserve"> (Accessed: 28 April 2026).</w:t>
      </w:r>
    </w:p>
    <w:p w14:paraId="75E5C0B2"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 xml:space="preserve">The King's Fund (2021) </w:t>
      </w:r>
      <w:r w:rsidRPr="00F743F9">
        <w:rPr>
          <w:rFonts w:ascii="Arial" w:hAnsi="Arial" w:cs="Arial"/>
          <w:i/>
          <w:iCs/>
          <w:lang w:val="en-NG"/>
        </w:rPr>
        <w:t>Workforce wellbeing and patient care</w:t>
      </w:r>
      <w:r w:rsidRPr="00F743F9">
        <w:rPr>
          <w:rFonts w:ascii="Arial" w:hAnsi="Arial" w:cs="Arial"/>
          <w:lang w:val="en-NG"/>
        </w:rPr>
        <w:t xml:space="preserve">. Available at: </w:t>
      </w:r>
      <w:hyperlink r:id="rId7" w:tgtFrame="_new" w:history="1">
        <w:r w:rsidRPr="00F743F9">
          <w:rPr>
            <w:rStyle w:val="Hyperlink"/>
            <w:rFonts w:ascii="Arial" w:hAnsi="Arial" w:cs="Arial"/>
            <w:lang w:val="en-NG"/>
          </w:rPr>
          <w:t>https://www.kingsfund.org.uk</w:t>
        </w:r>
      </w:hyperlink>
      <w:r w:rsidRPr="00F743F9">
        <w:rPr>
          <w:rFonts w:ascii="Arial" w:hAnsi="Arial" w:cs="Arial"/>
          <w:lang w:val="en-NG"/>
        </w:rPr>
        <w:t xml:space="preserve"> (Accessed: 28 April 2026).</w:t>
      </w:r>
    </w:p>
    <w:p w14:paraId="0A1E6B12"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 xml:space="preserve">World Health Organization (2022) </w:t>
      </w:r>
      <w:r w:rsidRPr="00F743F9">
        <w:rPr>
          <w:rFonts w:ascii="Arial" w:hAnsi="Arial" w:cs="Arial"/>
          <w:i/>
          <w:iCs/>
          <w:lang w:val="en-NG"/>
        </w:rPr>
        <w:t>Mental health and wellbeing in the workplace</w:t>
      </w:r>
      <w:r w:rsidRPr="00F743F9">
        <w:rPr>
          <w:rFonts w:ascii="Arial" w:hAnsi="Arial" w:cs="Arial"/>
          <w:lang w:val="en-NG"/>
        </w:rPr>
        <w:t xml:space="preserve">. Available at: </w:t>
      </w:r>
      <w:hyperlink r:id="rId8" w:tgtFrame="_new" w:history="1">
        <w:r w:rsidRPr="00F743F9">
          <w:rPr>
            <w:rStyle w:val="Hyperlink"/>
            <w:rFonts w:ascii="Arial" w:hAnsi="Arial" w:cs="Arial"/>
            <w:lang w:val="en-NG"/>
          </w:rPr>
          <w:t>https://www.who.int</w:t>
        </w:r>
      </w:hyperlink>
      <w:r w:rsidRPr="00F743F9">
        <w:rPr>
          <w:rFonts w:ascii="Arial" w:hAnsi="Arial" w:cs="Arial"/>
          <w:lang w:val="en-NG"/>
        </w:rPr>
        <w:t xml:space="preserve"> (Accessed: 28 April 2026).</w:t>
      </w:r>
    </w:p>
    <w:p w14:paraId="4BFE5580"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 xml:space="preserve">Nursing and Midwifery Council (2018) </w:t>
      </w:r>
      <w:r w:rsidRPr="00F743F9">
        <w:rPr>
          <w:rFonts w:ascii="Arial" w:hAnsi="Arial" w:cs="Arial"/>
          <w:i/>
          <w:iCs/>
          <w:lang w:val="en-NG"/>
        </w:rPr>
        <w:t>The Code: Professional standards of practice and behaviour</w:t>
      </w:r>
      <w:r w:rsidRPr="00F743F9">
        <w:rPr>
          <w:rFonts w:ascii="Arial" w:hAnsi="Arial" w:cs="Arial"/>
          <w:lang w:val="en-NG"/>
        </w:rPr>
        <w:t xml:space="preserve">. Available at: </w:t>
      </w:r>
      <w:hyperlink r:id="rId9" w:tgtFrame="_new" w:history="1">
        <w:r w:rsidRPr="00F743F9">
          <w:rPr>
            <w:rStyle w:val="Hyperlink"/>
            <w:rFonts w:ascii="Arial" w:hAnsi="Arial" w:cs="Arial"/>
            <w:lang w:val="en-NG"/>
          </w:rPr>
          <w:t>https://www.nmc.org.uk</w:t>
        </w:r>
      </w:hyperlink>
      <w:r w:rsidRPr="00F743F9">
        <w:rPr>
          <w:rFonts w:ascii="Arial" w:hAnsi="Arial" w:cs="Arial"/>
          <w:lang w:val="en-NG"/>
        </w:rPr>
        <w:t xml:space="preserve"> (Accessed: 28 April 2026).</w:t>
      </w:r>
    </w:p>
    <w:p w14:paraId="7722DFAC" w14:textId="77777777" w:rsidR="00F743F9" w:rsidRPr="00F743F9" w:rsidRDefault="00F743F9" w:rsidP="00F743F9">
      <w:pPr>
        <w:spacing w:line="360" w:lineRule="auto"/>
        <w:rPr>
          <w:rFonts w:ascii="Arial" w:hAnsi="Arial" w:cs="Arial"/>
          <w:lang w:val="en-NG"/>
        </w:rPr>
      </w:pPr>
      <w:r w:rsidRPr="00F743F9">
        <w:rPr>
          <w:rFonts w:ascii="Arial" w:hAnsi="Arial" w:cs="Arial"/>
          <w:lang w:val="en-NG"/>
        </w:rPr>
        <w:t xml:space="preserve">Health and Care Professions Council (2016) </w:t>
      </w:r>
      <w:r w:rsidRPr="00F743F9">
        <w:rPr>
          <w:rFonts w:ascii="Arial" w:hAnsi="Arial" w:cs="Arial"/>
          <w:i/>
          <w:iCs/>
          <w:lang w:val="en-NG"/>
        </w:rPr>
        <w:t>Standards of conduct, performance and ethics</w:t>
      </w:r>
      <w:r w:rsidRPr="00F743F9">
        <w:rPr>
          <w:rFonts w:ascii="Arial" w:hAnsi="Arial" w:cs="Arial"/>
          <w:lang w:val="en-NG"/>
        </w:rPr>
        <w:t xml:space="preserve">. Available at: </w:t>
      </w:r>
      <w:hyperlink r:id="rId10" w:tgtFrame="_new" w:history="1">
        <w:r w:rsidRPr="00F743F9">
          <w:rPr>
            <w:rStyle w:val="Hyperlink"/>
            <w:rFonts w:ascii="Arial" w:hAnsi="Arial" w:cs="Arial"/>
            <w:lang w:val="en-NG"/>
          </w:rPr>
          <w:t>https://www.hcpc-uk.org</w:t>
        </w:r>
      </w:hyperlink>
      <w:r w:rsidRPr="00F743F9">
        <w:rPr>
          <w:rFonts w:ascii="Arial" w:hAnsi="Arial" w:cs="Arial"/>
          <w:lang w:val="en-NG"/>
        </w:rPr>
        <w:t xml:space="preserve"> (Accessed: 28 April 2026).</w:t>
      </w:r>
    </w:p>
    <w:p w14:paraId="6C41032B" w14:textId="77777777" w:rsidR="001954E6" w:rsidRPr="00F743F9" w:rsidRDefault="001954E6" w:rsidP="00F743F9">
      <w:pPr>
        <w:spacing w:line="360" w:lineRule="auto"/>
        <w:rPr>
          <w:rFonts w:ascii="Arial" w:hAnsi="Arial" w:cs="Arial"/>
        </w:rPr>
      </w:pPr>
    </w:p>
    <w:sectPr w:rsidR="001954E6" w:rsidRPr="00F743F9" w:rsidSect="00F743F9">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3F9"/>
    <w:rsid w:val="00015C89"/>
    <w:rsid w:val="001954E6"/>
    <w:rsid w:val="004B0E16"/>
    <w:rsid w:val="0057322A"/>
    <w:rsid w:val="00596DF4"/>
    <w:rsid w:val="00946500"/>
    <w:rsid w:val="00BE17DC"/>
    <w:rsid w:val="00F74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B4EA0"/>
  <w15:chartTrackingRefBased/>
  <w15:docId w15:val="{3FC0204C-1149-40A3-8BE6-7BFE4127C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C89"/>
    <w:pPr>
      <w:spacing w:before="360" w:after="360" w:line="480" w:lineRule="auto"/>
      <w:jc w:val="both"/>
    </w:pPr>
    <w:rPr>
      <w:rFonts w:ascii="Times New Roman" w:hAnsi="Times New Roman"/>
      <w:color w:val="000000" w:themeColor="text1"/>
      <w:kern w:val="2"/>
      <w:sz w:val="24"/>
      <w:lang w:val="en-US"/>
      <w14:ligatures w14:val="standardContextual"/>
    </w:rPr>
  </w:style>
  <w:style w:type="paragraph" w:styleId="Heading1">
    <w:name w:val="heading 1"/>
    <w:basedOn w:val="Normal"/>
    <w:next w:val="Normal"/>
    <w:link w:val="Heading1Char"/>
    <w:uiPriority w:val="9"/>
    <w:qFormat/>
    <w:rsid w:val="00015C89"/>
    <w:pPr>
      <w:keepNext/>
      <w:keepLines/>
      <w:spacing w:after="80"/>
      <w:jc w:val="center"/>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015C89"/>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015C89"/>
    <w:pPr>
      <w:keepNext/>
      <w:keepLines/>
      <w:spacing w:before="160" w:after="80"/>
      <w:jc w:val="left"/>
      <w:outlineLvl w:val="2"/>
    </w:pPr>
    <w:rPr>
      <w:rFonts w:eastAsiaTheme="majorEastAsia" w:cstheme="majorBidi"/>
      <w:b/>
      <w:color w:val="auto"/>
      <w:szCs w:val="28"/>
    </w:rPr>
  </w:style>
  <w:style w:type="paragraph" w:styleId="Heading4">
    <w:name w:val="heading 4"/>
    <w:basedOn w:val="Normal"/>
    <w:next w:val="Normal"/>
    <w:link w:val="Heading4Char"/>
    <w:uiPriority w:val="9"/>
    <w:semiHidden/>
    <w:unhideWhenUsed/>
    <w:qFormat/>
    <w:rsid w:val="00F743F9"/>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743F9"/>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F743F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743F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743F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743F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C89"/>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015C89"/>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015C89"/>
    <w:rPr>
      <w:rFonts w:ascii="Times New Roman" w:eastAsiaTheme="majorEastAsia" w:hAnsi="Times New Roman" w:cstheme="majorBidi"/>
      <w:b/>
      <w:kern w:val="2"/>
      <w:sz w:val="24"/>
      <w:szCs w:val="28"/>
      <w:lang w:val="en-US"/>
      <w14:ligatures w14:val="standardContextual"/>
    </w:rPr>
  </w:style>
  <w:style w:type="character" w:customStyle="1" w:styleId="Heading4Char">
    <w:name w:val="Heading 4 Char"/>
    <w:basedOn w:val="DefaultParagraphFont"/>
    <w:link w:val="Heading4"/>
    <w:uiPriority w:val="9"/>
    <w:semiHidden/>
    <w:rsid w:val="00F743F9"/>
    <w:rPr>
      <w:rFonts w:eastAsiaTheme="majorEastAsia" w:cstheme="majorBidi"/>
      <w:i/>
      <w:iCs/>
      <w:color w:val="2E74B5" w:themeColor="accent1" w:themeShade="BF"/>
      <w:kern w:val="2"/>
      <w:sz w:val="24"/>
      <w:lang w:val="en-US"/>
      <w14:ligatures w14:val="standardContextual"/>
    </w:rPr>
  </w:style>
  <w:style w:type="character" w:customStyle="1" w:styleId="Heading5Char">
    <w:name w:val="Heading 5 Char"/>
    <w:basedOn w:val="DefaultParagraphFont"/>
    <w:link w:val="Heading5"/>
    <w:uiPriority w:val="9"/>
    <w:semiHidden/>
    <w:rsid w:val="00F743F9"/>
    <w:rPr>
      <w:rFonts w:eastAsiaTheme="majorEastAsia" w:cstheme="majorBidi"/>
      <w:color w:val="2E74B5" w:themeColor="accent1" w:themeShade="BF"/>
      <w:kern w:val="2"/>
      <w:sz w:val="24"/>
      <w:lang w:val="en-US"/>
      <w14:ligatures w14:val="standardContextual"/>
    </w:rPr>
  </w:style>
  <w:style w:type="character" w:customStyle="1" w:styleId="Heading6Char">
    <w:name w:val="Heading 6 Char"/>
    <w:basedOn w:val="DefaultParagraphFont"/>
    <w:link w:val="Heading6"/>
    <w:uiPriority w:val="9"/>
    <w:semiHidden/>
    <w:rsid w:val="00F743F9"/>
    <w:rPr>
      <w:rFonts w:eastAsiaTheme="majorEastAsia" w:cstheme="majorBidi"/>
      <w:i/>
      <w:iCs/>
      <w:color w:val="595959" w:themeColor="text1" w:themeTint="A6"/>
      <w:kern w:val="2"/>
      <w:sz w:val="24"/>
      <w:lang w:val="en-US"/>
      <w14:ligatures w14:val="standardContextual"/>
    </w:rPr>
  </w:style>
  <w:style w:type="character" w:customStyle="1" w:styleId="Heading7Char">
    <w:name w:val="Heading 7 Char"/>
    <w:basedOn w:val="DefaultParagraphFont"/>
    <w:link w:val="Heading7"/>
    <w:uiPriority w:val="9"/>
    <w:semiHidden/>
    <w:rsid w:val="00F743F9"/>
    <w:rPr>
      <w:rFonts w:eastAsiaTheme="majorEastAsia" w:cstheme="majorBidi"/>
      <w:color w:val="595959" w:themeColor="text1" w:themeTint="A6"/>
      <w:kern w:val="2"/>
      <w:sz w:val="24"/>
      <w:lang w:val="en-US"/>
      <w14:ligatures w14:val="standardContextual"/>
    </w:rPr>
  </w:style>
  <w:style w:type="character" w:customStyle="1" w:styleId="Heading8Char">
    <w:name w:val="Heading 8 Char"/>
    <w:basedOn w:val="DefaultParagraphFont"/>
    <w:link w:val="Heading8"/>
    <w:uiPriority w:val="9"/>
    <w:semiHidden/>
    <w:rsid w:val="00F743F9"/>
    <w:rPr>
      <w:rFonts w:eastAsiaTheme="majorEastAsia" w:cstheme="majorBidi"/>
      <w:i/>
      <w:iCs/>
      <w:color w:val="272727" w:themeColor="text1" w:themeTint="D8"/>
      <w:kern w:val="2"/>
      <w:sz w:val="24"/>
      <w:lang w:val="en-US"/>
      <w14:ligatures w14:val="standardContextual"/>
    </w:rPr>
  </w:style>
  <w:style w:type="character" w:customStyle="1" w:styleId="Heading9Char">
    <w:name w:val="Heading 9 Char"/>
    <w:basedOn w:val="DefaultParagraphFont"/>
    <w:link w:val="Heading9"/>
    <w:uiPriority w:val="9"/>
    <w:semiHidden/>
    <w:rsid w:val="00F743F9"/>
    <w:rPr>
      <w:rFonts w:eastAsiaTheme="majorEastAsia" w:cstheme="majorBidi"/>
      <w:color w:val="272727" w:themeColor="text1" w:themeTint="D8"/>
      <w:kern w:val="2"/>
      <w:sz w:val="24"/>
      <w:lang w:val="en-US"/>
      <w14:ligatures w14:val="standardContextual"/>
    </w:rPr>
  </w:style>
  <w:style w:type="paragraph" w:styleId="Title">
    <w:name w:val="Title"/>
    <w:basedOn w:val="Normal"/>
    <w:next w:val="Normal"/>
    <w:link w:val="TitleChar"/>
    <w:uiPriority w:val="10"/>
    <w:qFormat/>
    <w:rsid w:val="00F743F9"/>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743F9"/>
    <w:rPr>
      <w:rFonts w:asciiTheme="majorHAnsi" w:eastAsiaTheme="majorEastAsia" w:hAnsiTheme="majorHAnsi" w:cstheme="majorBidi"/>
      <w:spacing w:val="-10"/>
      <w:kern w:val="28"/>
      <w:sz w:val="56"/>
      <w:szCs w:val="56"/>
      <w:lang w:val="en-US"/>
      <w14:ligatures w14:val="standardContextual"/>
    </w:rPr>
  </w:style>
  <w:style w:type="paragraph" w:styleId="Subtitle">
    <w:name w:val="Subtitle"/>
    <w:basedOn w:val="Normal"/>
    <w:next w:val="Normal"/>
    <w:link w:val="SubtitleChar"/>
    <w:uiPriority w:val="11"/>
    <w:qFormat/>
    <w:rsid w:val="00F743F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3F9"/>
    <w:rPr>
      <w:rFonts w:eastAsiaTheme="majorEastAsia" w:cstheme="majorBidi"/>
      <w:color w:val="595959" w:themeColor="text1" w:themeTint="A6"/>
      <w:spacing w:val="15"/>
      <w:kern w:val="2"/>
      <w:sz w:val="28"/>
      <w:szCs w:val="28"/>
      <w:lang w:val="en-US"/>
      <w14:ligatures w14:val="standardContextual"/>
    </w:rPr>
  </w:style>
  <w:style w:type="paragraph" w:styleId="Quote">
    <w:name w:val="Quote"/>
    <w:basedOn w:val="Normal"/>
    <w:next w:val="Normal"/>
    <w:link w:val="QuoteChar"/>
    <w:uiPriority w:val="29"/>
    <w:qFormat/>
    <w:rsid w:val="00F743F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43F9"/>
    <w:rPr>
      <w:rFonts w:ascii="Times New Roman" w:hAnsi="Times New Roman"/>
      <w:i/>
      <w:iCs/>
      <w:color w:val="404040" w:themeColor="text1" w:themeTint="BF"/>
      <w:kern w:val="2"/>
      <w:sz w:val="24"/>
      <w:lang w:val="en-US"/>
      <w14:ligatures w14:val="standardContextual"/>
    </w:rPr>
  </w:style>
  <w:style w:type="paragraph" w:styleId="ListParagraph">
    <w:name w:val="List Paragraph"/>
    <w:basedOn w:val="Normal"/>
    <w:uiPriority w:val="34"/>
    <w:qFormat/>
    <w:rsid w:val="00F743F9"/>
    <w:pPr>
      <w:ind w:left="720"/>
      <w:contextualSpacing/>
    </w:pPr>
  </w:style>
  <w:style w:type="character" w:styleId="IntenseEmphasis">
    <w:name w:val="Intense Emphasis"/>
    <w:basedOn w:val="DefaultParagraphFont"/>
    <w:uiPriority w:val="21"/>
    <w:qFormat/>
    <w:rsid w:val="00F743F9"/>
    <w:rPr>
      <w:i/>
      <w:iCs/>
      <w:color w:val="2E74B5" w:themeColor="accent1" w:themeShade="BF"/>
    </w:rPr>
  </w:style>
  <w:style w:type="paragraph" w:styleId="IntenseQuote">
    <w:name w:val="Intense Quote"/>
    <w:basedOn w:val="Normal"/>
    <w:next w:val="Normal"/>
    <w:link w:val="IntenseQuoteChar"/>
    <w:uiPriority w:val="30"/>
    <w:qFormat/>
    <w:rsid w:val="00F743F9"/>
    <w:pPr>
      <w:pBdr>
        <w:top w:val="single" w:sz="4" w:space="10" w:color="2E74B5" w:themeColor="accent1" w:themeShade="BF"/>
        <w:bottom w:val="single" w:sz="4" w:space="10" w:color="2E74B5" w:themeColor="accent1" w:themeShade="BF"/>
      </w:pBdr>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743F9"/>
    <w:rPr>
      <w:rFonts w:ascii="Times New Roman" w:hAnsi="Times New Roman"/>
      <w:i/>
      <w:iCs/>
      <w:color w:val="2E74B5" w:themeColor="accent1" w:themeShade="BF"/>
      <w:kern w:val="2"/>
      <w:sz w:val="24"/>
      <w:lang w:val="en-US"/>
      <w14:ligatures w14:val="standardContextual"/>
    </w:rPr>
  </w:style>
  <w:style w:type="character" w:styleId="IntenseReference">
    <w:name w:val="Intense Reference"/>
    <w:basedOn w:val="DefaultParagraphFont"/>
    <w:uiPriority w:val="32"/>
    <w:qFormat/>
    <w:rsid w:val="00F743F9"/>
    <w:rPr>
      <w:b/>
      <w:bCs/>
      <w:smallCaps/>
      <w:color w:val="2E74B5" w:themeColor="accent1" w:themeShade="BF"/>
      <w:spacing w:val="5"/>
    </w:rPr>
  </w:style>
  <w:style w:type="character" w:styleId="Hyperlink">
    <w:name w:val="Hyperlink"/>
    <w:basedOn w:val="DefaultParagraphFont"/>
    <w:uiPriority w:val="99"/>
    <w:unhideWhenUsed/>
    <w:rsid w:val="00F743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 TargetMode="External"/><Relationship Id="rId3" Type="http://schemas.openxmlformats.org/officeDocument/2006/relationships/webSettings" Target="webSettings.xml"/><Relationship Id="rId7" Type="http://schemas.openxmlformats.org/officeDocument/2006/relationships/hyperlink" Target="https://www.kingsfund.org.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 TargetMode="External"/><Relationship Id="rId11" Type="http://schemas.openxmlformats.org/officeDocument/2006/relationships/fontTable" Target="fontTable.xml"/><Relationship Id="rId5" Type="http://schemas.openxmlformats.org/officeDocument/2006/relationships/hyperlink" Target="https://www.hse.gov.uk" TargetMode="External"/><Relationship Id="rId10" Type="http://schemas.openxmlformats.org/officeDocument/2006/relationships/hyperlink" Target="https://www.hcpc-uk.org" TargetMode="External"/><Relationship Id="rId4" Type="http://schemas.openxmlformats.org/officeDocument/2006/relationships/image" Target="media/image1.png"/><Relationship Id="rId9" Type="http://schemas.openxmlformats.org/officeDocument/2006/relationships/hyperlink" Target="https://www.nm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1366</Words>
  <Characters>7788</Characters>
  <Application>Microsoft Office Word</Application>
  <DocSecurity>0</DocSecurity>
  <Lines>64</Lines>
  <Paragraphs>18</Paragraphs>
  <ScaleCrop>false</ScaleCrop>
  <Company/>
  <LinksUpToDate>false</LinksUpToDate>
  <CharactersWithSpaces>9136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chike osuala</dc:creator>
  <cp:keywords/>
  <dc:description/>
  <cp:lastModifiedBy>chike osuala</cp:lastModifiedBy>
  <cp:revision>1</cp:revision>
  <dcterms:created xsi:type="dcterms:W3CDTF">2026-04-28T11:35:00Z</dcterms:created>
  <dcterms:modified xsi:type="dcterms:W3CDTF">2026-04-28T11:50:00Z</dcterms:modified>
</cp:coreProperties>
</file>