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806E9E" w:rsidRDefault="0004700C" w:rsidP="009E3F69">
      <w:pPr>
        <w:pStyle w:val="NoSpacing"/>
        <w:pageBreakBefore/>
        <w:jc w:val="center"/>
        <w:rPr>
          <w:rFonts w:ascii="Times New Roman" w:hAnsi="Times New Roman" w:cs="Times New Roman"/>
          <w:sz w:val="96"/>
          <w:szCs w:val="96"/>
        </w:rPr>
      </w:pPr>
      <w:r>
        <w:rPr>
          <w:rFonts w:ascii="Times New Roman" w:hAnsi="Times New Roman" w:cs="Times New Roman"/>
          <w:noProof/>
          <w:sz w:val="96"/>
          <w:szCs w:val="96"/>
        </w:rPr>
        <w:drawing>
          <wp:inline distT="0" distB="0" distL="0" distR="0">
            <wp:extent cx="2665095" cy="138874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5095" cy="1388745"/>
                    </a:xfrm>
                    <a:prstGeom prst="rect">
                      <a:avLst/>
                    </a:prstGeom>
                    <a:noFill/>
                    <a:ln>
                      <a:noFill/>
                    </a:ln>
                  </pic:spPr>
                </pic:pic>
              </a:graphicData>
            </a:graphic>
          </wp:inline>
        </w:drawing>
      </w:r>
    </w:p>
    <w:p w:rsidR="009E3F69" w:rsidRDefault="009E3F69" w:rsidP="009E3F69">
      <w:pPr>
        <w:pStyle w:val="BodyText"/>
      </w:pPr>
    </w:p>
    <w:p w:rsidR="009E3F69" w:rsidRPr="009E3F69" w:rsidRDefault="00B679C9" w:rsidP="00B679C9">
      <w:pPr>
        <w:pStyle w:val="BodyText"/>
        <w:tabs>
          <w:tab w:val="left" w:pos="1350"/>
        </w:tabs>
      </w:pPr>
      <w:r>
        <w:tab/>
      </w:r>
    </w:p>
    <w:p w:rsidR="00343DC1" w:rsidRPr="009E3F69" w:rsidRDefault="00B679C9" w:rsidP="00E37BE5">
      <w:pPr>
        <w:jc w:val="center"/>
        <w:rPr>
          <w:b/>
          <w:bCs/>
          <w:iCs/>
          <w:color w:val="auto"/>
          <w:sz w:val="40"/>
          <w:szCs w:val="24"/>
        </w:rPr>
      </w:pPr>
      <w:r>
        <w:rPr>
          <w:b/>
          <w:bCs/>
          <w:iCs/>
          <w:color w:val="auto"/>
          <w:sz w:val="40"/>
          <w:szCs w:val="24"/>
        </w:rPr>
        <w:t>TOPIC</w:t>
      </w:r>
      <w:r w:rsidR="00DA7B3F">
        <w:rPr>
          <w:b/>
          <w:bCs/>
          <w:iCs/>
          <w:color w:val="auto"/>
          <w:sz w:val="40"/>
          <w:szCs w:val="24"/>
        </w:rPr>
        <w:t>: BANKING FINANCIAL MANAGEMENT AND FINANCIAL MARKETS</w:t>
      </w: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9E3F69" w:rsidRDefault="009E3F69" w:rsidP="001567EF">
      <w:pPr>
        <w:jc w:val="left"/>
        <w:rPr>
          <w:b/>
          <w:bCs/>
          <w:iCs/>
          <w:color w:val="auto"/>
          <w:sz w:val="28"/>
          <w:szCs w:val="24"/>
        </w:rPr>
      </w:pPr>
    </w:p>
    <w:p w:rsidR="007F6475" w:rsidRPr="009E3F69" w:rsidRDefault="001567EF" w:rsidP="001567EF">
      <w:pPr>
        <w:jc w:val="left"/>
        <w:rPr>
          <w:b/>
          <w:bCs/>
          <w:iCs/>
          <w:color w:val="auto"/>
          <w:sz w:val="28"/>
          <w:szCs w:val="24"/>
        </w:rPr>
      </w:pPr>
      <w:r w:rsidRPr="009E3F69">
        <w:rPr>
          <w:b/>
          <w:bCs/>
          <w:iCs/>
          <w:color w:val="auto"/>
          <w:sz w:val="28"/>
          <w:szCs w:val="24"/>
        </w:rPr>
        <w:t>Student ID</w:t>
      </w:r>
      <w:r w:rsidR="00FF7B77" w:rsidRPr="009E3F69">
        <w:rPr>
          <w:b/>
          <w:bCs/>
          <w:iCs/>
          <w:color w:val="auto"/>
          <w:sz w:val="28"/>
          <w:szCs w:val="24"/>
        </w:rPr>
        <w:t>:</w:t>
      </w:r>
      <w:r w:rsidR="00557AF8">
        <w:rPr>
          <w:b/>
          <w:bCs/>
          <w:iCs/>
          <w:color w:val="auto"/>
          <w:sz w:val="28"/>
          <w:szCs w:val="24"/>
        </w:rPr>
        <w:t xml:space="preserve"> </w:t>
      </w:r>
      <w:r w:rsidR="00557AF8" w:rsidRPr="00557AF8">
        <w:rPr>
          <w:bCs/>
          <w:iCs/>
          <w:color w:val="auto"/>
          <w:sz w:val="28"/>
          <w:szCs w:val="24"/>
        </w:rPr>
        <w:t>2220284</w:t>
      </w:r>
    </w:p>
    <w:p w:rsidR="007009D2" w:rsidRPr="009E3F69" w:rsidRDefault="001567EF" w:rsidP="001567EF">
      <w:pPr>
        <w:jc w:val="left"/>
        <w:rPr>
          <w:b/>
          <w:bCs/>
          <w:iCs/>
          <w:color w:val="auto"/>
          <w:sz w:val="28"/>
          <w:szCs w:val="24"/>
        </w:rPr>
      </w:pPr>
      <w:r w:rsidRPr="009E3F69">
        <w:rPr>
          <w:b/>
          <w:bCs/>
          <w:iCs/>
          <w:color w:val="auto"/>
          <w:sz w:val="28"/>
          <w:szCs w:val="24"/>
        </w:rPr>
        <w:t>Student N</w:t>
      </w:r>
      <w:r w:rsidR="007F6475" w:rsidRPr="009E3F69">
        <w:rPr>
          <w:b/>
          <w:bCs/>
          <w:iCs/>
          <w:color w:val="auto"/>
          <w:sz w:val="28"/>
          <w:szCs w:val="24"/>
        </w:rPr>
        <w:t>ame</w:t>
      </w:r>
      <w:r w:rsidR="007009D2" w:rsidRPr="009E3F69">
        <w:rPr>
          <w:b/>
          <w:bCs/>
          <w:iCs/>
          <w:color w:val="auto"/>
          <w:sz w:val="28"/>
          <w:szCs w:val="24"/>
        </w:rPr>
        <w:t>:</w:t>
      </w:r>
      <w:r w:rsidR="00557AF8">
        <w:rPr>
          <w:b/>
          <w:bCs/>
          <w:iCs/>
          <w:color w:val="auto"/>
          <w:sz w:val="28"/>
          <w:szCs w:val="24"/>
        </w:rPr>
        <w:t xml:space="preserve"> </w:t>
      </w:r>
      <w:r w:rsidR="00557AF8" w:rsidRPr="00557AF8">
        <w:rPr>
          <w:bCs/>
          <w:iCs/>
          <w:color w:val="auto"/>
          <w:sz w:val="28"/>
          <w:szCs w:val="24"/>
        </w:rPr>
        <w:t>Farman Ahmed</w:t>
      </w:r>
      <w:r w:rsidR="00557AF8">
        <w:rPr>
          <w:b/>
          <w:bCs/>
          <w:iCs/>
          <w:color w:val="auto"/>
          <w:sz w:val="28"/>
          <w:szCs w:val="24"/>
        </w:rPr>
        <w:t xml:space="preserve"> </w:t>
      </w:r>
    </w:p>
    <w:p w:rsidR="001567EF" w:rsidRDefault="001567EF" w:rsidP="001567EF">
      <w:pPr>
        <w:jc w:val="left"/>
        <w:rPr>
          <w:bCs/>
          <w:iCs/>
          <w:color w:val="auto"/>
          <w:sz w:val="28"/>
          <w:szCs w:val="24"/>
        </w:rPr>
      </w:pPr>
      <w:r w:rsidRPr="009E3F69">
        <w:rPr>
          <w:b/>
          <w:bCs/>
          <w:iCs/>
          <w:color w:val="auto"/>
          <w:sz w:val="28"/>
          <w:szCs w:val="24"/>
        </w:rPr>
        <w:t>Module Code</w:t>
      </w:r>
      <w:r>
        <w:rPr>
          <w:bCs/>
          <w:iCs/>
          <w:color w:val="auto"/>
          <w:sz w:val="28"/>
          <w:szCs w:val="24"/>
        </w:rPr>
        <w:t xml:space="preserve">: </w:t>
      </w:r>
      <w:r w:rsidR="00DA7B3F" w:rsidRPr="00DA7B3F">
        <w:rPr>
          <w:bCs/>
          <w:iCs/>
          <w:color w:val="auto"/>
          <w:sz w:val="28"/>
          <w:szCs w:val="24"/>
        </w:rPr>
        <w:t>LCMB7012</w:t>
      </w:r>
    </w:p>
    <w:p w:rsidR="00DA7B3F" w:rsidRDefault="00DA7B3F" w:rsidP="001567EF">
      <w:pPr>
        <w:jc w:val="left"/>
        <w:rPr>
          <w:bCs/>
          <w:iCs/>
          <w:color w:val="auto"/>
          <w:sz w:val="28"/>
          <w:szCs w:val="24"/>
        </w:rPr>
      </w:pPr>
      <w:r w:rsidRPr="00DA7B3F">
        <w:rPr>
          <w:b/>
          <w:bCs/>
          <w:iCs/>
          <w:color w:val="auto"/>
          <w:sz w:val="28"/>
          <w:szCs w:val="24"/>
        </w:rPr>
        <w:t>Tutor Name:</w:t>
      </w:r>
      <w:r>
        <w:rPr>
          <w:bCs/>
          <w:iCs/>
          <w:color w:val="auto"/>
          <w:sz w:val="28"/>
          <w:szCs w:val="24"/>
        </w:rPr>
        <w:t xml:space="preserve"> </w:t>
      </w:r>
      <w:r w:rsidRPr="00DA7B3F">
        <w:rPr>
          <w:bCs/>
          <w:iCs/>
          <w:color w:val="auto"/>
          <w:sz w:val="28"/>
          <w:szCs w:val="24"/>
        </w:rPr>
        <w:t>David Coker</w:t>
      </w:r>
    </w:p>
    <w:p w:rsidR="009E3F69" w:rsidRPr="001567EF" w:rsidRDefault="009E3F69" w:rsidP="001567EF">
      <w:pPr>
        <w:jc w:val="left"/>
        <w:rPr>
          <w:bCs/>
          <w:iCs/>
          <w:color w:val="auto"/>
          <w:sz w:val="28"/>
          <w:szCs w:val="24"/>
        </w:rPr>
      </w:pPr>
      <w:r w:rsidRPr="009E3F69">
        <w:rPr>
          <w:b/>
          <w:bCs/>
          <w:iCs/>
          <w:color w:val="auto"/>
          <w:sz w:val="28"/>
          <w:szCs w:val="24"/>
        </w:rPr>
        <w:t>Word Count:</w:t>
      </w:r>
      <w:r w:rsidR="00B11890">
        <w:rPr>
          <w:bCs/>
          <w:iCs/>
          <w:color w:val="auto"/>
          <w:sz w:val="28"/>
          <w:szCs w:val="24"/>
        </w:rPr>
        <w:t xml:space="preserve"> </w:t>
      </w:r>
      <w:r w:rsidR="00DA7B3F">
        <w:rPr>
          <w:bCs/>
          <w:iCs/>
          <w:color w:val="auto"/>
          <w:sz w:val="28"/>
          <w:szCs w:val="24"/>
        </w:rPr>
        <w:t>5000</w:t>
      </w:r>
    </w:p>
    <w:p w:rsidR="007A5585" w:rsidRDefault="007A5585" w:rsidP="007A5585">
      <w:bookmarkStart w:id="0" w:name="_Toc70066117"/>
      <w:bookmarkStart w:id="1" w:name="_Toc70178953"/>
      <w:bookmarkStart w:id="2" w:name="_Toc70585491"/>
      <w:bookmarkStart w:id="3" w:name="_Toc78637257"/>
      <w:bookmarkStart w:id="4" w:name="_Toc82600726"/>
      <w:bookmarkStart w:id="5" w:name="_Toc82684235"/>
      <w:bookmarkStart w:id="6" w:name="_Toc83044931"/>
      <w:bookmarkStart w:id="7" w:name="_Toc83127978"/>
    </w:p>
    <w:p w:rsidR="00477CBF" w:rsidRDefault="009E3F69" w:rsidP="00477CBF">
      <w:pPr>
        <w:pStyle w:val="TOCHeading"/>
        <w:jc w:val="center"/>
        <w:rPr>
          <w:rFonts w:ascii="Times New Roman" w:hAnsi="Times New Roman"/>
          <w:b/>
          <w:color w:val="000000"/>
          <w:sz w:val="28"/>
        </w:rPr>
      </w:pPr>
      <w:bookmarkStart w:id="8" w:name="_Toc83216141"/>
      <w:bookmarkStart w:id="9" w:name="_Toc83292559"/>
      <w:bookmarkStart w:id="10" w:name="_Toc83380510"/>
      <w:bookmarkStart w:id="11" w:name="_Toc83475695"/>
      <w:bookmarkStart w:id="12" w:name="_Toc83741253"/>
      <w:r>
        <w:rPr>
          <w:rFonts w:ascii="Times New Roman" w:hAnsi="Times New Roman"/>
          <w:b/>
          <w:color w:val="000000"/>
          <w:sz w:val="28"/>
        </w:rPr>
        <w:br w:type="column"/>
      </w:r>
      <w:r w:rsidR="00A15FEE" w:rsidRPr="00C0027B">
        <w:rPr>
          <w:rFonts w:ascii="Times New Roman" w:hAnsi="Times New Roman"/>
          <w:b/>
          <w:color w:val="000000"/>
          <w:sz w:val="28"/>
        </w:rPr>
        <w:t>TABLE OF CONTENTS</w:t>
      </w:r>
    </w:p>
    <w:p w:rsidR="0031442B" w:rsidRPr="0031442B" w:rsidRDefault="0031442B">
      <w:pPr>
        <w:pStyle w:val="TOC1"/>
        <w:rPr>
          <w:rFonts w:ascii="Calibri" w:eastAsia="Times New Roman" w:hAnsi="Calibri" w:cs="Times New Roman"/>
          <w:noProof/>
          <w:color w:val="auto"/>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41203366" w:history="1">
        <w:r w:rsidRPr="006F569A">
          <w:rPr>
            <w:rStyle w:val="Hyperlink"/>
            <w:noProof/>
          </w:rPr>
          <w:t>INTRODUCTION</w:t>
        </w:r>
        <w:r>
          <w:rPr>
            <w:noProof/>
            <w:webHidden/>
          </w:rPr>
          <w:tab/>
        </w:r>
        <w:r>
          <w:rPr>
            <w:noProof/>
            <w:webHidden/>
          </w:rPr>
          <w:fldChar w:fldCharType="begin"/>
        </w:r>
        <w:r>
          <w:rPr>
            <w:noProof/>
            <w:webHidden/>
          </w:rPr>
          <w:instrText xml:space="preserve"> PAGEREF _Toc141203366 \h </w:instrText>
        </w:r>
        <w:r>
          <w:rPr>
            <w:noProof/>
            <w:webHidden/>
          </w:rPr>
        </w:r>
        <w:r>
          <w:rPr>
            <w:noProof/>
            <w:webHidden/>
          </w:rPr>
          <w:fldChar w:fldCharType="separate"/>
        </w:r>
        <w:r>
          <w:rPr>
            <w:noProof/>
            <w:webHidden/>
          </w:rPr>
          <w:t>1</w:t>
        </w:r>
        <w:r>
          <w:rPr>
            <w:noProof/>
            <w:webHidden/>
          </w:rPr>
          <w:fldChar w:fldCharType="end"/>
        </w:r>
      </w:hyperlink>
    </w:p>
    <w:p w:rsidR="0031442B" w:rsidRPr="0031442B" w:rsidRDefault="0031442B">
      <w:pPr>
        <w:pStyle w:val="TOC1"/>
        <w:rPr>
          <w:rFonts w:ascii="Calibri" w:eastAsia="Times New Roman" w:hAnsi="Calibri" w:cs="Times New Roman"/>
          <w:noProof/>
          <w:color w:val="auto"/>
          <w:sz w:val="22"/>
          <w:lang w:val="en-IN" w:eastAsia="en-IN"/>
        </w:rPr>
      </w:pPr>
      <w:hyperlink w:anchor="_Toc141203367" w:history="1">
        <w:r w:rsidRPr="006F569A">
          <w:rPr>
            <w:rStyle w:val="Hyperlink"/>
            <w:noProof/>
          </w:rPr>
          <w:t>IDENTIFICATION OF KEY LAWS, REGULATIONS AND CONTRACTS ENACTED THE 2008 FINANCIAL CRISIS</w:t>
        </w:r>
        <w:r>
          <w:rPr>
            <w:noProof/>
            <w:webHidden/>
          </w:rPr>
          <w:tab/>
        </w:r>
        <w:r>
          <w:rPr>
            <w:noProof/>
            <w:webHidden/>
          </w:rPr>
          <w:fldChar w:fldCharType="begin"/>
        </w:r>
        <w:r>
          <w:rPr>
            <w:noProof/>
            <w:webHidden/>
          </w:rPr>
          <w:instrText xml:space="preserve"> PAGEREF _Toc141203367 \h </w:instrText>
        </w:r>
        <w:r>
          <w:rPr>
            <w:noProof/>
            <w:webHidden/>
          </w:rPr>
        </w:r>
        <w:r>
          <w:rPr>
            <w:noProof/>
            <w:webHidden/>
          </w:rPr>
          <w:fldChar w:fldCharType="separate"/>
        </w:r>
        <w:r>
          <w:rPr>
            <w:noProof/>
            <w:webHidden/>
          </w:rPr>
          <w:t>1</w:t>
        </w:r>
        <w:r>
          <w:rPr>
            <w:noProof/>
            <w:webHidden/>
          </w:rPr>
          <w:fldChar w:fldCharType="end"/>
        </w:r>
      </w:hyperlink>
    </w:p>
    <w:p w:rsidR="0031442B" w:rsidRPr="0031442B" w:rsidRDefault="0031442B">
      <w:pPr>
        <w:pStyle w:val="TOC1"/>
        <w:rPr>
          <w:rFonts w:ascii="Calibri" w:eastAsia="Times New Roman" w:hAnsi="Calibri" w:cs="Times New Roman"/>
          <w:noProof/>
          <w:color w:val="auto"/>
          <w:sz w:val="22"/>
          <w:lang w:val="en-IN" w:eastAsia="en-IN"/>
        </w:rPr>
      </w:pPr>
      <w:hyperlink w:anchor="_Toc141203368" w:history="1">
        <w:r w:rsidRPr="006F569A">
          <w:rPr>
            <w:rStyle w:val="Hyperlink"/>
            <w:noProof/>
          </w:rPr>
          <w:t>CRITICAL REVIEW OF EXTENT WHICH REFORMS HAVE CONTRIBUTED TOWARDS FINANCIAL SYSTEM AND 2008 CRISIS</w:t>
        </w:r>
        <w:r>
          <w:rPr>
            <w:noProof/>
            <w:webHidden/>
          </w:rPr>
          <w:tab/>
        </w:r>
        <w:r>
          <w:rPr>
            <w:noProof/>
            <w:webHidden/>
          </w:rPr>
          <w:fldChar w:fldCharType="begin"/>
        </w:r>
        <w:r>
          <w:rPr>
            <w:noProof/>
            <w:webHidden/>
          </w:rPr>
          <w:instrText xml:space="preserve"> PAGEREF _Toc141203368 \h </w:instrText>
        </w:r>
        <w:r>
          <w:rPr>
            <w:noProof/>
            <w:webHidden/>
          </w:rPr>
        </w:r>
        <w:r>
          <w:rPr>
            <w:noProof/>
            <w:webHidden/>
          </w:rPr>
          <w:fldChar w:fldCharType="separate"/>
        </w:r>
        <w:r>
          <w:rPr>
            <w:noProof/>
            <w:webHidden/>
          </w:rPr>
          <w:t>5</w:t>
        </w:r>
        <w:r>
          <w:rPr>
            <w:noProof/>
            <w:webHidden/>
          </w:rPr>
          <w:fldChar w:fldCharType="end"/>
        </w:r>
      </w:hyperlink>
    </w:p>
    <w:p w:rsidR="0031442B" w:rsidRPr="0031442B" w:rsidRDefault="0031442B">
      <w:pPr>
        <w:pStyle w:val="TOC1"/>
        <w:rPr>
          <w:rFonts w:ascii="Calibri" w:eastAsia="Times New Roman" w:hAnsi="Calibri" w:cs="Times New Roman"/>
          <w:noProof/>
          <w:color w:val="auto"/>
          <w:sz w:val="22"/>
          <w:lang w:val="en-IN" w:eastAsia="en-IN"/>
        </w:rPr>
      </w:pPr>
      <w:hyperlink w:anchor="_Toc141203369" w:history="1">
        <w:r w:rsidRPr="006F569A">
          <w:rPr>
            <w:rStyle w:val="Hyperlink"/>
            <w:noProof/>
          </w:rPr>
          <w:t>ANALYSIS OF IMPACT ON BUSINESS MODEL AND LEVEL OF COMPLIANCE TO REFORMS</w:t>
        </w:r>
        <w:r>
          <w:rPr>
            <w:noProof/>
            <w:webHidden/>
          </w:rPr>
          <w:tab/>
        </w:r>
        <w:r>
          <w:rPr>
            <w:noProof/>
            <w:webHidden/>
          </w:rPr>
          <w:fldChar w:fldCharType="begin"/>
        </w:r>
        <w:r>
          <w:rPr>
            <w:noProof/>
            <w:webHidden/>
          </w:rPr>
          <w:instrText xml:space="preserve"> PAGEREF _Toc141203369 \h </w:instrText>
        </w:r>
        <w:r>
          <w:rPr>
            <w:noProof/>
            <w:webHidden/>
          </w:rPr>
        </w:r>
        <w:r>
          <w:rPr>
            <w:noProof/>
            <w:webHidden/>
          </w:rPr>
          <w:fldChar w:fldCharType="separate"/>
        </w:r>
        <w:r>
          <w:rPr>
            <w:noProof/>
            <w:webHidden/>
          </w:rPr>
          <w:t>9</w:t>
        </w:r>
        <w:r>
          <w:rPr>
            <w:noProof/>
            <w:webHidden/>
          </w:rPr>
          <w:fldChar w:fldCharType="end"/>
        </w:r>
      </w:hyperlink>
    </w:p>
    <w:p w:rsidR="0031442B" w:rsidRPr="0031442B" w:rsidRDefault="0031442B">
      <w:pPr>
        <w:pStyle w:val="TOC1"/>
        <w:rPr>
          <w:rFonts w:ascii="Calibri" w:eastAsia="Times New Roman" w:hAnsi="Calibri" w:cs="Times New Roman"/>
          <w:noProof/>
          <w:color w:val="auto"/>
          <w:sz w:val="22"/>
          <w:lang w:val="en-IN" w:eastAsia="en-IN"/>
        </w:rPr>
      </w:pPr>
      <w:hyperlink w:anchor="_Toc141203370" w:history="1">
        <w:r w:rsidRPr="006F569A">
          <w:rPr>
            <w:rStyle w:val="Hyperlink"/>
            <w:noProof/>
          </w:rPr>
          <w:t>CONCLUSION</w:t>
        </w:r>
        <w:r>
          <w:rPr>
            <w:noProof/>
            <w:webHidden/>
          </w:rPr>
          <w:tab/>
        </w:r>
        <w:r>
          <w:rPr>
            <w:noProof/>
            <w:webHidden/>
          </w:rPr>
          <w:fldChar w:fldCharType="begin"/>
        </w:r>
        <w:r>
          <w:rPr>
            <w:noProof/>
            <w:webHidden/>
          </w:rPr>
          <w:instrText xml:space="preserve"> PAGEREF _Toc141203370 \h </w:instrText>
        </w:r>
        <w:r>
          <w:rPr>
            <w:noProof/>
            <w:webHidden/>
          </w:rPr>
        </w:r>
        <w:r>
          <w:rPr>
            <w:noProof/>
            <w:webHidden/>
          </w:rPr>
          <w:fldChar w:fldCharType="separate"/>
        </w:r>
        <w:r>
          <w:rPr>
            <w:noProof/>
            <w:webHidden/>
          </w:rPr>
          <w:t>12</w:t>
        </w:r>
        <w:r>
          <w:rPr>
            <w:noProof/>
            <w:webHidden/>
          </w:rPr>
          <w:fldChar w:fldCharType="end"/>
        </w:r>
      </w:hyperlink>
    </w:p>
    <w:p w:rsidR="0031442B" w:rsidRPr="0031442B" w:rsidRDefault="0031442B">
      <w:pPr>
        <w:pStyle w:val="TOC1"/>
        <w:rPr>
          <w:rFonts w:ascii="Calibri" w:eastAsia="Times New Roman" w:hAnsi="Calibri" w:cs="Times New Roman"/>
          <w:noProof/>
          <w:color w:val="auto"/>
          <w:sz w:val="22"/>
          <w:lang w:val="en-IN" w:eastAsia="en-IN"/>
        </w:rPr>
      </w:pPr>
      <w:hyperlink w:anchor="_Toc141203371" w:history="1">
        <w:r w:rsidRPr="006F569A">
          <w:rPr>
            <w:rStyle w:val="Hyperlink"/>
            <w:noProof/>
          </w:rPr>
          <w:t>REFERENCES</w:t>
        </w:r>
        <w:r>
          <w:rPr>
            <w:noProof/>
            <w:webHidden/>
          </w:rPr>
          <w:tab/>
        </w:r>
        <w:r>
          <w:rPr>
            <w:noProof/>
            <w:webHidden/>
          </w:rPr>
          <w:fldChar w:fldCharType="begin"/>
        </w:r>
        <w:r>
          <w:rPr>
            <w:noProof/>
            <w:webHidden/>
          </w:rPr>
          <w:instrText xml:space="preserve"> PAGEREF _Toc141203371 \h </w:instrText>
        </w:r>
        <w:r>
          <w:rPr>
            <w:noProof/>
            <w:webHidden/>
          </w:rPr>
        </w:r>
        <w:r>
          <w:rPr>
            <w:noProof/>
            <w:webHidden/>
          </w:rPr>
          <w:fldChar w:fldCharType="separate"/>
        </w:r>
        <w:r>
          <w:rPr>
            <w:noProof/>
            <w:webHidden/>
          </w:rPr>
          <w:t>13</w:t>
        </w:r>
        <w:r>
          <w:rPr>
            <w:noProof/>
            <w:webHidden/>
          </w:rPr>
          <w:fldChar w:fldCharType="end"/>
        </w:r>
      </w:hyperlink>
    </w:p>
    <w:p w:rsidR="0031442B" w:rsidRDefault="0031442B">
      <w:r>
        <w:rPr>
          <w:b/>
          <w:bCs/>
          <w:noProof/>
        </w:rPr>
        <w:fldChar w:fldCharType="end"/>
      </w:r>
    </w:p>
    <w:p w:rsidR="00B679C9" w:rsidRPr="004A47AB" w:rsidRDefault="004A47AB" w:rsidP="00B679C9">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p>
    <w:p w:rsidR="004A47AB" w:rsidRPr="004A47AB" w:rsidRDefault="004A47AB">
      <w:pPr>
        <w:pStyle w:val="TOC1"/>
        <w:rPr>
          <w:rFonts w:ascii="Calibri" w:eastAsia="Times New Roman" w:hAnsi="Calibri" w:cs="Times New Roman"/>
          <w:noProof/>
          <w:color w:val="auto"/>
          <w:sz w:val="22"/>
          <w:lang w:val="en-US" w:eastAsia="en-US"/>
        </w:rPr>
      </w:pPr>
    </w:p>
    <w:p w:rsidR="004A47AB" w:rsidRDefault="004A47AB">
      <w:r>
        <w:rPr>
          <w:b/>
          <w:bCs/>
          <w:noProof/>
        </w:rPr>
        <w:fldChar w:fldCharType="end"/>
      </w:r>
    </w:p>
    <w:p w:rsidR="004A47AB" w:rsidRPr="004A47AB" w:rsidRDefault="004A47AB" w:rsidP="004A47AB">
      <w:pPr>
        <w:rPr>
          <w:lang w:val="en-US" w:eastAsia="en-US"/>
        </w:rPr>
      </w:pPr>
    </w:p>
    <w:p w:rsidR="007748BE" w:rsidRPr="007748BE" w:rsidRDefault="007748BE" w:rsidP="007748BE"/>
    <w:p w:rsidR="00CC30E8" w:rsidRPr="007748BE" w:rsidRDefault="00477CBF" w:rsidP="0026471F">
      <w:pPr>
        <w:pStyle w:val="TOC1"/>
        <w:rPr>
          <w:rFonts w:ascii="Calibri" w:eastAsia="Times New Roman" w:hAnsi="Calibri" w:cs="Times New Roman"/>
          <w:noProof/>
          <w:color w:val="auto"/>
          <w:sz w:val="22"/>
          <w:lang w:val="en-US" w:eastAsia="en-US"/>
        </w:rPr>
      </w:pPr>
      <w:r w:rsidRPr="007748BE">
        <w:fldChar w:fldCharType="begin"/>
      </w:r>
      <w:r w:rsidRPr="007748BE">
        <w:instrText xml:space="preserve"> TOC \o "1-3" \h \z \u </w:instrText>
      </w:r>
      <w:r w:rsidRPr="007748BE">
        <w:fldChar w:fldCharType="separate"/>
      </w:r>
    </w:p>
    <w:p w:rsidR="00C23CC8" w:rsidRPr="007748BE" w:rsidRDefault="00477CBF" w:rsidP="00C23CC8">
      <w:r w:rsidRPr="007748BE">
        <w:rPr>
          <w:bCs/>
          <w:noProof/>
        </w:rPr>
        <w:fldChar w:fldCharType="end"/>
      </w:r>
      <w:bookmarkStart w:id="13" w:name="_Toc83890903"/>
    </w:p>
    <w:p w:rsidR="00AC515B" w:rsidRDefault="00AC515B" w:rsidP="00F210A1">
      <w:pPr>
        <w:pStyle w:val="Heading1"/>
      </w:pPr>
      <w:bookmarkStart w:id="14" w:name="_Toc70066126"/>
      <w:bookmarkStart w:id="15" w:name="_Toc70178959"/>
      <w:bookmarkStart w:id="16" w:name="_Toc70585498"/>
      <w:bookmarkStart w:id="17" w:name="_Toc78637270"/>
      <w:bookmarkStart w:id="18" w:name="_Toc82600733"/>
      <w:bookmarkStart w:id="19" w:name="_Toc82684244"/>
      <w:bookmarkStart w:id="20" w:name="_Toc83044938"/>
      <w:bookmarkStart w:id="21" w:name="_Toc83127983"/>
      <w:bookmarkStart w:id="22" w:name="_Toc83216145"/>
      <w:bookmarkStart w:id="23" w:name="_Toc83292566"/>
      <w:bookmarkStart w:id="24" w:name="_Toc83380522"/>
      <w:bookmarkStart w:id="25" w:name="_Toc83475704"/>
      <w:bookmarkStart w:id="26" w:name="_Toc83741262"/>
      <w:bookmarkStart w:id="27" w:name="_Toc83890906"/>
      <w:bookmarkStart w:id="28" w:name="__RefHeading__5292_147714637"/>
      <w:bookmarkStart w:id="29" w:name="__RefHeading__107373_934109526"/>
      <w:bookmarkStart w:id="30" w:name="__RefHeading__4383_648313552"/>
      <w:bookmarkStart w:id="31" w:name="__RefHeading__29656_1623729951"/>
      <w:bookmarkStart w:id="32" w:name="__RefHeading___Toc29965595"/>
      <w:bookmarkEnd w:id="0"/>
      <w:bookmarkEnd w:id="1"/>
      <w:bookmarkEnd w:id="2"/>
      <w:bookmarkEnd w:id="3"/>
      <w:bookmarkEnd w:id="4"/>
      <w:bookmarkEnd w:id="5"/>
      <w:bookmarkEnd w:id="6"/>
      <w:bookmarkEnd w:id="7"/>
      <w:bookmarkEnd w:id="8"/>
      <w:bookmarkEnd w:id="9"/>
      <w:bookmarkEnd w:id="10"/>
      <w:bookmarkEnd w:id="11"/>
      <w:bookmarkEnd w:id="12"/>
      <w:bookmarkEnd w:id="13"/>
      <w:bookmarkEnd w:id="28"/>
      <w:bookmarkEnd w:id="29"/>
      <w:bookmarkEnd w:id="30"/>
      <w:bookmarkEnd w:id="31"/>
      <w:bookmarkEnd w:id="32"/>
    </w:p>
    <w:p w:rsidR="00AC515B" w:rsidRDefault="00AC515B" w:rsidP="00F210A1">
      <w:pPr>
        <w:pStyle w:val="Heading1"/>
      </w:pPr>
    </w:p>
    <w:p w:rsidR="00AC515B" w:rsidRDefault="00AC515B" w:rsidP="00F210A1">
      <w:pPr>
        <w:pStyle w:val="Heading1"/>
      </w:pPr>
    </w:p>
    <w:p w:rsidR="00AC515B" w:rsidRDefault="00AC515B" w:rsidP="00F210A1">
      <w:pPr>
        <w:pStyle w:val="Heading1"/>
      </w:pPr>
    </w:p>
    <w:p w:rsidR="00AC515B" w:rsidRDefault="00AC515B" w:rsidP="00F210A1">
      <w:pPr>
        <w:pStyle w:val="Heading1"/>
      </w:pPr>
    </w:p>
    <w:p w:rsidR="00AC515B" w:rsidRDefault="00AC515B" w:rsidP="00F210A1">
      <w:pPr>
        <w:pStyle w:val="Heading1"/>
      </w:pPr>
    </w:p>
    <w:p w:rsidR="00AC515B" w:rsidRDefault="00AC515B" w:rsidP="00AC515B">
      <w:pPr>
        <w:pStyle w:val="Heading1"/>
        <w:numPr>
          <w:ilvl w:val="0"/>
          <w:numId w:val="0"/>
        </w:numPr>
        <w:ind w:left="432" w:hanging="432"/>
      </w:pPr>
    </w:p>
    <w:p w:rsidR="00AC515B" w:rsidRPr="00AC515B" w:rsidRDefault="00AC515B" w:rsidP="00AC515B"/>
    <w:p w:rsidR="00A15FEE" w:rsidRDefault="00A15FEE" w:rsidP="00AC515B">
      <w:pPr>
        <w:pStyle w:val="Heading1"/>
        <w:numPr>
          <w:ilvl w:val="0"/>
          <w:numId w:val="0"/>
        </w:numPr>
        <w:sectPr w:rsidR="00A15FEE" w:rsidSect="00DA7B3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threeDEngrave" w:sz="24" w:space="24" w:color="auto"/>
            <w:left w:val="threeDEngrave" w:sz="24" w:space="24" w:color="auto"/>
            <w:bottom w:val="threeDEmboss" w:sz="24" w:space="24" w:color="auto"/>
            <w:right w:val="threeDEmboss" w:sz="24" w:space="24" w:color="auto"/>
          </w:pgBorders>
          <w:pgNumType w:start="1"/>
          <w:cols w:space="720"/>
          <w:docGrid w:linePitch="600" w:charSpace="32768"/>
        </w:sectPr>
      </w:pPr>
      <w:bookmarkStart w:id="33" w:name="_Toc124191391"/>
    </w:p>
    <w:p w:rsidR="0067782C" w:rsidRDefault="004524F3" w:rsidP="00AC515B">
      <w:pPr>
        <w:pStyle w:val="Heading1"/>
        <w:numPr>
          <w:ilvl w:val="0"/>
          <w:numId w:val="0"/>
        </w:numPr>
      </w:pPr>
      <w:bookmarkStart w:id="34" w:name="_Toc141203366"/>
      <w:r>
        <w:t>INTRODUCTION</w:t>
      </w:r>
      <w:bookmarkEnd w:id="33"/>
      <w:bookmarkEnd w:id="34"/>
    </w:p>
    <w:p w:rsidR="0035696E" w:rsidRDefault="0035696E" w:rsidP="0035696E">
      <w:pPr>
        <w:rPr>
          <w:szCs w:val="24"/>
        </w:rPr>
      </w:pPr>
      <w:r>
        <w:rPr>
          <w:szCs w:val="24"/>
        </w:rPr>
        <w:t xml:space="preserve">The (GFC) global financial crisis was the time of brutal stress in the global finance market and the banking system it the </w:t>
      </w:r>
      <w:r w:rsidR="002307A7">
        <w:rPr>
          <w:szCs w:val="24"/>
        </w:rPr>
        <w:t>mid-2007</w:t>
      </w:r>
      <w:r>
        <w:rPr>
          <w:szCs w:val="24"/>
        </w:rPr>
        <w:t xml:space="preserve"> and in early 2009. Big advanced economies experienced the greatest recession after in the year 1930, and many people lost their jobs. At that time the (IMF) International monetary fund, announced that it was the most brutal financial and economic </w:t>
      </w:r>
      <w:r w:rsidR="002307A7">
        <w:rPr>
          <w:szCs w:val="24"/>
        </w:rPr>
        <w:t>let-down</w:t>
      </w:r>
      <w:r>
        <w:rPr>
          <w:szCs w:val="24"/>
        </w:rPr>
        <w:t xml:space="preserve">. When the prices of the housing fell the owners started abandoning their mortgages. The (BOE) Bank of England introduced measures related to monetary policy, like lowered the rate of interest from 5.5% to 1% and introduced quantitative easing, with the aim of stabilising economy and encouraging growth. More certain laws and regulations and contracts were enacted after the Great recession 2008, which were helpful in covering its impacts </w:t>
      </w:r>
      <w:r w:rsidRPr="0035696E">
        <w:rPr>
          <w:szCs w:val="24"/>
          <w:shd w:val="clear" w:color="auto" w:fill="FFFFFF"/>
        </w:rPr>
        <w:t>(Christensen, 2019)</w:t>
      </w:r>
      <w:r>
        <w:rPr>
          <w:szCs w:val="24"/>
        </w:rPr>
        <w:t xml:space="preserve">. Many of the reforms played their role in stabilising the financial system with the help of banks and financial institutions. Introduction of several measures with the aim to support the economy provided banks with the guarantees to lone to some of the (SMEs), small and medium sized enterprises. Several public companies also faced losses and it also affected their business model. This report concludes the certain laws, reforms taken for diminishing the effect of the financial crisis post 2008, role played by the reforms for stabilising the condition and how the public company was affected and the effect on the business model also. </w:t>
      </w:r>
    </w:p>
    <w:p w:rsidR="00DA7B3F" w:rsidRDefault="00DA7B3F" w:rsidP="00DD0BA5">
      <w:pPr>
        <w:pStyle w:val="Heading1"/>
        <w:numPr>
          <w:ilvl w:val="0"/>
          <w:numId w:val="0"/>
        </w:numPr>
      </w:pPr>
      <w:bookmarkStart w:id="35" w:name="_Toc141203367"/>
      <w:r>
        <w:t>IDENTIFICATION OF KEY LAWS, REGULATIONS AND CONTRACTS ENACTED THE 2008 FINANCIAL CRISIS</w:t>
      </w:r>
      <w:bookmarkEnd w:id="35"/>
    </w:p>
    <w:p w:rsidR="0035696E" w:rsidRDefault="0035696E" w:rsidP="0035696E">
      <w:r>
        <w:t xml:space="preserve">Amid the financial crisis 2007-2008, was one the biggest economic let-down in the modern history of the US, and it was caused in the larger parts by the bad behaviour of the banks. With the effect of this the Dodd Frank act was introduced with the aim to never let this type of financial crisis happen again </w:t>
      </w:r>
      <w:r w:rsidRPr="0035696E">
        <w:rPr>
          <w:shd w:val="clear" w:color="auto" w:fill="FFFFFF"/>
        </w:rPr>
        <w:t>(Milanovic, 2022)</w:t>
      </w:r>
      <w:r>
        <w:t>. Passed on by the Congress and signed into the law by President, Barack Obama in 2010, in the month of July, the Dodd frank</w:t>
      </w:r>
      <w:r w:rsidR="00032B23">
        <w:t xml:space="preserve"> wall street reform and customer</w:t>
      </w:r>
      <w:r>
        <w:t xml:space="preserve"> protection act, aims to restoring the stability in the economy and overseeing the financial system, and also preventing the mishappening of this type of crisis ever again.  </w:t>
      </w:r>
    </w:p>
    <w:p w:rsidR="0035696E" w:rsidRDefault="00032B23" w:rsidP="0035696E">
      <w:r>
        <w:t>Senator Chris Dodd as well as</w:t>
      </w:r>
      <w:r w:rsidR="0035696E">
        <w:t xml:space="preserve"> Representative Barney Frank written the Dodd frank act and is also named after them </w:t>
      </w:r>
      <w:r w:rsidR="0035696E" w:rsidRPr="0035696E">
        <w:rPr>
          <w:shd w:val="clear" w:color="auto" w:fill="FFFFFF"/>
        </w:rPr>
        <w:t xml:space="preserve">(Anginer </w:t>
      </w:r>
      <w:r w:rsidR="0035696E" w:rsidRPr="0035696E">
        <w:rPr>
          <w:i/>
          <w:shd w:val="clear" w:color="auto" w:fill="FFFFFF"/>
        </w:rPr>
        <w:t>et al</w:t>
      </w:r>
      <w:r w:rsidR="0035696E" w:rsidRPr="0035696E">
        <w:rPr>
          <w:shd w:val="clear" w:color="auto" w:fill="FFFFFF"/>
        </w:rPr>
        <w:t>. 2019)</w:t>
      </w:r>
      <w:r w:rsidR="0035696E">
        <w:t>. It is a complicate and an extraordinary regulation which covers a wide portion of the financial activities of the industry. Some of the key provisions of the act which imposes the rules and establishes the regulatory bodies, with the aim of watching over the financial service industry and protecting the consumers are as follows:</w:t>
      </w:r>
    </w:p>
    <w:p w:rsidR="0035696E" w:rsidRDefault="0035696E" w:rsidP="0035696E">
      <w:pPr>
        <w:rPr>
          <w:b/>
        </w:rPr>
      </w:pPr>
      <w:r>
        <w:rPr>
          <w:b/>
        </w:rPr>
        <w:t xml:space="preserve">The (FSOC) Financial stability oversight council: </w:t>
      </w:r>
    </w:p>
    <w:p w:rsidR="0035696E" w:rsidRDefault="0035696E" w:rsidP="0035696E">
      <w:r>
        <w:t xml:space="preserve">The (FSOC) Financial stability oversight council keep an eye on the financial firms and banks, so that they do not become “too big to fail” </w:t>
      </w:r>
      <w:r w:rsidRPr="0035696E">
        <w:rPr>
          <w:shd w:val="clear" w:color="auto" w:fill="FFFFFF"/>
        </w:rPr>
        <w:t>(Tarullo, 2019)</w:t>
      </w:r>
      <w:r>
        <w:t xml:space="preserve">. One of the main cause of 2008 great recession was that some of the financial firms became that large and were very crucial for the functioning of the monetary system which the US government was forced in order to save them from their own bad settlements. </w:t>
      </w:r>
    </w:p>
    <w:p w:rsidR="0035696E" w:rsidRDefault="0035696E" w:rsidP="0035696E">
      <w:r>
        <w:t xml:space="preserve">The Dodd frank was responsible for giving the financial stability oversight council the tools to protect any single firm so that they do not become this crucial and big to the economy </w:t>
      </w:r>
      <w:r w:rsidRPr="0035696E">
        <w:rPr>
          <w:shd w:val="clear" w:color="auto" w:fill="FFFFFF"/>
        </w:rPr>
        <w:t xml:space="preserve">(Kadi </w:t>
      </w:r>
      <w:r w:rsidRPr="0035696E">
        <w:rPr>
          <w:i/>
          <w:shd w:val="clear" w:color="auto" w:fill="FFFFFF"/>
        </w:rPr>
        <w:t>et al</w:t>
      </w:r>
      <w:r w:rsidRPr="0035696E">
        <w:rPr>
          <w:shd w:val="clear" w:color="auto" w:fill="FFFFFF"/>
        </w:rPr>
        <w:t>. 2021)</w:t>
      </w:r>
      <w:r>
        <w:t xml:space="preserve">. The council was the combination of the Federal Reserve’s officials and the Treasury department, which were advised by the experts of the industry and academics, were altered with the aim to identify the risk to the financial stability. Still its important power is its ability for imposing strict parameters and for also even breaking up firms which poses huge amount of risk on the economy. </w:t>
      </w:r>
    </w:p>
    <w:p w:rsidR="0035696E" w:rsidRDefault="0035696E" w:rsidP="0035696E">
      <w:pPr>
        <w:rPr>
          <w:b/>
        </w:rPr>
      </w:pPr>
      <w:r>
        <w:rPr>
          <w:b/>
        </w:rPr>
        <w:t>Stress tests of banking industry:</w:t>
      </w:r>
    </w:p>
    <w:p w:rsidR="0035696E" w:rsidRDefault="0035696E" w:rsidP="0035696E">
      <w:r>
        <w:t xml:space="preserve">It was mandated by the act that the Federal Reserve should monitor the larger banks closely in the US, which should also comprise of the big insurance companies also. Special yearly test is required by the act to ensure that these big institutions are always ready for any recession or any type of financial crisis in the near future. These stress tests uses some of the hypothetical scenarios with the aim of assessing the different monetary shocks which can affect their stability. If a bank lacks the required capital in the hand under certain scenarios, then the Federal Reserve can the buyback of the shares and can put up a cap on the dividends with the aim of ensuring that the bank should be strong enough to lend the business which are struggling and surviving in the hard times of the economy. </w:t>
      </w:r>
    </w:p>
    <w:p w:rsidR="0035696E" w:rsidRDefault="0035696E" w:rsidP="0035696E">
      <w:pPr>
        <w:rPr>
          <w:b/>
        </w:rPr>
      </w:pPr>
      <w:r>
        <w:rPr>
          <w:b/>
        </w:rPr>
        <w:t>The consumer financial protection bureau:</w:t>
      </w:r>
    </w:p>
    <w:p w:rsidR="0035696E" w:rsidRPr="00517FCB" w:rsidRDefault="0035696E" w:rsidP="0035696E">
      <w:r>
        <w:t>From the analysis o</w:t>
      </w:r>
      <w:r w:rsidRPr="00517FCB">
        <w:t>f the multitude of new administrative bodies made by Dodd-</w:t>
      </w:r>
      <w:r>
        <w:t>Frank</w:t>
      </w:r>
      <w:r w:rsidRPr="00517FCB">
        <w:t xml:space="preserve"> to the point, the most prominent and eminent one </w:t>
      </w:r>
      <w:r>
        <w:t>of them is Consumer Financial Protection Bureau</w:t>
      </w:r>
      <w:r w:rsidRPr="00517FCB">
        <w:t xml:space="preserve"> (CFPB). The </w:t>
      </w:r>
      <w:r w:rsidR="00032B23">
        <w:t>Customer</w:t>
      </w:r>
      <w:r>
        <w:t xml:space="preserve"> Financial Protection Bureau</w:t>
      </w:r>
      <w:r w:rsidRPr="00517FCB">
        <w:t xml:space="preserve"> is expected to safeguard buyers from unsafe or harmful monetary items. The department is enabled to manage organizations that offer monetary items to customers, and authorize regulations against segregation in shopper finance.</w:t>
      </w:r>
      <w:r>
        <w:t xml:space="preserve"> </w:t>
      </w:r>
    </w:p>
    <w:p w:rsidR="0035696E" w:rsidRDefault="0035696E" w:rsidP="0035696E">
      <w:r w:rsidRPr="00517FCB">
        <w:t>As the monetary administrations industry was liberated in the many years paving the way to the emergency, an ever increasing number of monetary items were showcased and offered to shoppers with little oversight by the heritage monetary industry controllers</w:t>
      </w:r>
      <w:r>
        <w:t xml:space="preserve"> </w:t>
      </w:r>
      <w:r w:rsidRPr="0035696E">
        <w:rPr>
          <w:shd w:val="clear" w:color="auto" w:fill="FFFFFF"/>
        </w:rPr>
        <w:t xml:space="preserve">(Bernanke </w:t>
      </w:r>
      <w:r w:rsidRPr="0035696E">
        <w:rPr>
          <w:i/>
          <w:shd w:val="clear" w:color="auto" w:fill="FFFFFF"/>
        </w:rPr>
        <w:t>et al.</w:t>
      </w:r>
      <w:r w:rsidRPr="0035696E">
        <w:rPr>
          <w:shd w:val="clear" w:color="auto" w:fill="FFFFFF"/>
        </w:rPr>
        <w:t xml:space="preserve"> 2019)</w:t>
      </w:r>
      <w:r w:rsidRPr="00517FCB">
        <w:t xml:space="preserve">. The principles covering </w:t>
      </w:r>
      <w:r>
        <w:t xml:space="preserve">the </w:t>
      </w:r>
      <w:r w:rsidRPr="00517FCB">
        <w:t>credit detailing offices, payday moneylenders, shopper advances, understudy loans and banking charges were hazy, and purchasers were frequently being sold costly, unsafe items they ineffectively comprehended.</w:t>
      </w:r>
      <w:r>
        <w:t xml:space="preserve"> </w:t>
      </w:r>
    </w:p>
    <w:p w:rsidR="0035696E" w:rsidRDefault="0035696E" w:rsidP="0035696E">
      <w:r>
        <w:t>The Consumer Financial Protection Bureau was interpreted as some administration which will the check on the food and drug, and which will clean up the remains of the consu</w:t>
      </w:r>
      <w:r w:rsidR="00032B23">
        <w:t>mer monetary trade. The Customer</w:t>
      </w:r>
      <w:r>
        <w:t xml:space="preserve"> Financial Protection Bureau has the power to change the lenders which act against their oversight and set of laws. Formal complaints can also be submitted the consumers to the bureau, which is helpful in providing them with the insight in the issues which the consumers are facing and who is responsible. </w:t>
      </w:r>
    </w:p>
    <w:p w:rsidR="0035696E" w:rsidRDefault="0035696E" w:rsidP="0035696E">
      <w:pPr>
        <w:rPr>
          <w:b/>
        </w:rPr>
      </w:pPr>
      <w:r>
        <w:rPr>
          <w:b/>
        </w:rPr>
        <w:t>The Volcker rule:</w:t>
      </w:r>
    </w:p>
    <w:p w:rsidR="0035696E" w:rsidRDefault="0035696E" w:rsidP="0035696E">
      <w:r>
        <w:t xml:space="preserve">Banks are protected by the Volcker rule so that they do not </w:t>
      </w:r>
      <w:r w:rsidR="00BA0C3A">
        <w:t>involve</w:t>
      </w:r>
      <w:r>
        <w:t xml:space="preserve"> in speculative activities of trading. The Volcker rule was named after the former chairman of the Federal Reserve Paul Volcker, the rules bars the bank protecting them from engaging in the proprietary trading, which will imply that the units or the agents of the bank will not be </w:t>
      </w:r>
      <w:r w:rsidR="00BA0C3A">
        <w:t>cap</w:t>
      </w:r>
      <w:r>
        <w:t xml:space="preserve">able to buy back the securities, derivatives, futures commodities or </w:t>
      </w:r>
      <w:r w:rsidR="00BA0C3A">
        <w:t>choices</w:t>
      </w:r>
      <w:r>
        <w:t xml:space="preserve"> in the accounts in the banks </w:t>
      </w:r>
      <w:r w:rsidRPr="0035696E">
        <w:rPr>
          <w:shd w:val="clear" w:color="auto" w:fill="FFFFFF"/>
        </w:rPr>
        <w:t xml:space="preserve">(Brem </w:t>
      </w:r>
      <w:r w:rsidRPr="0035696E">
        <w:rPr>
          <w:i/>
          <w:shd w:val="clear" w:color="auto" w:fill="FFFFFF"/>
        </w:rPr>
        <w:t>et al.</w:t>
      </w:r>
      <w:r w:rsidRPr="0035696E">
        <w:rPr>
          <w:shd w:val="clear" w:color="auto" w:fill="FFFFFF"/>
        </w:rPr>
        <w:t xml:space="preserve"> 2020)</w:t>
      </w:r>
      <w:r>
        <w:t xml:space="preserve">. In the monetary crisis, the banks were engaged in forming and then trading big risky derivatives, and then by the end they tends to become big liabilities, which can result in the bankruptcy of the whole monetary institutions. </w:t>
      </w:r>
    </w:p>
    <w:p w:rsidR="0035696E" w:rsidRDefault="0035696E" w:rsidP="0035696E">
      <w:r>
        <w:t>By restricting such types of investments which includes risk can protect the banks so that they do not use their personal funds and the private equity firms. Under the Volcker rule banks can</w:t>
      </w:r>
      <w:r w:rsidR="00BA0C3A">
        <w:t xml:space="preserve"> only trade when it is important</w:t>
      </w:r>
      <w:r>
        <w:t xml:space="preserve"> for their firm, such like trading of the currency. Trade can be done by the banks when they are working on the behalf like as an agent, custodian, or a broker for the customers. The rule restricts the banks so that they do not engage in investing in o</w:t>
      </w:r>
      <w:r w:rsidR="00BA0C3A">
        <w:t>r do not sponsor hedge funds as well as</w:t>
      </w:r>
      <w:r>
        <w:t xml:space="preserve"> private equity firms.</w:t>
      </w:r>
    </w:p>
    <w:p w:rsidR="0035696E" w:rsidRDefault="0035696E" w:rsidP="0035696E">
      <w:pPr>
        <w:rPr>
          <w:b/>
        </w:rPr>
      </w:pPr>
      <w:r>
        <w:rPr>
          <w:b/>
        </w:rPr>
        <w:t>Monitoring of the risky derivatives:</w:t>
      </w:r>
    </w:p>
    <w:p w:rsidR="0035696E" w:rsidRDefault="0035696E" w:rsidP="0035696E">
      <w:r>
        <w:t>The Securities and the exchange commission (SEC) was given with the power by the Dodd Frank act, in which they can regulate the derivative trading or the contacts between 2 parties who had a mutual consent on set of assets or a financial asset. The exchange of bonds, commodities, currencies, market indexes, stocks, or interest rates can be involved by the traders. Regulators who are in charge of the</w:t>
      </w:r>
      <w:r w:rsidR="00BA0C3A">
        <w:t xml:space="preserve"> derivative trading can determine</w:t>
      </w:r>
      <w:r>
        <w:t xml:space="preserve"> the risks if there is in the trade and ca</w:t>
      </w:r>
      <w:r w:rsidR="00BA0C3A">
        <w:t>n accordingly take action prior</w:t>
      </w:r>
      <w:r>
        <w:t xml:space="preserve"> the triggering of the monetary meltdown. </w:t>
      </w:r>
    </w:p>
    <w:p w:rsidR="0035696E" w:rsidRDefault="0035696E" w:rsidP="0035696E">
      <w:pPr>
        <w:rPr>
          <w:b/>
        </w:rPr>
      </w:pPr>
      <w:r>
        <w:rPr>
          <w:b/>
        </w:rPr>
        <w:t>Strengthening of the Sarbanes-Oxley Act:</w:t>
      </w:r>
    </w:p>
    <w:p w:rsidR="0035696E" w:rsidRPr="002D42A7" w:rsidRDefault="0035696E" w:rsidP="0035696E">
      <w:r>
        <w:t xml:space="preserve">This act was passed in the year 2002, and the aim for retain this act was to give response to the scandals on the companies who trades publically, such as Enron. Under this act the CEO of the company is personally help accountable for the errors in the accounting and is mandatory to give protection to the individual who shows Bad behaviour. Certain provisions were strengthened on this act under the Dodd Frank act </w:t>
      </w:r>
      <w:r w:rsidRPr="0035696E">
        <w:rPr>
          <w:shd w:val="clear" w:color="auto" w:fill="FFFFFF"/>
        </w:rPr>
        <w:t>(De la Porte, 2021)</w:t>
      </w:r>
      <w:r>
        <w:t xml:space="preserve">. Establishment of the bounty program in which the whistle-blowers were provided with 10% - 30% of the proceeds among the thriving proceedings settlements which are inspired by the bad behaviour. </w:t>
      </w:r>
    </w:p>
    <w:p w:rsidR="0035696E" w:rsidRDefault="0035696E" w:rsidP="0035696E">
      <w:pPr>
        <w:rPr>
          <w:b/>
        </w:rPr>
      </w:pPr>
      <w:r>
        <w:rPr>
          <w:b/>
        </w:rPr>
        <w:t xml:space="preserve">UK Policy responses to the Global Monetary crisis: </w:t>
      </w:r>
    </w:p>
    <w:p w:rsidR="0035696E" w:rsidRDefault="0035696E" w:rsidP="0035696E">
      <w:r>
        <w:t xml:space="preserve"> The </w:t>
      </w:r>
      <w:r w:rsidR="00BA0C3A">
        <w:t>great recession of 2008 influenced</w:t>
      </w:r>
      <w:r>
        <w:t xml:space="preserve"> the economy of the UK majorly, in respect to that the government introduced number of policies in response to it, with the purpose of stabilizing the monetary system and to establish the growth of the economy </w:t>
      </w:r>
      <w:r w:rsidRPr="0035696E">
        <w:rPr>
          <w:shd w:val="clear" w:color="auto" w:fill="FFFFFF"/>
        </w:rPr>
        <w:t>(Crouch, 2020)</w:t>
      </w:r>
      <w:r>
        <w:t>. Some of them are as follows:</w:t>
      </w:r>
    </w:p>
    <w:p w:rsidR="0035696E" w:rsidRPr="0035696E" w:rsidRDefault="0035696E" w:rsidP="0035696E">
      <w:pPr>
        <w:numPr>
          <w:ilvl w:val="0"/>
          <w:numId w:val="15"/>
        </w:numPr>
        <w:rPr>
          <w:b/>
        </w:rPr>
      </w:pPr>
      <w:r>
        <w:rPr>
          <w:b/>
        </w:rPr>
        <w:t xml:space="preserve">Nationalisation of the banks: </w:t>
      </w:r>
      <w:r>
        <w:t xml:space="preserve">Several banks were nationalised by the UK government with the aim of stabilizing the banking system, which includes the Lloyds baking group and (RBS) Royal bank of Scotland, with the aim of ensuring that they had required amount of capital so that they can continue the lending to the business and the households. </w:t>
      </w:r>
    </w:p>
    <w:p w:rsidR="0035696E" w:rsidRPr="0035696E" w:rsidRDefault="0035696E" w:rsidP="0035696E">
      <w:pPr>
        <w:numPr>
          <w:ilvl w:val="0"/>
          <w:numId w:val="15"/>
        </w:numPr>
        <w:rPr>
          <w:b/>
        </w:rPr>
      </w:pPr>
      <w:r>
        <w:rPr>
          <w:b/>
        </w:rPr>
        <w:t xml:space="preserve">Fiscal stimulus: </w:t>
      </w:r>
      <w:r>
        <w:t xml:space="preserve">Fiscal stimulus packages were implemented by the UK government, which comprises the tax cuts and the increment in the spending of the government, with the aim of boosting the employment and the economic activities. </w:t>
      </w:r>
    </w:p>
    <w:p w:rsidR="0035696E" w:rsidRDefault="0035696E" w:rsidP="0035696E">
      <w:pPr>
        <w:numPr>
          <w:ilvl w:val="0"/>
          <w:numId w:val="15"/>
        </w:numPr>
      </w:pPr>
      <w:r>
        <w:rPr>
          <w:b/>
        </w:rPr>
        <w:t xml:space="preserve">Monetary policy: </w:t>
      </w:r>
      <w:r>
        <w:t xml:space="preserve">The (BOE) Bank of England introduced measures related to monetary policy, like lowered the rate of interest from 5.5% to 1% and introduced quantitative easing, with the aim of stabilising economy and encouraging growth. </w:t>
      </w:r>
    </w:p>
    <w:p w:rsidR="0035696E" w:rsidRDefault="0035696E" w:rsidP="0035696E">
      <w:pPr>
        <w:numPr>
          <w:ilvl w:val="0"/>
          <w:numId w:val="15"/>
        </w:numPr>
      </w:pPr>
      <w:r>
        <w:rPr>
          <w:b/>
        </w:rPr>
        <w:t xml:space="preserve">Financial Services act, 2012: </w:t>
      </w:r>
      <w:r>
        <w:t xml:space="preserve">Financial regulatory reform which was implemented in the UK with the aim of reforming the monetary sector, oversight of the monetary industry, and increase in the transparency, and strengthening the protection of the customers. </w:t>
      </w:r>
    </w:p>
    <w:p w:rsidR="0035696E" w:rsidRDefault="0035696E" w:rsidP="0035696E">
      <w:pPr>
        <w:numPr>
          <w:ilvl w:val="0"/>
          <w:numId w:val="15"/>
        </w:numPr>
      </w:pPr>
      <w:r>
        <w:rPr>
          <w:b/>
        </w:rPr>
        <w:t xml:space="preserve">The (FLS) funding for lending scheme: </w:t>
      </w:r>
      <w:r>
        <w:t xml:space="preserve">The funding for lending scheme, was came into the act in the year 2012, with the purpose of availability of the credit to the businesses and the households by funding them at the low rates on the condition by providing them with the building societies and banks. </w:t>
      </w:r>
    </w:p>
    <w:p w:rsidR="0035696E" w:rsidRDefault="0035696E" w:rsidP="0035696E">
      <w:pPr>
        <w:numPr>
          <w:ilvl w:val="0"/>
          <w:numId w:val="15"/>
        </w:numPr>
      </w:pPr>
      <w:r>
        <w:rPr>
          <w:b/>
        </w:rPr>
        <w:t xml:space="preserve">Support to the real economy: </w:t>
      </w:r>
      <w:r>
        <w:t xml:space="preserve">Several measures were introduced by the government with the aim of supporting the real economy, like the (EFGS) Enterprise Finance Guarantee Scheme, which aim to provide guarantee to the banks so they can lend to the (SMEs) Small and medium sized enterprises. </w:t>
      </w:r>
    </w:p>
    <w:p w:rsidR="0035696E" w:rsidRDefault="0035696E" w:rsidP="0035696E">
      <w:pPr>
        <w:numPr>
          <w:ilvl w:val="0"/>
          <w:numId w:val="15"/>
        </w:numPr>
      </w:pPr>
      <w:r>
        <w:rPr>
          <w:b/>
        </w:rPr>
        <w:t xml:space="preserve">Protection of the depositors: </w:t>
      </w:r>
      <w:r>
        <w:t xml:space="preserve">Scheme for the protection of the depositor was introduced by the government, in which the money of the depositor is insured up to a certain amount, with the aim of protecting the businesses and the households. </w:t>
      </w:r>
    </w:p>
    <w:p w:rsidR="00DA7B3F" w:rsidRDefault="00DD0BA5" w:rsidP="00DD0BA5">
      <w:pPr>
        <w:pStyle w:val="Heading1"/>
        <w:numPr>
          <w:ilvl w:val="0"/>
          <w:numId w:val="0"/>
        </w:numPr>
      </w:pPr>
      <w:bookmarkStart w:id="36" w:name="_Toc141203368"/>
      <w:r>
        <w:t>CRITICAL REVIEW OF EXTENT WHICH REFORMS HAVE CONTRIBUTED TOWARDS FINANCIAL SYSTEM AND 2008 CRISIS</w:t>
      </w:r>
      <w:bookmarkEnd w:id="36"/>
    </w:p>
    <w:p w:rsidR="0035696E" w:rsidRDefault="0035696E" w:rsidP="0035696E">
      <w:pPr>
        <w:rPr>
          <w:szCs w:val="24"/>
        </w:rPr>
      </w:pPr>
      <w:r>
        <w:rPr>
          <w:szCs w:val="24"/>
        </w:rPr>
        <w:t xml:space="preserve">After the great recession in 2008, the G20 presidency committed itself to the fundamental reforms of the universal monetary system, given by the considerable economy and the damage that is caused socially. The aim was to correct the fault parts which were the reason for the financial crisis and in order to build a safer, and much more flexible sources of the finance with the aim of bettering the requirements of the economy </w:t>
      </w:r>
      <w:r w:rsidRPr="0035696E">
        <w:rPr>
          <w:szCs w:val="24"/>
          <w:shd w:val="clear" w:color="auto" w:fill="FFFFFF"/>
        </w:rPr>
        <w:t>(Laeven, 2020)</w:t>
      </w:r>
      <w:r>
        <w:rPr>
          <w:szCs w:val="24"/>
        </w:rPr>
        <w:t xml:space="preserve">. The (FSB) Financial stability board was called on by the G20 in order to build up and synchronize structure for the universal regulation and the supervision of the global monetary system. </w:t>
      </w:r>
    </w:p>
    <w:p w:rsidR="0035696E" w:rsidRDefault="0035696E" w:rsidP="0035696E">
      <w:pPr>
        <w:rPr>
          <w:szCs w:val="24"/>
        </w:rPr>
      </w:pPr>
      <w:r>
        <w:rPr>
          <w:szCs w:val="24"/>
        </w:rPr>
        <w:t xml:space="preserve">With the aim of diminishing the risk of the future monetary crisis and cost of the monetary unsteadiness for the economy, these policies were an important part of the G20 presidency and therefore the primary aim for a sustainable, strong and impartial growth. With the aim of ensuring that the agreed reforms were implemented, the financial stability board (FSB) put in the place a comprehensive performance monitoring program and focused on conducting a number of evaluations with the aim of assessing the reforms effects. </w:t>
      </w:r>
    </w:p>
    <w:p w:rsidR="0035696E" w:rsidRDefault="0035696E" w:rsidP="0035696E">
      <w:pPr>
        <w:rPr>
          <w:szCs w:val="24"/>
        </w:rPr>
      </w:pPr>
      <w:r>
        <w:rPr>
          <w:b/>
          <w:szCs w:val="24"/>
        </w:rPr>
        <w:t xml:space="preserve">Build-up of the resilient monetary institutions: </w:t>
      </w:r>
      <w:r>
        <w:rPr>
          <w:szCs w:val="24"/>
        </w:rPr>
        <w:t xml:space="preserve">Better and more authoritarian requirement of the capital, strengthening in the practices of the risk management and the better alignment of the structures of the compensation has built a huge amount of resilient monetary institutions. With the aim of building more resilient monetary institutions, the Basel 3 package of the reforms becomes the centre element of the work if the international community </w:t>
      </w:r>
      <w:r w:rsidRPr="0035696E">
        <w:rPr>
          <w:szCs w:val="24"/>
          <w:shd w:val="clear" w:color="auto" w:fill="FFFFFF"/>
        </w:rPr>
        <w:t>(Eichengreen, 2019)</w:t>
      </w:r>
      <w:r>
        <w:rPr>
          <w:szCs w:val="24"/>
        </w:rPr>
        <w:t xml:space="preserve">. The (BCBS) Basel committee on banking supervision is in the continuous practice for enhancing its operation monitoring and has largely contributed in the completion of the design for the reforms. Timely, consistent, and full operation of the Basel 3 is crucial for the sound and proper execution of the banking system, which is the key for supporting the economic recovery and the growth on the substantial basis. </w:t>
      </w:r>
    </w:p>
    <w:p w:rsidR="0035696E" w:rsidRDefault="0035696E" w:rsidP="0035696E">
      <w:pPr>
        <w:rPr>
          <w:szCs w:val="24"/>
        </w:rPr>
      </w:pPr>
      <w:r>
        <w:rPr>
          <w:b/>
          <w:szCs w:val="24"/>
        </w:rPr>
        <w:t xml:space="preserve">Ending “too big to fail”: </w:t>
      </w:r>
      <w:r>
        <w:rPr>
          <w:szCs w:val="24"/>
        </w:rPr>
        <w:t xml:space="preserve">The framework of Small industry service institutions (SISI) aims to look after the systematic risk and for the linked moral risky problems for the institutions which are seen by the markets. The leaders of the G20 presidency, in the year 2009, at the Pittsburgh Summit called on to the Financial stability board (FSB) with the aim of proposing the possible measures for addressing the (TBTF) too-big-to-fail hindrances linked to the SIFIs </w:t>
      </w:r>
      <w:r w:rsidRPr="0035696E">
        <w:rPr>
          <w:szCs w:val="24"/>
          <w:shd w:val="clear" w:color="auto" w:fill="FFFFFF"/>
        </w:rPr>
        <w:t>(Goldman, 2020)</w:t>
      </w:r>
      <w:r>
        <w:rPr>
          <w:szCs w:val="24"/>
        </w:rPr>
        <w:t xml:space="preserve">. In the year 2010, at the Seoul summit the leader of the G20 sanctioned the financial stability board (FSB) framework with the aim of reducing the SIFI’s moral hazard. </w:t>
      </w:r>
    </w:p>
    <w:p w:rsidR="0035696E" w:rsidRDefault="0035696E" w:rsidP="0035696E">
      <w:pPr>
        <w:rPr>
          <w:szCs w:val="24"/>
        </w:rPr>
      </w:pPr>
      <w:r>
        <w:rPr>
          <w:b/>
          <w:szCs w:val="24"/>
        </w:rPr>
        <w:t xml:space="preserve">Valuable resolution regimes and reform: </w:t>
      </w:r>
      <w:r>
        <w:rPr>
          <w:szCs w:val="24"/>
        </w:rPr>
        <w:t xml:space="preserve">Monetary institutions should have to be resolvable in the absence of the systematic disruptions in an orderly way with the aim of exposing the tax payer to the risk of the loss, with the help of critical functions and by the use of the mechanisms for the losses which should be absorbed by the shareholders and unsecured debtors. The key attributes are the part of the measures of the policy with the aim of addressing systematically crucial monetary institutions which were sanctioned by G20 presidency in the year 2011, in November with the aim of addressing the problems of the firms. </w:t>
      </w:r>
    </w:p>
    <w:p w:rsidR="0035696E" w:rsidRDefault="0035696E" w:rsidP="0035696E">
      <w:pPr>
        <w:rPr>
          <w:szCs w:val="24"/>
        </w:rPr>
      </w:pPr>
      <w:r>
        <w:rPr>
          <w:b/>
          <w:szCs w:val="24"/>
        </w:rPr>
        <w:t xml:space="preserve">More amount of effective supervision: </w:t>
      </w:r>
      <w:r>
        <w:rPr>
          <w:szCs w:val="24"/>
        </w:rPr>
        <w:t xml:space="preserve">The level of the administration applied by the national authorities should be proportionate to the probable destabilization risk which such types of firms have in their own domestic monetary system, as well as for the huge international monetary system. It was revealed clearly in the crisis that some of supervisors were not able to achieve a certain amount of assessment of the risk and the balance of the capital requirement </w:t>
      </w:r>
      <w:r w:rsidRPr="0035696E">
        <w:rPr>
          <w:szCs w:val="24"/>
          <w:shd w:val="clear" w:color="auto" w:fill="FFFFFF"/>
        </w:rPr>
        <w:t>(Kalaycı, 2023)</w:t>
      </w:r>
      <w:r>
        <w:rPr>
          <w:szCs w:val="24"/>
        </w:rPr>
        <w:t xml:space="preserve">. With the reason of failure in the past performances, the supervision of the SISIs was clearly much more intense, more reliable, and more effective.  </w:t>
      </w:r>
    </w:p>
    <w:p w:rsidR="0035696E" w:rsidRDefault="0035696E" w:rsidP="0035696E">
      <w:pPr>
        <w:rPr>
          <w:szCs w:val="24"/>
        </w:rPr>
      </w:pPr>
      <w:r>
        <w:rPr>
          <w:b/>
          <w:szCs w:val="24"/>
        </w:rPr>
        <w:t xml:space="preserve">Making the derivatives markets safer: </w:t>
      </w:r>
      <w:r>
        <w:rPr>
          <w:szCs w:val="24"/>
        </w:rPr>
        <w:t xml:space="preserve">OTC subordinates market changes and incorporate revealing of the exchange, clearing of the focal, exchanging on the trades, or stages for the electronic exchanges, and capital and edge prerequisites for the non-halfway cleared exchanges are there. In instance the G20 presidency leaders agreed upon wide-ranging reform programme in the year 2009, with the aim of improving the transparency, protection against the abuse if the market, and the mitigation of the systemic risk. </w:t>
      </w:r>
    </w:p>
    <w:p w:rsidR="0035696E" w:rsidRDefault="0035696E" w:rsidP="0035696E">
      <w:pPr>
        <w:rPr>
          <w:szCs w:val="24"/>
        </w:rPr>
      </w:pPr>
      <w:r>
        <w:rPr>
          <w:b/>
          <w:szCs w:val="24"/>
        </w:rPr>
        <w:t xml:space="preserve">Boosting the resilience of the non-bank monetary intermediation: </w:t>
      </w:r>
      <w:r>
        <w:rPr>
          <w:szCs w:val="24"/>
        </w:rPr>
        <w:t xml:space="preserve">Non-bank monetary intermediation provides the bank with a significant choice to the bank funding and assists with supporting the economy. The Financial stability board’s (FSB) work in this space is centered </w:t>
      </w:r>
      <w:r w:rsidR="0031442B">
        <w:rPr>
          <w:szCs w:val="24"/>
        </w:rPr>
        <w:t>on</w:t>
      </w:r>
      <w:r>
        <w:rPr>
          <w:szCs w:val="24"/>
        </w:rPr>
        <w:t xml:space="preserve"> checking and addressing dangers to the monetary strength emerging from credit intermediation by the non-banks. </w:t>
      </w:r>
    </w:p>
    <w:p w:rsidR="0035696E" w:rsidRDefault="0035696E" w:rsidP="0035696E">
      <w:pPr>
        <w:pStyle w:val="NoSpacing"/>
        <w:spacing w:line="360" w:lineRule="auto"/>
        <w:jc w:val="both"/>
        <w:rPr>
          <w:rFonts w:ascii="Times New Roman" w:hAnsi="Times New Roman" w:cs="Times New Roman"/>
        </w:rPr>
      </w:pPr>
      <w:r w:rsidRPr="00B541EC">
        <w:rPr>
          <w:rFonts w:ascii="Times New Roman" w:hAnsi="Times New Roman" w:cs="Times New Roman"/>
          <w:b/>
        </w:rPr>
        <w:t>A</w:t>
      </w:r>
      <w:r>
        <w:rPr>
          <w:rFonts w:ascii="Times New Roman" w:hAnsi="Times New Roman" w:cs="Times New Roman"/>
          <w:b/>
        </w:rPr>
        <w:t>ddressing the gaps in the data:</w:t>
      </w:r>
      <w:r w:rsidRPr="00B541EC">
        <w:rPr>
          <w:rFonts w:ascii="Times New Roman" w:hAnsi="Times New Roman" w:cs="Times New Roman"/>
          <w:b/>
        </w:rPr>
        <w:t xml:space="preserve"> </w:t>
      </w:r>
      <w:r w:rsidRPr="00B541EC">
        <w:rPr>
          <w:rFonts w:ascii="Times New Roman" w:hAnsi="Times New Roman" w:cs="Times New Roman"/>
        </w:rPr>
        <w:t xml:space="preserve">This initiative aims to present authorities with </w:t>
      </w:r>
      <w:r>
        <w:rPr>
          <w:rFonts w:ascii="Times New Roman" w:hAnsi="Times New Roman" w:cs="Times New Roman"/>
        </w:rPr>
        <w:t>the</w:t>
      </w:r>
      <w:r w:rsidRPr="00B541EC">
        <w:rPr>
          <w:rFonts w:ascii="Times New Roman" w:hAnsi="Times New Roman" w:cs="Times New Roman"/>
        </w:rPr>
        <w:t xml:space="preserve"> stronger structure </w:t>
      </w:r>
      <w:r>
        <w:rPr>
          <w:rFonts w:ascii="Times New Roman" w:hAnsi="Times New Roman" w:cs="Times New Roman"/>
        </w:rPr>
        <w:t xml:space="preserve">for the assessment of the potential risk to the system and for the clear sight of the inter-connectedness among the biggest monetary institutions. In the year 2009, the Financial stability board’s (FSB) an the International monetary fund (IMF), published ‘The Monetary crisis and Information gaps’, in which the request was also responded from the G20 presidency ministers and governors with the aim of exploring the information gaps and providing with the appropriate proposal for the strengthening of the collection of the data. </w:t>
      </w:r>
    </w:p>
    <w:p w:rsidR="0035696E" w:rsidRPr="0035696E" w:rsidRDefault="0035696E" w:rsidP="0035696E">
      <w:pPr>
        <w:pStyle w:val="NoSpacing"/>
        <w:spacing w:line="360" w:lineRule="auto"/>
        <w:jc w:val="both"/>
        <w:rPr>
          <w:rFonts w:ascii="Times New Roman" w:hAnsi="Times New Roman" w:cs="Times New Roman"/>
        </w:rPr>
      </w:pPr>
      <w:r>
        <w:rPr>
          <w:rFonts w:ascii="Times New Roman" w:hAnsi="Times New Roman" w:cs="Times New Roman"/>
          <w:b/>
        </w:rPr>
        <w:t xml:space="preserve">Legal entity identifier (LEI): </w:t>
      </w:r>
      <w:r>
        <w:rPr>
          <w:rFonts w:ascii="Times New Roman" w:hAnsi="Times New Roman" w:cs="Times New Roman"/>
        </w:rPr>
        <w:t xml:space="preserve">The legal identity identifier (LEI) system helps in providing a building block in order to contribute and with the aim of facilitating many monetary stabilizing objective, some of them includes, improvement in the management of the risk in the firm, better evaluation of micro and the risks associated to macro prudential factor, facilitation of orderly resolution, and the access to the higher quality and the accuracy of monetary data overall. </w:t>
      </w:r>
    </w:p>
    <w:p w:rsidR="0035696E" w:rsidRDefault="0035696E" w:rsidP="0035696E">
      <w:pPr>
        <w:pStyle w:val="NoSpacing"/>
        <w:spacing w:line="360" w:lineRule="auto"/>
        <w:jc w:val="both"/>
        <w:rPr>
          <w:rFonts w:ascii="Times New Roman" w:hAnsi="Times New Roman" w:cs="Times New Roman"/>
        </w:rPr>
      </w:pPr>
      <w:r>
        <w:rPr>
          <w:rFonts w:ascii="Times New Roman" w:hAnsi="Times New Roman" w:cs="Times New Roman"/>
          <w:b/>
        </w:rPr>
        <w:t xml:space="preserve">Reduction on the relying on the credit ratings: </w:t>
      </w:r>
      <w:r>
        <w:rPr>
          <w:rFonts w:ascii="Times New Roman" w:hAnsi="Times New Roman" w:cs="Times New Roman"/>
        </w:rPr>
        <w:t xml:space="preserve">Relying on the credit agency ratings and the prohibiting of internal assessment of the credit can be a cause of herding behaviour or cliff effects, which can be the reason of amplifying the procyclicality and can also be the cause of disruption of systemic. </w:t>
      </w:r>
    </w:p>
    <w:p w:rsidR="0035696E" w:rsidRDefault="0035696E" w:rsidP="0035696E">
      <w:pPr>
        <w:pStyle w:val="NoSpacing"/>
        <w:spacing w:line="360" w:lineRule="auto"/>
        <w:jc w:val="both"/>
        <w:rPr>
          <w:rFonts w:ascii="Times New Roman" w:hAnsi="Times New Roman" w:cs="Times New Roman"/>
        </w:rPr>
      </w:pPr>
      <w:r>
        <w:rPr>
          <w:rFonts w:ascii="Times New Roman" w:hAnsi="Times New Roman" w:cs="Times New Roman"/>
          <w:b/>
        </w:rPr>
        <w:t xml:space="preserve">Improving the disclosure of the risks: </w:t>
      </w:r>
      <w:r>
        <w:rPr>
          <w:rFonts w:ascii="Times New Roman" w:hAnsi="Times New Roman" w:cs="Times New Roman"/>
        </w:rPr>
        <w:t xml:space="preserve">Relevant and reliable evaluation and the disclosure of the risk by which a firm is exposed are crucial for maintaining the overall confidence of the market </w:t>
      </w:r>
      <w:r w:rsidRPr="0035696E">
        <w:rPr>
          <w:rFonts w:ascii="Times New Roman" w:hAnsi="Times New Roman" w:cs="Times New Roman"/>
          <w:color w:val="000000"/>
          <w:shd w:val="clear" w:color="auto" w:fill="FFFFFF"/>
        </w:rPr>
        <w:t>(Schoon, 2019)</w:t>
      </w:r>
      <w:r>
        <w:rPr>
          <w:rFonts w:ascii="Times New Roman" w:hAnsi="Times New Roman" w:cs="Times New Roman"/>
        </w:rPr>
        <w:t xml:space="preserve">. High quality of the disclosure of the risk contributes to the monetary stability which in turn provides the investors and the other market participants with the aim of providing them with the understanding of the institution’s exposure to the risk and the practices to the management of the risks. </w:t>
      </w:r>
    </w:p>
    <w:p w:rsidR="0035696E" w:rsidRDefault="0035696E" w:rsidP="0035696E">
      <w:pPr>
        <w:pStyle w:val="NoSpacing"/>
        <w:spacing w:line="360" w:lineRule="auto"/>
        <w:jc w:val="both"/>
        <w:rPr>
          <w:rFonts w:ascii="Times New Roman" w:hAnsi="Times New Roman" w:cs="Times New Roman"/>
          <w:b/>
        </w:rPr>
      </w:pPr>
      <w:r>
        <w:rPr>
          <w:rFonts w:ascii="Times New Roman" w:hAnsi="Times New Roman" w:cs="Times New Roman"/>
          <w:b/>
        </w:rPr>
        <w:t>Reforms contributed to the Banking institutions:</w:t>
      </w:r>
    </w:p>
    <w:p w:rsidR="0035696E" w:rsidRDefault="0035696E" w:rsidP="0035696E">
      <w:pPr>
        <w:pStyle w:val="NoSpacing"/>
        <w:spacing w:line="360" w:lineRule="auto"/>
        <w:jc w:val="both"/>
        <w:rPr>
          <w:rFonts w:ascii="Times New Roman" w:hAnsi="Times New Roman" w:cs="Times New Roman"/>
        </w:rPr>
      </w:pPr>
      <w:r>
        <w:rPr>
          <w:rFonts w:ascii="Times New Roman" w:hAnsi="Times New Roman" w:cs="Times New Roman"/>
        </w:rPr>
        <w:t xml:space="preserve">In the adaptation to the new functional landscape, banks are focusing on the reassessment and adjusting the business strategies and the models, which include their cost base, balance sheet, geographical presence and the scope in the activities. Some of the changes are ongoing and some of them are substantial, though some amount of the advanced banking system in the economy were confronted with the problems associated to the legacy and low profitability. The important finding for the evolution of the banking sectors are given below: </w:t>
      </w:r>
    </w:p>
    <w:p w:rsidR="0035696E" w:rsidRDefault="0035696E" w:rsidP="0035696E">
      <w:pPr>
        <w:pStyle w:val="NoSpacing"/>
        <w:numPr>
          <w:ilvl w:val="0"/>
          <w:numId w:val="16"/>
        </w:numPr>
        <w:suppressAutoHyphens w:val="0"/>
        <w:spacing w:line="360" w:lineRule="auto"/>
        <w:jc w:val="both"/>
        <w:rPr>
          <w:rFonts w:ascii="Times New Roman" w:hAnsi="Times New Roman" w:cs="Times New Roman"/>
        </w:rPr>
      </w:pPr>
      <w:r>
        <w:rPr>
          <w:rFonts w:ascii="Times New Roman" w:hAnsi="Times New Roman" w:cs="Times New Roman"/>
          <w:b/>
        </w:rPr>
        <w:t xml:space="preserve">Change in the structure of banking and the market capacity: </w:t>
      </w:r>
      <w:r>
        <w:rPr>
          <w:rFonts w:ascii="Times New Roman" w:hAnsi="Times New Roman" w:cs="Times New Roman"/>
        </w:rPr>
        <w:t xml:space="preserve">Many points of the capacity metrics points towards the shrinking of the sectors of banking which are relative to the economic activity in many parts of the countries which were directly impacted by the countries </w:t>
      </w:r>
      <w:r w:rsidRPr="0035696E">
        <w:rPr>
          <w:rFonts w:ascii="Times New Roman" w:hAnsi="Times New Roman" w:cs="Times New Roman"/>
          <w:color w:val="000000"/>
          <w:shd w:val="clear" w:color="auto" w:fill="FFFFFF"/>
        </w:rPr>
        <w:t xml:space="preserve">(Papangkorn </w:t>
      </w:r>
      <w:r w:rsidRPr="0035696E">
        <w:rPr>
          <w:rFonts w:ascii="Times New Roman" w:hAnsi="Times New Roman" w:cs="Times New Roman"/>
          <w:i/>
          <w:color w:val="000000"/>
          <w:shd w:val="clear" w:color="auto" w:fill="FFFFFF"/>
        </w:rPr>
        <w:t>et al</w:t>
      </w:r>
      <w:r w:rsidRPr="0035696E">
        <w:rPr>
          <w:rFonts w:ascii="Times New Roman" w:hAnsi="Times New Roman" w:cs="Times New Roman"/>
          <w:color w:val="000000"/>
          <w:shd w:val="clear" w:color="auto" w:fill="FFFFFF"/>
        </w:rPr>
        <w:t>. 2021)</w:t>
      </w:r>
      <w:r>
        <w:rPr>
          <w:rFonts w:ascii="Times New Roman" w:hAnsi="Times New Roman" w:cs="Times New Roman"/>
        </w:rPr>
        <w:t>. The main reason the adjustment occurred was by the reduction in the business volumes in place of the exit of the firms through the market. The countries which were less affected by the crisis were the main target for the banking sector, especially the large (EMEs) emerging market economies, hence the concentration of the banking sector increased gradually.</w:t>
      </w:r>
    </w:p>
    <w:p w:rsidR="0035696E" w:rsidRDefault="0035696E" w:rsidP="0035696E">
      <w:pPr>
        <w:pStyle w:val="NoSpacing"/>
        <w:numPr>
          <w:ilvl w:val="0"/>
          <w:numId w:val="16"/>
        </w:numPr>
        <w:suppressAutoHyphens w:val="0"/>
        <w:spacing w:line="360" w:lineRule="auto"/>
        <w:jc w:val="both"/>
        <w:rPr>
          <w:rFonts w:ascii="Times New Roman" w:hAnsi="Times New Roman" w:cs="Times New Roman"/>
        </w:rPr>
      </w:pPr>
      <w:r>
        <w:rPr>
          <w:rFonts w:ascii="Times New Roman" w:hAnsi="Times New Roman" w:cs="Times New Roman"/>
          <w:b/>
        </w:rPr>
        <w:t xml:space="preserve">Shifts in the business models of the banks: </w:t>
      </w:r>
      <w:r>
        <w:rPr>
          <w:rFonts w:ascii="Times New Roman" w:hAnsi="Times New Roman" w:cs="Times New Roman"/>
        </w:rPr>
        <w:t xml:space="preserve">Banks in the advanced economy have practiced to re-orient their firm away from more complicated activities and trading, and has bended towards less capital centered activities, which includes commercial banking. This was an important pattern in the changing of the bank’s portfolio of the assets, revenue mix, and the increment in the relying on the funding related to consumer deposit </w:t>
      </w:r>
      <w:r w:rsidRPr="0035696E">
        <w:rPr>
          <w:rFonts w:ascii="Times New Roman" w:hAnsi="Times New Roman" w:cs="Times New Roman"/>
          <w:color w:val="000000"/>
          <w:shd w:val="clear" w:color="auto" w:fill="FFFFFF"/>
        </w:rPr>
        <w:t xml:space="preserve">(Urso </w:t>
      </w:r>
      <w:r w:rsidRPr="0035696E">
        <w:rPr>
          <w:rFonts w:ascii="Times New Roman" w:hAnsi="Times New Roman" w:cs="Times New Roman"/>
          <w:i/>
          <w:color w:val="000000"/>
          <w:shd w:val="clear" w:color="auto" w:fill="FFFFFF"/>
        </w:rPr>
        <w:t>et al.</w:t>
      </w:r>
      <w:r w:rsidRPr="0035696E">
        <w:rPr>
          <w:rFonts w:ascii="Times New Roman" w:hAnsi="Times New Roman" w:cs="Times New Roman"/>
          <w:color w:val="000000"/>
          <w:shd w:val="clear" w:color="auto" w:fill="FFFFFF"/>
        </w:rPr>
        <w:t xml:space="preserve"> 2019)</w:t>
      </w:r>
      <w:r>
        <w:rPr>
          <w:rFonts w:ascii="Times New Roman" w:hAnsi="Times New Roman" w:cs="Times New Roman"/>
        </w:rPr>
        <w:t xml:space="preserve">. Large US and European banks have become more focused and selective in the foreign activities of the bank, on the other hand the banks from the big emerging market economies had focused on international expanding. </w:t>
      </w:r>
    </w:p>
    <w:p w:rsidR="0035696E" w:rsidRDefault="0035696E" w:rsidP="0035696E">
      <w:pPr>
        <w:pStyle w:val="NoSpacing"/>
        <w:numPr>
          <w:ilvl w:val="0"/>
          <w:numId w:val="16"/>
        </w:numPr>
        <w:suppressAutoHyphens w:val="0"/>
        <w:spacing w:line="360" w:lineRule="auto"/>
        <w:jc w:val="both"/>
        <w:rPr>
          <w:rFonts w:ascii="Times New Roman" w:hAnsi="Times New Roman" w:cs="Times New Roman"/>
        </w:rPr>
      </w:pPr>
      <w:r>
        <w:rPr>
          <w:rFonts w:ascii="Times New Roman" w:hAnsi="Times New Roman" w:cs="Times New Roman"/>
          <w:b/>
        </w:rPr>
        <w:t xml:space="preserve">Trends in the performance of the banks: </w:t>
      </w:r>
      <w:r>
        <w:rPr>
          <w:rFonts w:ascii="Times New Roman" w:hAnsi="Times New Roman" w:cs="Times New Roman"/>
        </w:rPr>
        <w:t xml:space="preserve">Return on equity of the banks were declining across the globe and the types of the business models which are of the high rates were seen prior to the crisis. Lower leverage was reflected and induced by the regulatory reforms </w:t>
      </w:r>
      <w:r w:rsidRPr="0035696E">
        <w:rPr>
          <w:rFonts w:ascii="Times New Roman" w:hAnsi="Times New Roman" w:cs="Times New Roman"/>
          <w:color w:val="000000"/>
          <w:shd w:val="clear" w:color="auto" w:fill="FFFFFF"/>
        </w:rPr>
        <w:t xml:space="preserve">(Dietrich </w:t>
      </w:r>
      <w:r w:rsidRPr="0035696E">
        <w:rPr>
          <w:rFonts w:ascii="Times New Roman" w:hAnsi="Times New Roman" w:cs="Times New Roman"/>
          <w:i/>
          <w:color w:val="000000"/>
          <w:shd w:val="clear" w:color="auto" w:fill="FFFFFF"/>
        </w:rPr>
        <w:t>et al.</w:t>
      </w:r>
      <w:r w:rsidRPr="0035696E">
        <w:rPr>
          <w:rFonts w:ascii="Times New Roman" w:hAnsi="Times New Roman" w:cs="Times New Roman"/>
          <w:color w:val="000000"/>
          <w:shd w:val="clear" w:color="auto" w:fill="FFFFFF"/>
        </w:rPr>
        <w:t xml:space="preserve"> 2020)</w:t>
      </w:r>
      <w:r>
        <w:rPr>
          <w:rFonts w:ascii="Times New Roman" w:hAnsi="Times New Roman" w:cs="Times New Roman"/>
        </w:rPr>
        <w:t xml:space="preserve">. In instance, many of the banks with the advanced economy in some of the European countries, faced slothful revenues and the general cost base which has been resistant in some of the cases. </w:t>
      </w:r>
    </w:p>
    <w:p w:rsidR="0035696E" w:rsidRDefault="0035696E" w:rsidP="0035696E">
      <w:pPr>
        <w:pStyle w:val="NoSpacing"/>
        <w:numPr>
          <w:ilvl w:val="0"/>
          <w:numId w:val="16"/>
        </w:numPr>
        <w:suppressAutoHyphens w:val="0"/>
        <w:spacing w:line="360" w:lineRule="auto"/>
        <w:jc w:val="both"/>
        <w:rPr>
          <w:rFonts w:ascii="Times New Roman" w:hAnsi="Times New Roman" w:cs="Times New Roman"/>
        </w:rPr>
      </w:pPr>
      <w:r>
        <w:rPr>
          <w:rFonts w:ascii="Times New Roman" w:hAnsi="Times New Roman" w:cs="Times New Roman"/>
          <w:b/>
        </w:rPr>
        <w:t xml:space="preserve">Resilience of banks and assessment of the risks: </w:t>
      </w:r>
      <w:r>
        <w:rPr>
          <w:rFonts w:ascii="Times New Roman" w:hAnsi="Times New Roman" w:cs="Times New Roman"/>
        </w:rPr>
        <w:t xml:space="preserve">Resilience of the banks have been increased globally to the risk in the future through significantly building up the liquidity buffers and the capital. The increase in the use of the stress testing by the banks and the supervisors post crisis has provided with a greater amount of resilience towards the basis of forward looking, which is helpful in supporting  the flow of credit in the bad and good times. In instance, banks of the advanced economy had been shifted towards more stable sources of funding and had invested in much safer and assets which are less complex </w:t>
      </w:r>
      <w:r w:rsidRPr="0035696E">
        <w:rPr>
          <w:rFonts w:ascii="Times New Roman" w:hAnsi="Times New Roman" w:cs="Times New Roman"/>
          <w:color w:val="000000"/>
          <w:shd w:val="clear" w:color="auto" w:fill="FFFFFF"/>
        </w:rPr>
        <w:t>(Rodden, 2023)</w:t>
      </w:r>
      <w:r>
        <w:rPr>
          <w:rFonts w:ascii="Times New Roman" w:hAnsi="Times New Roman" w:cs="Times New Roman"/>
        </w:rPr>
        <w:t xml:space="preserve">. Though some types of changes are difficult to assess, so it is better for the supervisors to point out the particular scope for the further improvements, in instance cause of inherent suspicions related to the evolution of the risk. </w:t>
      </w:r>
    </w:p>
    <w:p w:rsidR="00DD0BA5" w:rsidRDefault="00DD0BA5" w:rsidP="00C04C13">
      <w:pPr>
        <w:pStyle w:val="Heading1"/>
        <w:numPr>
          <w:ilvl w:val="0"/>
          <w:numId w:val="0"/>
        </w:numPr>
      </w:pPr>
      <w:bookmarkStart w:id="37" w:name="_Toc141203369"/>
      <w:r>
        <w:t>ANALYSIS OF IMPACT ON BUSINESS MODEL AND LEVEL OF COMPLIANCE TO REFORMS</w:t>
      </w:r>
      <w:bookmarkEnd w:id="37"/>
    </w:p>
    <w:p w:rsidR="00B05D2D" w:rsidRDefault="00B05D2D" w:rsidP="00B05D2D">
      <w:r>
        <w:t xml:space="preserve">On September 15, 2008, at 1:45 a.m., the Lehman Brothers filed the bankruptcy petition in the bankruptcy court of the United States in the Southern district of the New York. It was one of the biggest proceeding of bankruptcy in the history of United States. The firm was 164 year old and was the fourth largest investment bank of the United States, and its bankruptcy was the start of the financial crisis globally (Lioudis, 2019). High influenced business model was used by the Lehman Brothers, which was required to invest heavily in the subprime mortgages and real estate high risk. Lehman was not able to raise the required cash to stay in the business when the markets turned down. </w:t>
      </w:r>
    </w:p>
    <w:p w:rsidR="00B05D2D" w:rsidRDefault="00B05D2D" w:rsidP="00B05D2D">
      <w:r>
        <w:t xml:space="preserve">The United States secretary of treasury Hank Paulson and the chairman of the Federal </w:t>
      </w:r>
      <w:r w:rsidR="00114C45">
        <w:t>Reserve</w:t>
      </w:r>
      <w:r>
        <w:t xml:space="preserve"> Ben Bernanke grew the concerned over the potential Lehman brother’s bankruptcy in March, 2008. It was that after the Federal Reserve rescued Bear Stearns </w:t>
      </w:r>
      <w:r w:rsidR="00114C45">
        <w:t>investment bank. Though the Leh</w:t>
      </w:r>
      <w:r>
        <w:t>m</w:t>
      </w:r>
      <w:r w:rsidR="00114C45">
        <w:t>a</w:t>
      </w:r>
      <w:r>
        <w:t xml:space="preserve">n brothers was not nationalised because it was an investment bank, and because of that no federal regulator was able to take it over, such as the FDIC. The Federal </w:t>
      </w:r>
      <w:r w:rsidR="00114C45">
        <w:t>Reserve</w:t>
      </w:r>
      <w:r>
        <w:t xml:space="preserve"> was not in the condition to guarantee a loan to the Lehman Brothers, as in turn they were left with minimum amount of assets to secure (Kumar, 2021). Downfall in both exports to the US and the spending on the consumers brutally affected the exchange o the goods, growth of the jobs, and its manufacturing in both Asia and Europe. </w:t>
      </w:r>
    </w:p>
    <w:p w:rsidR="00B05D2D" w:rsidRDefault="00B05D2D" w:rsidP="00B05D2D">
      <w:r>
        <w:t xml:space="preserve">Liquidation of the Lehman Brothers was supposed to cause some amount of devaluation in the cost of the land of the business. The possibility for the Lehman’s dollar 4.3 billion in the contract protections were getting sold and ignited a sell off (CMBS) commercial mortgage backed securities. Additional amount of pressure in the business land was dreaded as Lehman brothers drew close to exchanging their resources. Pressure was felt by the investors in the buildings and apartments to sell as the Lehman brothers unloaded their debts and the prices of the equity pieces of dollar 22 billion buying of the </w:t>
      </w:r>
      <w:r w:rsidR="00114C45">
        <w:t>Arch stone</w:t>
      </w:r>
      <w:r>
        <w:t xml:space="preserve">. The bank of the New York melon commented that the Lehman’s assets are isolate by its fund in the separate composition.  The assets were accounted for about 1.13% out of its total fund, dollar 785 million of its holding were owned by the (PRF) Primary Reserve </w:t>
      </w:r>
      <w:r w:rsidR="00114C45">
        <w:t>Funds</w:t>
      </w:r>
      <w:r>
        <w:t xml:space="preserve">, which was written in the commercial paper of the Lehman’s. </w:t>
      </w:r>
    </w:p>
    <w:p w:rsidR="00B05D2D" w:rsidRDefault="00B05D2D" w:rsidP="00B05D2D">
      <w:r>
        <w:t xml:space="preserve">In the attempt for meeting their own finance needs, the Lehman brothers hedged the funds of their clients which were for utilizing their prime services of brokerage. The bank took on too so much risk in the absence of its consequent capacity to raise the cash quickly. In the year 2008, it had about dollar 639 billion as the form of assets, which were more than enough for covering the debt of dollar 613 billion, but it was difficult for them to sell these assets. With this reason the Lehman brothers was not able to sell them for the purpose of raising the required amount of fund, and that problem of cash flow was the reason behind its bankruptcy (Kuykendall, 2023). The chief risk officer of Lehman commented that many of the strategies related to the management of the risk were ignored by the top tier management. They wanted to use the high risk strategies with the aim of staying ahead of the competitors and it was assume that the company will never fail and is too smart. </w:t>
      </w:r>
    </w:p>
    <w:p w:rsidR="00B05D2D" w:rsidRDefault="00B05D2D" w:rsidP="00B05D2D">
      <w:r>
        <w:t xml:space="preserve">The firm was overconfident and relied on complicated monetary products which were based quick growth of real estate, like the market of real estate started to decline. The reforms in the advanced economy have practiced to re-orient their firm away from more complicated activities and trading, and has bended towards less capital centered activities, which includes commercial banking. In the year 2000 – 2006 the revenue of the company grew for about 130%, which was thanks to the early success of the mortgage backed securities. From 2003 – 2004, the Lehman brothers purchased 5 mortgage lenders which permitted them to underwrite and originate subprime finances with the aim of increasing its profitability. In the year 2006, in March, the Lehman brothers in place of selling them on instance, they decided to keep it with them in the books. The management thought that they would make huge amount of money by owning to these assets, but it turned out as a fail, as the prices of the real estate started falling.  </w:t>
      </w:r>
    </w:p>
    <w:p w:rsidR="00B05D2D" w:rsidRDefault="00B05D2D" w:rsidP="00B05D2D">
      <w:r>
        <w:t xml:space="preserve">The level of the administration applied by the national establishment should be in proportion to the probable undermining peril which such types of firms have in their own familial monetary structure, as well as for the enormous international monetary structure. Other regulators and the (SEC) Securities and Exchange </w:t>
      </w:r>
      <w:r w:rsidR="00114C45">
        <w:t>Commission</w:t>
      </w:r>
      <w:r>
        <w:t xml:space="preserve"> did not took any action. As </w:t>
      </w:r>
      <w:r w:rsidR="00114C45">
        <w:t>in the</w:t>
      </w:r>
      <w:r>
        <w:t xml:space="preserve"> early 2007, the Securities and Exchange </w:t>
      </w:r>
      <w:r w:rsidR="00114C45">
        <w:t>Commission</w:t>
      </w:r>
      <w:r>
        <w:t xml:space="preserve"> knew that the Lehman brothers are taking huge amount of risk, but it was not never required by the agency that the Lehman had to do anything related to it (Abreu, 2020). The firm also did not disclose it publicly that bank has exceeded its limits of risk. </w:t>
      </w:r>
    </w:p>
    <w:p w:rsidR="00B05D2D" w:rsidRDefault="00B05D2D" w:rsidP="00B05D2D">
      <w:r>
        <w:t xml:space="preserve">The compliance with the reforms was helpful as it mandated them with the with the business models. The bank of the New York park melon commented that the Lehman’s assets are segregate by it is subsidize in the separate composition.  The assets were accounted for about 4.13% out of its total finance, dollar 785 million of its holding were owned by the (CRF) Corporate Reserve Funds, which is present in the primary commercial paper of the Lehman’s. In the year 2008, on September 2008, Bernanke and Paulson met with the leaders of the congress with the aim to explain the credit markets are only a few weeks away from the meltdown (Gaspar, 2020). Dollars for about 700 billion were asked by them for the purpose of bailing out the banks, which will automatically allow Treasury department for purchasing the shares of the trouble bank, as it was the fastest way for injecting the capital in the frozen monetary system. </w:t>
      </w:r>
    </w:p>
    <w:p w:rsidR="00B05D2D" w:rsidRDefault="00B05D2D" w:rsidP="00B05D2D">
      <w:r>
        <w:t xml:space="preserve">The government of the Hong Kong put forward a plan to purchasing back the investments on their present approximate value, which will in turn allow the investors so that they can partially recovers some amount of their losses by the end of the year. The reforms in the advanced economy have practiced to re-orient their firm away from more complicated activities and trading, and has bended towards less capital centred activities, which includes commercial banking. Donald Tsang the chief executive of Hong Kong insisted that the response by the local banks were swift to the proposal of buy back by the government, as more than sixteen thousand complaints were received by the Monetary Authority (Ansell, 2019). Donald Tsang agreed to purchase back the securities on some of the methodologies which were based on the estimated present value. </w:t>
      </w:r>
    </w:p>
    <w:p w:rsidR="00B05D2D" w:rsidRPr="00B05D2D" w:rsidRDefault="00B05D2D" w:rsidP="00B05D2D">
      <w:r>
        <w:t xml:space="preserve">The Federal Reserve was not in the situation to guarantee a credit to the Lehman Brothers, as in turn they were left with smallest amount of property to protect. Breakdown in both exports to the US and the payments on the patrons brutally affected the trade of the goods, expansion of the jobs, and it is built-up in both Asia and Europe (Fleiss, 2022). At the time of the proceeding of the bankruptcy a lawyer from the Royal bank of Scotland commented that the Mizuho trust was facing dollar 1.5 billion to dollar 1.8 billion against the Lehman brothers, which was not fully based the guarantee which was not secured from the Lehman and was connected to the losses trading with the subsidiaries of the Lehman (Martin Bienenstock). In the year 2008, on September 29, the proposal was </w:t>
      </w:r>
      <w:r w:rsidR="00CA5946">
        <w:t>banned</w:t>
      </w:r>
      <w:r>
        <w:t xml:space="preserve"> by the congress, and that send the points to down by 777.68, the highest in any of the single day in the history till 2018.</w:t>
      </w:r>
    </w:p>
    <w:p w:rsidR="0024023F" w:rsidRPr="0024023F" w:rsidRDefault="0024023F" w:rsidP="0024023F">
      <w:pPr>
        <w:shd w:val="clear" w:color="auto" w:fill="FFFFFF"/>
        <w:suppressAutoHyphens w:val="0"/>
        <w:spacing w:line="0" w:lineRule="auto"/>
        <w:jc w:val="left"/>
        <w:rPr>
          <w:rFonts w:ascii="ff2" w:eastAsia="Times New Roman" w:hAnsi="ff2"/>
          <w:spacing w:val="1"/>
          <w:sz w:val="72"/>
          <w:szCs w:val="72"/>
          <w:lang w:val="en-US" w:eastAsia="en-US"/>
        </w:rPr>
      </w:pPr>
      <w:r w:rsidRPr="0024023F">
        <w:rPr>
          <w:rFonts w:ascii="ff2" w:eastAsia="Times New Roman" w:hAnsi="ff2"/>
          <w:spacing w:val="1"/>
          <w:sz w:val="72"/>
          <w:szCs w:val="72"/>
          <w:lang w:val="en-US" w:eastAsia="en-US"/>
        </w:rPr>
        <w:t>n market societies economic exchange require</w:t>
      </w:r>
      <w:r w:rsidRPr="0024023F">
        <w:rPr>
          <w:rFonts w:ascii="ff2" w:eastAsia="Times New Roman" w:hAnsi="ff2"/>
          <w:sz w:val="72"/>
          <w:szCs w:val="72"/>
          <w:lang w:val="en-US" w:eastAsia="en-US"/>
        </w:rPr>
        <w:t xml:space="preserve">s the existence and enforcement of rules that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the market cannot generate itself. Although the dimensions and limits of state intervention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have always been a matter of debate, it is indisputable that certain rules need to be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implemented for an economy to function properly and contribute to the common good.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Consequently, many theories of society assume </w:t>
      </w:r>
      <w:r w:rsidRPr="0024023F">
        <w:rPr>
          <w:rFonts w:ascii="ff2" w:eastAsia="Times New Roman" w:hAnsi="ff2"/>
          <w:spacing w:val="1"/>
          <w:sz w:val="72"/>
          <w:szCs w:val="72"/>
          <w:lang w:val="en-US" w:eastAsia="en-US"/>
        </w:rPr>
        <w:t xml:space="preserve">that these rules will be created and enforced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by national states. In this scenario the state determines formal regulations and delineates the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 xml:space="preserve">sphere of private freedom within which individual citizens and private businesses are entitled </w:t>
      </w:r>
    </w:p>
    <w:p w:rsidR="0024023F" w:rsidRPr="0024023F" w:rsidRDefault="0024023F" w:rsidP="0024023F">
      <w:pPr>
        <w:shd w:val="clear" w:color="auto" w:fill="FFFFFF"/>
        <w:suppressAutoHyphens w:val="0"/>
        <w:spacing w:line="0" w:lineRule="auto"/>
        <w:jc w:val="left"/>
        <w:rPr>
          <w:rFonts w:ascii="ff2" w:eastAsia="Times New Roman" w:hAnsi="ff2"/>
          <w:sz w:val="72"/>
          <w:szCs w:val="72"/>
          <w:lang w:val="en-US" w:eastAsia="en-US"/>
        </w:rPr>
      </w:pPr>
      <w:r w:rsidRPr="0024023F">
        <w:rPr>
          <w:rFonts w:ascii="ff2" w:eastAsia="Times New Roman" w:hAnsi="ff2"/>
          <w:sz w:val="72"/>
          <w:szCs w:val="72"/>
          <w:lang w:val="en-US" w:eastAsia="en-US"/>
        </w:rPr>
        <w:t>to conclude contracts and pursue their private interests.</w:t>
      </w:r>
    </w:p>
    <w:p w:rsidR="0000132F" w:rsidRDefault="004524F3" w:rsidP="00B679C9">
      <w:pPr>
        <w:pStyle w:val="Heading1"/>
      </w:pPr>
      <w:bookmarkStart w:id="38" w:name="_Toc84255147"/>
      <w:bookmarkStart w:id="39" w:name="_Toc124191394"/>
      <w:bookmarkStart w:id="40" w:name="_Toc141203370"/>
      <w:r>
        <w:t>CONCLUSIO</w:t>
      </w:r>
      <w:bookmarkEnd w:id="38"/>
      <w:r>
        <w:t>N</w:t>
      </w:r>
      <w:bookmarkEnd w:id="39"/>
      <w:bookmarkEnd w:id="40"/>
    </w:p>
    <w:p w:rsidR="00114C45" w:rsidRPr="00114C45" w:rsidRDefault="00114C45" w:rsidP="00114C45">
      <w:r>
        <w:t>It is</w:t>
      </w:r>
      <w:r w:rsidRPr="00114C45">
        <w:t xml:space="preserve"> concluded from the above analysis that, the universal financial crisis was the time of brutal stress in the global finance market and the banking system it the mid-2007 and in early 2009. Big advanced economies experienced the greatest recession after in the year 1930, and many people lost their jobs. By the effect of this the Dodd Frank act was introduced with the aim to never let this type of monetary crisis happen again. Passed on by the Congress and signed into the law by President, Barack Obama in 2010, in the month of July. Certain rules and reforms were also introduced for overcoming the financial crisis and with the aim of making sure that this type of crisis never happens again. Those policies were an imperative part of the G20 presidency and therefore the primary aim for a sustainable, strong and impartial growth. Several measures were introduced by the government with the aim of supporting the real economy. The Lehman Brothers filed the bankruptcy petition in the bankruptcy court of the United States in the Southern district of the New York. It was one of the biggest proceeding of bankruptcy in the history of United States and one of the main reason for the happening of the financial crisis 2008.</w:t>
      </w:r>
    </w:p>
    <w:p w:rsidR="00806E9E" w:rsidRDefault="004524F3">
      <w:pPr>
        <w:pStyle w:val="Heading1"/>
        <w:pageBreakBefore/>
        <w:rPr>
          <w:color w:val="auto"/>
          <w:u w:val="single"/>
        </w:rPr>
      </w:pPr>
      <w:bookmarkStart w:id="41" w:name="_Toc84255155"/>
      <w:bookmarkStart w:id="42" w:name="_Toc124191395"/>
      <w:bookmarkStart w:id="43" w:name="_Toc141203371"/>
      <w:r>
        <w:rPr>
          <w:color w:val="auto"/>
        </w:rPr>
        <w:t>R</w:t>
      </w:r>
      <w:bookmarkEnd w:id="14"/>
      <w:bookmarkEnd w:id="15"/>
      <w:bookmarkEnd w:id="16"/>
      <w:bookmarkEnd w:id="17"/>
      <w:bookmarkEnd w:id="18"/>
      <w:bookmarkEnd w:id="19"/>
      <w:bookmarkEnd w:id="20"/>
      <w:bookmarkEnd w:id="21"/>
      <w:bookmarkEnd w:id="22"/>
      <w:bookmarkEnd w:id="23"/>
      <w:bookmarkEnd w:id="24"/>
      <w:bookmarkEnd w:id="25"/>
      <w:bookmarkEnd w:id="26"/>
      <w:r>
        <w:rPr>
          <w:color w:val="auto"/>
        </w:rPr>
        <w:t>EFERENCES</w:t>
      </w:r>
      <w:bookmarkEnd w:id="27"/>
      <w:bookmarkEnd w:id="41"/>
      <w:bookmarkEnd w:id="42"/>
      <w:bookmarkEnd w:id="43"/>
    </w:p>
    <w:p w:rsidR="009774E8" w:rsidRDefault="00560000" w:rsidP="00965668">
      <w:pPr>
        <w:tabs>
          <w:tab w:val="left" w:pos="2880"/>
        </w:tabs>
        <w:rPr>
          <w:color w:val="auto"/>
          <w:u w:val="single"/>
        </w:rPr>
      </w:pPr>
      <w:r>
        <w:rPr>
          <w:color w:val="auto"/>
          <w:u w:val="single"/>
        </w:rPr>
        <w:t>Books and Journals</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Abreu, M.K., 2020. Exploring the Collapse of Lehman Brothers and the Bailout that Never Happened. </w:t>
      </w:r>
      <w:r w:rsidRPr="007F4570">
        <w:rPr>
          <w:rFonts w:ascii="Times New Roman" w:hAnsi="Times New Roman" w:cs="Times New Roman"/>
          <w:i/>
          <w:iCs/>
          <w:color w:val="222222"/>
          <w:shd w:val="clear" w:color="auto" w:fill="FFFFFF"/>
        </w:rPr>
        <w:t>Available at SSRN 3911777</w:t>
      </w:r>
      <w:r w:rsidRPr="007F4570">
        <w:rPr>
          <w:rFonts w:ascii="Times New Roman" w:hAnsi="Times New Roman" w:cs="Times New Roman"/>
          <w:color w:val="222222"/>
          <w:shd w:val="clear" w:color="auto" w:fill="FFFFFF"/>
        </w:rPr>
        <w:t>.</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Anginer, D.,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2019. Bank regulation and supervision ten years after the global financial crisis. </w:t>
      </w:r>
      <w:r w:rsidRPr="007F4570">
        <w:rPr>
          <w:rFonts w:ascii="Times New Roman" w:hAnsi="Times New Roman" w:cs="Times New Roman"/>
          <w:i/>
          <w:iCs/>
          <w:color w:val="222222"/>
          <w:shd w:val="clear" w:color="auto" w:fill="FFFFFF"/>
        </w:rPr>
        <w:t>World Bank Policy Research Working Paper</w:t>
      </w:r>
      <w:r w:rsidRPr="007F4570">
        <w:rPr>
          <w:rFonts w:ascii="Times New Roman" w:hAnsi="Times New Roman" w:cs="Times New Roman"/>
          <w:color w:val="222222"/>
          <w:shd w:val="clear" w:color="auto" w:fill="FFFFFF"/>
        </w:rPr>
        <w:t>, (9044).</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Ansell, C. and Bartenberger, M., 2019. The collapse of Lehman Brothers and the rescue of AIG. In </w:t>
      </w:r>
      <w:r w:rsidRPr="007F4570">
        <w:rPr>
          <w:rFonts w:ascii="Times New Roman" w:hAnsi="Times New Roman" w:cs="Times New Roman"/>
          <w:i/>
          <w:iCs/>
          <w:color w:val="222222"/>
          <w:shd w:val="clear" w:color="auto" w:fill="FFFFFF"/>
        </w:rPr>
        <w:t>Pragmatism and Political Crisis Management</w:t>
      </w:r>
      <w:r w:rsidRPr="007F4570">
        <w:rPr>
          <w:rFonts w:ascii="Times New Roman" w:hAnsi="Times New Roman" w:cs="Times New Roman"/>
          <w:color w:val="222222"/>
          <w:shd w:val="clear" w:color="auto" w:fill="FFFFFF"/>
        </w:rPr>
        <w:t> (pp. 122-151). Edward Elgar Publishing.</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Bernanke, B.S.,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2019. </w:t>
      </w:r>
      <w:r w:rsidRPr="007F4570">
        <w:rPr>
          <w:rFonts w:ascii="Times New Roman" w:hAnsi="Times New Roman" w:cs="Times New Roman"/>
          <w:i/>
          <w:iCs/>
          <w:color w:val="222222"/>
          <w:shd w:val="clear" w:color="auto" w:fill="FFFFFF"/>
        </w:rPr>
        <w:t>Firefighting: the financial crisis and its lessons</w:t>
      </w:r>
      <w:r w:rsidRPr="007F4570">
        <w:rPr>
          <w:rFonts w:ascii="Times New Roman" w:hAnsi="Times New Roman" w:cs="Times New Roman"/>
          <w:color w:val="222222"/>
          <w:shd w:val="clear" w:color="auto" w:fill="FFFFFF"/>
        </w:rPr>
        <w:t>. Penguin.</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Brem, A.,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2020. The impact of the 2008 financial crisis on innovation: A dominant design perspective. </w:t>
      </w:r>
      <w:r w:rsidRPr="007F4570">
        <w:rPr>
          <w:rFonts w:ascii="Times New Roman" w:hAnsi="Times New Roman" w:cs="Times New Roman"/>
          <w:i/>
          <w:iCs/>
          <w:color w:val="222222"/>
          <w:shd w:val="clear" w:color="auto" w:fill="FFFFFF"/>
        </w:rPr>
        <w:t>Journal of Business Research</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110</w:t>
      </w:r>
      <w:r w:rsidRPr="007F4570">
        <w:rPr>
          <w:rFonts w:ascii="Times New Roman" w:hAnsi="Times New Roman" w:cs="Times New Roman"/>
          <w:color w:val="222222"/>
          <w:shd w:val="clear" w:color="auto" w:fill="FFFFFF"/>
        </w:rPr>
        <w:t>, pp.360-369.</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Christensen, R.C. and Hearson, M., 2019. The new politics of global tax governance: Taking stock a decade after the financial crisis. </w:t>
      </w:r>
      <w:r w:rsidRPr="007F4570">
        <w:rPr>
          <w:rFonts w:ascii="Times New Roman" w:hAnsi="Times New Roman" w:cs="Times New Roman"/>
          <w:i/>
          <w:iCs/>
          <w:color w:val="222222"/>
          <w:shd w:val="clear" w:color="auto" w:fill="FFFFFF"/>
        </w:rPr>
        <w:t>Review of International Political Economy</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26</w:t>
      </w:r>
      <w:r w:rsidRPr="007F4570">
        <w:rPr>
          <w:rFonts w:ascii="Times New Roman" w:hAnsi="Times New Roman" w:cs="Times New Roman"/>
          <w:color w:val="222222"/>
          <w:shd w:val="clear" w:color="auto" w:fill="FFFFFF"/>
        </w:rPr>
        <w:t xml:space="preserve">(5), pp.1068-1088 </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Crouch, C., 2020. </w:t>
      </w:r>
      <w:r w:rsidRPr="007F4570">
        <w:rPr>
          <w:rFonts w:ascii="Times New Roman" w:hAnsi="Times New Roman" w:cs="Times New Roman"/>
          <w:i/>
          <w:iCs/>
          <w:color w:val="222222"/>
          <w:shd w:val="clear" w:color="auto" w:fill="FFFFFF"/>
        </w:rPr>
        <w:t>Post-democracy after the crises</w:t>
      </w:r>
      <w:r w:rsidRPr="007F4570">
        <w:rPr>
          <w:rFonts w:ascii="Times New Roman" w:hAnsi="Times New Roman" w:cs="Times New Roman"/>
          <w:color w:val="222222"/>
          <w:shd w:val="clear" w:color="auto" w:fill="FFFFFF"/>
        </w:rPr>
        <w:t>. John Wiley &amp; Sons.</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De la Porte, C. and Jensen, M.D., 2021. The next generation EU: An analysis of the dimensions of conflict behind the deal. </w:t>
      </w:r>
      <w:r w:rsidRPr="007F4570">
        <w:rPr>
          <w:rFonts w:ascii="Times New Roman" w:hAnsi="Times New Roman" w:cs="Times New Roman"/>
          <w:i/>
          <w:iCs/>
          <w:color w:val="222222"/>
          <w:shd w:val="clear" w:color="auto" w:fill="FFFFFF"/>
        </w:rPr>
        <w:t>Social Policy &amp; Administration</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55</w:t>
      </w:r>
      <w:r w:rsidRPr="007F4570">
        <w:rPr>
          <w:rFonts w:ascii="Times New Roman" w:hAnsi="Times New Roman" w:cs="Times New Roman"/>
          <w:color w:val="222222"/>
          <w:shd w:val="clear" w:color="auto" w:fill="FFFFFF"/>
        </w:rPr>
        <w:t>(2), pp.388-402.</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Dietrich, J.,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2020. Small business lending and the Great Recession. </w:t>
      </w:r>
      <w:r w:rsidRPr="007F4570">
        <w:rPr>
          <w:rFonts w:ascii="Times New Roman" w:hAnsi="Times New Roman" w:cs="Times New Roman"/>
          <w:i/>
          <w:iCs/>
          <w:color w:val="222222"/>
          <w:shd w:val="clear" w:color="auto" w:fill="FFFFFF"/>
        </w:rPr>
        <w:t>Consumer Financial Protection Bureau Office of Research Reports Series</w:t>
      </w:r>
      <w:r w:rsidRPr="007F4570">
        <w:rPr>
          <w:rFonts w:ascii="Times New Roman" w:hAnsi="Times New Roman" w:cs="Times New Roman"/>
          <w:color w:val="222222"/>
          <w:shd w:val="clear" w:color="auto" w:fill="FFFFFF"/>
        </w:rPr>
        <w:t>, (20-1).</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Eichengreen, B., 2019. </w:t>
      </w:r>
      <w:r w:rsidRPr="007F4570">
        <w:rPr>
          <w:rFonts w:ascii="Times New Roman" w:hAnsi="Times New Roman" w:cs="Times New Roman"/>
          <w:i/>
          <w:iCs/>
          <w:color w:val="222222"/>
          <w:shd w:val="clear" w:color="auto" w:fill="FFFFFF"/>
        </w:rPr>
        <w:t>Globalizing capital: a history of the international monetary system</w:t>
      </w:r>
      <w:r w:rsidRPr="007F4570">
        <w:rPr>
          <w:rFonts w:ascii="Times New Roman" w:hAnsi="Times New Roman" w:cs="Times New Roman"/>
          <w:color w:val="222222"/>
          <w:shd w:val="clear" w:color="auto" w:fill="FFFFFF"/>
        </w:rPr>
        <w:t>. Princeton University Press.</w:t>
      </w:r>
    </w:p>
    <w:p w:rsidR="0031442B" w:rsidRPr="0031442B"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Fleiss, A. and Kumaar, A., 2022. Why Was Long Term Capital Management (LTCM) Saved By The Government And Lehman Brothers Left To Fail?. </w:t>
      </w:r>
      <w:r w:rsidRPr="007F4570">
        <w:rPr>
          <w:rFonts w:ascii="Times New Roman" w:hAnsi="Times New Roman" w:cs="Times New Roman"/>
          <w:i/>
          <w:iCs/>
          <w:color w:val="222222"/>
          <w:shd w:val="clear" w:color="auto" w:fill="FFFFFF"/>
        </w:rPr>
        <w:t>Available at SSRN 4045798</w:t>
      </w:r>
      <w:r w:rsidRPr="007F4570">
        <w:rPr>
          <w:rFonts w:ascii="Times New Roman" w:hAnsi="Times New Roman" w:cs="Times New Roman"/>
          <w:color w:val="222222"/>
          <w:shd w:val="clear" w:color="auto" w:fill="FFFFFF"/>
        </w:rPr>
        <w:t>.</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Gaspar, R.S.N., 2020. </w:t>
      </w:r>
      <w:r w:rsidRPr="007F4570">
        <w:rPr>
          <w:rFonts w:ascii="Times New Roman" w:hAnsi="Times New Roman" w:cs="Times New Roman"/>
          <w:i/>
          <w:iCs/>
          <w:color w:val="222222"/>
          <w:shd w:val="clear" w:color="auto" w:fill="FFFFFF"/>
        </w:rPr>
        <w:t>The failure of Lehman Brothers: how did the collapse affect the banking system in the US?</w:t>
      </w:r>
      <w:r w:rsidRPr="007F4570">
        <w:rPr>
          <w:rFonts w:ascii="Times New Roman" w:hAnsi="Times New Roman" w:cs="Times New Roman"/>
          <w:color w:val="222222"/>
          <w:shd w:val="clear" w:color="auto" w:fill="FFFFFF"/>
        </w:rPr>
        <w:t> (Doctoral dissertation).</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Goldman, J., 2020. Government as customer of last resort: The stabilizing effects of government purchases on firms. </w:t>
      </w:r>
      <w:r w:rsidRPr="007F4570">
        <w:rPr>
          <w:rFonts w:ascii="Times New Roman" w:hAnsi="Times New Roman" w:cs="Times New Roman"/>
          <w:i/>
          <w:iCs/>
          <w:color w:val="222222"/>
          <w:shd w:val="clear" w:color="auto" w:fill="FFFFFF"/>
        </w:rPr>
        <w:t>The Review of Financial Studies</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33</w:t>
      </w:r>
      <w:r w:rsidRPr="007F4570">
        <w:rPr>
          <w:rFonts w:ascii="Times New Roman" w:hAnsi="Times New Roman" w:cs="Times New Roman"/>
          <w:color w:val="222222"/>
          <w:shd w:val="clear" w:color="auto" w:fill="FFFFFF"/>
        </w:rPr>
        <w:t>(2), pp.610-643.</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Kadi, J.,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2021. Post-neoliberal housing policy? Disentangling recent reforms in New York, Berlin and Vienna. </w:t>
      </w:r>
      <w:r w:rsidRPr="007F4570">
        <w:rPr>
          <w:rFonts w:ascii="Times New Roman" w:hAnsi="Times New Roman" w:cs="Times New Roman"/>
          <w:i/>
          <w:iCs/>
          <w:color w:val="222222"/>
          <w:shd w:val="clear" w:color="auto" w:fill="FFFFFF"/>
        </w:rPr>
        <w:t>European Urban and Regional Studies</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28</w:t>
      </w:r>
      <w:r w:rsidRPr="007F4570">
        <w:rPr>
          <w:rFonts w:ascii="Times New Roman" w:hAnsi="Times New Roman" w:cs="Times New Roman"/>
          <w:color w:val="222222"/>
          <w:shd w:val="clear" w:color="auto" w:fill="FFFFFF"/>
        </w:rPr>
        <w:t>(4), pp.353-374.</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Kalaycı, İ. and Hatice, Ö.Ç., 2023. The great recession that trapped Latin America in 2008. </w:t>
      </w:r>
      <w:r w:rsidRPr="007F4570">
        <w:rPr>
          <w:rFonts w:ascii="Times New Roman" w:hAnsi="Times New Roman" w:cs="Times New Roman"/>
          <w:i/>
          <w:iCs/>
          <w:color w:val="222222"/>
          <w:shd w:val="clear" w:color="auto" w:fill="FFFFFF"/>
        </w:rPr>
        <w:t>Scientific Collection «InterConf»</w:t>
      </w:r>
      <w:r w:rsidRPr="007F4570">
        <w:rPr>
          <w:rFonts w:ascii="Times New Roman" w:hAnsi="Times New Roman" w:cs="Times New Roman"/>
          <w:color w:val="222222"/>
          <w:shd w:val="clear" w:color="auto" w:fill="FFFFFF"/>
        </w:rPr>
        <w:t>, (154), pp.59-64.</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Kumar, S. and Baag, P.K., 2021. Ethics Erosion in Capital Market: Lehman Brothers’ Case Study of Repo 105. </w:t>
      </w:r>
      <w:r w:rsidRPr="007F4570">
        <w:rPr>
          <w:rFonts w:ascii="Times New Roman" w:hAnsi="Times New Roman" w:cs="Times New Roman"/>
          <w:i/>
          <w:iCs/>
          <w:color w:val="222222"/>
          <w:shd w:val="clear" w:color="auto" w:fill="FFFFFF"/>
        </w:rPr>
        <w:t>AIMS-18, March</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4</w:t>
      </w:r>
      <w:r w:rsidRPr="007F4570">
        <w:rPr>
          <w:rFonts w:ascii="Times New Roman" w:hAnsi="Times New Roman" w:cs="Times New Roman"/>
          <w:color w:val="222222"/>
          <w:shd w:val="clear" w:color="auto" w:fill="FFFFFF"/>
        </w:rPr>
        <w:t>.</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Kuykendall, M. and LeRoy, L., 2023. The Collapse of Lehman Brothers and the Economic Fallout.</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Laeven, L. and Valencia, F., 2020. Systemic banking crises database II. </w:t>
      </w:r>
      <w:r w:rsidRPr="007F4570">
        <w:rPr>
          <w:rFonts w:ascii="Times New Roman" w:hAnsi="Times New Roman" w:cs="Times New Roman"/>
          <w:i/>
          <w:iCs/>
          <w:color w:val="222222"/>
          <w:shd w:val="clear" w:color="auto" w:fill="FFFFFF"/>
        </w:rPr>
        <w:t>IMF Economic Review</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68</w:t>
      </w:r>
      <w:r w:rsidRPr="007F4570">
        <w:rPr>
          <w:rFonts w:ascii="Times New Roman" w:hAnsi="Times New Roman" w:cs="Times New Roman"/>
          <w:color w:val="222222"/>
          <w:shd w:val="clear" w:color="auto" w:fill="FFFFFF"/>
        </w:rPr>
        <w:t>, pp.307-361.</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Lioudis, N., 2019. The collapse of Lehman Brothers: A case study. </w:t>
      </w:r>
      <w:r w:rsidRPr="007F4570">
        <w:rPr>
          <w:rFonts w:ascii="Times New Roman" w:hAnsi="Times New Roman" w:cs="Times New Roman"/>
          <w:i/>
          <w:iCs/>
          <w:color w:val="222222"/>
          <w:shd w:val="clear" w:color="auto" w:fill="FFFFFF"/>
        </w:rPr>
        <w:t>Journal of Investment Banking</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11</w:t>
      </w:r>
      <w:r w:rsidRPr="007F4570">
        <w:rPr>
          <w:rFonts w:ascii="Times New Roman" w:hAnsi="Times New Roman" w:cs="Times New Roman"/>
          <w:color w:val="222222"/>
          <w:shd w:val="clear" w:color="auto" w:fill="FFFFFF"/>
        </w:rPr>
        <w:t>(1), pp.34-36.</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Milanovic, B., 2022. After the financial crisis: the evolution of the global income distribution between 2008 and 2013. </w:t>
      </w:r>
      <w:r w:rsidRPr="007F4570">
        <w:rPr>
          <w:rFonts w:ascii="Times New Roman" w:hAnsi="Times New Roman" w:cs="Times New Roman"/>
          <w:i/>
          <w:iCs/>
          <w:color w:val="222222"/>
          <w:shd w:val="clear" w:color="auto" w:fill="FFFFFF"/>
        </w:rPr>
        <w:t>Review of Income and Wealth</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68</w:t>
      </w:r>
      <w:r w:rsidRPr="007F4570">
        <w:rPr>
          <w:rFonts w:ascii="Times New Roman" w:hAnsi="Times New Roman" w:cs="Times New Roman"/>
          <w:color w:val="222222"/>
          <w:shd w:val="clear" w:color="auto" w:fill="FFFFFF"/>
        </w:rPr>
        <w:t>(1), pp.43-73.</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Papangkorn, S.,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2021. Female directors and firm performance: Evidence from the Great Recession. </w:t>
      </w:r>
      <w:r w:rsidRPr="007F4570">
        <w:rPr>
          <w:rFonts w:ascii="Times New Roman" w:hAnsi="Times New Roman" w:cs="Times New Roman"/>
          <w:i/>
          <w:iCs/>
          <w:color w:val="222222"/>
          <w:shd w:val="clear" w:color="auto" w:fill="FFFFFF"/>
        </w:rPr>
        <w:t>International Review of Finance</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21</w:t>
      </w:r>
      <w:r w:rsidRPr="007F4570">
        <w:rPr>
          <w:rFonts w:ascii="Times New Roman" w:hAnsi="Times New Roman" w:cs="Times New Roman"/>
          <w:color w:val="222222"/>
          <w:shd w:val="clear" w:color="auto" w:fill="FFFFFF"/>
        </w:rPr>
        <w:t>(2), pp.598-610.</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Rodden, J., 2023. The great recession and the public sector in rural America. </w:t>
      </w:r>
      <w:r w:rsidRPr="007F4570">
        <w:rPr>
          <w:rFonts w:ascii="Times New Roman" w:hAnsi="Times New Roman" w:cs="Times New Roman"/>
          <w:i/>
          <w:iCs/>
          <w:color w:val="222222"/>
          <w:shd w:val="clear" w:color="auto" w:fill="FFFFFF"/>
        </w:rPr>
        <w:t>Journal of Economic Geography</w:t>
      </w:r>
      <w:r w:rsidRPr="007F4570">
        <w:rPr>
          <w:rFonts w:ascii="Times New Roman" w:hAnsi="Times New Roman" w:cs="Times New Roman"/>
          <w:color w:val="222222"/>
          <w:shd w:val="clear" w:color="auto" w:fill="FFFFFF"/>
        </w:rPr>
        <w:t>, p.lbad015.</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Schoon, I. and Bynner, J., 2019. Young people and the Great Recession: Variations in the school-to-work transition in Europe and the United States. </w:t>
      </w:r>
      <w:r w:rsidRPr="007F4570">
        <w:rPr>
          <w:rFonts w:ascii="Times New Roman" w:hAnsi="Times New Roman" w:cs="Times New Roman"/>
          <w:i/>
          <w:iCs/>
          <w:color w:val="222222"/>
          <w:shd w:val="clear" w:color="auto" w:fill="FFFFFF"/>
        </w:rPr>
        <w:t>Longitudinal and Life Course Studies</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10</w:t>
      </w:r>
      <w:r w:rsidRPr="007F4570">
        <w:rPr>
          <w:rFonts w:ascii="Times New Roman" w:hAnsi="Times New Roman" w:cs="Times New Roman"/>
          <w:color w:val="222222"/>
          <w:shd w:val="clear" w:color="auto" w:fill="FFFFFF"/>
        </w:rPr>
        <w:t>(2), pp.153-173.</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Tarullo, D.K., 2019. Financial regulation: Still unsettled a decade after the crisis. </w:t>
      </w:r>
      <w:r w:rsidRPr="007F4570">
        <w:rPr>
          <w:rFonts w:ascii="Times New Roman" w:hAnsi="Times New Roman" w:cs="Times New Roman"/>
          <w:i/>
          <w:iCs/>
          <w:color w:val="222222"/>
          <w:shd w:val="clear" w:color="auto" w:fill="FFFFFF"/>
        </w:rPr>
        <w:t>Journal of Economic Perspectives</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33</w:t>
      </w:r>
      <w:r w:rsidRPr="007F4570">
        <w:rPr>
          <w:rFonts w:ascii="Times New Roman" w:hAnsi="Times New Roman" w:cs="Times New Roman"/>
          <w:color w:val="222222"/>
          <w:shd w:val="clear" w:color="auto" w:fill="FFFFFF"/>
        </w:rPr>
        <w:t>(1), pp.61-80.</w:t>
      </w:r>
    </w:p>
    <w:p w:rsidR="0031442B" w:rsidRPr="007F4570" w:rsidRDefault="0031442B" w:rsidP="0031442B">
      <w:pPr>
        <w:pStyle w:val="NoSpacing"/>
        <w:spacing w:line="360" w:lineRule="auto"/>
        <w:ind w:left="851" w:hanging="851"/>
        <w:jc w:val="both"/>
        <w:rPr>
          <w:rFonts w:ascii="Times New Roman" w:hAnsi="Times New Roman" w:cs="Times New Roman"/>
          <w:color w:val="222222"/>
          <w:shd w:val="clear" w:color="auto" w:fill="FFFFFF"/>
        </w:rPr>
      </w:pPr>
      <w:r w:rsidRPr="007F4570">
        <w:rPr>
          <w:rFonts w:ascii="Times New Roman" w:hAnsi="Times New Roman" w:cs="Times New Roman"/>
          <w:color w:val="222222"/>
          <w:shd w:val="clear" w:color="auto" w:fill="FFFFFF"/>
        </w:rPr>
        <w:t xml:space="preserve">Urso, G., </w:t>
      </w:r>
      <w:r>
        <w:rPr>
          <w:rFonts w:ascii="Times New Roman" w:hAnsi="Times New Roman" w:cs="Times New Roman"/>
          <w:color w:val="222222"/>
          <w:shd w:val="clear" w:color="auto" w:fill="FFFFFF"/>
        </w:rPr>
        <w:t xml:space="preserve">and </w:t>
      </w:r>
      <w:r w:rsidRPr="0031442B">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w:t>
      </w:r>
      <w:r w:rsidRPr="007F4570">
        <w:rPr>
          <w:rFonts w:ascii="Times New Roman" w:hAnsi="Times New Roman" w:cs="Times New Roman"/>
          <w:color w:val="222222"/>
          <w:shd w:val="clear" w:color="auto" w:fill="FFFFFF"/>
        </w:rPr>
        <w:t>2019. Resilience and sectoral composition change of Italian inner areas in response to the great recession. </w:t>
      </w:r>
      <w:r w:rsidRPr="007F4570">
        <w:rPr>
          <w:rFonts w:ascii="Times New Roman" w:hAnsi="Times New Roman" w:cs="Times New Roman"/>
          <w:i/>
          <w:iCs/>
          <w:color w:val="222222"/>
          <w:shd w:val="clear" w:color="auto" w:fill="FFFFFF"/>
        </w:rPr>
        <w:t>Sustainability</w:t>
      </w:r>
      <w:r w:rsidRPr="007F4570">
        <w:rPr>
          <w:rFonts w:ascii="Times New Roman" w:hAnsi="Times New Roman" w:cs="Times New Roman"/>
          <w:color w:val="222222"/>
          <w:shd w:val="clear" w:color="auto" w:fill="FFFFFF"/>
        </w:rPr>
        <w:t>, </w:t>
      </w:r>
      <w:r w:rsidRPr="007F4570">
        <w:rPr>
          <w:rFonts w:ascii="Times New Roman" w:hAnsi="Times New Roman" w:cs="Times New Roman"/>
          <w:i/>
          <w:iCs/>
          <w:color w:val="222222"/>
          <w:shd w:val="clear" w:color="auto" w:fill="FFFFFF"/>
        </w:rPr>
        <w:t>11</w:t>
      </w:r>
      <w:r w:rsidRPr="007F4570">
        <w:rPr>
          <w:rFonts w:ascii="Times New Roman" w:hAnsi="Times New Roman" w:cs="Times New Roman"/>
          <w:color w:val="222222"/>
          <w:shd w:val="clear" w:color="auto" w:fill="FFFFFF"/>
        </w:rPr>
        <w:t>(9), p.2679.</w:t>
      </w:r>
    </w:p>
    <w:sectPr w:rsidR="0031442B" w:rsidRPr="007F4570" w:rsidSect="00DA7B3F">
      <w:footerReference w:type="default" r:id="rId15"/>
      <w:pgSz w:w="12240" w:h="15840"/>
      <w:pgMar w:top="1440" w:right="1440" w:bottom="1440" w:left="1440" w:header="720" w:footer="720" w:gutter="0"/>
      <w:pgBorders w:offsetFrom="page">
        <w:top w:val="threeDEngrave" w:sz="24" w:space="24" w:color="auto"/>
        <w:left w:val="threeDEngrave" w:sz="24" w:space="24" w:color="auto"/>
        <w:bottom w:val="threeDEmboss" w:sz="24" w:space="24" w:color="auto"/>
        <w:right w:val="threeDEmboss"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4F2A" w:rsidRDefault="00354F2A">
      <w:pPr>
        <w:spacing w:line="240" w:lineRule="auto"/>
      </w:pPr>
      <w:r>
        <w:separator/>
      </w:r>
    </w:p>
  </w:endnote>
  <w:endnote w:type="continuationSeparator" w:id="0">
    <w:p w:rsidR="00354F2A" w:rsidRDefault="00354F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OpenSymbol">
    <w:altName w:val="MS Gothic"/>
    <w:charset w:val="80"/>
    <w:family w:val="auto"/>
    <w:pitch w:val="default"/>
  </w:font>
  <w:font w:name="Open Sans">
    <w:panose1 w:val="020B0606030504020204"/>
    <w:charset w:val="00"/>
    <w:family w:val="swiss"/>
    <w:pitch w:val="variable"/>
    <w:sig w:usb0="E00002EF" w:usb1="4000205B" w:usb2="00000028" w:usb3="00000000" w:csb0="0000019F" w:csb1="00000000"/>
  </w:font>
  <w:font w:name="Tinos">
    <w:altName w:val="MS Gothic"/>
    <w:charset w:val="80"/>
    <w:family w:val="roman"/>
    <w:pitch w:val="variable"/>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ff2">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4700C" w:rsidRDefault="000470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A7A64" w:rsidRDefault="002A7A64">
    <w:pPr>
      <w:pStyle w:val="Footer"/>
      <w:jc w:val="center"/>
    </w:pPr>
  </w:p>
  <w:p w:rsidR="002A7A64" w:rsidRDefault="002A7A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4700C" w:rsidRDefault="000470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A7A64" w:rsidRDefault="002A7A64">
    <w:pPr>
      <w:pStyle w:val="Footer"/>
      <w:jc w:val="center"/>
    </w:pPr>
    <w:r>
      <w:fldChar w:fldCharType="begin"/>
    </w:r>
    <w:r>
      <w:instrText xml:space="preserve"> PAGE   \* MERGEFORMAT </w:instrText>
    </w:r>
    <w:r>
      <w:fldChar w:fldCharType="separate"/>
    </w:r>
    <w:r w:rsidR="00557AF8">
      <w:rPr>
        <w:noProof/>
      </w:rPr>
      <w:t>7</w:t>
    </w:r>
    <w:r>
      <w:rPr>
        <w:noProof/>
      </w:rPr>
      <w:fldChar w:fldCharType="end"/>
    </w:r>
  </w:p>
  <w:p w:rsidR="002A7A64" w:rsidRDefault="002A7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4F2A" w:rsidRDefault="00354F2A">
      <w:pPr>
        <w:spacing w:line="240" w:lineRule="auto"/>
      </w:pPr>
      <w:r>
        <w:separator/>
      </w:r>
    </w:p>
  </w:footnote>
  <w:footnote w:type="continuationSeparator" w:id="0">
    <w:p w:rsidR="00354F2A" w:rsidRDefault="00354F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4700C" w:rsidRDefault="000470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A7A64" w:rsidRDefault="002A7A64" w:rsidP="00F210A1">
    <w:pPr>
      <w:pStyle w:val="Header"/>
      <w:pBdr>
        <w:bottom w:val="single" w:sz="4" w:space="1" w:color="D9D9D9"/>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4700C" w:rsidRDefault="000470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A5D4AC6"/>
    <w:multiLevelType w:val="hybridMultilevel"/>
    <w:tmpl w:val="A4060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A1407E"/>
    <w:multiLevelType w:val="hybridMultilevel"/>
    <w:tmpl w:val="DFB478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0C1387"/>
    <w:multiLevelType w:val="hybridMultilevel"/>
    <w:tmpl w:val="B986B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B0142C"/>
    <w:multiLevelType w:val="hybridMultilevel"/>
    <w:tmpl w:val="42C63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1814B6"/>
    <w:multiLevelType w:val="multilevel"/>
    <w:tmpl w:val="96C4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514BCF"/>
    <w:multiLevelType w:val="hybridMultilevel"/>
    <w:tmpl w:val="FA9CFD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767500C"/>
    <w:multiLevelType w:val="hybridMultilevel"/>
    <w:tmpl w:val="59C09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651973"/>
    <w:multiLevelType w:val="hybridMultilevel"/>
    <w:tmpl w:val="FBB28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E137A8"/>
    <w:multiLevelType w:val="hybridMultilevel"/>
    <w:tmpl w:val="DBBEA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0447EF"/>
    <w:multiLevelType w:val="hybridMultilevel"/>
    <w:tmpl w:val="CC9AB6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7AA23E4"/>
    <w:multiLevelType w:val="hybridMultilevel"/>
    <w:tmpl w:val="51B88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C331F0"/>
    <w:multiLevelType w:val="hybridMultilevel"/>
    <w:tmpl w:val="FD984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50110E"/>
    <w:multiLevelType w:val="hybridMultilevel"/>
    <w:tmpl w:val="E9785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9297735"/>
    <w:multiLevelType w:val="hybridMultilevel"/>
    <w:tmpl w:val="0728D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6D5FD6"/>
    <w:multiLevelType w:val="hybridMultilevel"/>
    <w:tmpl w:val="B31CC2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81911506">
    <w:abstractNumId w:val="0"/>
  </w:num>
  <w:num w:numId="2" w16cid:durableId="1563060444">
    <w:abstractNumId w:val="9"/>
  </w:num>
  <w:num w:numId="3" w16cid:durableId="367722927">
    <w:abstractNumId w:val="3"/>
  </w:num>
  <w:num w:numId="4" w16cid:durableId="1364668769">
    <w:abstractNumId w:val="12"/>
  </w:num>
  <w:num w:numId="5" w16cid:durableId="206648451">
    <w:abstractNumId w:val="13"/>
  </w:num>
  <w:num w:numId="6" w16cid:durableId="888611335">
    <w:abstractNumId w:val="8"/>
  </w:num>
  <w:num w:numId="7" w16cid:durableId="575938519">
    <w:abstractNumId w:val="11"/>
  </w:num>
  <w:num w:numId="8" w16cid:durableId="764230753">
    <w:abstractNumId w:val="7"/>
  </w:num>
  <w:num w:numId="9" w16cid:durableId="616446183">
    <w:abstractNumId w:val="1"/>
  </w:num>
  <w:num w:numId="10" w16cid:durableId="1211696127">
    <w:abstractNumId w:val="14"/>
  </w:num>
  <w:num w:numId="11" w16cid:durableId="232391650">
    <w:abstractNumId w:val="4"/>
  </w:num>
  <w:num w:numId="12" w16cid:durableId="293407240">
    <w:abstractNumId w:val="5"/>
  </w:num>
  <w:num w:numId="13" w16cid:durableId="69891413">
    <w:abstractNumId w:val="10"/>
  </w:num>
  <w:num w:numId="14" w16cid:durableId="35199950">
    <w:abstractNumId w:val="15"/>
  </w:num>
  <w:num w:numId="15" w16cid:durableId="1868447426">
    <w:abstractNumId w:val="2"/>
  </w:num>
  <w:num w:numId="16" w16cid:durableId="1773864295">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MwszA0tjQwNjI1MDdW0lEKTi0uzszPAykwrAUAIlXSaCwAAAA="/>
  </w:docVars>
  <w:rsids>
    <w:rsidRoot w:val="00555029"/>
    <w:rsid w:val="000000B6"/>
    <w:rsid w:val="000001DD"/>
    <w:rsid w:val="000007A2"/>
    <w:rsid w:val="00000C70"/>
    <w:rsid w:val="00000D90"/>
    <w:rsid w:val="00001236"/>
    <w:rsid w:val="000012CD"/>
    <w:rsid w:val="0000132F"/>
    <w:rsid w:val="00002323"/>
    <w:rsid w:val="00002334"/>
    <w:rsid w:val="00002488"/>
    <w:rsid w:val="0000367D"/>
    <w:rsid w:val="0000371D"/>
    <w:rsid w:val="0000396A"/>
    <w:rsid w:val="00004B06"/>
    <w:rsid w:val="00005404"/>
    <w:rsid w:val="00005B43"/>
    <w:rsid w:val="00005E1B"/>
    <w:rsid w:val="0000756E"/>
    <w:rsid w:val="000076A6"/>
    <w:rsid w:val="00007703"/>
    <w:rsid w:val="00007DE2"/>
    <w:rsid w:val="00011A2F"/>
    <w:rsid w:val="0001237B"/>
    <w:rsid w:val="00012A19"/>
    <w:rsid w:val="00012C1E"/>
    <w:rsid w:val="0001302C"/>
    <w:rsid w:val="00013C0B"/>
    <w:rsid w:val="00014B37"/>
    <w:rsid w:val="000156B7"/>
    <w:rsid w:val="00016746"/>
    <w:rsid w:val="000167BC"/>
    <w:rsid w:val="0001723E"/>
    <w:rsid w:val="00017496"/>
    <w:rsid w:val="000177B6"/>
    <w:rsid w:val="00020866"/>
    <w:rsid w:val="0002160B"/>
    <w:rsid w:val="00021E0E"/>
    <w:rsid w:val="00023507"/>
    <w:rsid w:val="0002384E"/>
    <w:rsid w:val="000241C5"/>
    <w:rsid w:val="0002471B"/>
    <w:rsid w:val="00024C8F"/>
    <w:rsid w:val="0002560D"/>
    <w:rsid w:val="00025F6B"/>
    <w:rsid w:val="00026795"/>
    <w:rsid w:val="00027319"/>
    <w:rsid w:val="00027E91"/>
    <w:rsid w:val="00030BF8"/>
    <w:rsid w:val="00031241"/>
    <w:rsid w:val="00031A8F"/>
    <w:rsid w:val="00032B23"/>
    <w:rsid w:val="0003444A"/>
    <w:rsid w:val="00034909"/>
    <w:rsid w:val="00034A27"/>
    <w:rsid w:val="00035F0A"/>
    <w:rsid w:val="00037BD0"/>
    <w:rsid w:val="00037D63"/>
    <w:rsid w:val="00037FB7"/>
    <w:rsid w:val="00040678"/>
    <w:rsid w:val="00040E18"/>
    <w:rsid w:val="00041958"/>
    <w:rsid w:val="0004228A"/>
    <w:rsid w:val="000423C9"/>
    <w:rsid w:val="00042D24"/>
    <w:rsid w:val="000433E9"/>
    <w:rsid w:val="00043574"/>
    <w:rsid w:val="00043631"/>
    <w:rsid w:val="000436E5"/>
    <w:rsid w:val="00043AF8"/>
    <w:rsid w:val="000440D2"/>
    <w:rsid w:val="0004516D"/>
    <w:rsid w:val="000453E8"/>
    <w:rsid w:val="000453FF"/>
    <w:rsid w:val="00045DBA"/>
    <w:rsid w:val="00045F38"/>
    <w:rsid w:val="0004700C"/>
    <w:rsid w:val="00050001"/>
    <w:rsid w:val="000501DE"/>
    <w:rsid w:val="00050544"/>
    <w:rsid w:val="000506AC"/>
    <w:rsid w:val="000507D9"/>
    <w:rsid w:val="00050A53"/>
    <w:rsid w:val="00050E86"/>
    <w:rsid w:val="000515CB"/>
    <w:rsid w:val="00051B40"/>
    <w:rsid w:val="000520BD"/>
    <w:rsid w:val="00052118"/>
    <w:rsid w:val="00052E15"/>
    <w:rsid w:val="00053151"/>
    <w:rsid w:val="000538CA"/>
    <w:rsid w:val="00054D81"/>
    <w:rsid w:val="00055104"/>
    <w:rsid w:val="00055521"/>
    <w:rsid w:val="000555E6"/>
    <w:rsid w:val="0005580A"/>
    <w:rsid w:val="00055F37"/>
    <w:rsid w:val="0005608B"/>
    <w:rsid w:val="00057D60"/>
    <w:rsid w:val="00060272"/>
    <w:rsid w:val="0006117B"/>
    <w:rsid w:val="00061B34"/>
    <w:rsid w:val="00063DC6"/>
    <w:rsid w:val="000645BD"/>
    <w:rsid w:val="00064768"/>
    <w:rsid w:val="000649C2"/>
    <w:rsid w:val="00064B93"/>
    <w:rsid w:val="00064EF8"/>
    <w:rsid w:val="00066D45"/>
    <w:rsid w:val="0006727D"/>
    <w:rsid w:val="00067747"/>
    <w:rsid w:val="00070756"/>
    <w:rsid w:val="0007141A"/>
    <w:rsid w:val="00071880"/>
    <w:rsid w:val="000719A2"/>
    <w:rsid w:val="000722D7"/>
    <w:rsid w:val="00072C50"/>
    <w:rsid w:val="00072D36"/>
    <w:rsid w:val="00073049"/>
    <w:rsid w:val="000738B2"/>
    <w:rsid w:val="000741E1"/>
    <w:rsid w:val="00075115"/>
    <w:rsid w:val="00076E22"/>
    <w:rsid w:val="000774F1"/>
    <w:rsid w:val="00077601"/>
    <w:rsid w:val="00080AE5"/>
    <w:rsid w:val="000810CA"/>
    <w:rsid w:val="000812C8"/>
    <w:rsid w:val="00081E6C"/>
    <w:rsid w:val="000827D5"/>
    <w:rsid w:val="00082D6E"/>
    <w:rsid w:val="000838C9"/>
    <w:rsid w:val="00083CCC"/>
    <w:rsid w:val="0008418C"/>
    <w:rsid w:val="000842ED"/>
    <w:rsid w:val="000844CE"/>
    <w:rsid w:val="00084537"/>
    <w:rsid w:val="00084D5C"/>
    <w:rsid w:val="0008519F"/>
    <w:rsid w:val="00085521"/>
    <w:rsid w:val="00085ABE"/>
    <w:rsid w:val="00085E8D"/>
    <w:rsid w:val="000867A8"/>
    <w:rsid w:val="00090C7C"/>
    <w:rsid w:val="000918A1"/>
    <w:rsid w:val="00093C02"/>
    <w:rsid w:val="00094147"/>
    <w:rsid w:val="0009508E"/>
    <w:rsid w:val="00095504"/>
    <w:rsid w:val="00095CEF"/>
    <w:rsid w:val="00096122"/>
    <w:rsid w:val="0009654E"/>
    <w:rsid w:val="00096E8B"/>
    <w:rsid w:val="00097642"/>
    <w:rsid w:val="000A2912"/>
    <w:rsid w:val="000A2C12"/>
    <w:rsid w:val="000A34ED"/>
    <w:rsid w:val="000A4047"/>
    <w:rsid w:val="000A4A92"/>
    <w:rsid w:val="000A4B60"/>
    <w:rsid w:val="000A4DEE"/>
    <w:rsid w:val="000A55F0"/>
    <w:rsid w:val="000A57C5"/>
    <w:rsid w:val="000A595B"/>
    <w:rsid w:val="000A5A2A"/>
    <w:rsid w:val="000A5B43"/>
    <w:rsid w:val="000A62C8"/>
    <w:rsid w:val="000A7693"/>
    <w:rsid w:val="000A7869"/>
    <w:rsid w:val="000A79CD"/>
    <w:rsid w:val="000A7ECB"/>
    <w:rsid w:val="000B0489"/>
    <w:rsid w:val="000B0B82"/>
    <w:rsid w:val="000B1E3D"/>
    <w:rsid w:val="000B1FE0"/>
    <w:rsid w:val="000B245C"/>
    <w:rsid w:val="000B3AD4"/>
    <w:rsid w:val="000B4850"/>
    <w:rsid w:val="000B529D"/>
    <w:rsid w:val="000B542F"/>
    <w:rsid w:val="000B56B3"/>
    <w:rsid w:val="000B5BFC"/>
    <w:rsid w:val="000B69FC"/>
    <w:rsid w:val="000B7EE6"/>
    <w:rsid w:val="000C016A"/>
    <w:rsid w:val="000C04DA"/>
    <w:rsid w:val="000C0956"/>
    <w:rsid w:val="000C0EF4"/>
    <w:rsid w:val="000C0F60"/>
    <w:rsid w:val="000C1384"/>
    <w:rsid w:val="000C1885"/>
    <w:rsid w:val="000C1D15"/>
    <w:rsid w:val="000C2783"/>
    <w:rsid w:val="000C399F"/>
    <w:rsid w:val="000C46AD"/>
    <w:rsid w:val="000C56A1"/>
    <w:rsid w:val="000C6890"/>
    <w:rsid w:val="000C6AA1"/>
    <w:rsid w:val="000C6B70"/>
    <w:rsid w:val="000D0C39"/>
    <w:rsid w:val="000D0CDA"/>
    <w:rsid w:val="000D1872"/>
    <w:rsid w:val="000D1E1E"/>
    <w:rsid w:val="000D1E8A"/>
    <w:rsid w:val="000D22CC"/>
    <w:rsid w:val="000D26AF"/>
    <w:rsid w:val="000D2C8D"/>
    <w:rsid w:val="000D56CE"/>
    <w:rsid w:val="000D67E5"/>
    <w:rsid w:val="000D6C99"/>
    <w:rsid w:val="000D6CA5"/>
    <w:rsid w:val="000D7EE9"/>
    <w:rsid w:val="000E0CC9"/>
    <w:rsid w:val="000E0FEB"/>
    <w:rsid w:val="000E10FD"/>
    <w:rsid w:val="000E1780"/>
    <w:rsid w:val="000E3B63"/>
    <w:rsid w:val="000E3BD4"/>
    <w:rsid w:val="000E3E91"/>
    <w:rsid w:val="000E3EB3"/>
    <w:rsid w:val="000E4493"/>
    <w:rsid w:val="000E51C0"/>
    <w:rsid w:val="000E51C3"/>
    <w:rsid w:val="000E52E8"/>
    <w:rsid w:val="000E75F6"/>
    <w:rsid w:val="000F0530"/>
    <w:rsid w:val="000F0DFF"/>
    <w:rsid w:val="000F2056"/>
    <w:rsid w:val="000F2150"/>
    <w:rsid w:val="000F290E"/>
    <w:rsid w:val="000F33EC"/>
    <w:rsid w:val="000F3AA2"/>
    <w:rsid w:val="000F4EB6"/>
    <w:rsid w:val="000F5902"/>
    <w:rsid w:val="000F628F"/>
    <w:rsid w:val="000F7E9A"/>
    <w:rsid w:val="00101FD8"/>
    <w:rsid w:val="00102746"/>
    <w:rsid w:val="001027ED"/>
    <w:rsid w:val="0010302F"/>
    <w:rsid w:val="00103B09"/>
    <w:rsid w:val="00104492"/>
    <w:rsid w:val="001051FA"/>
    <w:rsid w:val="0010578E"/>
    <w:rsid w:val="00105947"/>
    <w:rsid w:val="00105C9C"/>
    <w:rsid w:val="00106F8B"/>
    <w:rsid w:val="00107785"/>
    <w:rsid w:val="00107ACF"/>
    <w:rsid w:val="00111004"/>
    <w:rsid w:val="00111591"/>
    <w:rsid w:val="00113978"/>
    <w:rsid w:val="00113ABD"/>
    <w:rsid w:val="00113C8B"/>
    <w:rsid w:val="00114C45"/>
    <w:rsid w:val="00114E2B"/>
    <w:rsid w:val="00115050"/>
    <w:rsid w:val="001154FF"/>
    <w:rsid w:val="00115CAA"/>
    <w:rsid w:val="001164A6"/>
    <w:rsid w:val="001166A1"/>
    <w:rsid w:val="00116E46"/>
    <w:rsid w:val="001171C7"/>
    <w:rsid w:val="0011724C"/>
    <w:rsid w:val="00120061"/>
    <w:rsid w:val="001206C0"/>
    <w:rsid w:val="0012098C"/>
    <w:rsid w:val="001209FD"/>
    <w:rsid w:val="00121854"/>
    <w:rsid w:val="001218C8"/>
    <w:rsid w:val="001220D9"/>
    <w:rsid w:val="00122322"/>
    <w:rsid w:val="001227F4"/>
    <w:rsid w:val="00122B81"/>
    <w:rsid w:val="00123269"/>
    <w:rsid w:val="0012364F"/>
    <w:rsid w:val="00123857"/>
    <w:rsid w:val="00123BAD"/>
    <w:rsid w:val="00123ED6"/>
    <w:rsid w:val="00124489"/>
    <w:rsid w:val="00124B5F"/>
    <w:rsid w:val="00124B63"/>
    <w:rsid w:val="001256EA"/>
    <w:rsid w:val="0012606B"/>
    <w:rsid w:val="0012661F"/>
    <w:rsid w:val="00126EE8"/>
    <w:rsid w:val="00126FD3"/>
    <w:rsid w:val="00127327"/>
    <w:rsid w:val="0012796F"/>
    <w:rsid w:val="00127D57"/>
    <w:rsid w:val="00127E2B"/>
    <w:rsid w:val="00130356"/>
    <w:rsid w:val="00133D8B"/>
    <w:rsid w:val="00134258"/>
    <w:rsid w:val="0013438F"/>
    <w:rsid w:val="00134DDF"/>
    <w:rsid w:val="001350E4"/>
    <w:rsid w:val="001354B8"/>
    <w:rsid w:val="00135D88"/>
    <w:rsid w:val="00136113"/>
    <w:rsid w:val="0013679F"/>
    <w:rsid w:val="001367CD"/>
    <w:rsid w:val="001370A0"/>
    <w:rsid w:val="001371FB"/>
    <w:rsid w:val="001378C7"/>
    <w:rsid w:val="00137A91"/>
    <w:rsid w:val="001400DC"/>
    <w:rsid w:val="00140107"/>
    <w:rsid w:val="00141A44"/>
    <w:rsid w:val="0014291C"/>
    <w:rsid w:val="00142CF2"/>
    <w:rsid w:val="00142E6B"/>
    <w:rsid w:val="00144746"/>
    <w:rsid w:val="001461BF"/>
    <w:rsid w:val="0014644F"/>
    <w:rsid w:val="00146814"/>
    <w:rsid w:val="00146F5E"/>
    <w:rsid w:val="00146FCF"/>
    <w:rsid w:val="00147243"/>
    <w:rsid w:val="00147522"/>
    <w:rsid w:val="00150143"/>
    <w:rsid w:val="00150204"/>
    <w:rsid w:val="001502D3"/>
    <w:rsid w:val="00150D98"/>
    <w:rsid w:val="0015131C"/>
    <w:rsid w:val="00152283"/>
    <w:rsid w:val="001539A7"/>
    <w:rsid w:val="00154411"/>
    <w:rsid w:val="00154867"/>
    <w:rsid w:val="001567EF"/>
    <w:rsid w:val="00156C7F"/>
    <w:rsid w:val="001579E0"/>
    <w:rsid w:val="001604F5"/>
    <w:rsid w:val="001625EC"/>
    <w:rsid w:val="00162E27"/>
    <w:rsid w:val="001632CE"/>
    <w:rsid w:val="00163574"/>
    <w:rsid w:val="00163AB3"/>
    <w:rsid w:val="00163DA5"/>
    <w:rsid w:val="001648C2"/>
    <w:rsid w:val="001655ED"/>
    <w:rsid w:val="0016594C"/>
    <w:rsid w:val="00166CD1"/>
    <w:rsid w:val="00167EA1"/>
    <w:rsid w:val="00170A12"/>
    <w:rsid w:val="00170E3F"/>
    <w:rsid w:val="00171087"/>
    <w:rsid w:val="001710FD"/>
    <w:rsid w:val="0017174F"/>
    <w:rsid w:val="0017197E"/>
    <w:rsid w:val="00171C8A"/>
    <w:rsid w:val="0017244B"/>
    <w:rsid w:val="00172853"/>
    <w:rsid w:val="00172AED"/>
    <w:rsid w:val="00173B76"/>
    <w:rsid w:val="001741A6"/>
    <w:rsid w:val="00174DEC"/>
    <w:rsid w:val="00174FD2"/>
    <w:rsid w:val="00176A8D"/>
    <w:rsid w:val="00176D7D"/>
    <w:rsid w:val="001773C7"/>
    <w:rsid w:val="00177950"/>
    <w:rsid w:val="00182366"/>
    <w:rsid w:val="001837BD"/>
    <w:rsid w:val="0018388C"/>
    <w:rsid w:val="00183E6D"/>
    <w:rsid w:val="001841E8"/>
    <w:rsid w:val="00184B35"/>
    <w:rsid w:val="0018567B"/>
    <w:rsid w:val="001858DB"/>
    <w:rsid w:val="0018701A"/>
    <w:rsid w:val="0018706A"/>
    <w:rsid w:val="00187419"/>
    <w:rsid w:val="00190125"/>
    <w:rsid w:val="001903BD"/>
    <w:rsid w:val="00190614"/>
    <w:rsid w:val="001907DC"/>
    <w:rsid w:val="0019151F"/>
    <w:rsid w:val="001918C8"/>
    <w:rsid w:val="00191BE5"/>
    <w:rsid w:val="00192E13"/>
    <w:rsid w:val="00193738"/>
    <w:rsid w:val="00193902"/>
    <w:rsid w:val="00194E85"/>
    <w:rsid w:val="0019529A"/>
    <w:rsid w:val="0019642C"/>
    <w:rsid w:val="001967DB"/>
    <w:rsid w:val="0019740F"/>
    <w:rsid w:val="00197CD2"/>
    <w:rsid w:val="001A0A1A"/>
    <w:rsid w:val="001A1733"/>
    <w:rsid w:val="001A1BEB"/>
    <w:rsid w:val="001A242B"/>
    <w:rsid w:val="001A2A08"/>
    <w:rsid w:val="001A33B4"/>
    <w:rsid w:val="001A37D6"/>
    <w:rsid w:val="001A43FA"/>
    <w:rsid w:val="001A4C68"/>
    <w:rsid w:val="001A4C8E"/>
    <w:rsid w:val="001A587F"/>
    <w:rsid w:val="001A67A5"/>
    <w:rsid w:val="001A6A54"/>
    <w:rsid w:val="001A70F6"/>
    <w:rsid w:val="001A7A1D"/>
    <w:rsid w:val="001A7D5A"/>
    <w:rsid w:val="001A7E81"/>
    <w:rsid w:val="001B046B"/>
    <w:rsid w:val="001B056F"/>
    <w:rsid w:val="001B05D5"/>
    <w:rsid w:val="001B1ECF"/>
    <w:rsid w:val="001B21B9"/>
    <w:rsid w:val="001B287E"/>
    <w:rsid w:val="001B2E06"/>
    <w:rsid w:val="001B3C0E"/>
    <w:rsid w:val="001B45D8"/>
    <w:rsid w:val="001B4CDA"/>
    <w:rsid w:val="001B4F57"/>
    <w:rsid w:val="001B58E7"/>
    <w:rsid w:val="001B5EC0"/>
    <w:rsid w:val="001B5EDE"/>
    <w:rsid w:val="001C1607"/>
    <w:rsid w:val="001C1D09"/>
    <w:rsid w:val="001C2449"/>
    <w:rsid w:val="001C2EFF"/>
    <w:rsid w:val="001C35D2"/>
    <w:rsid w:val="001C3BA3"/>
    <w:rsid w:val="001C3ED3"/>
    <w:rsid w:val="001C49F2"/>
    <w:rsid w:val="001C50FD"/>
    <w:rsid w:val="001C5C59"/>
    <w:rsid w:val="001C6045"/>
    <w:rsid w:val="001C6622"/>
    <w:rsid w:val="001C6FFF"/>
    <w:rsid w:val="001C72B7"/>
    <w:rsid w:val="001C7E31"/>
    <w:rsid w:val="001D0826"/>
    <w:rsid w:val="001D0995"/>
    <w:rsid w:val="001D112A"/>
    <w:rsid w:val="001D2A24"/>
    <w:rsid w:val="001D2ED2"/>
    <w:rsid w:val="001D3A6E"/>
    <w:rsid w:val="001D3A93"/>
    <w:rsid w:val="001D4FC7"/>
    <w:rsid w:val="001D6042"/>
    <w:rsid w:val="001D64E4"/>
    <w:rsid w:val="001D6915"/>
    <w:rsid w:val="001D6EDB"/>
    <w:rsid w:val="001D74FC"/>
    <w:rsid w:val="001D7ADF"/>
    <w:rsid w:val="001D7D16"/>
    <w:rsid w:val="001E00DB"/>
    <w:rsid w:val="001E06F7"/>
    <w:rsid w:val="001E0987"/>
    <w:rsid w:val="001E13B5"/>
    <w:rsid w:val="001E3B13"/>
    <w:rsid w:val="001E458A"/>
    <w:rsid w:val="001E5177"/>
    <w:rsid w:val="001E54FF"/>
    <w:rsid w:val="001E5775"/>
    <w:rsid w:val="001E5795"/>
    <w:rsid w:val="001E66BF"/>
    <w:rsid w:val="001E708C"/>
    <w:rsid w:val="001E7716"/>
    <w:rsid w:val="001F0930"/>
    <w:rsid w:val="001F0935"/>
    <w:rsid w:val="001F0AFD"/>
    <w:rsid w:val="001F100B"/>
    <w:rsid w:val="001F1417"/>
    <w:rsid w:val="001F1E53"/>
    <w:rsid w:val="001F2759"/>
    <w:rsid w:val="001F44B0"/>
    <w:rsid w:val="001F47DB"/>
    <w:rsid w:val="001F4B7A"/>
    <w:rsid w:val="001F62BF"/>
    <w:rsid w:val="001F6D99"/>
    <w:rsid w:val="001F7E9D"/>
    <w:rsid w:val="00200B27"/>
    <w:rsid w:val="0020148E"/>
    <w:rsid w:val="0020192B"/>
    <w:rsid w:val="002021AA"/>
    <w:rsid w:val="0020291D"/>
    <w:rsid w:val="00202AC3"/>
    <w:rsid w:val="00202B21"/>
    <w:rsid w:val="00202D89"/>
    <w:rsid w:val="00203465"/>
    <w:rsid w:val="00203777"/>
    <w:rsid w:val="00203BC4"/>
    <w:rsid w:val="002051AC"/>
    <w:rsid w:val="0020566C"/>
    <w:rsid w:val="002059AE"/>
    <w:rsid w:val="00207C76"/>
    <w:rsid w:val="00207CB8"/>
    <w:rsid w:val="0021093B"/>
    <w:rsid w:val="002114B7"/>
    <w:rsid w:val="0021152A"/>
    <w:rsid w:val="00211778"/>
    <w:rsid w:val="002117F8"/>
    <w:rsid w:val="00211CD5"/>
    <w:rsid w:val="002125A5"/>
    <w:rsid w:val="00212B57"/>
    <w:rsid w:val="00212E93"/>
    <w:rsid w:val="002137BC"/>
    <w:rsid w:val="00213C6C"/>
    <w:rsid w:val="00214762"/>
    <w:rsid w:val="00215BC0"/>
    <w:rsid w:val="00216CF9"/>
    <w:rsid w:val="00217D8B"/>
    <w:rsid w:val="00220290"/>
    <w:rsid w:val="00220FCB"/>
    <w:rsid w:val="00221132"/>
    <w:rsid w:val="00221797"/>
    <w:rsid w:val="002221AC"/>
    <w:rsid w:val="00222AC8"/>
    <w:rsid w:val="00222D47"/>
    <w:rsid w:val="00222E8A"/>
    <w:rsid w:val="002248AC"/>
    <w:rsid w:val="00224CD3"/>
    <w:rsid w:val="00225A60"/>
    <w:rsid w:val="00226EEA"/>
    <w:rsid w:val="0022744B"/>
    <w:rsid w:val="00227CC7"/>
    <w:rsid w:val="002300A6"/>
    <w:rsid w:val="00230598"/>
    <w:rsid w:val="002307A7"/>
    <w:rsid w:val="00231E07"/>
    <w:rsid w:val="00233447"/>
    <w:rsid w:val="002336CF"/>
    <w:rsid w:val="00234092"/>
    <w:rsid w:val="00234184"/>
    <w:rsid w:val="002350C4"/>
    <w:rsid w:val="002352D8"/>
    <w:rsid w:val="00235F69"/>
    <w:rsid w:val="00236858"/>
    <w:rsid w:val="00237391"/>
    <w:rsid w:val="002373BE"/>
    <w:rsid w:val="0023773F"/>
    <w:rsid w:val="0023781E"/>
    <w:rsid w:val="00237AAC"/>
    <w:rsid w:val="00237C6A"/>
    <w:rsid w:val="0024023F"/>
    <w:rsid w:val="00241126"/>
    <w:rsid w:val="00241719"/>
    <w:rsid w:val="00241D9E"/>
    <w:rsid w:val="00242131"/>
    <w:rsid w:val="0024247D"/>
    <w:rsid w:val="0024286F"/>
    <w:rsid w:val="0024427B"/>
    <w:rsid w:val="0024430D"/>
    <w:rsid w:val="002447DE"/>
    <w:rsid w:val="00244998"/>
    <w:rsid w:val="00244AAC"/>
    <w:rsid w:val="00244C3D"/>
    <w:rsid w:val="00245428"/>
    <w:rsid w:val="002454A8"/>
    <w:rsid w:val="002454CF"/>
    <w:rsid w:val="00245996"/>
    <w:rsid w:val="00245AF1"/>
    <w:rsid w:val="00246268"/>
    <w:rsid w:val="0024729B"/>
    <w:rsid w:val="00250149"/>
    <w:rsid w:val="00250821"/>
    <w:rsid w:val="00251553"/>
    <w:rsid w:val="00251AF5"/>
    <w:rsid w:val="002521AB"/>
    <w:rsid w:val="00252597"/>
    <w:rsid w:val="00252FAC"/>
    <w:rsid w:val="00253675"/>
    <w:rsid w:val="00253A03"/>
    <w:rsid w:val="00253A9C"/>
    <w:rsid w:val="00253AB9"/>
    <w:rsid w:val="00253E7A"/>
    <w:rsid w:val="00254AA4"/>
    <w:rsid w:val="00254F9C"/>
    <w:rsid w:val="002561D9"/>
    <w:rsid w:val="0025699F"/>
    <w:rsid w:val="00256D20"/>
    <w:rsid w:val="00256ED5"/>
    <w:rsid w:val="0026005E"/>
    <w:rsid w:val="00260647"/>
    <w:rsid w:val="002607C2"/>
    <w:rsid w:val="00260FE0"/>
    <w:rsid w:val="00261346"/>
    <w:rsid w:val="00261894"/>
    <w:rsid w:val="002620B0"/>
    <w:rsid w:val="0026221F"/>
    <w:rsid w:val="00262998"/>
    <w:rsid w:val="00263C45"/>
    <w:rsid w:val="00264078"/>
    <w:rsid w:val="0026471F"/>
    <w:rsid w:val="002648FD"/>
    <w:rsid w:val="002649D0"/>
    <w:rsid w:val="00265036"/>
    <w:rsid w:val="00265576"/>
    <w:rsid w:val="00265D76"/>
    <w:rsid w:val="002673CD"/>
    <w:rsid w:val="0026758E"/>
    <w:rsid w:val="00270AE4"/>
    <w:rsid w:val="00270E5A"/>
    <w:rsid w:val="00271286"/>
    <w:rsid w:val="0027160F"/>
    <w:rsid w:val="002717C3"/>
    <w:rsid w:val="00271FD6"/>
    <w:rsid w:val="0027250C"/>
    <w:rsid w:val="00272C6D"/>
    <w:rsid w:val="00274217"/>
    <w:rsid w:val="00274486"/>
    <w:rsid w:val="0027472D"/>
    <w:rsid w:val="00274F19"/>
    <w:rsid w:val="002752B7"/>
    <w:rsid w:val="00275613"/>
    <w:rsid w:val="0027570B"/>
    <w:rsid w:val="002765CE"/>
    <w:rsid w:val="00277558"/>
    <w:rsid w:val="00277F37"/>
    <w:rsid w:val="0028026D"/>
    <w:rsid w:val="00280826"/>
    <w:rsid w:val="00280BF5"/>
    <w:rsid w:val="00280F6D"/>
    <w:rsid w:val="00281380"/>
    <w:rsid w:val="00282AA5"/>
    <w:rsid w:val="00282F6B"/>
    <w:rsid w:val="002835C1"/>
    <w:rsid w:val="002836D5"/>
    <w:rsid w:val="002843E4"/>
    <w:rsid w:val="0028442A"/>
    <w:rsid w:val="0028462B"/>
    <w:rsid w:val="0028487C"/>
    <w:rsid w:val="0028514A"/>
    <w:rsid w:val="00290A0F"/>
    <w:rsid w:val="00291C20"/>
    <w:rsid w:val="0029246E"/>
    <w:rsid w:val="002927A5"/>
    <w:rsid w:val="00292D40"/>
    <w:rsid w:val="00292EF5"/>
    <w:rsid w:val="0029391A"/>
    <w:rsid w:val="00293B39"/>
    <w:rsid w:val="00293F93"/>
    <w:rsid w:val="0029457B"/>
    <w:rsid w:val="002977C1"/>
    <w:rsid w:val="00297D74"/>
    <w:rsid w:val="00297FCF"/>
    <w:rsid w:val="002A04F7"/>
    <w:rsid w:val="002A132A"/>
    <w:rsid w:val="002A1882"/>
    <w:rsid w:val="002A26EC"/>
    <w:rsid w:val="002A2816"/>
    <w:rsid w:val="002A2C87"/>
    <w:rsid w:val="002A2E4A"/>
    <w:rsid w:val="002A31E0"/>
    <w:rsid w:val="002A529A"/>
    <w:rsid w:val="002A5677"/>
    <w:rsid w:val="002A5972"/>
    <w:rsid w:val="002A5D12"/>
    <w:rsid w:val="002A6006"/>
    <w:rsid w:val="002A7811"/>
    <w:rsid w:val="002A790C"/>
    <w:rsid w:val="002A791B"/>
    <w:rsid w:val="002A7A64"/>
    <w:rsid w:val="002A7BFA"/>
    <w:rsid w:val="002B01EB"/>
    <w:rsid w:val="002B0316"/>
    <w:rsid w:val="002B0BA2"/>
    <w:rsid w:val="002B211F"/>
    <w:rsid w:val="002B3325"/>
    <w:rsid w:val="002B41AC"/>
    <w:rsid w:val="002B4F78"/>
    <w:rsid w:val="002B5F23"/>
    <w:rsid w:val="002B61B8"/>
    <w:rsid w:val="002B6EAF"/>
    <w:rsid w:val="002B759E"/>
    <w:rsid w:val="002B7EEB"/>
    <w:rsid w:val="002C08FB"/>
    <w:rsid w:val="002C1A14"/>
    <w:rsid w:val="002C1A25"/>
    <w:rsid w:val="002C1DD7"/>
    <w:rsid w:val="002C3004"/>
    <w:rsid w:val="002C3C29"/>
    <w:rsid w:val="002C473B"/>
    <w:rsid w:val="002C5259"/>
    <w:rsid w:val="002C57B7"/>
    <w:rsid w:val="002C5AE3"/>
    <w:rsid w:val="002C5FAA"/>
    <w:rsid w:val="002C60A6"/>
    <w:rsid w:val="002C62BC"/>
    <w:rsid w:val="002D154D"/>
    <w:rsid w:val="002D206B"/>
    <w:rsid w:val="002D227D"/>
    <w:rsid w:val="002D2E6B"/>
    <w:rsid w:val="002D377B"/>
    <w:rsid w:val="002D3EBF"/>
    <w:rsid w:val="002D4417"/>
    <w:rsid w:val="002D4787"/>
    <w:rsid w:val="002D4BFB"/>
    <w:rsid w:val="002D4ED9"/>
    <w:rsid w:val="002D51D1"/>
    <w:rsid w:val="002D561D"/>
    <w:rsid w:val="002D6C71"/>
    <w:rsid w:val="002D6E6F"/>
    <w:rsid w:val="002D71CA"/>
    <w:rsid w:val="002D7EBE"/>
    <w:rsid w:val="002E06FB"/>
    <w:rsid w:val="002E1397"/>
    <w:rsid w:val="002E1C81"/>
    <w:rsid w:val="002E2494"/>
    <w:rsid w:val="002E27BB"/>
    <w:rsid w:val="002E432D"/>
    <w:rsid w:val="002E495A"/>
    <w:rsid w:val="002E4C1B"/>
    <w:rsid w:val="002E57D9"/>
    <w:rsid w:val="002E6768"/>
    <w:rsid w:val="002E6BAA"/>
    <w:rsid w:val="002E6BCE"/>
    <w:rsid w:val="002E71EC"/>
    <w:rsid w:val="002E72A3"/>
    <w:rsid w:val="002F07AF"/>
    <w:rsid w:val="002F0D5A"/>
    <w:rsid w:val="002F11F1"/>
    <w:rsid w:val="002F19B4"/>
    <w:rsid w:val="002F26C3"/>
    <w:rsid w:val="002F28EB"/>
    <w:rsid w:val="002F34BA"/>
    <w:rsid w:val="002F37CF"/>
    <w:rsid w:val="002F48C7"/>
    <w:rsid w:val="002F54CA"/>
    <w:rsid w:val="002F60E1"/>
    <w:rsid w:val="002F7BA5"/>
    <w:rsid w:val="00300447"/>
    <w:rsid w:val="0030045D"/>
    <w:rsid w:val="00300D08"/>
    <w:rsid w:val="003016D1"/>
    <w:rsid w:val="00301C49"/>
    <w:rsid w:val="00302171"/>
    <w:rsid w:val="00302AD1"/>
    <w:rsid w:val="0030467E"/>
    <w:rsid w:val="00305156"/>
    <w:rsid w:val="003067AC"/>
    <w:rsid w:val="00307973"/>
    <w:rsid w:val="003079ED"/>
    <w:rsid w:val="003106BF"/>
    <w:rsid w:val="00310AEA"/>
    <w:rsid w:val="0031110C"/>
    <w:rsid w:val="003112C1"/>
    <w:rsid w:val="00311FB4"/>
    <w:rsid w:val="003121F1"/>
    <w:rsid w:val="003125F7"/>
    <w:rsid w:val="003126AE"/>
    <w:rsid w:val="00312745"/>
    <w:rsid w:val="00313387"/>
    <w:rsid w:val="0031442B"/>
    <w:rsid w:val="00314CBB"/>
    <w:rsid w:val="00314FBD"/>
    <w:rsid w:val="0031503D"/>
    <w:rsid w:val="0031531D"/>
    <w:rsid w:val="00315C96"/>
    <w:rsid w:val="00315E12"/>
    <w:rsid w:val="00316078"/>
    <w:rsid w:val="0031629E"/>
    <w:rsid w:val="003166FC"/>
    <w:rsid w:val="00316F21"/>
    <w:rsid w:val="003175F2"/>
    <w:rsid w:val="0031766A"/>
    <w:rsid w:val="0032102E"/>
    <w:rsid w:val="00321969"/>
    <w:rsid w:val="003234F0"/>
    <w:rsid w:val="00323B34"/>
    <w:rsid w:val="00326610"/>
    <w:rsid w:val="0032661E"/>
    <w:rsid w:val="00326637"/>
    <w:rsid w:val="00330944"/>
    <w:rsid w:val="003309AD"/>
    <w:rsid w:val="0033200E"/>
    <w:rsid w:val="00332209"/>
    <w:rsid w:val="00332551"/>
    <w:rsid w:val="00332BBE"/>
    <w:rsid w:val="0033347C"/>
    <w:rsid w:val="0033388D"/>
    <w:rsid w:val="00333A29"/>
    <w:rsid w:val="0033440C"/>
    <w:rsid w:val="00336445"/>
    <w:rsid w:val="003370A6"/>
    <w:rsid w:val="0033711D"/>
    <w:rsid w:val="00340A45"/>
    <w:rsid w:val="00342AE3"/>
    <w:rsid w:val="00343DC1"/>
    <w:rsid w:val="00343E85"/>
    <w:rsid w:val="00344806"/>
    <w:rsid w:val="0034492D"/>
    <w:rsid w:val="0034579F"/>
    <w:rsid w:val="00346507"/>
    <w:rsid w:val="0034703A"/>
    <w:rsid w:val="003473A9"/>
    <w:rsid w:val="00347848"/>
    <w:rsid w:val="00347923"/>
    <w:rsid w:val="00347EE2"/>
    <w:rsid w:val="00347F47"/>
    <w:rsid w:val="00350CDA"/>
    <w:rsid w:val="0035215C"/>
    <w:rsid w:val="00352348"/>
    <w:rsid w:val="00352391"/>
    <w:rsid w:val="00352E7C"/>
    <w:rsid w:val="003532AE"/>
    <w:rsid w:val="003535AB"/>
    <w:rsid w:val="003547AE"/>
    <w:rsid w:val="00354BFB"/>
    <w:rsid w:val="00354F2A"/>
    <w:rsid w:val="00355237"/>
    <w:rsid w:val="00355631"/>
    <w:rsid w:val="0035696E"/>
    <w:rsid w:val="0036095E"/>
    <w:rsid w:val="00360B11"/>
    <w:rsid w:val="00361517"/>
    <w:rsid w:val="0036325C"/>
    <w:rsid w:val="00363B44"/>
    <w:rsid w:val="00363BF3"/>
    <w:rsid w:val="00363E7D"/>
    <w:rsid w:val="00363ECD"/>
    <w:rsid w:val="0036443A"/>
    <w:rsid w:val="00364573"/>
    <w:rsid w:val="00364E2F"/>
    <w:rsid w:val="00366B12"/>
    <w:rsid w:val="003672DB"/>
    <w:rsid w:val="00370030"/>
    <w:rsid w:val="0037013C"/>
    <w:rsid w:val="0037020A"/>
    <w:rsid w:val="00370AC4"/>
    <w:rsid w:val="003714BB"/>
    <w:rsid w:val="00372254"/>
    <w:rsid w:val="00372618"/>
    <w:rsid w:val="00372C3B"/>
    <w:rsid w:val="00373733"/>
    <w:rsid w:val="00373AA4"/>
    <w:rsid w:val="00373B47"/>
    <w:rsid w:val="00373E24"/>
    <w:rsid w:val="00374F2D"/>
    <w:rsid w:val="003754A7"/>
    <w:rsid w:val="00375D01"/>
    <w:rsid w:val="003768B4"/>
    <w:rsid w:val="003769C1"/>
    <w:rsid w:val="003773FF"/>
    <w:rsid w:val="003778D5"/>
    <w:rsid w:val="00377B26"/>
    <w:rsid w:val="0038001C"/>
    <w:rsid w:val="003803D1"/>
    <w:rsid w:val="003804B9"/>
    <w:rsid w:val="00381B7A"/>
    <w:rsid w:val="00381C5A"/>
    <w:rsid w:val="00381D37"/>
    <w:rsid w:val="003837AE"/>
    <w:rsid w:val="003838E1"/>
    <w:rsid w:val="003839C8"/>
    <w:rsid w:val="00383F8B"/>
    <w:rsid w:val="003841E2"/>
    <w:rsid w:val="00384552"/>
    <w:rsid w:val="003847C2"/>
    <w:rsid w:val="003859A6"/>
    <w:rsid w:val="003864B5"/>
    <w:rsid w:val="0039033C"/>
    <w:rsid w:val="0039038F"/>
    <w:rsid w:val="00391137"/>
    <w:rsid w:val="00391311"/>
    <w:rsid w:val="003916DC"/>
    <w:rsid w:val="00391867"/>
    <w:rsid w:val="003918CC"/>
    <w:rsid w:val="00391AF7"/>
    <w:rsid w:val="00391C07"/>
    <w:rsid w:val="00391EAA"/>
    <w:rsid w:val="0039283C"/>
    <w:rsid w:val="0039297A"/>
    <w:rsid w:val="0039349D"/>
    <w:rsid w:val="00393561"/>
    <w:rsid w:val="0039392F"/>
    <w:rsid w:val="00393DFB"/>
    <w:rsid w:val="003951BD"/>
    <w:rsid w:val="00396013"/>
    <w:rsid w:val="003963D2"/>
    <w:rsid w:val="00396424"/>
    <w:rsid w:val="003965DF"/>
    <w:rsid w:val="00397287"/>
    <w:rsid w:val="003A0047"/>
    <w:rsid w:val="003A0A76"/>
    <w:rsid w:val="003A12DB"/>
    <w:rsid w:val="003A159F"/>
    <w:rsid w:val="003A2820"/>
    <w:rsid w:val="003A2A58"/>
    <w:rsid w:val="003A2ADA"/>
    <w:rsid w:val="003A3ED1"/>
    <w:rsid w:val="003A3FF1"/>
    <w:rsid w:val="003A43B7"/>
    <w:rsid w:val="003A62DA"/>
    <w:rsid w:val="003A6A2F"/>
    <w:rsid w:val="003A7460"/>
    <w:rsid w:val="003A747E"/>
    <w:rsid w:val="003A76BB"/>
    <w:rsid w:val="003A7E06"/>
    <w:rsid w:val="003B01A8"/>
    <w:rsid w:val="003B0863"/>
    <w:rsid w:val="003B1706"/>
    <w:rsid w:val="003B1DBB"/>
    <w:rsid w:val="003B24FE"/>
    <w:rsid w:val="003B2768"/>
    <w:rsid w:val="003B2DFC"/>
    <w:rsid w:val="003B43ED"/>
    <w:rsid w:val="003B480B"/>
    <w:rsid w:val="003B4983"/>
    <w:rsid w:val="003B5186"/>
    <w:rsid w:val="003B5F99"/>
    <w:rsid w:val="003B6802"/>
    <w:rsid w:val="003B76A2"/>
    <w:rsid w:val="003B7834"/>
    <w:rsid w:val="003B7868"/>
    <w:rsid w:val="003C0449"/>
    <w:rsid w:val="003C1A67"/>
    <w:rsid w:val="003C2552"/>
    <w:rsid w:val="003C25A1"/>
    <w:rsid w:val="003C288B"/>
    <w:rsid w:val="003C3463"/>
    <w:rsid w:val="003C3570"/>
    <w:rsid w:val="003C37E7"/>
    <w:rsid w:val="003C3A8A"/>
    <w:rsid w:val="003C3AE1"/>
    <w:rsid w:val="003C3E94"/>
    <w:rsid w:val="003C4667"/>
    <w:rsid w:val="003C4706"/>
    <w:rsid w:val="003C5101"/>
    <w:rsid w:val="003C5293"/>
    <w:rsid w:val="003C54A7"/>
    <w:rsid w:val="003C57C9"/>
    <w:rsid w:val="003C5CE1"/>
    <w:rsid w:val="003C625C"/>
    <w:rsid w:val="003C7591"/>
    <w:rsid w:val="003D0AB0"/>
    <w:rsid w:val="003D0E95"/>
    <w:rsid w:val="003D11FF"/>
    <w:rsid w:val="003D1341"/>
    <w:rsid w:val="003D1919"/>
    <w:rsid w:val="003D1D22"/>
    <w:rsid w:val="003D1D7C"/>
    <w:rsid w:val="003D3F2B"/>
    <w:rsid w:val="003D4455"/>
    <w:rsid w:val="003D4A76"/>
    <w:rsid w:val="003D5DB4"/>
    <w:rsid w:val="003D6236"/>
    <w:rsid w:val="003D653E"/>
    <w:rsid w:val="003D6F22"/>
    <w:rsid w:val="003D746A"/>
    <w:rsid w:val="003E07D7"/>
    <w:rsid w:val="003E1839"/>
    <w:rsid w:val="003E2088"/>
    <w:rsid w:val="003E219A"/>
    <w:rsid w:val="003E286E"/>
    <w:rsid w:val="003E2BD5"/>
    <w:rsid w:val="003E380D"/>
    <w:rsid w:val="003E4A30"/>
    <w:rsid w:val="003E5A4B"/>
    <w:rsid w:val="003E602A"/>
    <w:rsid w:val="003E646A"/>
    <w:rsid w:val="003E65EF"/>
    <w:rsid w:val="003E671E"/>
    <w:rsid w:val="003E7C49"/>
    <w:rsid w:val="003F1050"/>
    <w:rsid w:val="003F119F"/>
    <w:rsid w:val="003F1438"/>
    <w:rsid w:val="003F1FE4"/>
    <w:rsid w:val="003F241C"/>
    <w:rsid w:val="003F24DD"/>
    <w:rsid w:val="003F2647"/>
    <w:rsid w:val="003F3132"/>
    <w:rsid w:val="003F3CC8"/>
    <w:rsid w:val="003F4511"/>
    <w:rsid w:val="003F498E"/>
    <w:rsid w:val="003F539B"/>
    <w:rsid w:val="003F5429"/>
    <w:rsid w:val="003F5E08"/>
    <w:rsid w:val="003F6A1B"/>
    <w:rsid w:val="003F7504"/>
    <w:rsid w:val="003F795D"/>
    <w:rsid w:val="004002B7"/>
    <w:rsid w:val="00400885"/>
    <w:rsid w:val="00400CD5"/>
    <w:rsid w:val="0040240B"/>
    <w:rsid w:val="00402447"/>
    <w:rsid w:val="00402D6D"/>
    <w:rsid w:val="00403223"/>
    <w:rsid w:val="004049BB"/>
    <w:rsid w:val="004050CF"/>
    <w:rsid w:val="004058B7"/>
    <w:rsid w:val="00405ADF"/>
    <w:rsid w:val="00406144"/>
    <w:rsid w:val="004064B3"/>
    <w:rsid w:val="00406B96"/>
    <w:rsid w:val="0040762C"/>
    <w:rsid w:val="00407944"/>
    <w:rsid w:val="004103D3"/>
    <w:rsid w:val="004106B2"/>
    <w:rsid w:val="0041101D"/>
    <w:rsid w:val="004112B7"/>
    <w:rsid w:val="00411411"/>
    <w:rsid w:val="00411813"/>
    <w:rsid w:val="00411999"/>
    <w:rsid w:val="00412846"/>
    <w:rsid w:val="00413305"/>
    <w:rsid w:val="00414725"/>
    <w:rsid w:val="00414ED5"/>
    <w:rsid w:val="00416A14"/>
    <w:rsid w:val="00416D2A"/>
    <w:rsid w:val="004176A5"/>
    <w:rsid w:val="00417AE3"/>
    <w:rsid w:val="004202BF"/>
    <w:rsid w:val="004204EB"/>
    <w:rsid w:val="004210A5"/>
    <w:rsid w:val="004211A2"/>
    <w:rsid w:val="00421C6A"/>
    <w:rsid w:val="00422086"/>
    <w:rsid w:val="00422267"/>
    <w:rsid w:val="0042239A"/>
    <w:rsid w:val="0042293E"/>
    <w:rsid w:val="00422DDB"/>
    <w:rsid w:val="004241C2"/>
    <w:rsid w:val="0042440E"/>
    <w:rsid w:val="004247B9"/>
    <w:rsid w:val="00424CF1"/>
    <w:rsid w:val="00424FB1"/>
    <w:rsid w:val="00425A39"/>
    <w:rsid w:val="00425E89"/>
    <w:rsid w:val="004269B9"/>
    <w:rsid w:val="00426AEC"/>
    <w:rsid w:val="00427C65"/>
    <w:rsid w:val="0043145A"/>
    <w:rsid w:val="004326E9"/>
    <w:rsid w:val="00432D79"/>
    <w:rsid w:val="00433736"/>
    <w:rsid w:val="004340C4"/>
    <w:rsid w:val="004341A1"/>
    <w:rsid w:val="004343D6"/>
    <w:rsid w:val="004346A8"/>
    <w:rsid w:val="00434CBD"/>
    <w:rsid w:val="00434F1B"/>
    <w:rsid w:val="00435264"/>
    <w:rsid w:val="0043582C"/>
    <w:rsid w:val="00435D82"/>
    <w:rsid w:val="00436727"/>
    <w:rsid w:val="00436980"/>
    <w:rsid w:val="00436A31"/>
    <w:rsid w:val="00436D00"/>
    <w:rsid w:val="00436E84"/>
    <w:rsid w:val="00441C32"/>
    <w:rsid w:val="00442CD4"/>
    <w:rsid w:val="00442E90"/>
    <w:rsid w:val="00442FAC"/>
    <w:rsid w:val="00443ABE"/>
    <w:rsid w:val="00443CC1"/>
    <w:rsid w:val="0044498D"/>
    <w:rsid w:val="00444C6C"/>
    <w:rsid w:val="004456C2"/>
    <w:rsid w:val="00446D2C"/>
    <w:rsid w:val="00447C4F"/>
    <w:rsid w:val="00450154"/>
    <w:rsid w:val="00450395"/>
    <w:rsid w:val="00450526"/>
    <w:rsid w:val="00450A51"/>
    <w:rsid w:val="00451952"/>
    <w:rsid w:val="004524F3"/>
    <w:rsid w:val="00453123"/>
    <w:rsid w:val="00455352"/>
    <w:rsid w:val="00455E4D"/>
    <w:rsid w:val="004566CD"/>
    <w:rsid w:val="00456818"/>
    <w:rsid w:val="00457101"/>
    <w:rsid w:val="00457783"/>
    <w:rsid w:val="00460E6E"/>
    <w:rsid w:val="00461494"/>
    <w:rsid w:val="00461774"/>
    <w:rsid w:val="004622B9"/>
    <w:rsid w:val="00462D11"/>
    <w:rsid w:val="00462EB2"/>
    <w:rsid w:val="004630D2"/>
    <w:rsid w:val="0046425E"/>
    <w:rsid w:val="00464F94"/>
    <w:rsid w:val="00466669"/>
    <w:rsid w:val="00466A26"/>
    <w:rsid w:val="00466DA3"/>
    <w:rsid w:val="00466EA2"/>
    <w:rsid w:val="00466F5C"/>
    <w:rsid w:val="00467159"/>
    <w:rsid w:val="004679ED"/>
    <w:rsid w:val="00467BDE"/>
    <w:rsid w:val="00471F11"/>
    <w:rsid w:val="00472BBA"/>
    <w:rsid w:val="00473200"/>
    <w:rsid w:val="0047579E"/>
    <w:rsid w:val="00475EF4"/>
    <w:rsid w:val="00475FF7"/>
    <w:rsid w:val="00476983"/>
    <w:rsid w:val="00477CBF"/>
    <w:rsid w:val="0048029F"/>
    <w:rsid w:val="00480515"/>
    <w:rsid w:val="004808FA"/>
    <w:rsid w:val="00480EA2"/>
    <w:rsid w:val="00481025"/>
    <w:rsid w:val="004812B5"/>
    <w:rsid w:val="00481DE2"/>
    <w:rsid w:val="0048226C"/>
    <w:rsid w:val="0048249A"/>
    <w:rsid w:val="00482570"/>
    <w:rsid w:val="004832A6"/>
    <w:rsid w:val="00483857"/>
    <w:rsid w:val="00483BD0"/>
    <w:rsid w:val="004841D8"/>
    <w:rsid w:val="00484858"/>
    <w:rsid w:val="00484C00"/>
    <w:rsid w:val="00487142"/>
    <w:rsid w:val="00491C4C"/>
    <w:rsid w:val="004928A5"/>
    <w:rsid w:val="00492E4D"/>
    <w:rsid w:val="004930F3"/>
    <w:rsid w:val="004941B5"/>
    <w:rsid w:val="00494905"/>
    <w:rsid w:val="0049504E"/>
    <w:rsid w:val="004953B0"/>
    <w:rsid w:val="00495425"/>
    <w:rsid w:val="00496F13"/>
    <w:rsid w:val="00496F4F"/>
    <w:rsid w:val="00497808"/>
    <w:rsid w:val="004A044B"/>
    <w:rsid w:val="004A0794"/>
    <w:rsid w:val="004A1057"/>
    <w:rsid w:val="004A14B1"/>
    <w:rsid w:val="004A1D32"/>
    <w:rsid w:val="004A1DB8"/>
    <w:rsid w:val="004A23C5"/>
    <w:rsid w:val="004A2579"/>
    <w:rsid w:val="004A28C1"/>
    <w:rsid w:val="004A2BBD"/>
    <w:rsid w:val="004A2EB8"/>
    <w:rsid w:val="004A3245"/>
    <w:rsid w:val="004A32E0"/>
    <w:rsid w:val="004A3E5E"/>
    <w:rsid w:val="004A47AB"/>
    <w:rsid w:val="004A4F52"/>
    <w:rsid w:val="004A52FA"/>
    <w:rsid w:val="004A6279"/>
    <w:rsid w:val="004A69A1"/>
    <w:rsid w:val="004A6A17"/>
    <w:rsid w:val="004A7CFD"/>
    <w:rsid w:val="004B1B82"/>
    <w:rsid w:val="004B1E3D"/>
    <w:rsid w:val="004B25D0"/>
    <w:rsid w:val="004B2A90"/>
    <w:rsid w:val="004B4348"/>
    <w:rsid w:val="004B48C7"/>
    <w:rsid w:val="004B56D2"/>
    <w:rsid w:val="004B5861"/>
    <w:rsid w:val="004B5CA5"/>
    <w:rsid w:val="004B679F"/>
    <w:rsid w:val="004B74A0"/>
    <w:rsid w:val="004B78D9"/>
    <w:rsid w:val="004B7951"/>
    <w:rsid w:val="004B7DC8"/>
    <w:rsid w:val="004C007C"/>
    <w:rsid w:val="004C0541"/>
    <w:rsid w:val="004C05C8"/>
    <w:rsid w:val="004C0A36"/>
    <w:rsid w:val="004C0D51"/>
    <w:rsid w:val="004C1405"/>
    <w:rsid w:val="004C150E"/>
    <w:rsid w:val="004C1756"/>
    <w:rsid w:val="004C2659"/>
    <w:rsid w:val="004C265A"/>
    <w:rsid w:val="004C439D"/>
    <w:rsid w:val="004C466B"/>
    <w:rsid w:val="004C4783"/>
    <w:rsid w:val="004C4872"/>
    <w:rsid w:val="004C4C41"/>
    <w:rsid w:val="004C4EF6"/>
    <w:rsid w:val="004C52BF"/>
    <w:rsid w:val="004C55AC"/>
    <w:rsid w:val="004C57D6"/>
    <w:rsid w:val="004C5970"/>
    <w:rsid w:val="004C6CE5"/>
    <w:rsid w:val="004C6F92"/>
    <w:rsid w:val="004D02B7"/>
    <w:rsid w:val="004D08EC"/>
    <w:rsid w:val="004D11DC"/>
    <w:rsid w:val="004D1769"/>
    <w:rsid w:val="004D1F6E"/>
    <w:rsid w:val="004D2E0F"/>
    <w:rsid w:val="004D2EB8"/>
    <w:rsid w:val="004D361D"/>
    <w:rsid w:val="004D4034"/>
    <w:rsid w:val="004D473D"/>
    <w:rsid w:val="004D578E"/>
    <w:rsid w:val="004D5930"/>
    <w:rsid w:val="004D62BE"/>
    <w:rsid w:val="004D6576"/>
    <w:rsid w:val="004D65AC"/>
    <w:rsid w:val="004D7034"/>
    <w:rsid w:val="004D7EB5"/>
    <w:rsid w:val="004E0DB1"/>
    <w:rsid w:val="004E1457"/>
    <w:rsid w:val="004E19BD"/>
    <w:rsid w:val="004E23E1"/>
    <w:rsid w:val="004E2658"/>
    <w:rsid w:val="004E3327"/>
    <w:rsid w:val="004E4830"/>
    <w:rsid w:val="004E4AEA"/>
    <w:rsid w:val="004E4D6F"/>
    <w:rsid w:val="004E5777"/>
    <w:rsid w:val="004E5AFC"/>
    <w:rsid w:val="004E694E"/>
    <w:rsid w:val="004E7422"/>
    <w:rsid w:val="004F023A"/>
    <w:rsid w:val="004F087D"/>
    <w:rsid w:val="004F105B"/>
    <w:rsid w:val="004F3547"/>
    <w:rsid w:val="004F35E9"/>
    <w:rsid w:val="004F4158"/>
    <w:rsid w:val="004F4964"/>
    <w:rsid w:val="004F4F87"/>
    <w:rsid w:val="004F5275"/>
    <w:rsid w:val="004F52CC"/>
    <w:rsid w:val="004F56E1"/>
    <w:rsid w:val="004F5819"/>
    <w:rsid w:val="004F6D24"/>
    <w:rsid w:val="004F710A"/>
    <w:rsid w:val="004F75C5"/>
    <w:rsid w:val="004F7A9E"/>
    <w:rsid w:val="00500073"/>
    <w:rsid w:val="0050156C"/>
    <w:rsid w:val="0050176C"/>
    <w:rsid w:val="0050183A"/>
    <w:rsid w:val="00502637"/>
    <w:rsid w:val="00502814"/>
    <w:rsid w:val="00502939"/>
    <w:rsid w:val="0050294F"/>
    <w:rsid w:val="00503139"/>
    <w:rsid w:val="00503B77"/>
    <w:rsid w:val="00504FFB"/>
    <w:rsid w:val="005061EC"/>
    <w:rsid w:val="00506C8D"/>
    <w:rsid w:val="00506D5C"/>
    <w:rsid w:val="00507C69"/>
    <w:rsid w:val="00507EFD"/>
    <w:rsid w:val="00510482"/>
    <w:rsid w:val="00510FA8"/>
    <w:rsid w:val="00511091"/>
    <w:rsid w:val="00511A43"/>
    <w:rsid w:val="005121B9"/>
    <w:rsid w:val="0051227C"/>
    <w:rsid w:val="005137EC"/>
    <w:rsid w:val="0051422A"/>
    <w:rsid w:val="00514411"/>
    <w:rsid w:val="00515A3D"/>
    <w:rsid w:val="00516091"/>
    <w:rsid w:val="00520540"/>
    <w:rsid w:val="005207B7"/>
    <w:rsid w:val="00520857"/>
    <w:rsid w:val="005210E6"/>
    <w:rsid w:val="005211F0"/>
    <w:rsid w:val="00521C41"/>
    <w:rsid w:val="00521DEB"/>
    <w:rsid w:val="0052211A"/>
    <w:rsid w:val="0052279B"/>
    <w:rsid w:val="00523038"/>
    <w:rsid w:val="00523196"/>
    <w:rsid w:val="00523BF5"/>
    <w:rsid w:val="00524163"/>
    <w:rsid w:val="005244C7"/>
    <w:rsid w:val="00524D4E"/>
    <w:rsid w:val="00525E2B"/>
    <w:rsid w:val="0052763E"/>
    <w:rsid w:val="00527662"/>
    <w:rsid w:val="00530822"/>
    <w:rsid w:val="005332E4"/>
    <w:rsid w:val="0053380F"/>
    <w:rsid w:val="00535692"/>
    <w:rsid w:val="00535FC3"/>
    <w:rsid w:val="00540BDF"/>
    <w:rsid w:val="005422BD"/>
    <w:rsid w:val="005425AF"/>
    <w:rsid w:val="00542AB1"/>
    <w:rsid w:val="00543A78"/>
    <w:rsid w:val="00544BD7"/>
    <w:rsid w:val="0054556B"/>
    <w:rsid w:val="005459A8"/>
    <w:rsid w:val="00545EFB"/>
    <w:rsid w:val="00545EFE"/>
    <w:rsid w:val="00546441"/>
    <w:rsid w:val="00546DBE"/>
    <w:rsid w:val="005478EB"/>
    <w:rsid w:val="00551F6B"/>
    <w:rsid w:val="0055263A"/>
    <w:rsid w:val="00552C4A"/>
    <w:rsid w:val="00552E6A"/>
    <w:rsid w:val="00555024"/>
    <w:rsid w:val="00555029"/>
    <w:rsid w:val="005550AD"/>
    <w:rsid w:val="00555A1E"/>
    <w:rsid w:val="00556BE1"/>
    <w:rsid w:val="00557AF8"/>
    <w:rsid w:val="00560000"/>
    <w:rsid w:val="00560258"/>
    <w:rsid w:val="0056061C"/>
    <w:rsid w:val="00561D14"/>
    <w:rsid w:val="0056202A"/>
    <w:rsid w:val="005626C5"/>
    <w:rsid w:val="005633BE"/>
    <w:rsid w:val="00563524"/>
    <w:rsid w:val="00563FF1"/>
    <w:rsid w:val="00564970"/>
    <w:rsid w:val="00564B0E"/>
    <w:rsid w:val="0056513B"/>
    <w:rsid w:val="00565FAD"/>
    <w:rsid w:val="005664AC"/>
    <w:rsid w:val="005664E5"/>
    <w:rsid w:val="00566834"/>
    <w:rsid w:val="0056684A"/>
    <w:rsid w:val="00566993"/>
    <w:rsid w:val="00570B9C"/>
    <w:rsid w:val="00570BF1"/>
    <w:rsid w:val="005717FB"/>
    <w:rsid w:val="005722EF"/>
    <w:rsid w:val="0057282E"/>
    <w:rsid w:val="00572D2C"/>
    <w:rsid w:val="00574932"/>
    <w:rsid w:val="00574A5C"/>
    <w:rsid w:val="005751F5"/>
    <w:rsid w:val="005754B6"/>
    <w:rsid w:val="00575645"/>
    <w:rsid w:val="005762EF"/>
    <w:rsid w:val="00576847"/>
    <w:rsid w:val="00576A28"/>
    <w:rsid w:val="00576A35"/>
    <w:rsid w:val="00576C2B"/>
    <w:rsid w:val="00577BDF"/>
    <w:rsid w:val="0058023C"/>
    <w:rsid w:val="005804EF"/>
    <w:rsid w:val="005807D9"/>
    <w:rsid w:val="00580F12"/>
    <w:rsid w:val="00580FB9"/>
    <w:rsid w:val="00581179"/>
    <w:rsid w:val="005813B7"/>
    <w:rsid w:val="005819CE"/>
    <w:rsid w:val="0058214C"/>
    <w:rsid w:val="005824B3"/>
    <w:rsid w:val="005838B7"/>
    <w:rsid w:val="00583C0B"/>
    <w:rsid w:val="005844F5"/>
    <w:rsid w:val="005847E3"/>
    <w:rsid w:val="00584A71"/>
    <w:rsid w:val="00584EAA"/>
    <w:rsid w:val="005852F6"/>
    <w:rsid w:val="00585573"/>
    <w:rsid w:val="00585924"/>
    <w:rsid w:val="00585E74"/>
    <w:rsid w:val="00587AB6"/>
    <w:rsid w:val="00587D1C"/>
    <w:rsid w:val="00587E52"/>
    <w:rsid w:val="005902CD"/>
    <w:rsid w:val="00590369"/>
    <w:rsid w:val="0059083A"/>
    <w:rsid w:val="0059087C"/>
    <w:rsid w:val="00590D94"/>
    <w:rsid w:val="00591924"/>
    <w:rsid w:val="00592626"/>
    <w:rsid w:val="005935CA"/>
    <w:rsid w:val="005938BC"/>
    <w:rsid w:val="00593F51"/>
    <w:rsid w:val="005961A9"/>
    <w:rsid w:val="0059702F"/>
    <w:rsid w:val="005975F5"/>
    <w:rsid w:val="00597704"/>
    <w:rsid w:val="005979E1"/>
    <w:rsid w:val="00597A41"/>
    <w:rsid w:val="00597F5E"/>
    <w:rsid w:val="005A1907"/>
    <w:rsid w:val="005A23AB"/>
    <w:rsid w:val="005A3004"/>
    <w:rsid w:val="005A3124"/>
    <w:rsid w:val="005A35D5"/>
    <w:rsid w:val="005A4373"/>
    <w:rsid w:val="005A47FA"/>
    <w:rsid w:val="005A4C70"/>
    <w:rsid w:val="005A5158"/>
    <w:rsid w:val="005A5344"/>
    <w:rsid w:val="005A53E2"/>
    <w:rsid w:val="005A5629"/>
    <w:rsid w:val="005A5690"/>
    <w:rsid w:val="005A5B70"/>
    <w:rsid w:val="005A6153"/>
    <w:rsid w:val="005A62A4"/>
    <w:rsid w:val="005A64DE"/>
    <w:rsid w:val="005B0384"/>
    <w:rsid w:val="005B094D"/>
    <w:rsid w:val="005B14A2"/>
    <w:rsid w:val="005B163A"/>
    <w:rsid w:val="005B1A3F"/>
    <w:rsid w:val="005B22E6"/>
    <w:rsid w:val="005B2330"/>
    <w:rsid w:val="005B3759"/>
    <w:rsid w:val="005B3F04"/>
    <w:rsid w:val="005B43B6"/>
    <w:rsid w:val="005B44EB"/>
    <w:rsid w:val="005B44FA"/>
    <w:rsid w:val="005B45A9"/>
    <w:rsid w:val="005B5FB6"/>
    <w:rsid w:val="005B670B"/>
    <w:rsid w:val="005B79CA"/>
    <w:rsid w:val="005C03C8"/>
    <w:rsid w:val="005C0E9E"/>
    <w:rsid w:val="005C236E"/>
    <w:rsid w:val="005C24EA"/>
    <w:rsid w:val="005C2565"/>
    <w:rsid w:val="005C26C3"/>
    <w:rsid w:val="005C3B2B"/>
    <w:rsid w:val="005C3C06"/>
    <w:rsid w:val="005C4960"/>
    <w:rsid w:val="005C59FE"/>
    <w:rsid w:val="005C5A69"/>
    <w:rsid w:val="005C6EEB"/>
    <w:rsid w:val="005C755A"/>
    <w:rsid w:val="005C7A07"/>
    <w:rsid w:val="005D038F"/>
    <w:rsid w:val="005D0487"/>
    <w:rsid w:val="005D1A49"/>
    <w:rsid w:val="005D246D"/>
    <w:rsid w:val="005D337F"/>
    <w:rsid w:val="005D3F2B"/>
    <w:rsid w:val="005D3F90"/>
    <w:rsid w:val="005D52D0"/>
    <w:rsid w:val="005D58D9"/>
    <w:rsid w:val="005D67A4"/>
    <w:rsid w:val="005D67C5"/>
    <w:rsid w:val="005D692B"/>
    <w:rsid w:val="005D6EF3"/>
    <w:rsid w:val="005D7A07"/>
    <w:rsid w:val="005E0435"/>
    <w:rsid w:val="005E0679"/>
    <w:rsid w:val="005E0AF2"/>
    <w:rsid w:val="005E0DDA"/>
    <w:rsid w:val="005E106C"/>
    <w:rsid w:val="005E1970"/>
    <w:rsid w:val="005E1F32"/>
    <w:rsid w:val="005E2C3C"/>
    <w:rsid w:val="005E3555"/>
    <w:rsid w:val="005E3F02"/>
    <w:rsid w:val="005E4ABA"/>
    <w:rsid w:val="005E5C29"/>
    <w:rsid w:val="005E6F2A"/>
    <w:rsid w:val="005E7439"/>
    <w:rsid w:val="005E77D0"/>
    <w:rsid w:val="005E7FC6"/>
    <w:rsid w:val="005F00D4"/>
    <w:rsid w:val="005F0575"/>
    <w:rsid w:val="005F0818"/>
    <w:rsid w:val="005F09FF"/>
    <w:rsid w:val="005F0D1B"/>
    <w:rsid w:val="005F2EDF"/>
    <w:rsid w:val="005F3BAD"/>
    <w:rsid w:val="005F3F36"/>
    <w:rsid w:val="005F4358"/>
    <w:rsid w:val="005F440D"/>
    <w:rsid w:val="005F45E6"/>
    <w:rsid w:val="005F46AA"/>
    <w:rsid w:val="005F483D"/>
    <w:rsid w:val="005F681D"/>
    <w:rsid w:val="005F6EF6"/>
    <w:rsid w:val="005F7269"/>
    <w:rsid w:val="005F75C7"/>
    <w:rsid w:val="005F75C9"/>
    <w:rsid w:val="0060049A"/>
    <w:rsid w:val="00601469"/>
    <w:rsid w:val="006029C2"/>
    <w:rsid w:val="00604239"/>
    <w:rsid w:val="0060465F"/>
    <w:rsid w:val="006048B7"/>
    <w:rsid w:val="0060615B"/>
    <w:rsid w:val="00606DDC"/>
    <w:rsid w:val="0061017B"/>
    <w:rsid w:val="00610B0E"/>
    <w:rsid w:val="0061115E"/>
    <w:rsid w:val="0061198B"/>
    <w:rsid w:val="006127EE"/>
    <w:rsid w:val="006130CE"/>
    <w:rsid w:val="0061322B"/>
    <w:rsid w:val="00614A7D"/>
    <w:rsid w:val="00614ADC"/>
    <w:rsid w:val="00614B42"/>
    <w:rsid w:val="00614F17"/>
    <w:rsid w:val="00617D71"/>
    <w:rsid w:val="00617EFC"/>
    <w:rsid w:val="00621184"/>
    <w:rsid w:val="00622190"/>
    <w:rsid w:val="00623E47"/>
    <w:rsid w:val="00624A6C"/>
    <w:rsid w:val="00625FE8"/>
    <w:rsid w:val="0062688C"/>
    <w:rsid w:val="00627321"/>
    <w:rsid w:val="00627531"/>
    <w:rsid w:val="00627793"/>
    <w:rsid w:val="00627F8D"/>
    <w:rsid w:val="006306C8"/>
    <w:rsid w:val="0063070A"/>
    <w:rsid w:val="00630EF0"/>
    <w:rsid w:val="006310C1"/>
    <w:rsid w:val="0063217D"/>
    <w:rsid w:val="00632840"/>
    <w:rsid w:val="00632DF5"/>
    <w:rsid w:val="0063301C"/>
    <w:rsid w:val="00633693"/>
    <w:rsid w:val="00633A43"/>
    <w:rsid w:val="0063493B"/>
    <w:rsid w:val="00635406"/>
    <w:rsid w:val="00635465"/>
    <w:rsid w:val="006368A5"/>
    <w:rsid w:val="00636983"/>
    <w:rsid w:val="00636F6E"/>
    <w:rsid w:val="006422E6"/>
    <w:rsid w:val="00642721"/>
    <w:rsid w:val="00644528"/>
    <w:rsid w:val="00645125"/>
    <w:rsid w:val="0064677B"/>
    <w:rsid w:val="00646EB1"/>
    <w:rsid w:val="0064725E"/>
    <w:rsid w:val="0065027E"/>
    <w:rsid w:val="006504FC"/>
    <w:rsid w:val="006518F1"/>
    <w:rsid w:val="006520F3"/>
    <w:rsid w:val="00652236"/>
    <w:rsid w:val="00652346"/>
    <w:rsid w:val="006527C9"/>
    <w:rsid w:val="00652B75"/>
    <w:rsid w:val="00652FD3"/>
    <w:rsid w:val="00653516"/>
    <w:rsid w:val="006539A5"/>
    <w:rsid w:val="006539D2"/>
    <w:rsid w:val="006546D9"/>
    <w:rsid w:val="00654BB7"/>
    <w:rsid w:val="00655C55"/>
    <w:rsid w:val="00655F4F"/>
    <w:rsid w:val="00656287"/>
    <w:rsid w:val="00656621"/>
    <w:rsid w:val="00657264"/>
    <w:rsid w:val="00657923"/>
    <w:rsid w:val="00660650"/>
    <w:rsid w:val="0066076F"/>
    <w:rsid w:val="00660DEC"/>
    <w:rsid w:val="006615D8"/>
    <w:rsid w:val="006617DA"/>
    <w:rsid w:val="00661DCD"/>
    <w:rsid w:val="00662587"/>
    <w:rsid w:val="0066293A"/>
    <w:rsid w:val="00662E38"/>
    <w:rsid w:val="00663478"/>
    <w:rsid w:val="00663525"/>
    <w:rsid w:val="00663A96"/>
    <w:rsid w:val="0066413B"/>
    <w:rsid w:val="006648F1"/>
    <w:rsid w:val="00664FBA"/>
    <w:rsid w:val="006654B2"/>
    <w:rsid w:val="00665986"/>
    <w:rsid w:val="0066643A"/>
    <w:rsid w:val="0066664F"/>
    <w:rsid w:val="00666AC6"/>
    <w:rsid w:val="00666C05"/>
    <w:rsid w:val="00666EF3"/>
    <w:rsid w:val="006677B6"/>
    <w:rsid w:val="006677BA"/>
    <w:rsid w:val="00667834"/>
    <w:rsid w:val="00667EE8"/>
    <w:rsid w:val="006713D1"/>
    <w:rsid w:val="0067147E"/>
    <w:rsid w:val="006721AC"/>
    <w:rsid w:val="00672707"/>
    <w:rsid w:val="00672924"/>
    <w:rsid w:val="00673A73"/>
    <w:rsid w:val="006740F7"/>
    <w:rsid w:val="006743B1"/>
    <w:rsid w:val="00674C97"/>
    <w:rsid w:val="006759CB"/>
    <w:rsid w:val="0067692D"/>
    <w:rsid w:val="006771D9"/>
    <w:rsid w:val="0067782C"/>
    <w:rsid w:val="006802C8"/>
    <w:rsid w:val="006803A6"/>
    <w:rsid w:val="00680CB1"/>
    <w:rsid w:val="00681B5A"/>
    <w:rsid w:val="00681B9C"/>
    <w:rsid w:val="00682115"/>
    <w:rsid w:val="00683649"/>
    <w:rsid w:val="00683B65"/>
    <w:rsid w:val="0068509B"/>
    <w:rsid w:val="006855A3"/>
    <w:rsid w:val="0068566F"/>
    <w:rsid w:val="006865FA"/>
    <w:rsid w:val="00691549"/>
    <w:rsid w:val="0069230A"/>
    <w:rsid w:val="006926E2"/>
    <w:rsid w:val="00693BDA"/>
    <w:rsid w:val="00694484"/>
    <w:rsid w:val="00694B02"/>
    <w:rsid w:val="0069538B"/>
    <w:rsid w:val="00695779"/>
    <w:rsid w:val="006A0688"/>
    <w:rsid w:val="006A0924"/>
    <w:rsid w:val="006A0C21"/>
    <w:rsid w:val="006A160E"/>
    <w:rsid w:val="006A1635"/>
    <w:rsid w:val="006A17B3"/>
    <w:rsid w:val="006A18FB"/>
    <w:rsid w:val="006A3148"/>
    <w:rsid w:val="006A34AE"/>
    <w:rsid w:val="006A43B7"/>
    <w:rsid w:val="006A4EF6"/>
    <w:rsid w:val="006A5687"/>
    <w:rsid w:val="006A5A76"/>
    <w:rsid w:val="006A68F7"/>
    <w:rsid w:val="006A6CA4"/>
    <w:rsid w:val="006B06E2"/>
    <w:rsid w:val="006B0EA4"/>
    <w:rsid w:val="006B1643"/>
    <w:rsid w:val="006B1909"/>
    <w:rsid w:val="006B1A45"/>
    <w:rsid w:val="006B1E9F"/>
    <w:rsid w:val="006B239B"/>
    <w:rsid w:val="006B2DB6"/>
    <w:rsid w:val="006B3C99"/>
    <w:rsid w:val="006B403C"/>
    <w:rsid w:val="006B6EC6"/>
    <w:rsid w:val="006B75FC"/>
    <w:rsid w:val="006C06B8"/>
    <w:rsid w:val="006C0E6A"/>
    <w:rsid w:val="006C1B09"/>
    <w:rsid w:val="006C2215"/>
    <w:rsid w:val="006C280C"/>
    <w:rsid w:val="006C2DFD"/>
    <w:rsid w:val="006C2E23"/>
    <w:rsid w:val="006C3485"/>
    <w:rsid w:val="006C4E77"/>
    <w:rsid w:val="006C548E"/>
    <w:rsid w:val="006C637F"/>
    <w:rsid w:val="006C63AD"/>
    <w:rsid w:val="006C6629"/>
    <w:rsid w:val="006C6E27"/>
    <w:rsid w:val="006C71B5"/>
    <w:rsid w:val="006D014C"/>
    <w:rsid w:val="006D10E7"/>
    <w:rsid w:val="006D13AD"/>
    <w:rsid w:val="006D140F"/>
    <w:rsid w:val="006D2F78"/>
    <w:rsid w:val="006D39D5"/>
    <w:rsid w:val="006D3D6A"/>
    <w:rsid w:val="006D5039"/>
    <w:rsid w:val="006D51A3"/>
    <w:rsid w:val="006D5284"/>
    <w:rsid w:val="006D577B"/>
    <w:rsid w:val="006D5C9F"/>
    <w:rsid w:val="006D7C4E"/>
    <w:rsid w:val="006E00CB"/>
    <w:rsid w:val="006E042A"/>
    <w:rsid w:val="006E0517"/>
    <w:rsid w:val="006E0776"/>
    <w:rsid w:val="006E07E2"/>
    <w:rsid w:val="006E0AD9"/>
    <w:rsid w:val="006E122F"/>
    <w:rsid w:val="006E200A"/>
    <w:rsid w:val="006E2987"/>
    <w:rsid w:val="006E4432"/>
    <w:rsid w:val="006E5B36"/>
    <w:rsid w:val="006E64E7"/>
    <w:rsid w:val="006E71F5"/>
    <w:rsid w:val="006E7461"/>
    <w:rsid w:val="006E75DD"/>
    <w:rsid w:val="006F183A"/>
    <w:rsid w:val="006F18E1"/>
    <w:rsid w:val="006F28D0"/>
    <w:rsid w:val="006F42F5"/>
    <w:rsid w:val="006F44C2"/>
    <w:rsid w:val="006F4D88"/>
    <w:rsid w:val="006F4E34"/>
    <w:rsid w:val="006F4FC6"/>
    <w:rsid w:val="006F5F59"/>
    <w:rsid w:val="006F60F8"/>
    <w:rsid w:val="006F6232"/>
    <w:rsid w:val="007000BA"/>
    <w:rsid w:val="0070043D"/>
    <w:rsid w:val="007009D2"/>
    <w:rsid w:val="00700FF1"/>
    <w:rsid w:val="00702B7B"/>
    <w:rsid w:val="0070319E"/>
    <w:rsid w:val="00703448"/>
    <w:rsid w:val="007043A0"/>
    <w:rsid w:val="00704EAC"/>
    <w:rsid w:val="00704F1E"/>
    <w:rsid w:val="007069D6"/>
    <w:rsid w:val="007073AA"/>
    <w:rsid w:val="0070791F"/>
    <w:rsid w:val="007113C2"/>
    <w:rsid w:val="007117EC"/>
    <w:rsid w:val="00712777"/>
    <w:rsid w:val="00712C10"/>
    <w:rsid w:val="00712FDF"/>
    <w:rsid w:val="007132AF"/>
    <w:rsid w:val="007133E0"/>
    <w:rsid w:val="0071423C"/>
    <w:rsid w:val="007143E5"/>
    <w:rsid w:val="007150C8"/>
    <w:rsid w:val="00715168"/>
    <w:rsid w:val="007165FB"/>
    <w:rsid w:val="007168D5"/>
    <w:rsid w:val="00716E31"/>
    <w:rsid w:val="007170CC"/>
    <w:rsid w:val="007176A5"/>
    <w:rsid w:val="00720C74"/>
    <w:rsid w:val="00721454"/>
    <w:rsid w:val="00721972"/>
    <w:rsid w:val="00721A06"/>
    <w:rsid w:val="00721A55"/>
    <w:rsid w:val="007227D7"/>
    <w:rsid w:val="0072338C"/>
    <w:rsid w:val="00724128"/>
    <w:rsid w:val="0072417C"/>
    <w:rsid w:val="00724F60"/>
    <w:rsid w:val="00724FAB"/>
    <w:rsid w:val="007258F1"/>
    <w:rsid w:val="0072760C"/>
    <w:rsid w:val="00727BCD"/>
    <w:rsid w:val="00727F4F"/>
    <w:rsid w:val="00730543"/>
    <w:rsid w:val="007309D4"/>
    <w:rsid w:val="00730D38"/>
    <w:rsid w:val="0073118A"/>
    <w:rsid w:val="00731522"/>
    <w:rsid w:val="00731651"/>
    <w:rsid w:val="00732444"/>
    <w:rsid w:val="007334DB"/>
    <w:rsid w:val="007340B5"/>
    <w:rsid w:val="007354E3"/>
    <w:rsid w:val="00735AC0"/>
    <w:rsid w:val="007404C0"/>
    <w:rsid w:val="007420E9"/>
    <w:rsid w:val="00742B56"/>
    <w:rsid w:val="00742C3A"/>
    <w:rsid w:val="0074312A"/>
    <w:rsid w:val="00743237"/>
    <w:rsid w:val="007432D8"/>
    <w:rsid w:val="007434CD"/>
    <w:rsid w:val="0074363D"/>
    <w:rsid w:val="0074589A"/>
    <w:rsid w:val="007459E4"/>
    <w:rsid w:val="00745BF2"/>
    <w:rsid w:val="00745CCC"/>
    <w:rsid w:val="00746696"/>
    <w:rsid w:val="00747893"/>
    <w:rsid w:val="00751896"/>
    <w:rsid w:val="00753874"/>
    <w:rsid w:val="00754440"/>
    <w:rsid w:val="00755094"/>
    <w:rsid w:val="0075598E"/>
    <w:rsid w:val="00755A1F"/>
    <w:rsid w:val="00756164"/>
    <w:rsid w:val="00756C9B"/>
    <w:rsid w:val="00756EB5"/>
    <w:rsid w:val="00757211"/>
    <w:rsid w:val="00757572"/>
    <w:rsid w:val="00757836"/>
    <w:rsid w:val="00760B3D"/>
    <w:rsid w:val="00760B96"/>
    <w:rsid w:val="00760D24"/>
    <w:rsid w:val="00760D3D"/>
    <w:rsid w:val="00760D6A"/>
    <w:rsid w:val="007615E3"/>
    <w:rsid w:val="00761CF9"/>
    <w:rsid w:val="00761EBD"/>
    <w:rsid w:val="007627B6"/>
    <w:rsid w:val="00763850"/>
    <w:rsid w:val="007645C5"/>
    <w:rsid w:val="00764C0A"/>
    <w:rsid w:val="00764D71"/>
    <w:rsid w:val="00764DB2"/>
    <w:rsid w:val="007659BD"/>
    <w:rsid w:val="00765DAD"/>
    <w:rsid w:val="007660B5"/>
    <w:rsid w:val="007662B3"/>
    <w:rsid w:val="00766839"/>
    <w:rsid w:val="0077057E"/>
    <w:rsid w:val="007708C0"/>
    <w:rsid w:val="00771B7A"/>
    <w:rsid w:val="007727A1"/>
    <w:rsid w:val="00772F8D"/>
    <w:rsid w:val="0077303C"/>
    <w:rsid w:val="0077311B"/>
    <w:rsid w:val="007735F9"/>
    <w:rsid w:val="007737C1"/>
    <w:rsid w:val="007737D5"/>
    <w:rsid w:val="00773A7C"/>
    <w:rsid w:val="007748BE"/>
    <w:rsid w:val="00774E36"/>
    <w:rsid w:val="007756CC"/>
    <w:rsid w:val="00776F1F"/>
    <w:rsid w:val="007801FD"/>
    <w:rsid w:val="00780559"/>
    <w:rsid w:val="00780E74"/>
    <w:rsid w:val="00781505"/>
    <w:rsid w:val="0078175E"/>
    <w:rsid w:val="00781AE1"/>
    <w:rsid w:val="00782F3C"/>
    <w:rsid w:val="007834D3"/>
    <w:rsid w:val="00783A3E"/>
    <w:rsid w:val="00783E67"/>
    <w:rsid w:val="00783EEE"/>
    <w:rsid w:val="007842F7"/>
    <w:rsid w:val="0078531E"/>
    <w:rsid w:val="0078646F"/>
    <w:rsid w:val="00786C0E"/>
    <w:rsid w:val="00787779"/>
    <w:rsid w:val="007905ED"/>
    <w:rsid w:val="00791646"/>
    <w:rsid w:val="00791D45"/>
    <w:rsid w:val="00791EE3"/>
    <w:rsid w:val="0079202E"/>
    <w:rsid w:val="007929DA"/>
    <w:rsid w:val="007946E2"/>
    <w:rsid w:val="00795911"/>
    <w:rsid w:val="00796FF4"/>
    <w:rsid w:val="007A09A7"/>
    <w:rsid w:val="007A1460"/>
    <w:rsid w:val="007A1E3C"/>
    <w:rsid w:val="007A1FCD"/>
    <w:rsid w:val="007A2DD1"/>
    <w:rsid w:val="007A3118"/>
    <w:rsid w:val="007A379F"/>
    <w:rsid w:val="007A4653"/>
    <w:rsid w:val="007A4FFC"/>
    <w:rsid w:val="007A5585"/>
    <w:rsid w:val="007A5C29"/>
    <w:rsid w:val="007A65B9"/>
    <w:rsid w:val="007A6914"/>
    <w:rsid w:val="007A720C"/>
    <w:rsid w:val="007A76B3"/>
    <w:rsid w:val="007A7B7B"/>
    <w:rsid w:val="007A7BB0"/>
    <w:rsid w:val="007A7D40"/>
    <w:rsid w:val="007B026F"/>
    <w:rsid w:val="007B0406"/>
    <w:rsid w:val="007B0F13"/>
    <w:rsid w:val="007B1114"/>
    <w:rsid w:val="007B15B7"/>
    <w:rsid w:val="007B1A45"/>
    <w:rsid w:val="007B1ABA"/>
    <w:rsid w:val="007B22DB"/>
    <w:rsid w:val="007B2374"/>
    <w:rsid w:val="007B243C"/>
    <w:rsid w:val="007B2FE2"/>
    <w:rsid w:val="007B3043"/>
    <w:rsid w:val="007B3140"/>
    <w:rsid w:val="007B3191"/>
    <w:rsid w:val="007B4657"/>
    <w:rsid w:val="007B5AC1"/>
    <w:rsid w:val="007B78EA"/>
    <w:rsid w:val="007C0C42"/>
    <w:rsid w:val="007C10E7"/>
    <w:rsid w:val="007C1B5F"/>
    <w:rsid w:val="007C1E18"/>
    <w:rsid w:val="007C289C"/>
    <w:rsid w:val="007C352F"/>
    <w:rsid w:val="007C35FF"/>
    <w:rsid w:val="007C3F58"/>
    <w:rsid w:val="007C52ED"/>
    <w:rsid w:val="007C54E7"/>
    <w:rsid w:val="007C5553"/>
    <w:rsid w:val="007C5F52"/>
    <w:rsid w:val="007C6DFF"/>
    <w:rsid w:val="007C7BB3"/>
    <w:rsid w:val="007C7C15"/>
    <w:rsid w:val="007D05B0"/>
    <w:rsid w:val="007D0FA4"/>
    <w:rsid w:val="007D2824"/>
    <w:rsid w:val="007D2CF9"/>
    <w:rsid w:val="007D305D"/>
    <w:rsid w:val="007D4018"/>
    <w:rsid w:val="007D443A"/>
    <w:rsid w:val="007D499A"/>
    <w:rsid w:val="007D5331"/>
    <w:rsid w:val="007D5C5F"/>
    <w:rsid w:val="007D6047"/>
    <w:rsid w:val="007D61F1"/>
    <w:rsid w:val="007D6419"/>
    <w:rsid w:val="007D697E"/>
    <w:rsid w:val="007D7E93"/>
    <w:rsid w:val="007E0BA7"/>
    <w:rsid w:val="007E18BC"/>
    <w:rsid w:val="007E1A61"/>
    <w:rsid w:val="007E22E6"/>
    <w:rsid w:val="007E283D"/>
    <w:rsid w:val="007E3CB9"/>
    <w:rsid w:val="007E44F2"/>
    <w:rsid w:val="007E48B2"/>
    <w:rsid w:val="007E4942"/>
    <w:rsid w:val="007E4B6C"/>
    <w:rsid w:val="007E550F"/>
    <w:rsid w:val="007E55BF"/>
    <w:rsid w:val="007E5D3D"/>
    <w:rsid w:val="007E61E0"/>
    <w:rsid w:val="007E6659"/>
    <w:rsid w:val="007E722D"/>
    <w:rsid w:val="007E75AD"/>
    <w:rsid w:val="007F3245"/>
    <w:rsid w:val="007F4092"/>
    <w:rsid w:val="007F55DB"/>
    <w:rsid w:val="007F589D"/>
    <w:rsid w:val="007F5B55"/>
    <w:rsid w:val="007F609A"/>
    <w:rsid w:val="007F6475"/>
    <w:rsid w:val="007F7457"/>
    <w:rsid w:val="007F7F3F"/>
    <w:rsid w:val="00800B5E"/>
    <w:rsid w:val="0080106C"/>
    <w:rsid w:val="008010E5"/>
    <w:rsid w:val="0080256D"/>
    <w:rsid w:val="00804483"/>
    <w:rsid w:val="008044F3"/>
    <w:rsid w:val="00805F07"/>
    <w:rsid w:val="00805FF5"/>
    <w:rsid w:val="00806306"/>
    <w:rsid w:val="00806E9E"/>
    <w:rsid w:val="00807534"/>
    <w:rsid w:val="00807935"/>
    <w:rsid w:val="008109C7"/>
    <w:rsid w:val="00810B8A"/>
    <w:rsid w:val="00811478"/>
    <w:rsid w:val="0081249F"/>
    <w:rsid w:val="00812659"/>
    <w:rsid w:val="00812890"/>
    <w:rsid w:val="0081305B"/>
    <w:rsid w:val="00813F3F"/>
    <w:rsid w:val="0081415F"/>
    <w:rsid w:val="0081455D"/>
    <w:rsid w:val="00814936"/>
    <w:rsid w:val="00815438"/>
    <w:rsid w:val="00815775"/>
    <w:rsid w:val="00815E78"/>
    <w:rsid w:val="00816345"/>
    <w:rsid w:val="008169CB"/>
    <w:rsid w:val="008174B7"/>
    <w:rsid w:val="00817940"/>
    <w:rsid w:val="0081796D"/>
    <w:rsid w:val="0082014F"/>
    <w:rsid w:val="008205F2"/>
    <w:rsid w:val="00820D38"/>
    <w:rsid w:val="00820EFE"/>
    <w:rsid w:val="0082155C"/>
    <w:rsid w:val="0082205C"/>
    <w:rsid w:val="00822E32"/>
    <w:rsid w:val="00824655"/>
    <w:rsid w:val="00824D06"/>
    <w:rsid w:val="00824FD0"/>
    <w:rsid w:val="0082559E"/>
    <w:rsid w:val="008256EB"/>
    <w:rsid w:val="00825953"/>
    <w:rsid w:val="00825970"/>
    <w:rsid w:val="00825F69"/>
    <w:rsid w:val="00826D6E"/>
    <w:rsid w:val="0082739C"/>
    <w:rsid w:val="008278A1"/>
    <w:rsid w:val="008279FD"/>
    <w:rsid w:val="00832228"/>
    <w:rsid w:val="00834084"/>
    <w:rsid w:val="0083514E"/>
    <w:rsid w:val="00835443"/>
    <w:rsid w:val="00835B5A"/>
    <w:rsid w:val="00835BEF"/>
    <w:rsid w:val="00835C38"/>
    <w:rsid w:val="00835F4F"/>
    <w:rsid w:val="00837CFB"/>
    <w:rsid w:val="008404B1"/>
    <w:rsid w:val="008409BB"/>
    <w:rsid w:val="008414AF"/>
    <w:rsid w:val="00841AEA"/>
    <w:rsid w:val="00841EC6"/>
    <w:rsid w:val="00842AC3"/>
    <w:rsid w:val="00842EB2"/>
    <w:rsid w:val="00843E68"/>
    <w:rsid w:val="00843F52"/>
    <w:rsid w:val="00844AB9"/>
    <w:rsid w:val="00844E26"/>
    <w:rsid w:val="008450C8"/>
    <w:rsid w:val="00845262"/>
    <w:rsid w:val="00845324"/>
    <w:rsid w:val="008457CC"/>
    <w:rsid w:val="0084630E"/>
    <w:rsid w:val="008464EB"/>
    <w:rsid w:val="00847477"/>
    <w:rsid w:val="00847CDB"/>
    <w:rsid w:val="00847DF2"/>
    <w:rsid w:val="00847E5C"/>
    <w:rsid w:val="008506A0"/>
    <w:rsid w:val="0085133A"/>
    <w:rsid w:val="00852803"/>
    <w:rsid w:val="00853178"/>
    <w:rsid w:val="00853366"/>
    <w:rsid w:val="008549A4"/>
    <w:rsid w:val="0085579B"/>
    <w:rsid w:val="0085584F"/>
    <w:rsid w:val="00855D15"/>
    <w:rsid w:val="00855DF6"/>
    <w:rsid w:val="00855F93"/>
    <w:rsid w:val="0086312E"/>
    <w:rsid w:val="00863BD3"/>
    <w:rsid w:val="00864239"/>
    <w:rsid w:val="008645DB"/>
    <w:rsid w:val="0086460D"/>
    <w:rsid w:val="008661C4"/>
    <w:rsid w:val="008663A0"/>
    <w:rsid w:val="00866F09"/>
    <w:rsid w:val="00870EA9"/>
    <w:rsid w:val="0087106B"/>
    <w:rsid w:val="008717F8"/>
    <w:rsid w:val="00871A00"/>
    <w:rsid w:val="00872039"/>
    <w:rsid w:val="008724CE"/>
    <w:rsid w:val="0087272C"/>
    <w:rsid w:val="00872785"/>
    <w:rsid w:val="00872B00"/>
    <w:rsid w:val="00872B0D"/>
    <w:rsid w:val="00873412"/>
    <w:rsid w:val="00873AD4"/>
    <w:rsid w:val="00874441"/>
    <w:rsid w:val="008748A2"/>
    <w:rsid w:val="00875E25"/>
    <w:rsid w:val="0087758D"/>
    <w:rsid w:val="00877AF3"/>
    <w:rsid w:val="00877FA6"/>
    <w:rsid w:val="00880004"/>
    <w:rsid w:val="00880AE8"/>
    <w:rsid w:val="00880E5B"/>
    <w:rsid w:val="00882083"/>
    <w:rsid w:val="00882144"/>
    <w:rsid w:val="00883B67"/>
    <w:rsid w:val="00883FCE"/>
    <w:rsid w:val="0088426C"/>
    <w:rsid w:val="008845AE"/>
    <w:rsid w:val="00884C47"/>
    <w:rsid w:val="008852AE"/>
    <w:rsid w:val="0088558E"/>
    <w:rsid w:val="00885AAE"/>
    <w:rsid w:val="00886693"/>
    <w:rsid w:val="008867B6"/>
    <w:rsid w:val="00886FC0"/>
    <w:rsid w:val="00887F5D"/>
    <w:rsid w:val="00890627"/>
    <w:rsid w:val="00890714"/>
    <w:rsid w:val="00891627"/>
    <w:rsid w:val="00891AB3"/>
    <w:rsid w:val="00891C9B"/>
    <w:rsid w:val="008927A1"/>
    <w:rsid w:val="008928CC"/>
    <w:rsid w:val="008931BE"/>
    <w:rsid w:val="00893327"/>
    <w:rsid w:val="00893D9C"/>
    <w:rsid w:val="0089417F"/>
    <w:rsid w:val="008953F8"/>
    <w:rsid w:val="008966F9"/>
    <w:rsid w:val="00896963"/>
    <w:rsid w:val="00896AD7"/>
    <w:rsid w:val="00897E3E"/>
    <w:rsid w:val="008A0044"/>
    <w:rsid w:val="008A10AC"/>
    <w:rsid w:val="008A1BD6"/>
    <w:rsid w:val="008A1FA5"/>
    <w:rsid w:val="008A4CD8"/>
    <w:rsid w:val="008A676A"/>
    <w:rsid w:val="008A6A58"/>
    <w:rsid w:val="008A7B92"/>
    <w:rsid w:val="008B02D4"/>
    <w:rsid w:val="008B0FE2"/>
    <w:rsid w:val="008B3CF1"/>
    <w:rsid w:val="008B3E39"/>
    <w:rsid w:val="008B43E5"/>
    <w:rsid w:val="008B5D24"/>
    <w:rsid w:val="008B5F04"/>
    <w:rsid w:val="008B6022"/>
    <w:rsid w:val="008B6AE1"/>
    <w:rsid w:val="008B6CF7"/>
    <w:rsid w:val="008B7288"/>
    <w:rsid w:val="008C02E2"/>
    <w:rsid w:val="008C04B3"/>
    <w:rsid w:val="008C0840"/>
    <w:rsid w:val="008C157A"/>
    <w:rsid w:val="008C1731"/>
    <w:rsid w:val="008C1967"/>
    <w:rsid w:val="008C22C8"/>
    <w:rsid w:val="008C27A5"/>
    <w:rsid w:val="008C2887"/>
    <w:rsid w:val="008C3EC8"/>
    <w:rsid w:val="008C40EC"/>
    <w:rsid w:val="008C4724"/>
    <w:rsid w:val="008C51F3"/>
    <w:rsid w:val="008C57F8"/>
    <w:rsid w:val="008C5DF6"/>
    <w:rsid w:val="008C6167"/>
    <w:rsid w:val="008C6541"/>
    <w:rsid w:val="008C6599"/>
    <w:rsid w:val="008C6B60"/>
    <w:rsid w:val="008C775A"/>
    <w:rsid w:val="008D0A1D"/>
    <w:rsid w:val="008D0BA8"/>
    <w:rsid w:val="008D1849"/>
    <w:rsid w:val="008D1BFB"/>
    <w:rsid w:val="008D1E83"/>
    <w:rsid w:val="008D25C4"/>
    <w:rsid w:val="008D2BE0"/>
    <w:rsid w:val="008D31F8"/>
    <w:rsid w:val="008D3517"/>
    <w:rsid w:val="008D3D0A"/>
    <w:rsid w:val="008D47E9"/>
    <w:rsid w:val="008D4D56"/>
    <w:rsid w:val="008D50FF"/>
    <w:rsid w:val="008D5761"/>
    <w:rsid w:val="008D57A0"/>
    <w:rsid w:val="008D72C6"/>
    <w:rsid w:val="008D767F"/>
    <w:rsid w:val="008D7DFA"/>
    <w:rsid w:val="008E024D"/>
    <w:rsid w:val="008E0FF9"/>
    <w:rsid w:val="008E1620"/>
    <w:rsid w:val="008E16D8"/>
    <w:rsid w:val="008E19B9"/>
    <w:rsid w:val="008E2265"/>
    <w:rsid w:val="008E2BFB"/>
    <w:rsid w:val="008E3C0D"/>
    <w:rsid w:val="008E3F44"/>
    <w:rsid w:val="008E5E1F"/>
    <w:rsid w:val="008E6330"/>
    <w:rsid w:val="008E686D"/>
    <w:rsid w:val="008E68D2"/>
    <w:rsid w:val="008E6E27"/>
    <w:rsid w:val="008E6FF0"/>
    <w:rsid w:val="008E723B"/>
    <w:rsid w:val="008E73F8"/>
    <w:rsid w:val="008F088B"/>
    <w:rsid w:val="008F08A6"/>
    <w:rsid w:val="008F0F04"/>
    <w:rsid w:val="008F289A"/>
    <w:rsid w:val="008F2A4F"/>
    <w:rsid w:val="008F3365"/>
    <w:rsid w:val="008F3522"/>
    <w:rsid w:val="008F43F4"/>
    <w:rsid w:val="008F4AA2"/>
    <w:rsid w:val="008F5263"/>
    <w:rsid w:val="008F5E53"/>
    <w:rsid w:val="008F6F52"/>
    <w:rsid w:val="008F706A"/>
    <w:rsid w:val="008F7B32"/>
    <w:rsid w:val="008F7CB6"/>
    <w:rsid w:val="008F7FE6"/>
    <w:rsid w:val="0090050F"/>
    <w:rsid w:val="00901E62"/>
    <w:rsid w:val="00901E66"/>
    <w:rsid w:val="00902DA1"/>
    <w:rsid w:val="009035AE"/>
    <w:rsid w:val="00904F2F"/>
    <w:rsid w:val="00904FDC"/>
    <w:rsid w:val="00907717"/>
    <w:rsid w:val="00911C5A"/>
    <w:rsid w:val="00911C81"/>
    <w:rsid w:val="009136C7"/>
    <w:rsid w:val="00913C09"/>
    <w:rsid w:val="00913C39"/>
    <w:rsid w:val="00913CAD"/>
    <w:rsid w:val="00913D8F"/>
    <w:rsid w:val="009147D7"/>
    <w:rsid w:val="00914FA5"/>
    <w:rsid w:val="009150DD"/>
    <w:rsid w:val="00915AEE"/>
    <w:rsid w:val="009205F9"/>
    <w:rsid w:val="00921A2E"/>
    <w:rsid w:val="00921D7F"/>
    <w:rsid w:val="009220D6"/>
    <w:rsid w:val="009223FD"/>
    <w:rsid w:val="00923C61"/>
    <w:rsid w:val="009242C9"/>
    <w:rsid w:val="00924C3F"/>
    <w:rsid w:val="0092557A"/>
    <w:rsid w:val="00925662"/>
    <w:rsid w:val="0092596C"/>
    <w:rsid w:val="00926943"/>
    <w:rsid w:val="00926BE7"/>
    <w:rsid w:val="00926DDA"/>
    <w:rsid w:val="00926F98"/>
    <w:rsid w:val="00927092"/>
    <w:rsid w:val="00927486"/>
    <w:rsid w:val="0092753F"/>
    <w:rsid w:val="009277D7"/>
    <w:rsid w:val="00927A05"/>
    <w:rsid w:val="009303A7"/>
    <w:rsid w:val="00930403"/>
    <w:rsid w:val="00930DD4"/>
    <w:rsid w:val="0093163D"/>
    <w:rsid w:val="009319F2"/>
    <w:rsid w:val="00933011"/>
    <w:rsid w:val="0093338C"/>
    <w:rsid w:val="00933A59"/>
    <w:rsid w:val="00934CFA"/>
    <w:rsid w:val="00935817"/>
    <w:rsid w:val="009374EA"/>
    <w:rsid w:val="0094023E"/>
    <w:rsid w:val="00941044"/>
    <w:rsid w:val="009427B9"/>
    <w:rsid w:val="00943416"/>
    <w:rsid w:val="0094361C"/>
    <w:rsid w:val="00943B3F"/>
    <w:rsid w:val="00943B5F"/>
    <w:rsid w:val="00944055"/>
    <w:rsid w:val="009441C8"/>
    <w:rsid w:val="00944532"/>
    <w:rsid w:val="009448C6"/>
    <w:rsid w:val="0094590D"/>
    <w:rsid w:val="00945D89"/>
    <w:rsid w:val="0094616F"/>
    <w:rsid w:val="00946286"/>
    <w:rsid w:val="009473DF"/>
    <w:rsid w:val="0095065D"/>
    <w:rsid w:val="00950F8A"/>
    <w:rsid w:val="009514EC"/>
    <w:rsid w:val="009516C2"/>
    <w:rsid w:val="00951D11"/>
    <w:rsid w:val="009520AD"/>
    <w:rsid w:val="00952480"/>
    <w:rsid w:val="009526A3"/>
    <w:rsid w:val="009527DB"/>
    <w:rsid w:val="00952D20"/>
    <w:rsid w:val="009531A1"/>
    <w:rsid w:val="00953774"/>
    <w:rsid w:val="00953ADA"/>
    <w:rsid w:val="00953BD0"/>
    <w:rsid w:val="009540BB"/>
    <w:rsid w:val="0095586A"/>
    <w:rsid w:val="00956233"/>
    <w:rsid w:val="00957746"/>
    <w:rsid w:val="009604AB"/>
    <w:rsid w:val="0096163C"/>
    <w:rsid w:val="00961641"/>
    <w:rsid w:val="00962FA4"/>
    <w:rsid w:val="00963399"/>
    <w:rsid w:val="009633A7"/>
    <w:rsid w:val="00963464"/>
    <w:rsid w:val="00963CBF"/>
    <w:rsid w:val="00963FC7"/>
    <w:rsid w:val="00965668"/>
    <w:rsid w:val="00965F23"/>
    <w:rsid w:val="009661BB"/>
    <w:rsid w:val="00966CF4"/>
    <w:rsid w:val="00970077"/>
    <w:rsid w:val="00970D23"/>
    <w:rsid w:val="00970DD0"/>
    <w:rsid w:val="00971CEF"/>
    <w:rsid w:val="00972D00"/>
    <w:rsid w:val="00973922"/>
    <w:rsid w:val="00973BDA"/>
    <w:rsid w:val="00974695"/>
    <w:rsid w:val="009747DF"/>
    <w:rsid w:val="00974CF4"/>
    <w:rsid w:val="00976BE1"/>
    <w:rsid w:val="00977105"/>
    <w:rsid w:val="009774E8"/>
    <w:rsid w:val="00977714"/>
    <w:rsid w:val="00977DD6"/>
    <w:rsid w:val="00980676"/>
    <w:rsid w:val="00980D84"/>
    <w:rsid w:val="00980E00"/>
    <w:rsid w:val="00980E91"/>
    <w:rsid w:val="009818BC"/>
    <w:rsid w:val="009822DA"/>
    <w:rsid w:val="009823FF"/>
    <w:rsid w:val="00982C80"/>
    <w:rsid w:val="009833BE"/>
    <w:rsid w:val="00983B57"/>
    <w:rsid w:val="00984373"/>
    <w:rsid w:val="00984874"/>
    <w:rsid w:val="009852B9"/>
    <w:rsid w:val="00985C33"/>
    <w:rsid w:val="009862BF"/>
    <w:rsid w:val="00986720"/>
    <w:rsid w:val="00986AE3"/>
    <w:rsid w:val="00987C8D"/>
    <w:rsid w:val="00987F23"/>
    <w:rsid w:val="009907BC"/>
    <w:rsid w:val="00990BAF"/>
    <w:rsid w:val="00990F3C"/>
    <w:rsid w:val="00991712"/>
    <w:rsid w:val="00992A29"/>
    <w:rsid w:val="00993337"/>
    <w:rsid w:val="00993FFE"/>
    <w:rsid w:val="009943B0"/>
    <w:rsid w:val="00994FBE"/>
    <w:rsid w:val="009A0356"/>
    <w:rsid w:val="009A137B"/>
    <w:rsid w:val="009A18B9"/>
    <w:rsid w:val="009A23A2"/>
    <w:rsid w:val="009A275D"/>
    <w:rsid w:val="009A2D9B"/>
    <w:rsid w:val="009A320B"/>
    <w:rsid w:val="009A3AB5"/>
    <w:rsid w:val="009A3C81"/>
    <w:rsid w:val="009A3D73"/>
    <w:rsid w:val="009A4B8D"/>
    <w:rsid w:val="009A4D9D"/>
    <w:rsid w:val="009A5409"/>
    <w:rsid w:val="009A67EB"/>
    <w:rsid w:val="009A7C07"/>
    <w:rsid w:val="009B1028"/>
    <w:rsid w:val="009B1D77"/>
    <w:rsid w:val="009B50B6"/>
    <w:rsid w:val="009B55EA"/>
    <w:rsid w:val="009B5F8F"/>
    <w:rsid w:val="009B63B8"/>
    <w:rsid w:val="009B6579"/>
    <w:rsid w:val="009B6807"/>
    <w:rsid w:val="009B69B7"/>
    <w:rsid w:val="009C0425"/>
    <w:rsid w:val="009C04D2"/>
    <w:rsid w:val="009C08B5"/>
    <w:rsid w:val="009C0B99"/>
    <w:rsid w:val="009C0FA6"/>
    <w:rsid w:val="009C247A"/>
    <w:rsid w:val="009C2B1C"/>
    <w:rsid w:val="009C2CDA"/>
    <w:rsid w:val="009C3244"/>
    <w:rsid w:val="009C402B"/>
    <w:rsid w:val="009C456C"/>
    <w:rsid w:val="009C46C4"/>
    <w:rsid w:val="009C4E5A"/>
    <w:rsid w:val="009C5784"/>
    <w:rsid w:val="009C5A44"/>
    <w:rsid w:val="009C69F5"/>
    <w:rsid w:val="009C6E3C"/>
    <w:rsid w:val="009D02E0"/>
    <w:rsid w:val="009D0694"/>
    <w:rsid w:val="009D075C"/>
    <w:rsid w:val="009D08BF"/>
    <w:rsid w:val="009D0D63"/>
    <w:rsid w:val="009D0F6B"/>
    <w:rsid w:val="009D1A09"/>
    <w:rsid w:val="009D1B6A"/>
    <w:rsid w:val="009D1C65"/>
    <w:rsid w:val="009D1E05"/>
    <w:rsid w:val="009D1F3F"/>
    <w:rsid w:val="009D1F6D"/>
    <w:rsid w:val="009D2042"/>
    <w:rsid w:val="009D2F7F"/>
    <w:rsid w:val="009D3389"/>
    <w:rsid w:val="009D3648"/>
    <w:rsid w:val="009D38B5"/>
    <w:rsid w:val="009D3FD8"/>
    <w:rsid w:val="009D71EC"/>
    <w:rsid w:val="009D7705"/>
    <w:rsid w:val="009E0AD8"/>
    <w:rsid w:val="009E0C5B"/>
    <w:rsid w:val="009E1291"/>
    <w:rsid w:val="009E142C"/>
    <w:rsid w:val="009E2946"/>
    <w:rsid w:val="009E2A59"/>
    <w:rsid w:val="009E38C1"/>
    <w:rsid w:val="009E3F69"/>
    <w:rsid w:val="009E416B"/>
    <w:rsid w:val="009E558D"/>
    <w:rsid w:val="009E596C"/>
    <w:rsid w:val="009E6DE6"/>
    <w:rsid w:val="009E6E9B"/>
    <w:rsid w:val="009E767A"/>
    <w:rsid w:val="009E76C8"/>
    <w:rsid w:val="009E7D03"/>
    <w:rsid w:val="009E7D3E"/>
    <w:rsid w:val="009F017D"/>
    <w:rsid w:val="009F0EB4"/>
    <w:rsid w:val="009F1334"/>
    <w:rsid w:val="009F2033"/>
    <w:rsid w:val="009F2291"/>
    <w:rsid w:val="009F24F9"/>
    <w:rsid w:val="009F2DB4"/>
    <w:rsid w:val="009F41C2"/>
    <w:rsid w:val="009F4759"/>
    <w:rsid w:val="009F5865"/>
    <w:rsid w:val="009F5FEE"/>
    <w:rsid w:val="009F6E5D"/>
    <w:rsid w:val="009F7C39"/>
    <w:rsid w:val="009F7E4E"/>
    <w:rsid w:val="00A00679"/>
    <w:rsid w:val="00A01479"/>
    <w:rsid w:val="00A014B5"/>
    <w:rsid w:val="00A0243A"/>
    <w:rsid w:val="00A02661"/>
    <w:rsid w:val="00A03486"/>
    <w:rsid w:val="00A04039"/>
    <w:rsid w:val="00A05728"/>
    <w:rsid w:val="00A06229"/>
    <w:rsid w:val="00A062A9"/>
    <w:rsid w:val="00A0675A"/>
    <w:rsid w:val="00A06E9B"/>
    <w:rsid w:val="00A07891"/>
    <w:rsid w:val="00A07FDF"/>
    <w:rsid w:val="00A114C0"/>
    <w:rsid w:val="00A114CC"/>
    <w:rsid w:val="00A11619"/>
    <w:rsid w:val="00A11AA4"/>
    <w:rsid w:val="00A12515"/>
    <w:rsid w:val="00A1251C"/>
    <w:rsid w:val="00A12EC6"/>
    <w:rsid w:val="00A14268"/>
    <w:rsid w:val="00A1499A"/>
    <w:rsid w:val="00A14CD4"/>
    <w:rsid w:val="00A15B17"/>
    <w:rsid w:val="00A15FEE"/>
    <w:rsid w:val="00A160B6"/>
    <w:rsid w:val="00A166D8"/>
    <w:rsid w:val="00A16A24"/>
    <w:rsid w:val="00A20095"/>
    <w:rsid w:val="00A20A6D"/>
    <w:rsid w:val="00A21C25"/>
    <w:rsid w:val="00A22576"/>
    <w:rsid w:val="00A22808"/>
    <w:rsid w:val="00A23646"/>
    <w:rsid w:val="00A238EB"/>
    <w:rsid w:val="00A2477A"/>
    <w:rsid w:val="00A24F25"/>
    <w:rsid w:val="00A251BE"/>
    <w:rsid w:val="00A25346"/>
    <w:rsid w:val="00A25638"/>
    <w:rsid w:val="00A261D6"/>
    <w:rsid w:val="00A261F3"/>
    <w:rsid w:val="00A26B54"/>
    <w:rsid w:val="00A26EBD"/>
    <w:rsid w:val="00A26F84"/>
    <w:rsid w:val="00A2705B"/>
    <w:rsid w:val="00A2715D"/>
    <w:rsid w:val="00A30FC0"/>
    <w:rsid w:val="00A3146D"/>
    <w:rsid w:val="00A3153A"/>
    <w:rsid w:val="00A317EA"/>
    <w:rsid w:val="00A32A11"/>
    <w:rsid w:val="00A32E8C"/>
    <w:rsid w:val="00A33102"/>
    <w:rsid w:val="00A33759"/>
    <w:rsid w:val="00A33ABA"/>
    <w:rsid w:val="00A33BA0"/>
    <w:rsid w:val="00A3435B"/>
    <w:rsid w:val="00A347D1"/>
    <w:rsid w:val="00A347E1"/>
    <w:rsid w:val="00A364D4"/>
    <w:rsid w:val="00A37204"/>
    <w:rsid w:val="00A37A88"/>
    <w:rsid w:val="00A37EAA"/>
    <w:rsid w:val="00A407B1"/>
    <w:rsid w:val="00A407CD"/>
    <w:rsid w:val="00A40E55"/>
    <w:rsid w:val="00A412DB"/>
    <w:rsid w:val="00A42762"/>
    <w:rsid w:val="00A43633"/>
    <w:rsid w:val="00A43B7A"/>
    <w:rsid w:val="00A43CB9"/>
    <w:rsid w:val="00A43FD0"/>
    <w:rsid w:val="00A440E0"/>
    <w:rsid w:val="00A44735"/>
    <w:rsid w:val="00A44A51"/>
    <w:rsid w:val="00A44E54"/>
    <w:rsid w:val="00A4611F"/>
    <w:rsid w:val="00A466C1"/>
    <w:rsid w:val="00A46E7D"/>
    <w:rsid w:val="00A46FEE"/>
    <w:rsid w:val="00A4753A"/>
    <w:rsid w:val="00A47662"/>
    <w:rsid w:val="00A47F63"/>
    <w:rsid w:val="00A50DB9"/>
    <w:rsid w:val="00A51179"/>
    <w:rsid w:val="00A519A1"/>
    <w:rsid w:val="00A51E33"/>
    <w:rsid w:val="00A52C02"/>
    <w:rsid w:val="00A540B5"/>
    <w:rsid w:val="00A5462C"/>
    <w:rsid w:val="00A54C45"/>
    <w:rsid w:val="00A55105"/>
    <w:rsid w:val="00A5517D"/>
    <w:rsid w:val="00A5574B"/>
    <w:rsid w:val="00A57117"/>
    <w:rsid w:val="00A5767B"/>
    <w:rsid w:val="00A57808"/>
    <w:rsid w:val="00A60B5B"/>
    <w:rsid w:val="00A610BB"/>
    <w:rsid w:val="00A61C24"/>
    <w:rsid w:val="00A61E34"/>
    <w:rsid w:val="00A61F19"/>
    <w:rsid w:val="00A62F83"/>
    <w:rsid w:val="00A66D3B"/>
    <w:rsid w:val="00A67134"/>
    <w:rsid w:val="00A7359B"/>
    <w:rsid w:val="00A73865"/>
    <w:rsid w:val="00A745B1"/>
    <w:rsid w:val="00A74AE0"/>
    <w:rsid w:val="00A7500B"/>
    <w:rsid w:val="00A751DC"/>
    <w:rsid w:val="00A76FE1"/>
    <w:rsid w:val="00A77141"/>
    <w:rsid w:val="00A77B3D"/>
    <w:rsid w:val="00A801F5"/>
    <w:rsid w:val="00A808C0"/>
    <w:rsid w:val="00A813C8"/>
    <w:rsid w:val="00A815F3"/>
    <w:rsid w:val="00A82961"/>
    <w:rsid w:val="00A82B8B"/>
    <w:rsid w:val="00A839F8"/>
    <w:rsid w:val="00A83C56"/>
    <w:rsid w:val="00A8413E"/>
    <w:rsid w:val="00A841E6"/>
    <w:rsid w:val="00A8488B"/>
    <w:rsid w:val="00A84B6A"/>
    <w:rsid w:val="00A8598A"/>
    <w:rsid w:val="00A85DF6"/>
    <w:rsid w:val="00A8613E"/>
    <w:rsid w:val="00A86501"/>
    <w:rsid w:val="00A86E13"/>
    <w:rsid w:val="00A87389"/>
    <w:rsid w:val="00A87E2B"/>
    <w:rsid w:val="00A903CB"/>
    <w:rsid w:val="00A9104D"/>
    <w:rsid w:val="00A91866"/>
    <w:rsid w:val="00A929B6"/>
    <w:rsid w:val="00A9322D"/>
    <w:rsid w:val="00A93477"/>
    <w:rsid w:val="00A93C46"/>
    <w:rsid w:val="00A94073"/>
    <w:rsid w:val="00A940D1"/>
    <w:rsid w:val="00A9593B"/>
    <w:rsid w:val="00A96DD4"/>
    <w:rsid w:val="00A96E59"/>
    <w:rsid w:val="00A9707D"/>
    <w:rsid w:val="00A9733A"/>
    <w:rsid w:val="00AA1D45"/>
    <w:rsid w:val="00AA21B8"/>
    <w:rsid w:val="00AA2331"/>
    <w:rsid w:val="00AA25DF"/>
    <w:rsid w:val="00AA291C"/>
    <w:rsid w:val="00AA382D"/>
    <w:rsid w:val="00AA439F"/>
    <w:rsid w:val="00AA4871"/>
    <w:rsid w:val="00AA4C34"/>
    <w:rsid w:val="00AA4CF7"/>
    <w:rsid w:val="00AA4DB8"/>
    <w:rsid w:val="00AA5111"/>
    <w:rsid w:val="00AA545E"/>
    <w:rsid w:val="00AA64C6"/>
    <w:rsid w:val="00AA6DE0"/>
    <w:rsid w:val="00AA6DFF"/>
    <w:rsid w:val="00AA6EC8"/>
    <w:rsid w:val="00AA6EF1"/>
    <w:rsid w:val="00AA7B53"/>
    <w:rsid w:val="00AA7B72"/>
    <w:rsid w:val="00AB0E85"/>
    <w:rsid w:val="00AB159C"/>
    <w:rsid w:val="00AB1A5C"/>
    <w:rsid w:val="00AB1B46"/>
    <w:rsid w:val="00AB20B4"/>
    <w:rsid w:val="00AB2115"/>
    <w:rsid w:val="00AB25EF"/>
    <w:rsid w:val="00AB324C"/>
    <w:rsid w:val="00AB3648"/>
    <w:rsid w:val="00AB438C"/>
    <w:rsid w:val="00AB48ED"/>
    <w:rsid w:val="00AB4A1A"/>
    <w:rsid w:val="00AB4D33"/>
    <w:rsid w:val="00AB5C23"/>
    <w:rsid w:val="00AB61A5"/>
    <w:rsid w:val="00AB6AF0"/>
    <w:rsid w:val="00AB781C"/>
    <w:rsid w:val="00AB7F2A"/>
    <w:rsid w:val="00AC00D7"/>
    <w:rsid w:val="00AC092F"/>
    <w:rsid w:val="00AC0B77"/>
    <w:rsid w:val="00AC1176"/>
    <w:rsid w:val="00AC141D"/>
    <w:rsid w:val="00AC15BF"/>
    <w:rsid w:val="00AC279A"/>
    <w:rsid w:val="00AC321E"/>
    <w:rsid w:val="00AC37ED"/>
    <w:rsid w:val="00AC3DBA"/>
    <w:rsid w:val="00AC515B"/>
    <w:rsid w:val="00AC536E"/>
    <w:rsid w:val="00AC61C4"/>
    <w:rsid w:val="00AC6508"/>
    <w:rsid w:val="00AC66C1"/>
    <w:rsid w:val="00AC6A25"/>
    <w:rsid w:val="00AC6F07"/>
    <w:rsid w:val="00AD148C"/>
    <w:rsid w:val="00AD1BD3"/>
    <w:rsid w:val="00AD1D14"/>
    <w:rsid w:val="00AD1D1B"/>
    <w:rsid w:val="00AD30AC"/>
    <w:rsid w:val="00AD3510"/>
    <w:rsid w:val="00AD37F2"/>
    <w:rsid w:val="00AD3876"/>
    <w:rsid w:val="00AD3B39"/>
    <w:rsid w:val="00AD44A8"/>
    <w:rsid w:val="00AD44DD"/>
    <w:rsid w:val="00AD59D5"/>
    <w:rsid w:val="00AD6A98"/>
    <w:rsid w:val="00AD7C1D"/>
    <w:rsid w:val="00AD7C8B"/>
    <w:rsid w:val="00AE0484"/>
    <w:rsid w:val="00AE0B7A"/>
    <w:rsid w:val="00AE0D51"/>
    <w:rsid w:val="00AE1141"/>
    <w:rsid w:val="00AE154D"/>
    <w:rsid w:val="00AE2A8E"/>
    <w:rsid w:val="00AE2AFD"/>
    <w:rsid w:val="00AE2C99"/>
    <w:rsid w:val="00AE376A"/>
    <w:rsid w:val="00AE387A"/>
    <w:rsid w:val="00AE40D6"/>
    <w:rsid w:val="00AE44E5"/>
    <w:rsid w:val="00AE4823"/>
    <w:rsid w:val="00AE4E52"/>
    <w:rsid w:val="00AE68AB"/>
    <w:rsid w:val="00AE6A3C"/>
    <w:rsid w:val="00AE6C27"/>
    <w:rsid w:val="00AE7150"/>
    <w:rsid w:val="00AE71DC"/>
    <w:rsid w:val="00AE7290"/>
    <w:rsid w:val="00AF0A37"/>
    <w:rsid w:val="00AF0A63"/>
    <w:rsid w:val="00AF160C"/>
    <w:rsid w:val="00AF1674"/>
    <w:rsid w:val="00AF1AC0"/>
    <w:rsid w:val="00AF1F5E"/>
    <w:rsid w:val="00AF4CE7"/>
    <w:rsid w:val="00AF6373"/>
    <w:rsid w:val="00AF63D3"/>
    <w:rsid w:val="00AF64E7"/>
    <w:rsid w:val="00AF6571"/>
    <w:rsid w:val="00AF69D5"/>
    <w:rsid w:val="00AF7461"/>
    <w:rsid w:val="00AF7F7E"/>
    <w:rsid w:val="00B00968"/>
    <w:rsid w:val="00B00C85"/>
    <w:rsid w:val="00B0271A"/>
    <w:rsid w:val="00B0375B"/>
    <w:rsid w:val="00B03992"/>
    <w:rsid w:val="00B04D23"/>
    <w:rsid w:val="00B04FDF"/>
    <w:rsid w:val="00B057B9"/>
    <w:rsid w:val="00B05D2D"/>
    <w:rsid w:val="00B064FA"/>
    <w:rsid w:val="00B06AE4"/>
    <w:rsid w:val="00B07055"/>
    <w:rsid w:val="00B079D4"/>
    <w:rsid w:val="00B10298"/>
    <w:rsid w:val="00B10EB2"/>
    <w:rsid w:val="00B10F97"/>
    <w:rsid w:val="00B11890"/>
    <w:rsid w:val="00B118BB"/>
    <w:rsid w:val="00B1293C"/>
    <w:rsid w:val="00B12BA0"/>
    <w:rsid w:val="00B131BC"/>
    <w:rsid w:val="00B13805"/>
    <w:rsid w:val="00B144D0"/>
    <w:rsid w:val="00B14512"/>
    <w:rsid w:val="00B14C60"/>
    <w:rsid w:val="00B15F76"/>
    <w:rsid w:val="00B163B1"/>
    <w:rsid w:val="00B163D6"/>
    <w:rsid w:val="00B16519"/>
    <w:rsid w:val="00B16591"/>
    <w:rsid w:val="00B169D1"/>
    <w:rsid w:val="00B1722D"/>
    <w:rsid w:val="00B17967"/>
    <w:rsid w:val="00B206F0"/>
    <w:rsid w:val="00B20C6A"/>
    <w:rsid w:val="00B23C4B"/>
    <w:rsid w:val="00B24112"/>
    <w:rsid w:val="00B248E8"/>
    <w:rsid w:val="00B250C6"/>
    <w:rsid w:val="00B25502"/>
    <w:rsid w:val="00B25FC6"/>
    <w:rsid w:val="00B26567"/>
    <w:rsid w:val="00B26C45"/>
    <w:rsid w:val="00B27BCB"/>
    <w:rsid w:val="00B3054D"/>
    <w:rsid w:val="00B30BE2"/>
    <w:rsid w:val="00B3124D"/>
    <w:rsid w:val="00B32025"/>
    <w:rsid w:val="00B32156"/>
    <w:rsid w:val="00B322AB"/>
    <w:rsid w:val="00B3335B"/>
    <w:rsid w:val="00B34842"/>
    <w:rsid w:val="00B34AD8"/>
    <w:rsid w:val="00B34F23"/>
    <w:rsid w:val="00B35930"/>
    <w:rsid w:val="00B36CF7"/>
    <w:rsid w:val="00B37D7C"/>
    <w:rsid w:val="00B408B2"/>
    <w:rsid w:val="00B41872"/>
    <w:rsid w:val="00B43006"/>
    <w:rsid w:val="00B43B9F"/>
    <w:rsid w:val="00B43CC0"/>
    <w:rsid w:val="00B44E08"/>
    <w:rsid w:val="00B451D3"/>
    <w:rsid w:val="00B45502"/>
    <w:rsid w:val="00B475DF"/>
    <w:rsid w:val="00B477B2"/>
    <w:rsid w:val="00B478D8"/>
    <w:rsid w:val="00B50633"/>
    <w:rsid w:val="00B507B5"/>
    <w:rsid w:val="00B50B20"/>
    <w:rsid w:val="00B50C9E"/>
    <w:rsid w:val="00B51083"/>
    <w:rsid w:val="00B51CA5"/>
    <w:rsid w:val="00B53C28"/>
    <w:rsid w:val="00B53D33"/>
    <w:rsid w:val="00B54721"/>
    <w:rsid w:val="00B56047"/>
    <w:rsid w:val="00B5664E"/>
    <w:rsid w:val="00B56F96"/>
    <w:rsid w:val="00B573B3"/>
    <w:rsid w:val="00B5793E"/>
    <w:rsid w:val="00B601B3"/>
    <w:rsid w:val="00B60681"/>
    <w:rsid w:val="00B61499"/>
    <w:rsid w:val="00B6191F"/>
    <w:rsid w:val="00B61947"/>
    <w:rsid w:val="00B61C27"/>
    <w:rsid w:val="00B62135"/>
    <w:rsid w:val="00B62D13"/>
    <w:rsid w:val="00B6350C"/>
    <w:rsid w:val="00B63909"/>
    <w:rsid w:val="00B63E14"/>
    <w:rsid w:val="00B65661"/>
    <w:rsid w:val="00B6575B"/>
    <w:rsid w:val="00B65977"/>
    <w:rsid w:val="00B65EE2"/>
    <w:rsid w:val="00B662D3"/>
    <w:rsid w:val="00B667EC"/>
    <w:rsid w:val="00B679C9"/>
    <w:rsid w:val="00B7071E"/>
    <w:rsid w:val="00B70E76"/>
    <w:rsid w:val="00B70EB2"/>
    <w:rsid w:val="00B71F0D"/>
    <w:rsid w:val="00B72964"/>
    <w:rsid w:val="00B72C90"/>
    <w:rsid w:val="00B7315A"/>
    <w:rsid w:val="00B73D53"/>
    <w:rsid w:val="00B7461D"/>
    <w:rsid w:val="00B75A57"/>
    <w:rsid w:val="00B761DC"/>
    <w:rsid w:val="00B7635C"/>
    <w:rsid w:val="00B7704F"/>
    <w:rsid w:val="00B77C57"/>
    <w:rsid w:val="00B8072B"/>
    <w:rsid w:val="00B80AEA"/>
    <w:rsid w:val="00B8104C"/>
    <w:rsid w:val="00B8112C"/>
    <w:rsid w:val="00B81151"/>
    <w:rsid w:val="00B819B1"/>
    <w:rsid w:val="00B82092"/>
    <w:rsid w:val="00B835D5"/>
    <w:rsid w:val="00B83C44"/>
    <w:rsid w:val="00B83CF0"/>
    <w:rsid w:val="00B844BD"/>
    <w:rsid w:val="00B85026"/>
    <w:rsid w:val="00B85726"/>
    <w:rsid w:val="00B85FD1"/>
    <w:rsid w:val="00B86491"/>
    <w:rsid w:val="00B86711"/>
    <w:rsid w:val="00B86D2E"/>
    <w:rsid w:val="00B90572"/>
    <w:rsid w:val="00B92436"/>
    <w:rsid w:val="00B927D7"/>
    <w:rsid w:val="00B93250"/>
    <w:rsid w:val="00B935CC"/>
    <w:rsid w:val="00B937C8"/>
    <w:rsid w:val="00B93A0E"/>
    <w:rsid w:val="00B93F5D"/>
    <w:rsid w:val="00B94C8C"/>
    <w:rsid w:val="00B95200"/>
    <w:rsid w:val="00B95417"/>
    <w:rsid w:val="00B95628"/>
    <w:rsid w:val="00B968AB"/>
    <w:rsid w:val="00B96D27"/>
    <w:rsid w:val="00BA09E9"/>
    <w:rsid w:val="00BA0C3A"/>
    <w:rsid w:val="00BA21A5"/>
    <w:rsid w:val="00BA4204"/>
    <w:rsid w:val="00BA43E7"/>
    <w:rsid w:val="00BA4B78"/>
    <w:rsid w:val="00BA4EC6"/>
    <w:rsid w:val="00BA5789"/>
    <w:rsid w:val="00BA57B5"/>
    <w:rsid w:val="00BA5CCB"/>
    <w:rsid w:val="00BA6094"/>
    <w:rsid w:val="00BA6BB1"/>
    <w:rsid w:val="00BA7B62"/>
    <w:rsid w:val="00BB0EA6"/>
    <w:rsid w:val="00BB1A2C"/>
    <w:rsid w:val="00BB2AF8"/>
    <w:rsid w:val="00BB351F"/>
    <w:rsid w:val="00BB38EF"/>
    <w:rsid w:val="00BB6942"/>
    <w:rsid w:val="00BB6DCE"/>
    <w:rsid w:val="00BB7534"/>
    <w:rsid w:val="00BC0584"/>
    <w:rsid w:val="00BC1B08"/>
    <w:rsid w:val="00BC2094"/>
    <w:rsid w:val="00BC24DA"/>
    <w:rsid w:val="00BC28C4"/>
    <w:rsid w:val="00BC2EBC"/>
    <w:rsid w:val="00BC3061"/>
    <w:rsid w:val="00BC3A36"/>
    <w:rsid w:val="00BC3B5E"/>
    <w:rsid w:val="00BC3D50"/>
    <w:rsid w:val="00BC43FB"/>
    <w:rsid w:val="00BC440B"/>
    <w:rsid w:val="00BC4AD7"/>
    <w:rsid w:val="00BC58BD"/>
    <w:rsid w:val="00BC58C2"/>
    <w:rsid w:val="00BC6A9D"/>
    <w:rsid w:val="00BC71D2"/>
    <w:rsid w:val="00BD04AC"/>
    <w:rsid w:val="00BD18FA"/>
    <w:rsid w:val="00BD2092"/>
    <w:rsid w:val="00BD2919"/>
    <w:rsid w:val="00BD3BB0"/>
    <w:rsid w:val="00BD3BF6"/>
    <w:rsid w:val="00BD3C52"/>
    <w:rsid w:val="00BD3DC1"/>
    <w:rsid w:val="00BD3EFB"/>
    <w:rsid w:val="00BD426E"/>
    <w:rsid w:val="00BD4640"/>
    <w:rsid w:val="00BD47AE"/>
    <w:rsid w:val="00BD4D02"/>
    <w:rsid w:val="00BD5430"/>
    <w:rsid w:val="00BD68FF"/>
    <w:rsid w:val="00BD72AD"/>
    <w:rsid w:val="00BD7CF9"/>
    <w:rsid w:val="00BD7E28"/>
    <w:rsid w:val="00BE035D"/>
    <w:rsid w:val="00BE0597"/>
    <w:rsid w:val="00BE081B"/>
    <w:rsid w:val="00BE0A38"/>
    <w:rsid w:val="00BE1150"/>
    <w:rsid w:val="00BE1748"/>
    <w:rsid w:val="00BE18C7"/>
    <w:rsid w:val="00BE2141"/>
    <w:rsid w:val="00BE24A7"/>
    <w:rsid w:val="00BE2ACD"/>
    <w:rsid w:val="00BE2CD2"/>
    <w:rsid w:val="00BE364A"/>
    <w:rsid w:val="00BE3D5A"/>
    <w:rsid w:val="00BE3FAC"/>
    <w:rsid w:val="00BE437D"/>
    <w:rsid w:val="00BE49C4"/>
    <w:rsid w:val="00BE5EE2"/>
    <w:rsid w:val="00BE60DE"/>
    <w:rsid w:val="00BE640F"/>
    <w:rsid w:val="00BE67BA"/>
    <w:rsid w:val="00BE722D"/>
    <w:rsid w:val="00BE769A"/>
    <w:rsid w:val="00BF0964"/>
    <w:rsid w:val="00BF18DA"/>
    <w:rsid w:val="00BF1E98"/>
    <w:rsid w:val="00BF24B7"/>
    <w:rsid w:val="00BF27E2"/>
    <w:rsid w:val="00BF2E39"/>
    <w:rsid w:val="00BF3214"/>
    <w:rsid w:val="00BF34D7"/>
    <w:rsid w:val="00BF37E4"/>
    <w:rsid w:val="00BF4376"/>
    <w:rsid w:val="00BF4687"/>
    <w:rsid w:val="00BF5581"/>
    <w:rsid w:val="00BF5A93"/>
    <w:rsid w:val="00BF61D9"/>
    <w:rsid w:val="00BF6680"/>
    <w:rsid w:val="00BF71A1"/>
    <w:rsid w:val="00C00104"/>
    <w:rsid w:val="00C0018C"/>
    <w:rsid w:val="00C0027B"/>
    <w:rsid w:val="00C0030A"/>
    <w:rsid w:val="00C00783"/>
    <w:rsid w:val="00C00990"/>
    <w:rsid w:val="00C00BE6"/>
    <w:rsid w:val="00C00D31"/>
    <w:rsid w:val="00C01062"/>
    <w:rsid w:val="00C01F10"/>
    <w:rsid w:val="00C0210B"/>
    <w:rsid w:val="00C02F3F"/>
    <w:rsid w:val="00C02FD1"/>
    <w:rsid w:val="00C032AE"/>
    <w:rsid w:val="00C04C13"/>
    <w:rsid w:val="00C06085"/>
    <w:rsid w:val="00C06FFD"/>
    <w:rsid w:val="00C07DD2"/>
    <w:rsid w:val="00C1007F"/>
    <w:rsid w:val="00C117CD"/>
    <w:rsid w:val="00C11AD7"/>
    <w:rsid w:val="00C11E0B"/>
    <w:rsid w:val="00C12F21"/>
    <w:rsid w:val="00C139D3"/>
    <w:rsid w:val="00C13DC2"/>
    <w:rsid w:val="00C1436D"/>
    <w:rsid w:val="00C14EE3"/>
    <w:rsid w:val="00C15FCD"/>
    <w:rsid w:val="00C16FD0"/>
    <w:rsid w:val="00C170D3"/>
    <w:rsid w:val="00C1757C"/>
    <w:rsid w:val="00C17596"/>
    <w:rsid w:val="00C17D55"/>
    <w:rsid w:val="00C20958"/>
    <w:rsid w:val="00C214B2"/>
    <w:rsid w:val="00C21518"/>
    <w:rsid w:val="00C21667"/>
    <w:rsid w:val="00C21A75"/>
    <w:rsid w:val="00C2298F"/>
    <w:rsid w:val="00C22B91"/>
    <w:rsid w:val="00C231E1"/>
    <w:rsid w:val="00C23766"/>
    <w:rsid w:val="00C238E1"/>
    <w:rsid w:val="00C23995"/>
    <w:rsid w:val="00C23CC8"/>
    <w:rsid w:val="00C2588A"/>
    <w:rsid w:val="00C25BEC"/>
    <w:rsid w:val="00C26FAC"/>
    <w:rsid w:val="00C2797F"/>
    <w:rsid w:val="00C30A17"/>
    <w:rsid w:val="00C30A60"/>
    <w:rsid w:val="00C30D8B"/>
    <w:rsid w:val="00C31544"/>
    <w:rsid w:val="00C31FAC"/>
    <w:rsid w:val="00C32B00"/>
    <w:rsid w:val="00C32C23"/>
    <w:rsid w:val="00C33617"/>
    <w:rsid w:val="00C337F9"/>
    <w:rsid w:val="00C33951"/>
    <w:rsid w:val="00C34683"/>
    <w:rsid w:val="00C346DD"/>
    <w:rsid w:val="00C34798"/>
    <w:rsid w:val="00C35F03"/>
    <w:rsid w:val="00C36214"/>
    <w:rsid w:val="00C37075"/>
    <w:rsid w:val="00C40028"/>
    <w:rsid w:val="00C40A2A"/>
    <w:rsid w:val="00C40C61"/>
    <w:rsid w:val="00C4168C"/>
    <w:rsid w:val="00C419EF"/>
    <w:rsid w:val="00C41B8C"/>
    <w:rsid w:val="00C4275F"/>
    <w:rsid w:val="00C427B6"/>
    <w:rsid w:val="00C43330"/>
    <w:rsid w:val="00C439B4"/>
    <w:rsid w:val="00C43D53"/>
    <w:rsid w:val="00C44451"/>
    <w:rsid w:val="00C44471"/>
    <w:rsid w:val="00C44D5E"/>
    <w:rsid w:val="00C44EBD"/>
    <w:rsid w:val="00C460DB"/>
    <w:rsid w:val="00C4622E"/>
    <w:rsid w:val="00C4674A"/>
    <w:rsid w:val="00C47056"/>
    <w:rsid w:val="00C47359"/>
    <w:rsid w:val="00C47421"/>
    <w:rsid w:val="00C47542"/>
    <w:rsid w:val="00C504F4"/>
    <w:rsid w:val="00C50A0A"/>
    <w:rsid w:val="00C514F3"/>
    <w:rsid w:val="00C516DC"/>
    <w:rsid w:val="00C521F9"/>
    <w:rsid w:val="00C5236E"/>
    <w:rsid w:val="00C53D6F"/>
    <w:rsid w:val="00C54A74"/>
    <w:rsid w:val="00C56A10"/>
    <w:rsid w:val="00C57265"/>
    <w:rsid w:val="00C57658"/>
    <w:rsid w:val="00C60861"/>
    <w:rsid w:val="00C60B20"/>
    <w:rsid w:val="00C60C79"/>
    <w:rsid w:val="00C61BDA"/>
    <w:rsid w:val="00C6237C"/>
    <w:rsid w:val="00C62BA7"/>
    <w:rsid w:val="00C62C60"/>
    <w:rsid w:val="00C63BFC"/>
    <w:rsid w:val="00C63CDE"/>
    <w:rsid w:val="00C64FA2"/>
    <w:rsid w:val="00C658E9"/>
    <w:rsid w:val="00C65BEB"/>
    <w:rsid w:val="00C6615A"/>
    <w:rsid w:val="00C6713B"/>
    <w:rsid w:val="00C672F5"/>
    <w:rsid w:val="00C70738"/>
    <w:rsid w:val="00C70D69"/>
    <w:rsid w:val="00C71520"/>
    <w:rsid w:val="00C72531"/>
    <w:rsid w:val="00C72558"/>
    <w:rsid w:val="00C72B2D"/>
    <w:rsid w:val="00C73555"/>
    <w:rsid w:val="00C745D4"/>
    <w:rsid w:val="00C74688"/>
    <w:rsid w:val="00C74CD9"/>
    <w:rsid w:val="00C77FFC"/>
    <w:rsid w:val="00C81222"/>
    <w:rsid w:val="00C81C9E"/>
    <w:rsid w:val="00C81E0B"/>
    <w:rsid w:val="00C822D9"/>
    <w:rsid w:val="00C82D63"/>
    <w:rsid w:val="00C8401F"/>
    <w:rsid w:val="00C8497A"/>
    <w:rsid w:val="00C84E42"/>
    <w:rsid w:val="00C861C8"/>
    <w:rsid w:val="00C864F4"/>
    <w:rsid w:val="00C86663"/>
    <w:rsid w:val="00C86EF8"/>
    <w:rsid w:val="00C8720E"/>
    <w:rsid w:val="00C877FF"/>
    <w:rsid w:val="00C9102E"/>
    <w:rsid w:val="00C920DB"/>
    <w:rsid w:val="00C93855"/>
    <w:rsid w:val="00C9386C"/>
    <w:rsid w:val="00C93D2D"/>
    <w:rsid w:val="00C965E0"/>
    <w:rsid w:val="00C97322"/>
    <w:rsid w:val="00C97F6D"/>
    <w:rsid w:val="00CA012B"/>
    <w:rsid w:val="00CA047D"/>
    <w:rsid w:val="00CA13A7"/>
    <w:rsid w:val="00CA1486"/>
    <w:rsid w:val="00CA25FB"/>
    <w:rsid w:val="00CA29B3"/>
    <w:rsid w:val="00CA34C1"/>
    <w:rsid w:val="00CA3FD6"/>
    <w:rsid w:val="00CA4161"/>
    <w:rsid w:val="00CA42DF"/>
    <w:rsid w:val="00CA46A0"/>
    <w:rsid w:val="00CA4B83"/>
    <w:rsid w:val="00CA4C66"/>
    <w:rsid w:val="00CA5157"/>
    <w:rsid w:val="00CA5946"/>
    <w:rsid w:val="00CA791C"/>
    <w:rsid w:val="00CA7E48"/>
    <w:rsid w:val="00CB0268"/>
    <w:rsid w:val="00CB097A"/>
    <w:rsid w:val="00CB14D3"/>
    <w:rsid w:val="00CB1DDA"/>
    <w:rsid w:val="00CB251A"/>
    <w:rsid w:val="00CB26BB"/>
    <w:rsid w:val="00CB30AD"/>
    <w:rsid w:val="00CB3595"/>
    <w:rsid w:val="00CB37C1"/>
    <w:rsid w:val="00CB3975"/>
    <w:rsid w:val="00CB70C3"/>
    <w:rsid w:val="00CB7753"/>
    <w:rsid w:val="00CB7AAF"/>
    <w:rsid w:val="00CC045C"/>
    <w:rsid w:val="00CC0A12"/>
    <w:rsid w:val="00CC0A71"/>
    <w:rsid w:val="00CC0B26"/>
    <w:rsid w:val="00CC1ADE"/>
    <w:rsid w:val="00CC1E18"/>
    <w:rsid w:val="00CC1FA3"/>
    <w:rsid w:val="00CC26FB"/>
    <w:rsid w:val="00CC30E8"/>
    <w:rsid w:val="00CC325C"/>
    <w:rsid w:val="00CC45FD"/>
    <w:rsid w:val="00CC4F03"/>
    <w:rsid w:val="00CC611D"/>
    <w:rsid w:val="00CC6AAD"/>
    <w:rsid w:val="00CC6E85"/>
    <w:rsid w:val="00CC7428"/>
    <w:rsid w:val="00CC7EF9"/>
    <w:rsid w:val="00CD1111"/>
    <w:rsid w:val="00CD1674"/>
    <w:rsid w:val="00CD1742"/>
    <w:rsid w:val="00CD1827"/>
    <w:rsid w:val="00CD20CB"/>
    <w:rsid w:val="00CD3124"/>
    <w:rsid w:val="00CD32AC"/>
    <w:rsid w:val="00CD38A0"/>
    <w:rsid w:val="00CD3EEA"/>
    <w:rsid w:val="00CD4A5F"/>
    <w:rsid w:val="00CD5152"/>
    <w:rsid w:val="00CD67AC"/>
    <w:rsid w:val="00CD6D9C"/>
    <w:rsid w:val="00CD6F95"/>
    <w:rsid w:val="00CD7331"/>
    <w:rsid w:val="00CD7483"/>
    <w:rsid w:val="00CD7BC4"/>
    <w:rsid w:val="00CD7FC6"/>
    <w:rsid w:val="00CE045C"/>
    <w:rsid w:val="00CE0A35"/>
    <w:rsid w:val="00CE16CD"/>
    <w:rsid w:val="00CE18FF"/>
    <w:rsid w:val="00CE1D27"/>
    <w:rsid w:val="00CE265F"/>
    <w:rsid w:val="00CE2752"/>
    <w:rsid w:val="00CE29BB"/>
    <w:rsid w:val="00CE2C92"/>
    <w:rsid w:val="00CE35AA"/>
    <w:rsid w:val="00CE3789"/>
    <w:rsid w:val="00CE4192"/>
    <w:rsid w:val="00CE4741"/>
    <w:rsid w:val="00CE5429"/>
    <w:rsid w:val="00CE5961"/>
    <w:rsid w:val="00CE5F13"/>
    <w:rsid w:val="00CE7168"/>
    <w:rsid w:val="00CE7A5D"/>
    <w:rsid w:val="00CE7C0D"/>
    <w:rsid w:val="00CF0C4B"/>
    <w:rsid w:val="00CF0D85"/>
    <w:rsid w:val="00CF107B"/>
    <w:rsid w:val="00CF2027"/>
    <w:rsid w:val="00CF2634"/>
    <w:rsid w:val="00CF26E5"/>
    <w:rsid w:val="00CF2760"/>
    <w:rsid w:val="00CF27A1"/>
    <w:rsid w:val="00CF2B1C"/>
    <w:rsid w:val="00CF349F"/>
    <w:rsid w:val="00CF3624"/>
    <w:rsid w:val="00CF3EFD"/>
    <w:rsid w:val="00CF45F9"/>
    <w:rsid w:val="00CF4696"/>
    <w:rsid w:val="00CF4736"/>
    <w:rsid w:val="00CF53CE"/>
    <w:rsid w:val="00CF61FF"/>
    <w:rsid w:val="00CF6E63"/>
    <w:rsid w:val="00CF7051"/>
    <w:rsid w:val="00CF78A8"/>
    <w:rsid w:val="00D010A8"/>
    <w:rsid w:val="00D013A4"/>
    <w:rsid w:val="00D02797"/>
    <w:rsid w:val="00D0330A"/>
    <w:rsid w:val="00D036ED"/>
    <w:rsid w:val="00D037B5"/>
    <w:rsid w:val="00D0388A"/>
    <w:rsid w:val="00D061C7"/>
    <w:rsid w:val="00D062CD"/>
    <w:rsid w:val="00D06DC2"/>
    <w:rsid w:val="00D10013"/>
    <w:rsid w:val="00D10CB5"/>
    <w:rsid w:val="00D110C4"/>
    <w:rsid w:val="00D11F26"/>
    <w:rsid w:val="00D1237E"/>
    <w:rsid w:val="00D127A6"/>
    <w:rsid w:val="00D1380F"/>
    <w:rsid w:val="00D13F58"/>
    <w:rsid w:val="00D1499D"/>
    <w:rsid w:val="00D14CF6"/>
    <w:rsid w:val="00D14E30"/>
    <w:rsid w:val="00D15309"/>
    <w:rsid w:val="00D153DE"/>
    <w:rsid w:val="00D15A10"/>
    <w:rsid w:val="00D15C3C"/>
    <w:rsid w:val="00D16033"/>
    <w:rsid w:val="00D161B5"/>
    <w:rsid w:val="00D16467"/>
    <w:rsid w:val="00D16828"/>
    <w:rsid w:val="00D16873"/>
    <w:rsid w:val="00D16A89"/>
    <w:rsid w:val="00D17147"/>
    <w:rsid w:val="00D20768"/>
    <w:rsid w:val="00D22C30"/>
    <w:rsid w:val="00D2391D"/>
    <w:rsid w:val="00D239CC"/>
    <w:rsid w:val="00D23C9F"/>
    <w:rsid w:val="00D24377"/>
    <w:rsid w:val="00D2564A"/>
    <w:rsid w:val="00D25C3A"/>
    <w:rsid w:val="00D26821"/>
    <w:rsid w:val="00D26915"/>
    <w:rsid w:val="00D26EE0"/>
    <w:rsid w:val="00D273E9"/>
    <w:rsid w:val="00D276B8"/>
    <w:rsid w:val="00D30550"/>
    <w:rsid w:val="00D306E0"/>
    <w:rsid w:val="00D30761"/>
    <w:rsid w:val="00D30EE6"/>
    <w:rsid w:val="00D310F1"/>
    <w:rsid w:val="00D31A44"/>
    <w:rsid w:val="00D32FF8"/>
    <w:rsid w:val="00D3309B"/>
    <w:rsid w:val="00D331E8"/>
    <w:rsid w:val="00D34569"/>
    <w:rsid w:val="00D345D9"/>
    <w:rsid w:val="00D34B3F"/>
    <w:rsid w:val="00D35243"/>
    <w:rsid w:val="00D352A2"/>
    <w:rsid w:val="00D355A7"/>
    <w:rsid w:val="00D35B2F"/>
    <w:rsid w:val="00D36961"/>
    <w:rsid w:val="00D37BAC"/>
    <w:rsid w:val="00D40071"/>
    <w:rsid w:val="00D404F8"/>
    <w:rsid w:val="00D41591"/>
    <w:rsid w:val="00D41C77"/>
    <w:rsid w:val="00D41E29"/>
    <w:rsid w:val="00D42696"/>
    <w:rsid w:val="00D42DAE"/>
    <w:rsid w:val="00D43647"/>
    <w:rsid w:val="00D44831"/>
    <w:rsid w:val="00D44C67"/>
    <w:rsid w:val="00D4543C"/>
    <w:rsid w:val="00D4550F"/>
    <w:rsid w:val="00D45DC6"/>
    <w:rsid w:val="00D4700B"/>
    <w:rsid w:val="00D479A6"/>
    <w:rsid w:val="00D5064B"/>
    <w:rsid w:val="00D513F2"/>
    <w:rsid w:val="00D5169D"/>
    <w:rsid w:val="00D516EA"/>
    <w:rsid w:val="00D51816"/>
    <w:rsid w:val="00D51A03"/>
    <w:rsid w:val="00D525B9"/>
    <w:rsid w:val="00D52618"/>
    <w:rsid w:val="00D52B73"/>
    <w:rsid w:val="00D53208"/>
    <w:rsid w:val="00D5323E"/>
    <w:rsid w:val="00D535A6"/>
    <w:rsid w:val="00D5434C"/>
    <w:rsid w:val="00D54989"/>
    <w:rsid w:val="00D54AC5"/>
    <w:rsid w:val="00D557BB"/>
    <w:rsid w:val="00D55CA7"/>
    <w:rsid w:val="00D562FE"/>
    <w:rsid w:val="00D56B7C"/>
    <w:rsid w:val="00D577AE"/>
    <w:rsid w:val="00D6047F"/>
    <w:rsid w:val="00D610AF"/>
    <w:rsid w:val="00D63ED1"/>
    <w:rsid w:val="00D6407F"/>
    <w:rsid w:val="00D64163"/>
    <w:rsid w:val="00D6485A"/>
    <w:rsid w:val="00D652D5"/>
    <w:rsid w:val="00D65352"/>
    <w:rsid w:val="00D65A69"/>
    <w:rsid w:val="00D66E93"/>
    <w:rsid w:val="00D67585"/>
    <w:rsid w:val="00D67BF0"/>
    <w:rsid w:val="00D702BA"/>
    <w:rsid w:val="00D702D3"/>
    <w:rsid w:val="00D70E97"/>
    <w:rsid w:val="00D71732"/>
    <w:rsid w:val="00D7208C"/>
    <w:rsid w:val="00D73020"/>
    <w:rsid w:val="00D73311"/>
    <w:rsid w:val="00D74B1A"/>
    <w:rsid w:val="00D75DDE"/>
    <w:rsid w:val="00D7759F"/>
    <w:rsid w:val="00D801B3"/>
    <w:rsid w:val="00D8029C"/>
    <w:rsid w:val="00D80DC2"/>
    <w:rsid w:val="00D80F2E"/>
    <w:rsid w:val="00D815A7"/>
    <w:rsid w:val="00D8215D"/>
    <w:rsid w:val="00D82AEA"/>
    <w:rsid w:val="00D82C5D"/>
    <w:rsid w:val="00D83023"/>
    <w:rsid w:val="00D8331C"/>
    <w:rsid w:val="00D834AB"/>
    <w:rsid w:val="00D838CB"/>
    <w:rsid w:val="00D83D4A"/>
    <w:rsid w:val="00D8463A"/>
    <w:rsid w:val="00D84E29"/>
    <w:rsid w:val="00D86037"/>
    <w:rsid w:val="00D86044"/>
    <w:rsid w:val="00D86E2E"/>
    <w:rsid w:val="00D8787E"/>
    <w:rsid w:val="00D90046"/>
    <w:rsid w:val="00D90641"/>
    <w:rsid w:val="00D91A67"/>
    <w:rsid w:val="00D931E6"/>
    <w:rsid w:val="00D932AA"/>
    <w:rsid w:val="00D93A39"/>
    <w:rsid w:val="00D95181"/>
    <w:rsid w:val="00D96164"/>
    <w:rsid w:val="00D97CDC"/>
    <w:rsid w:val="00D97E3A"/>
    <w:rsid w:val="00D97E6E"/>
    <w:rsid w:val="00D97F8F"/>
    <w:rsid w:val="00DA0049"/>
    <w:rsid w:val="00DA0265"/>
    <w:rsid w:val="00DA1173"/>
    <w:rsid w:val="00DA1720"/>
    <w:rsid w:val="00DA18EA"/>
    <w:rsid w:val="00DA228C"/>
    <w:rsid w:val="00DA2E13"/>
    <w:rsid w:val="00DA3D7B"/>
    <w:rsid w:val="00DA48CF"/>
    <w:rsid w:val="00DA4CE9"/>
    <w:rsid w:val="00DA4F4F"/>
    <w:rsid w:val="00DA544D"/>
    <w:rsid w:val="00DA6125"/>
    <w:rsid w:val="00DA6C92"/>
    <w:rsid w:val="00DA7B3F"/>
    <w:rsid w:val="00DB022F"/>
    <w:rsid w:val="00DB06C5"/>
    <w:rsid w:val="00DB1086"/>
    <w:rsid w:val="00DB12C9"/>
    <w:rsid w:val="00DB1392"/>
    <w:rsid w:val="00DB1C00"/>
    <w:rsid w:val="00DB1DC3"/>
    <w:rsid w:val="00DB1F21"/>
    <w:rsid w:val="00DB2B76"/>
    <w:rsid w:val="00DB3D1A"/>
    <w:rsid w:val="00DB42C7"/>
    <w:rsid w:val="00DB442D"/>
    <w:rsid w:val="00DB45A4"/>
    <w:rsid w:val="00DB4928"/>
    <w:rsid w:val="00DB536B"/>
    <w:rsid w:val="00DB6455"/>
    <w:rsid w:val="00DB70BA"/>
    <w:rsid w:val="00DB7226"/>
    <w:rsid w:val="00DC06F8"/>
    <w:rsid w:val="00DC08C5"/>
    <w:rsid w:val="00DC2724"/>
    <w:rsid w:val="00DC2CAB"/>
    <w:rsid w:val="00DC4127"/>
    <w:rsid w:val="00DC4CF4"/>
    <w:rsid w:val="00DC7902"/>
    <w:rsid w:val="00DC7FBF"/>
    <w:rsid w:val="00DD066C"/>
    <w:rsid w:val="00DD06FA"/>
    <w:rsid w:val="00DD0BA5"/>
    <w:rsid w:val="00DD175E"/>
    <w:rsid w:val="00DD1C69"/>
    <w:rsid w:val="00DD2133"/>
    <w:rsid w:val="00DD28E5"/>
    <w:rsid w:val="00DD3DB0"/>
    <w:rsid w:val="00DD3EA4"/>
    <w:rsid w:val="00DD4873"/>
    <w:rsid w:val="00DD4CF4"/>
    <w:rsid w:val="00DD5953"/>
    <w:rsid w:val="00DD62D3"/>
    <w:rsid w:val="00DD711A"/>
    <w:rsid w:val="00DD7C8B"/>
    <w:rsid w:val="00DE06B1"/>
    <w:rsid w:val="00DE1479"/>
    <w:rsid w:val="00DE1BFE"/>
    <w:rsid w:val="00DE289C"/>
    <w:rsid w:val="00DE29B8"/>
    <w:rsid w:val="00DE3425"/>
    <w:rsid w:val="00DE3A65"/>
    <w:rsid w:val="00DE3B8C"/>
    <w:rsid w:val="00DE3FC7"/>
    <w:rsid w:val="00DE4A7F"/>
    <w:rsid w:val="00DE4C76"/>
    <w:rsid w:val="00DE5F6B"/>
    <w:rsid w:val="00DE70BD"/>
    <w:rsid w:val="00DE7D31"/>
    <w:rsid w:val="00DE7F53"/>
    <w:rsid w:val="00DF0420"/>
    <w:rsid w:val="00DF1032"/>
    <w:rsid w:val="00DF1D67"/>
    <w:rsid w:val="00DF2E0B"/>
    <w:rsid w:val="00DF3495"/>
    <w:rsid w:val="00DF3812"/>
    <w:rsid w:val="00DF3BE6"/>
    <w:rsid w:val="00DF5969"/>
    <w:rsid w:val="00DF5D6B"/>
    <w:rsid w:val="00DF60C9"/>
    <w:rsid w:val="00DF7301"/>
    <w:rsid w:val="00DF76D7"/>
    <w:rsid w:val="00DF7D6C"/>
    <w:rsid w:val="00E01022"/>
    <w:rsid w:val="00E015D9"/>
    <w:rsid w:val="00E0238B"/>
    <w:rsid w:val="00E033A9"/>
    <w:rsid w:val="00E04464"/>
    <w:rsid w:val="00E06F19"/>
    <w:rsid w:val="00E07CA2"/>
    <w:rsid w:val="00E10370"/>
    <w:rsid w:val="00E1184B"/>
    <w:rsid w:val="00E11CDD"/>
    <w:rsid w:val="00E120FF"/>
    <w:rsid w:val="00E1250F"/>
    <w:rsid w:val="00E1312D"/>
    <w:rsid w:val="00E1313B"/>
    <w:rsid w:val="00E13BF5"/>
    <w:rsid w:val="00E13D26"/>
    <w:rsid w:val="00E142F7"/>
    <w:rsid w:val="00E14899"/>
    <w:rsid w:val="00E14EB4"/>
    <w:rsid w:val="00E15FA3"/>
    <w:rsid w:val="00E16055"/>
    <w:rsid w:val="00E164D2"/>
    <w:rsid w:val="00E16D63"/>
    <w:rsid w:val="00E1741A"/>
    <w:rsid w:val="00E17572"/>
    <w:rsid w:val="00E179F8"/>
    <w:rsid w:val="00E17A13"/>
    <w:rsid w:val="00E17EA4"/>
    <w:rsid w:val="00E20886"/>
    <w:rsid w:val="00E20B51"/>
    <w:rsid w:val="00E213F0"/>
    <w:rsid w:val="00E218AA"/>
    <w:rsid w:val="00E21B4A"/>
    <w:rsid w:val="00E21DA4"/>
    <w:rsid w:val="00E232EE"/>
    <w:rsid w:val="00E2332D"/>
    <w:rsid w:val="00E23E8B"/>
    <w:rsid w:val="00E242F0"/>
    <w:rsid w:val="00E24837"/>
    <w:rsid w:val="00E2501A"/>
    <w:rsid w:val="00E253E3"/>
    <w:rsid w:val="00E25A28"/>
    <w:rsid w:val="00E26467"/>
    <w:rsid w:val="00E266CB"/>
    <w:rsid w:val="00E2757C"/>
    <w:rsid w:val="00E31096"/>
    <w:rsid w:val="00E319FF"/>
    <w:rsid w:val="00E3280E"/>
    <w:rsid w:val="00E330F3"/>
    <w:rsid w:val="00E339D0"/>
    <w:rsid w:val="00E33C0C"/>
    <w:rsid w:val="00E33C34"/>
    <w:rsid w:val="00E33E33"/>
    <w:rsid w:val="00E347E0"/>
    <w:rsid w:val="00E34E15"/>
    <w:rsid w:val="00E35236"/>
    <w:rsid w:val="00E357DE"/>
    <w:rsid w:val="00E374E0"/>
    <w:rsid w:val="00E375C3"/>
    <w:rsid w:val="00E37BE5"/>
    <w:rsid w:val="00E4017C"/>
    <w:rsid w:val="00E40762"/>
    <w:rsid w:val="00E40F92"/>
    <w:rsid w:val="00E415BF"/>
    <w:rsid w:val="00E4188E"/>
    <w:rsid w:val="00E41D3D"/>
    <w:rsid w:val="00E4264D"/>
    <w:rsid w:val="00E42CEB"/>
    <w:rsid w:val="00E43084"/>
    <w:rsid w:val="00E4334E"/>
    <w:rsid w:val="00E4336C"/>
    <w:rsid w:val="00E4346E"/>
    <w:rsid w:val="00E43987"/>
    <w:rsid w:val="00E442E8"/>
    <w:rsid w:val="00E44B11"/>
    <w:rsid w:val="00E45268"/>
    <w:rsid w:val="00E45C9E"/>
    <w:rsid w:val="00E461A2"/>
    <w:rsid w:val="00E4692A"/>
    <w:rsid w:val="00E46CD1"/>
    <w:rsid w:val="00E46F7D"/>
    <w:rsid w:val="00E4734A"/>
    <w:rsid w:val="00E50803"/>
    <w:rsid w:val="00E511FB"/>
    <w:rsid w:val="00E51363"/>
    <w:rsid w:val="00E515E5"/>
    <w:rsid w:val="00E52688"/>
    <w:rsid w:val="00E52E21"/>
    <w:rsid w:val="00E53EE1"/>
    <w:rsid w:val="00E53F03"/>
    <w:rsid w:val="00E5451C"/>
    <w:rsid w:val="00E5473E"/>
    <w:rsid w:val="00E54E00"/>
    <w:rsid w:val="00E54FFE"/>
    <w:rsid w:val="00E557EA"/>
    <w:rsid w:val="00E55B28"/>
    <w:rsid w:val="00E55FB2"/>
    <w:rsid w:val="00E56E06"/>
    <w:rsid w:val="00E575B8"/>
    <w:rsid w:val="00E575CE"/>
    <w:rsid w:val="00E602A4"/>
    <w:rsid w:val="00E61035"/>
    <w:rsid w:val="00E61885"/>
    <w:rsid w:val="00E6228F"/>
    <w:rsid w:val="00E62473"/>
    <w:rsid w:val="00E62CFA"/>
    <w:rsid w:val="00E6374A"/>
    <w:rsid w:val="00E64AF6"/>
    <w:rsid w:val="00E64D1B"/>
    <w:rsid w:val="00E64DC2"/>
    <w:rsid w:val="00E6513C"/>
    <w:rsid w:val="00E66522"/>
    <w:rsid w:val="00E66684"/>
    <w:rsid w:val="00E66BE7"/>
    <w:rsid w:val="00E70F1E"/>
    <w:rsid w:val="00E71359"/>
    <w:rsid w:val="00E71514"/>
    <w:rsid w:val="00E715F9"/>
    <w:rsid w:val="00E71C5B"/>
    <w:rsid w:val="00E72EF3"/>
    <w:rsid w:val="00E72F23"/>
    <w:rsid w:val="00E7370C"/>
    <w:rsid w:val="00E74136"/>
    <w:rsid w:val="00E74813"/>
    <w:rsid w:val="00E7587C"/>
    <w:rsid w:val="00E75D35"/>
    <w:rsid w:val="00E76482"/>
    <w:rsid w:val="00E76B0E"/>
    <w:rsid w:val="00E7756D"/>
    <w:rsid w:val="00E7796B"/>
    <w:rsid w:val="00E77DC1"/>
    <w:rsid w:val="00E803BA"/>
    <w:rsid w:val="00E812D9"/>
    <w:rsid w:val="00E828E2"/>
    <w:rsid w:val="00E82DDB"/>
    <w:rsid w:val="00E835AD"/>
    <w:rsid w:val="00E84008"/>
    <w:rsid w:val="00E84619"/>
    <w:rsid w:val="00E85061"/>
    <w:rsid w:val="00E85126"/>
    <w:rsid w:val="00E8538C"/>
    <w:rsid w:val="00E859E9"/>
    <w:rsid w:val="00E86258"/>
    <w:rsid w:val="00E873A4"/>
    <w:rsid w:val="00E87BF7"/>
    <w:rsid w:val="00E87FFC"/>
    <w:rsid w:val="00E9008B"/>
    <w:rsid w:val="00E91358"/>
    <w:rsid w:val="00E91BB5"/>
    <w:rsid w:val="00E91EBB"/>
    <w:rsid w:val="00E91FA0"/>
    <w:rsid w:val="00E92106"/>
    <w:rsid w:val="00E926D1"/>
    <w:rsid w:val="00E92870"/>
    <w:rsid w:val="00E9320A"/>
    <w:rsid w:val="00E944CD"/>
    <w:rsid w:val="00E94928"/>
    <w:rsid w:val="00E94E67"/>
    <w:rsid w:val="00E959F3"/>
    <w:rsid w:val="00E95BC5"/>
    <w:rsid w:val="00EA0021"/>
    <w:rsid w:val="00EA1A47"/>
    <w:rsid w:val="00EA1C80"/>
    <w:rsid w:val="00EA295A"/>
    <w:rsid w:val="00EA3082"/>
    <w:rsid w:val="00EA3BB3"/>
    <w:rsid w:val="00EA4F7E"/>
    <w:rsid w:val="00EA512B"/>
    <w:rsid w:val="00EA5750"/>
    <w:rsid w:val="00EA57B1"/>
    <w:rsid w:val="00EA5E89"/>
    <w:rsid w:val="00EA65BD"/>
    <w:rsid w:val="00EA6F0A"/>
    <w:rsid w:val="00EA719D"/>
    <w:rsid w:val="00EA71D2"/>
    <w:rsid w:val="00EB08F4"/>
    <w:rsid w:val="00EB0E01"/>
    <w:rsid w:val="00EB10BD"/>
    <w:rsid w:val="00EB25A9"/>
    <w:rsid w:val="00EB269F"/>
    <w:rsid w:val="00EB3895"/>
    <w:rsid w:val="00EB3DAB"/>
    <w:rsid w:val="00EB495F"/>
    <w:rsid w:val="00EB4B03"/>
    <w:rsid w:val="00EB59EB"/>
    <w:rsid w:val="00EB6368"/>
    <w:rsid w:val="00EB789E"/>
    <w:rsid w:val="00EB7BA7"/>
    <w:rsid w:val="00EC016C"/>
    <w:rsid w:val="00EC0520"/>
    <w:rsid w:val="00EC06CC"/>
    <w:rsid w:val="00EC0BAE"/>
    <w:rsid w:val="00EC0E9D"/>
    <w:rsid w:val="00EC2333"/>
    <w:rsid w:val="00EC2A79"/>
    <w:rsid w:val="00EC2C2F"/>
    <w:rsid w:val="00EC30F0"/>
    <w:rsid w:val="00EC547D"/>
    <w:rsid w:val="00EC548A"/>
    <w:rsid w:val="00EC5DF5"/>
    <w:rsid w:val="00EC5F83"/>
    <w:rsid w:val="00EC650E"/>
    <w:rsid w:val="00EC6548"/>
    <w:rsid w:val="00EC6A2E"/>
    <w:rsid w:val="00EC6F46"/>
    <w:rsid w:val="00EC7EBA"/>
    <w:rsid w:val="00EC7F0B"/>
    <w:rsid w:val="00ED0076"/>
    <w:rsid w:val="00ED0B2D"/>
    <w:rsid w:val="00ED1A5C"/>
    <w:rsid w:val="00ED2266"/>
    <w:rsid w:val="00ED311F"/>
    <w:rsid w:val="00ED3A78"/>
    <w:rsid w:val="00ED447E"/>
    <w:rsid w:val="00ED4705"/>
    <w:rsid w:val="00ED57A3"/>
    <w:rsid w:val="00ED5EC9"/>
    <w:rsid w:val="00ED765C"/>
    <w:rsid w:val="00ED77A1"/>
    <w:rsid w:val="00ED7CBA"/>
    <w:rsid w:val="00EE00C1"/>
    <w:rsid w:val="00EE036F"/>
    <w:rsid w:val="00EE3840"/>
    <w:rsid w:val="00EE3D8F"/>
    <w:rsid w:val="00EE3DBE"/>
    <w:rsid w:val="00EE5C1E"/>
    <w:rsid w:val="00EE6AE4"/>
    <w:rsid w:val="00EE73F5"/>
    <w:rsid w:val="00EE7D83"/>
    <w:rsid w:val="00EF0691"/>
    <w:rsid w:val="00EF08EE"/>
    <w:rsid w:val="00EF0B02"/>
    <w:rsid w:val="00EF15AD"/>
    <w:rsid w:val="00EF1AE8"/>
    <w:rsid w:val="00EF1C85"/>
    <w:rsid w:val="00EF3482"/>
    <w:rsid w:val="00EF4491"/>
    <w:rsid w:val="00EF4A4B"/>
    <w:rsid w:val="00EF4C83"/>
    <w:rsid w:val="00EF4E64"/>
    <w:rsid w:val="00EF4F77"/>
    <w:rsid w:val="00EF5345"/>
    <w:rsid w:val="00EF5F3D"/>
    <w:rsid w:val="00EF6843"/>
    <w:rsid w:val="00EF6AEA"/>
    <w:rsid w:val="00EF78DA"/>
    <w:rsid w:val="00EF7F72"/>
    <w:rsid w:val="00F00068"/>
    <w:rsid w:val="00F009D1"/>
    <w:rsid w:val="00F011D0"/>
    <w:rsid w:val="00F01392"/>
    <w:rsid w:val="00F0362E"/>
    <w:rsid w:val="00F03BCA"/>
    <w:rsid w:val="00F04633"/>
    <w:rsid w:val="00F04794"/>
    <w:rsid w:val="00F05A8B"/>
    <w:rsid w:val="00F05C86"/>
    <w:rsid w:val="00F065A4"/>
    <w:rsid w:val="00F10CAD"/>
    <w:rsid w:val="00F115FE"/>
    <w:rsid w:val="00F11645"/>
    <w:rsid w:val="00F1206E"/>
    <w:rsid w:val="00F12E9A"/>
    <w:rsid w:val="00F14006"/>
    <w:rsid w:val="00F14763"/>
    <w:rsid w:val="00F151A2"/>
    <w:rsid w:val="00F15700"/>
    <w:rsid w:val="00F15ADE"/>
    <w:rsid w:val="00F15C83"/>
    <w:rsid w:val="00F1604C"/>
    <w:rsid w:val="00F178A1"/>
    <w:rsid w:val="00F20C02"/>
    <w:rsid w:val="00F210A1"/>
    <w:rsid w:val="00F21D82"/>
    <w:rsid w:val="00F226FD"/>
    <w:rsid w:val="00F22A80"/>
    <w:rsid w:val="00F235EF"/>
    <w:rsid w:val="00F236B8"/>
    <w:rsid w:val="00F238F1"/>
    <w:rsid w:val="00F23FA1"/>
    <w:rsid w:val="00F2446A"/>
    <w:rsid w:val="00F2452A"/>
    <w:rsid w:val="00F2459D"/>
    <w:rsid w:val="00F24A7C"/>
    <w:rsid w:val="00F24D05"/>
    <w:rsid w:val="00F250B1"/>
    <w:rsid w:val="00F25103"/>
    <w:rsid w:val="00F2526C"/>
    <w:rsid w:val="00F25E2F"/>
    <w:rsid w:val="00F26B74"/>
    <w:rsid w:val="00F27233"/>
    <w:rsid w:val="00F27864"/>
    <w:rsid w:val="00F27D81"/>
    <w:rsid w:val="00F3011A"/>
    <w:rsid w:val="00F30218"/>
    <w:rsid w:val="00F32072"/>
    <w:rsid w:val="00F3235C"/>
    <w:rsid w:val="00F3259C"/>
    <w:rsid w:val="00F34A75"/>
    <w:rsid w:val="00F34FA7"/>
    <w:rsid w:val="00F3565A"/>
    <w:rsid w:val="00F35B03"/>
    <w:rsid w:val="00F3656E"/>
    <w:rsid w:val="00F36657"/>
    <w:rsid w:val="00F367F5"/>
    <w:rsid w:val="00F373B5"/>
    <w:rsid w:val="00F37428"/>
    <w:rsid w:val="00F37A31"/>
    <w:rsid w:val="00F37CD7"/>
    <w:rsid w:val="00F41BDE"/>
    <w:rsid w:val="00F41CDE"/>
    <w:rsid w:val="00F425D1"/>
    <w:rsid w:val="00F42601"/>
    <w:rsid w:val="00F43079"/>
    <w:rsid w:val="00F4316F"/>
    <w:rsid w:val="00F4338B"/>
    <w:rsid w:val="00F43548"/>
    <w:rsid w:val="00F438FA"/>
    <w:rsid w:val="00F44081"/>
    <w:rsid w:val="00F44471"/>
    <w:rsid w:val="00F4471C"/>
    <w:rsid w:val="00F44798"/>
    <w:rsid w:val="00F44E22"/>
    <w:rsid w:val="00F45601"/>
    <w:rsid w:val="00F4599A"/>
    <w:rsid w:val="00F46515"/>
    <w:rsid w:val="00F474FC"/>
    <w:rsid w:val="00F500CD"/>
    <w:rsid w:val="00F501B7"/>
    <w:rsid w:val="00F535D6"/>
    <w:rsid w:val="00F538BA"/>
    <w:rsid w:val="00F54840"/>
    <w:rsid w:val="00F5539D"/>
    <w:rsid w:val="00F565BA"/>
    <w:rsid w:val="00F567E5"/>
    <w:rsid w:val="00F57081"/>
    <w:rsid w:val="00F57DDF"/>
    <w:rsid w:val="00F60EB2"/>
    <w:rsid w:val="00F615F6"/>
    <w:rsid w:val="00F61E13"/>
    <w:rsid w:val="00F635EB"/>
    <w:rsid w:val="00F64192"/>
    <w:rsid w:val="00F6559C"/>
    <w:rsid w:val="00F656FE"/>
    <w:rsid w:val="00F661AF"/>
    <w:rsid w:val="00F666B0"/>
    <w:rsid w:val="00F66973"/>
    <w:rsid w:val="00F70685"/>
    <w:rsid w:val="00F70F01"/>
    <w:rsid w:val="00F70F6D"/>
    <w:rsid w:val="00F71D7E"/>
    <w:rsid w:val="00F735E3"/>
    <w:rsid w:val="00F73639"/>
    <w:rsid w:val="00F74349"/>
    <w:rsid w:val="00F74668"/>
    <w:rsid w:val="00F75E07"/>
    <w:rsid w:val="00F76782"/>
    <w:rsid w:val="00F7695F"/>
    <w:rsid w:val="00F7728B"/>
    <w:rsid w:val="00F77931"/>
    <w:rsid w:val="00F800A4"/>
    <w:rsid w:val="00F8086D"/>
    <w:rsid w:val="00F8150E"/>
    <w:rsid w:val="00F82111"/>
    <w:rsid w:val="00F82896"/>
    <w:rsid w:val="00F82F80"/>
    <w:rsid w:val="00F83472"/>
    <w:rsid w:val="00F83E0A"/>
    <w:rsid w:val="00F847ED"/>
    <w:rsid w:val="00F85D2F"/>
    <w:rsid w:val="00F87826"/>
    <w:rsid w:val="00F87957"/>
    <w:rsid w:val="00F901BA"/>
    <w:rsid w:val="00F901D7"/>
    <w:rsid w:val="00F90924"/>
    <w:rsid w:val="00F91043"/>
    <w:rsid w:val="00F923B2"/>
    <w:rsid w:val="00F92D9C"/>
    <w:rsid w:val="00F92DC5"/>
    <w:rsid w:val="00F938D2"/>
    <w:rsid w:val="00F93C4C"/>
    <w:rsid w:val="00F9404B"/>
    <w:rsid w:val="00F943ED"/>
    <w:rsid w:val="00F94A00"/>
    <w:rsid w:val="00F9529E"/>
    <w:rsid w:val="00F952B8"/>
    <w:rsid w:val="00F95BB4"/>
    <w:rsid w:val="00F95C14"/>
    <w:rsid w:val="00F9665E"/>
    <w:rsid w:val="00F9788E"/>
    <w:rsid w:val="00FA0927"/>
    <w:rsid w:val="00FA156E"/>
    <w:rsid w:val="00FA2A03"/>
    <w:rsid w:val="00FA2FED"/>
    <w:rsid w:val="00FA46EC"/>
    <w:rsid w:val="00FA5960"/>
    <w:rsid w:val="00FA65E9"/>
    <w:rsid w:val="00FA6C32"/>
    <w:rsid w:val="00FB0348"/>
    <w:rsid w:val="00FB05C8"/>
    <w:rsid w:val="00FB1424"/>
    <w:rsid w:val="00FB27CC"/>
    <w:rsid w:val="00FB3219"/>
    <w:rsid w:val="00FB3358"/>
    <w:rsid w:val="00FB3670"/>
    <w:rsid w:val="00FB464D"/>
    <w:rsid w:val="00FB4B70"/>
    <w:rsid w:val="00FB4DF2"/>
    <w:rsid w:val="00FB529F"/>
    <w:rsid w:val="00FB585B"/>
    <w:rsid w:val="00FB6633"/>
    <w:rsid w:val="00FB6D2C"/>
    <w:rsid w:val="00FB6D5F"/>
    <w:rsid w:val="00FB70C7"/>
    <w:rsid w:val="00FB764A"/>
    <w:rsid w:val="00FB7EFB"/>
    <w:rsid w:val="00FC0168"/>
    <w:rsid w:val="00FC081F"/>
    <w:rsid w:val="00FC0F91"/>
    <w:rsid w:val="00FC20CD"/>
    <w:rsid w:val="00FC2B85"/>
    <w:rsid w:val="00FC30C5"/>
    <w:rsid w:val="00FC341D"/>
    <w:rsid w:val="00FC3E0A"/>
    <w:rsid w:val="00FC575B"/>
    <w:rsid w:val="00FC76A2"/>
    <w:rsid w:val="00FC7DA0"/>
    <w:rsid w:val="00FD0342"/>
    <w:rsid w:val="00FD071A"/>
    <w:rsid w:val="00FD10BA"/>
    <w:rsid w:val="00FD1B37"/>
    <w:rsid w:val="00FD243E"/>
    <w:rsid w:val="00FD3AF5"/>
    <w:rsid w:val="00FD51AB"/>
    <w:rsid w:val="00FD646E"/>
    <w:rsid w:val="00FD6B9C"/>
    <w:rsid w:val="00FD6E47"/>
    <w:rsid w:val="00FD7097"/>
    <w:rsid w:val="00FE0379"/>
    <w:rsid w:val="00FE071F"/>
    <w:rsid w:val="00FE11E7"/>
    <w:rsid w:val="00FE2790"/>
    <w:rsid w:val="00FE2E1C"/>
    <w:rsid w:val="00FE3AF2"/>
    <w:rsid w:val="00FE48B8"/>
    <w:rsid w:val="00FE529C"/>
    <w:rsid w:val="00FE753B"/>
    <w:rsid w:val="00FE7693"/>
    <w:rsid w:val="00FF01F1"/>
    <w:rsid w:val="00FF0F8D"/>
    <w:rsid w:val="00FF1C91"/>
    <w:rsid w:val="00FF227B"/>
    <w:rsid w:val="00FF28A3"/>
    <w:rsid w:val="00FF2BEE"/>
    <w:rsid w:val="00FF2D0F"/>
    <w:rsid w:val="00FF381E"/>
    <w:rsid w:val="00FF4636"/>
    <w:rsid w:val="00FF4FC2"/>
    <w:rsid w:val="00FF5D0E"/>
    <w:rsid w:val="00FF636E"/>
    <w:rsid w:val="00FF7090"/>
    <w:rsid w:val="00FF70B4"/>
    <w:rsid w:val="00FF7564"/>
    <w:rsid w:val="00FF7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15:chartTrackingRefBased/>
  <w15:docId w15:val="{63BA7A6F-FF3E-CA47-B510-805A9E33B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uiPriority w:val="99"/>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val="en-GB"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val="en-GB"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val="en-GB"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Notes-NoBold">
    <w:name w:val="Notes - No Bold"/>
    <w:basedOn w:val="Normal"/>
    <w:pPr>
      <w:spacing w:after="120"/>
    </w:pPr>
    <w:rPr>
      <w:rFonts w:ascii="Open Sans" w:hAnsi="Open Sans" w:cs="Calibri"/>
      <w:sz w:val="18"/>
    </w:rPr>
  </w:style>
  <w:style w:type="paragraph" w:customStyle="1" w:styleId="Default0">
    <w:name w:val="Default"/>
    <w:rsid w:val="00111591"/>
    <w:pPr>
      <w:autoSpaceDE w:val="0"/>
      <w:autoSpaceDN w:val="0"/>
      <w:adjustRightInd w:val="0"/>
    </w:pPr>
    <w:rPr>
      <w:rFonts w:ascii="Arial" w:hAnsi="Arial" w:cs="Arial"/>
      <w:color w:val="000000"/>
      <w:sz w:val="24"/>
      <w:szCs w:val="24"/>
      <w:lang w:val="en-GB" w:eastAsia="en-GB"/>
    </w:rPr>
  </w:style>
  <w:style w:type="table" w:styleId="TableGrid">
    <w:name w:val="Table Grid"/>
    <w:basedOn w:val="TableNormal"/>
    <w:uiPriority w:val="39"/>
    <w:rsid w:val="00111591"/>
    <w:rPr>
      <w:rFonts w:ascii="Calibri" w:eastAsia="Calibri" w:hAnsi="Calibri" w:cs="Vrinda"/>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3FA1"/>
    <w:pPr>
      <w:suppressAutoHyphens w:val="0"/>
      <w:spacing w:after="160" w:line="259" w:lineRule="auto"/>
      <w:ind w:left="720"/>
      <w:contextualSpacing/>
      <w:jc w:val="left"/>
    </w:pPr>
    <w:rPr>
      <w:rFonts w:ascii="Calibri" w:eastAsia="Times New Roman" w:hAnsi="Calibri"/>
      <w:color w:val="auto"/>
      <w:sz w:val="22"/>
      <w:lang w:val="en-US" w:eastAsia="en-US"/>
    </w:rPr>
  </w:style>
  <w:style w:type="paragraph" w:styleId="TOCHeading">
    <w:name w:val="TOC Heading"/>
    <w:basedOn w:val="Heading1"/>
    <w:next w:val="Normal"/>
    <w:uiPriority w:val="39"/>
    <w:unhideWhenUsed/>
    <w:qFormat/>
    <w:rsid w:val="00057D60"/>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NormalWeb">
    <w:name w:val="Normal (Web)"/>
    <w:basedOn w:val="Normal"/>
    <w:uiPriority w:val="99"/>
    <w:unhideWhenUsed/>
    <w:rsid w:val="002D4ED9"/>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uiPriority w:val="22"/>
    <w:qFormat/>
    <w:rsid w:val="00222D47"/>
    <w:rPr>
      <w:b/>
      <w:bCs/>
    </w:rPr>
  </w:style>
  <w:style w:type="character" w:styleId="CommentReference">
    <w:name w:val="annotation reference"/>
    <w:uiPriority w:val="99"/>
    <w:semiHidden/>
    <w:unhideWhenUsed/>
    <w:rsid w:val="00FA6C32"/>
    <w:rPr>
      <w:sz w:val="16"/>
      <w:szCs w:val="16"/>
    </w:rPr>
  </w:style>
  <w:style w:type="paragraph" w:styleId="CommentText">
    <w:name w:val="annotation text"/>
    <w:basedOn w:val="Normal"/>
    <w:link w:val="CommentTextChar"/>
    <w:uiPriority w:val="99"/>
    <w:semiHidden/>
    <w:unhideWhenUsed/>
    <w:rsid w:val="00FA6C32"/>
    <w:rPr>
      <w:sz w:val="20"/>
      <w:szCs w:val="20"/>
    </w:rPr>
  </w:style>
  <w:style w:type="character" w:customStyle="1" w:styleId="CommentTextChar">
    <w:name w:val="Comment Text Char"/>
    <w:link w:val="CommentText"/>
    <w:uiPriority w:val="99"/>
    <w:semiHidden/>
    <w:rsid w:val="00FA6C32"/>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FA6C32"/>
    <w:rPr>
      <w:b/>
      <w:bCs/>
    </w:rPr>
  </w:style>
  <w:style w:type="character" w:customStyle="1" w:styleId="CommentSubjectChar">
    <w:name w:val="Comment Subject Char"/>
    <w:link w:val="CommentSubject"/>
    <w:uiPriority w:val="99"/>
    <w:semiHidden/>
    <w:rsid w:val="00FA6C32"/>
    <w:rPr>
      <w:rFonts w:eastAsia="Calibri"/>
      <w:b/>
      <w:bCs/>
      <w:color w:val="000000"/>
      <w:lang w:val="en-GB" w:eastAsia="ar-SA"/>
    </w:rPr>
  </w:style>
  <w:style w:type="paragraph" w:styleId="BalloonText">
    <w:name w:val="Balloon Text"/>
    <w:basedOn w:val="Normal"/>
    <w:link w:val="BalloonTextChar"/>
    <w:uiPriority w:val="99"/>
    <w:semiHidden/>
    <w:unhideWhenUsed/>
    <w:rsid w:val="00FA6C32"/>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FA6C32"/>
    <w:rPr>
      <w:rFonts w:ascii="Segoe UI" w:eastAsia="Calibri" w:hAnsi="Segoe UI" w:cs="Segoe UI"/>
      <w:color w:val="000000"/>
      <w:sz w:val="18"/>
      <w:szCs w:val="18"/>
      <w:lang w:val="en-GB" w:eastAsia="ar-SA"/>
    </w:rPr>
  </w:style>
  <w:style w:type="character" w:styleId="Emphasis">
    <w:name w:val="Emphasis"/>
    <w:uiPriority w:val="20"/>
    <w:qFormat/>
    <w:rsid w:val="003B1706"/>
    <w:rPr>
      <w:i/>
      <w:iCs/>
    </w:rPr>
  </w:style>
  <w:style w:type="paragraph" w:customStyle="1" w:styleId="is-style-default">
    <w:name w:val="is-style-default"/>
    <w:basedOn w:val="Normal"/>
    <w:rsid w:val="003106BF"/>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hgkelc">
    <w:name w:val="hgkelc"/>
    <w:rsid w:val="00FC081F"/>
  </w:style>
  <w:style w:type="character" w:customStyle="1" w:styleId="title-text">
    <w:name w:val="title-text"/>
    <w:rsid w:val="008457CC"/>
  </w:style>
  <w:style w:type="character" w:customStyle="1" w:styleId="ls2">
    <w:name w:val="ls2"/>
    <w:rsid w:val="0024023F"/>
  </w:style>
  <w:style w:type="character" w:customStyle="1" w:styleId="ls0">
    <w:name w:val="ls0"/>
    <w:rsid w:val="0024023F"/>
  </w:style>
  <w:style w:type="character" w:customStyle="1" w:styleId="ls8">
    <w:name w:val="ls8"/>
    <w:rsid w:val="0024023F"/>
  </w:style>
  <w:style w:type="character" w:customStyle="1" w:styleId="ls10">
    <w:name w:val="ls10"/>
    <w:rsid w:val="0024023F"/>
  </w:style>
  <w:style w:type="character" w:customStyle="1" w:styleId="ls1">
    <w:name w:val="ls1"/>
    <w:rsid w:val="0024023F"/>
  </w:style>
  <w:style w:type="character" w:customStyle="1" w:styleId="lse">
    <w:name w:val="lse"/>
    <w:rsid w:val="0024023F"/>
  </w:style>
  <w:style w:type="character" w:customStyle="1" w:styleId="ls4">
    <w:name w:val="ls4"/>
    <w:rsid w:val="0024023F"/>
  </w:style>
  <w:style w:type="character" w:customStyle="1" w:styleId="ws6">
    <w:name w:val="ws6"/>
    <w:rsid w:val="00240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91857">
      <w:bodyDiv w:val="1"/>
      <w:marLeft w:val="0"/>
      <w:marRight w:val="0"/>
      <w:marTop w:val="0"/>
      <w:marBottom w:val="0"/>
      <w:divBdr>
        <w:top w:val="none" w:sz="0" w:space="0" w:color="auto"/>
        <w:left w:val="none" w:sz="0" w:space="0" w:color="auto"/>
        <w:bottom w:val="none" w:sz="0" w:space="0" w:color="auto"/>
        <w:right w:val="none" w:sz="0" w:space="0" w:color="auto"/>
      </w:divBdr>
    </w:div>
    <w:div w:id="206724519">
      <w:bodyDiv w:val="1"/>
      <w:marLeft w:val="0"/>
      <w:marRight w:val="0"/>
      <w:marTop w:val="0"/>
      <w:marBottom w:val="0"/>
      <w:divBdr>
        <w:top w:val="none" w:sz="0" w:space="0" w:color="auto"/>
        <w:left w:val="none" w:sz="0" w:space="0" w:color="auto"/>
        <w:bottom w:val="none" w:sz="0" w:space="0" w:color="auto"/>
        <w:right w:val="none" w:sz="0" w:space="0" w:color="auto"/>
      </w:divBdr>
    </w:div>
    <w:div w:id="407777530">
      <w:bodyDiv w:val="1"/>
      <w:marLeft w:val="0"/>
      <w:marRight w:val="0"/>
      <w:marTop w:val="0"/>
      <w:marBottom w:val="0"/>
      <w:divBdr>
        <w:top w:val="none" w:sz="0" w:space="0" w:color="auto"/>
        <w:left w:val="none" w:sz="0" w:space="0" w:color="auto"/>
        <w:bottom w:val="none" w:sz="0" w:space="0" w:color="auto"/>
        <w:right w:val="none" w:sz="0" w:space="0" w:color="auto"/>
      </w:divBdr>
      <w:divsChild>
        <w:div w:id="75170633">
          <w:marLeft w:val="0"/>
          <w:marRight w:val="0"/>
          <w:marTop w:val="0"/>
          <w:marBottom w:val="0"/>
          <w:divBdr>
            <w:top w:val="none" w:sz="0" w:space="0" w:color="auto"/>
            <w:left w:val="none" w:sz="0" w:space="0" w:color="auto"/>
            <w:bottom w:val="none" w:sz="0" w:space="0" w:color="auto"/>
            <w:right w:val="none" w:sz="0" w:space="0" w:color="auto"/>
          </w:divBdr>
        </w:div>
        <w:div w:id="143589404">
          <w:marLeft w:val="0"/>
          <w:marRight w:val="0"/>
          <w:marTop w:val="0"/>
          <w:marBottom w:val="0"/>
          <w:divBdr>
            <w:top w:val="none" w:sz="0" w:space="0" w:color="auto"/>
            <w:left w:val="none" w:sz="0" w:space="0" w:color="auto"/>
            <w:bottom w:val="none" w:sz="0" w:space="0" w:color="auto"/>
            <w:right w:val="none" w:sz="0" w:space="0" w:color="auto"/>
          </w:divBdr>
        </w:div>
        <w:div w:id="787743943">
          <w:marLeft w:val="0"/>
          <w:marRight w:val="0"/>
          <w:marTop w:val="0"/>
          <w:marBottom w:val="0"/>
          <w:divBdr>
            <w:top w:val="none" w:sz="0" w:space="0" w:color="auto"/>
            <w:left w:val="none" w:sz="0" w:space="0" w:color="auto"/>
            <w:bottom w:val="none" w:sz="0" w:space="0" w:color="auto"/>
            <w:right w:val="none" w:sz="0" w:space="0" w:color="auto"/>
          </w:divBdr>
        </w:div>
        <w:div w:id="1416048053">
          <w:marLeft w:val="0"/>
          <w:marRight w:val="0"/>
          <w:marTop w:val="0"/>
          <w:marBottom w:val="0"/>
          <w:divBdr>
            <w:top w:val="none" w:sz="0" w:space="0" w:color="auto"/>
            <w:left w:val="none" w:sz="0" w:space="0" w:color="auto"/>
            <w:bottom w:val="none" w:sz="0" w:space="0" w:color="auto"/>
            <w:right w:val="none" w:sz="0" w:space="0" w:color="auto"/>
          </w:divBdr>
        </w:div>
        <w:div w:id="1620257458">
          <w:marLeft w:val="0"/>
          <w:marRight w:val="0"/>
          <w:marTop w:val="0"/>
          <w:marBottom w:val="0"/>
          <w:divBdr>
            <w:top w:val="none" w:sz="0" w:space="0" w:color="auto"/>
            <w:left w:val="none" w:sz="0" w:space="0" w:color="auto"/>
            <w:bottom w:val="none" w:sz="0" w:space="0" w:color="auto"/>
            <w:right w:val="none" w:sz="0" w:space="0" w:color="auto"/>
          </w:divBdr>
        </w:div>
      </w:divsChild>
    </w:div>
    <w:div w:id="454907687">
      <w:bodyDiv w:val="1"/>
      <w:marLeft w:val="0"/>
      <w:marRight w:val="0"/>
      <w:marTop w:val="0"/>
      <w:marBottom w:val="0"/>
      <w:divBdr>
        <w:top w:val="none" w:sz="0" w:space="0" w:color="auto"/>
        <w:left w:val="none" w:sz="0" w:space="0" w:color="auto"/>
        <w:bottom w:val="none" w:sz="0" w:space="0" w:color="auto"/>
        <w:right w:val="none" w:sz="0" w:space="0" w:color="auto"/>
      </w:divBdr>
    </w:div>
    <w:div w:id="530461110">
      <w:bodyDiv w:val="1"/>
      <w:marLeft w:val="0"/>
      <w:marRight w:val="0"/>
      <w:marTop w:val="0"/>
      <w:marBottom w:val="0"/>
      <w:divBdr>
        <w:top w:val="none" w:sz="0" w:space="0" w:color="auto"/>
        <w:left w:val="none" w:sz="0" w:space="0" w:color="auto"/>
        <w:bottom w:val="none" w:sz="0" w:space="0" w:color="auto"/>
        <w:right w:val="none" w:sz="0" w:space="0" w:color="auto"/>
      </w:divBdr>
    </w:div>
    <w:div w:id="645166813">
      <w:bodyDiv w:val="1"/>
      <w:marLeft w:val="0"/>
      <w:marRight w:val="0"/>
      <w:marTop w:val="0"/>
      <w:marBottom w:val="0"/>
      <w:divBdr>
        <w:top w:val="none" w:sz="0" w:space="0" w:color="auto"/>
        <w:left w:val="none" w:sz="0" w:space="0" w:color="auto"/>
        <w:bottom w:val="none" w:sz="0" w:space="0" w:color="auto"/>
        <w:right w:val="none" w:sz="0" w:space="0" w:color="auto"/>
      </w:divBdr>
    </w:div>
    <w:div w:id="684133692">
      <w:bodyDiv w:val="1"/>
      <w:marLeft w:val="0"/>
      <w:marRight w:val="0"/>
      <w:marTop w:val="0"/>
      <w:marBottom w:val="0"/>
      <w:divBdr>
        <w:top w:val="none" w:sz="0" w:space="0" w:color="auto"/>
        <w:left w:val="none" w:sz="0" w:space="0" w:color="auto"/>
        <w:bottom w:val="none" w:sz="0" w:space="0" w:color="auto"/>
        <w:right w:val="none" w:sz="0" w:space="0" w:color="auto"/>
      </w:divBdr>
    </w:div>
    <w:div w:id="726689548">
      <w:bodyDiv w:val="1"/>
      <w:marLeft w:val="0"/>
      <w:marRight w:val="0"/>
      <w:marTop w:val="0"/>
      <w:marBottom w:val="0"/>
      <w:divBdr>
        <w:top w:val="none" w:sz="0" w:space="0" w:color="auto"/>
        <w:left w:val="none" w:sz="0" w:space="0" w:color="auto"/>
        <w:bottom w:val="none" w:sz="0" w:space="0" w:color="auto"/>
        <w:right w:val="none" w:sz="0" w:space="0" w:color="auto"/>
      </w:divBdr>
    </w:div>
    <w:div w:id="736904416">
      <w:bodyDiv w:val="1"/>
      <w:marLeft w:val="0"/>
      <w:marRight w:val="0"/>
      <w:marTop w:val="0"/>
      <w:marBottom w:val="0"/>
      <w:divBdr>
        <w:top w:val="none" w:sz="0" w:space="0" w:color="auto"/>
        <w:left w:val="none" w:sz="0" w:space="0" w:color="auto"/>
        <w:bottom w:val="none" w:sz="0" w:space="0" w:color="auto"/>
        <w:right w:val="none" w:sz="0" w:space="0" w:color="auto"/>
      </w:divBdr>
    </w:div>
    <w:div w:id="758061006">
      <w:bodyDiv w:val="1"/>
      <w:marLeft w:val="0"/>
      <w:marRight w:val="0"/>
      <w:marTop w:val="0"/>
      <w:marBottom w:val="0"/>
      <w:divBdr>
        <w:top w:val="none" w:sz="0" w:space="0" w:color="auto"/>
        <w:left w:val="none" w:sz="0" w:space="0" w:color="auto"/>
        <w:bottom w:val="none" w:sz="0" w:space="0" w:color="auto"/>
        <w:right w:val="none" w:sz="0" w:space="0" w:color="auto"/>
      </w:divBdr>
    </w:div>
    <w:div w:id="785927780">
      <w:bodyDiv w:val="1"/>
      <w:marLeft w:val="0"/>
      <w:marRight w:val="0"/>
      <w:marTop w:val="0"/>
      <w:marBottom w:val="0"/>
      <w:divBdr>
        <w:top w:val="none" w:sz="0" w:space="0" w:color="auto"/>
        <w:left w:val="none" w:sz="0" w:space="0" w:color="auto"/>
        <w:bottom w:val="none" w:sz="0" w:space="0" w:color="auto"/>
        <w:right w:val="none" w:sz="0" w:space="0" w:color="auto"/>
      </w:divBdr>
    </w:div>
    <w:div w:id="1052733545">
      <w:bodyDiv w:val="1"/>
      <w:marLeft w:val="0"/>
      <w:marRight w:val="0"/>
      <w:marTop w:val="0"/>
      <w:marBottom w:val="0"/>
      <w:divBdr>
        <w:top w:val="none" w:sz="0" w:space="0" w:color="auto"/>
        <w:left w:val="none" w:sz="0" w:space="0" w:color="auto"/>
        <w:bottom w:val="none" w:sz="0" w:space="0" w:color="auto"/>
        <w:right w:val="none" w:sz="0" w:space="0" w:color="auto"/>
      </w:divBdr>
    </w:div>
    <w:div w:id="1092700720">
      <w:bodyDiv w:val="1"/>
      <w:marLeft w:val="0"/>
      <w:marRight w:val="0"/>
      <w:marTop w:val="0"/>
      <w:marBottom w:val="0"/>
      <w:divBdr>
        <w:top w:val="none" w:sz="0" w:space="0" w:color="auto"/>
        <w:left w:val="none" w:sz="0" w:space="0" w:color="auto"/>
        <w:bottom w:val="none" w:sz="0" w:space="0" w:color="auto"/>
        <w:right w:val="none" w:sz="0" w:space="0" w:color="auto"/>
      </w:divBdr>
    </w:div>
    <w:div w:id="1226179321">
      <w:bodyDiv w:val="1"/>
      <w:marLeft w:val="0"/>
      <w:marRight w:val="0"/>
      <w:marTop w:val="0"/>
      <w:marBottom w:val="0"/>
      <w:divBdr>
        <w:top w:val="none" w:sz="0" w:space="0" w:color="auto"/>
        <w:left w:val="none" w:sz="0" w:space="0" w:color="auto"/>
        <w:bottom w:val="none" w:sz="0" w:space="0" w:color="auto"/>
        <w:right w:val="none" w:sz="0" w:space="0" w:color="auto"/>
      </w:divBdr>
    </w:div>
    <w:div w:id="1229996945">
      <w:bodyDiv w:val="1"/>
      <w:marLeft w:val="0"/>
      <w:marRight w:val="0"/>
      <w:marTop w:val="0"/>
      <w:marBottom w:val="0"/>
      <w:divBdr>
        <w:top w:val="none" w:sz="0" w:space="0" w:color="auto"/>
        <w:left w:val="none" w:sz="0" w:space="0" w:color="auto"/>
        <w:bottom w:val="none" w:sz="0" w:space="0" w:color="auto"/>
        <w:right w:val="none" w:sz="0" w:space="0" w:color="auto"/>
      </w:divBdr>
    </w:div>
    <w:div w:id="1413311225">
      <w:bodyDiv w:val="1"/>
      <w:marLeft w:val="0"/>
      <w:marRight w:val="0"/>
      <w:marTop w:val="0"/>
      <w:marBottom w:val="0"/>
      <w:divBdr>
        <w:top w:val="none" w:sz="0" w:space="0" w:color="auto"/>
        <w:left w:val="none" w:sz="0" w:space="0" w:color="auto"/>
        <w:bottom w:val="none" w:sz="0" w:space="0" w:color="auto"/>
        <w:right w:val="none" w:sz="0" w:space="0" w:color="auto"/>
      </w:divBdr>
    </w:div>
    <w:div w:id="1476339717">
      <w:bodyDiv w:val="1"/>
      <w:marLeft w:val="0"/>
      <w:marRight w:val="0"/>
      <w:marTop w:val="0"/>
      <w:marBottom w:val="0"/>
      <w:divBdr>
        <w:top w:val="none" w:sz="0" w:space="0" w:color="auto"/>
        <w:left w:val="none" w:sz="0" w:space="0" w:color="auto"/>
        <w:bottom w:val="none" w:sz="0" w:space="0" w:color="auto"/>
        <w:right w:val="none" w:sz="0" w:space="0" w:color="auto"/>
      </w:divBdr>
    </w:div>
    <w:div w:id="1490563145">
      <w:bodyDiv w:val="1"/>
      <w:marLeft w:val="0"/>
      <w:marRight w:val="0"/>
      <w:marTop w:val="0"/>
      <w:marBottom w:val="0"/>
      <w:divBdr>
        <w:top w:val="none" w:sz="0" w:space="0" w:color="auto"/>
        <w:left w:val="none" w:sz="0" w:space="0" w:color="auto"/>
        <w:bottom w:val="none" w:sz="0" w:space="0" w:color="auto"/>
        <w:right w:val="none" w:sz="0" w:space="0" w:color="auto"/>
      </w:divBdr>
      <w:divsChild>
        <w:div w:id="637535618">
          <w:marLeft w:val="0"/>
          <w:marRight w:val="0"/>
          <w:marTop w:val="0"/>
          <w:marBottom w:val="0"/>
          <w:divBdr>
            <w:top w:val="none" w:sz="0" w:space="0" w:color="auto"/>
            <w:left w:val="none" w:sz="0" w:space="0" w:color="auto"/>
            <w:bottom w:val="none" w:sz="0" w:space="0" w:color="auto"/>
            <w:right w:val="none" w:sz="0" w:space="0" w:color="auto"/>
          </w:divBdr>
          <w:divsChild>
            <w:div w:id="1147935256">
              <w:marLeft w:val="0"/>
              <w:marRight w:val="0"/>
              <w:marTop w:val="0"/>
              <w:marBottom w:val="0"/>
              <w:divBdr>
                <w:top w:val="none" w:sz="0" w:space="0" w:color="auto"/>
                <w:left w:val="none" w:sz="0" w:space="0" w:color="auto"/>
                <w:bottom w:val="none" w:sz="0" w:space="0" w:color="auto"/>
                <w:right w:val="none" w:sz="0" w:space="0" w:color="auto"/>
              </w:divBdr>
              <w:divsChild>
                <w:div w:id="92700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297577">
          <w:marLeft w:val="0"/>
          <w:marRight w:val="0"/>
          <w:marTop w:val="0"/>
          <w:marBottom w:val="0"/>
          <w:divBdr>
            <w:top w:val="none" w:sz="0" w:space="0" w:color="auto"/>
            <w:left w:val="none" w:sz="0" w:space="0" w:color="auto"/>
            <w:bottom w:val="none" w:sz="0" w:space="0" w:color="auto"/>
            <w:right w:val="none" w:sz="0" w:space="0" w:color="auto"/>
          </w:divBdr>
          <w:divsChild>
            <w:div w:id="292906696">
              <w:marLeft w:val="0"/>
              <w:marRight w:val="0"/>
              <w:marTop w:val="0"/>
              <w:marBottom w:val="0"/>
              <w:divBdr>
                <w:top w:val="none" w:sz="0" w:space="0" w:color="auto"/>
                <w:left w:val="none" w:sz="0" w:space="0" w:color="auto"/>
                <w:bottom w:val="none" w:sz="0" w:space="0" w:color="auto"/>
                <w:right w:val="none" w:sz="0" w:space="0" w:color="auto"/>
              </w:divBdr>
              <w:divsChild>
                <w:div w:id="889655284">
                  <w:marLeft w:val="300"/>
                  <w:marRight w:val="0"/>
                  <w:marTop w:val="0"/>
                  <w:marBottom w:val="0"/>
                  <w:divBdr>
                    <w:top w:val="none" w:sz="0" w:space="0" w:color="auto"/>
                    <w:left w:val="none" w:sz="0" w:space="0" w:color="auto"/>
                    <w:bottom w:val="none" w:sz="0" w:space="0" w:color="auto"/>
                    <w:right w:val="none" w:sz="0" w:space="0" w:color="auto"/>
                  </w:divBdr>
                  <w:divsChild>
                    <w:div w:id="294259190">
                      <w:marLeft w:val="0"/>
                      <w:marRight w:val="0"/>
                      <w:marTop w:val="0"/>
                      <w:marBottom w:val="0"/>
                      <w:divBdr>
                        <w:top w:val="none" w:sz="0" w:space="0" w:color="auto"/>
                        <w:left w:val="none" w:sz="0" w:space="0" w:color="auto"/>
                        <w:bottom w:val="none" w:sz="0" w:space="0" w:color="auto"/>
                        <w:right w:val="none" w:sz="0" w:space="0" w:color="auto"/>
                      </w:divBdr>
                      <w:divsChild>
                        <w:div w:id="1469859231">
                          <w:marLeft w:val="0"/>
                          <w:marRight w:val="0"/>
                          <w:marTop w:val="0"/>
                          <w:marBottom w:val="0"/>
                          <w:divBdr>
                            <w:top w:val="none" w:sz="0" w:space="0" w:color="auto"/>
                            <w:left w:val="none" w:sz="0" w:space="0" w:color="auto"/>
                            <w:bottom w:val="none" w:sz="0" w:space="0" w:color="auto"/>
                            <w:right w:val="none" w:sz="0" w:space="0" w:color="auto"/>
                          </w:divBdr>
                          <w:divsChild>
                            <w:div w:id="1175992786">
                              <w:marLeft w:val="0"/>
                              <w:marRight w:val="0"/>
                              <w:marTop w:val="0"/>
                              <w:marBottom w:val="0"/>
                              <w:divBdr>
                                <w:top w:val="none" w:sz="0" w:space="0" w:color="auto"/>
                                <w:left w:val="none" w:sz="0" w:space="0" w:color="auto"/>
                                <w:bottom w:val="none" w:sz="0" w:space="0" w:color="auto"/>
                                <w:right w:val="none" w:sz="0" w:space="0" w:color="auto"/>
                              </w:divBdr>
                              <w:divsChild>
                                <w:div w:id="1148396501">
                                  <w:marLeft w:val="0"/>
                                  <w:marRight w:val="0"/>
                                  <w:marTop w:val="0"/>
                                  <w:marBottom w:val="0"/>
                                  <w:divBdr>
                                    <w:top w:val="none" w:sz="0" w:space="0" w:color="auto"/>
                                    <w:left w:val="none" w:sz="0" w:space="0" w:color="auto"/>
                                    <w:bottom w:val="none" w:sz="0" w:space="0" w:color="auto"/>
                                    <w:right w:val="none" w:sz="0" w:space="0" w:color="auto"/>
                                  </w:divBdr>
                                  <w:divsChild>
                                    <w:div w:id="1753773219">
                                      <w:marLeft w:val="0"/>
                                      <w:marRight w:val="0"/>
                                      <w:marTop w:val="0"/>
                                      <w:marBottom w:val="0"/>
                                      <w:divBdr>
                                        <w:top w:val="none" w:sz="0" w:space="0" w:color="auto"/>
                                        <w:left w:val="none" w:sz="0" w:space="0" w:color="auto"/>
                                        <w:bottom w:val="none" w:sz="0" w:space="0" w:color="auto"/>
                                        <w:right w:val="none" w:sz="0" w:space="0" w:color="auto"/>
                                      </w:divBdr>
                                      <w:divsChild>
                                        <w:div w:id="1721827347">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8152107">
      <w:bodyDiv w:val="1"/>
      <w:marLeft w:val="0"/>
      <w:marRight w:val="0"/>
      <w:marTop w:val="0"/>
      <w:marBottom w:val="0"/>
      <w:divBdr>
        <w:top w:val="none" w:sz="0" w:space="0" w:color="auto"/>
        <w:left w:val="none" w:sz="0" w:space="0" w:color="auto"/>
        <w:bottom w:val="none" w:sz="0" w:space="0" w:color="auto"/>
        <w:right w:val="none" w:sz="0" w:space="0" w:color="auto"/>
      </w:divBdr>
    </w:div>
    <w:div w:id="1726220732">
      <w:bodyDiv w:val="1"/>
      <w:marLeft w:val="0"/>
      <w:marRight w:val="0"/>
      <w:marTop w:val="0"/>
      <w:marBottom w:val="0"/>
      <w:divBdr>
        <w:top w:val="none" w:sz="0" w:space="0" w:color="auto"/>
        <w:left w:val="none" w:sz="0" w:space="0" w:color="auto"/>
        <w:bottom w:val="none" w:sz="0" w:space="0" w:color="auto"/>
        <w:right w:val="none" w:sz="0" w:space="0" w:color="auto"/>
      </w:divBdr>
    </w:div>
    <w:div w:id="1730573965">
      <w:bodyDiv w:val="1"/>
      <w:marLeft w:val="0"/>
      <w:marRight w:val="0"/>
      <w:marTop w:val="0"/>
      <w:marBottom w:val="0"/>
      <w:divBdr>
        <w:top w:val="none" w:sz="0" w:space="0" w:color="auto"/>
        <w:left w:val="none" w:sz="0" w:space="0" w:color="auto"/>
        <w:bottom w:val="none" w:sz="0" w:space="0" w:color="auto"/>
        <w:right w:val="none" w:sz="0" w:space="0" w:color="auto"/>
      </w:divBdr>
    </w:div>
    <w:div w:id="1813517590">
      <w:bodyDiv w:val="1"/>
      <w:marLeft w:val="0"/>
      <w:marRight w:val="0"/>
      <w:marTop w:val="0"/>
      <w:marBottom w:val="0"/>
      <w:divBdr>
        <w:top w:val="none" w:sz="0" w:space="0" w:color="auto"/>
        <w:left w:val="none" w:sz="0" w:space="0" w:color="auto"/>
        <w:bottom w:val="none" w:sz="0" w:space="0" w:color="auto"/>
        <w:right w:val="none" w:sz="0" w:space="0" w:color="auto"/>
      </w:divBdr>
    </w:div>
    <w:div w:id="1891963685">
      <w:bodyDiv w:val="1"/>
      <w:marLeft w:val="0"/>
      <w:marRight w:val="0"/>
      <w:marTop w:val="0"/>
      <w:marBottom w:val="0"/>
      <w:divBdr>
        <w:top w:val="none" w:sz="0" w:space="0" w:color="auto"/>
        <w:left w:val="none" w:sz="0" w:space="0" w:color="auto"/>
        <w:bottom w:val="none" w:sz="0" w:space="0" w:color="auto"/>
        <w:right w:val="none" w:sz="0" w:space="0" w:color="auto"/>
      </w:divBdr>
    </w:div>
    <w:div w:id="201702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oter" Target="footer4.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DA8B0-F08A-4931-81DE-B6D3E7C5AB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5296</Words>
  <Characters>30189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35415</CharactersWithSpaces>
  <SharedDoc>false</SharedDoc>
  <HLinks>
    <vt:vector size="36" baseType="variant">
      <vt:variant>
        <vt:i4>1376307</vt:i4>
      </vt:variant>
      <vt:variant>
        <vt:i4>32</vt:i4>
      </vt:variant>
      <vt:variant>
        <vt:i4>0</vt:i4>
      </vt:variant>
      <vt:variant>
        <vt:i4>5</vt:i4>
      </vt:variant>
      <vt:variant>
        <vt:lpwstr/>
      </vt:variant>
      <vt:variant>
        <vt:lpwstr>_Toc141203371</vt:lpwstr>
      </vt:variant>
      <vt:variant>
        <vt:i4>1376307</vt:i4>
      </vt:variant>
      <vt:variant>
        <vt:i4>26</vt:i4>
      </vt:variant>
      <vt:variant>
        <vt:i4>0</vt:i4>
      </vt:variant>
      <vt:variant>
        <vt:i4>5</vt:i4>
      </vt:variant>
      <vt:variant>
        <vt:lpwstr/>
      </vt:variant>
      <vt:variant>
        <vt:lpwstr>_Toc141203370</vt:lpwstr>
      </vt:variant>
      <vt:variant>
        <vt:i4>1310771</vt:i4>
      </vt:variant>
      <vt:variant>
        <vt:i4>20</vt:i4>
      </vt:variant>
      <vt:variant>
        <vt:i4>0</vt:i4>
      </vt:variant>
      <vt:variant>
        <vt:i4>5</vt:i4>
      </vt:variant>
      <vt:variant>
        <vt:lpwstr/>
      </vt:variant>
      <vt:variant>
        <vt:lpwstr>_Toc141203369</vt:lpwstr>
      </vt:variant>
      <vt:variant>
        <vt:i4>1310771</vt:i4>
      </vt:variant>
      <vt:variant>
        <vt:i4>14</vt:i4>
      </vt:variant>
      <vt:variant>
        <vt:i4>0</vt:i4>
      </vt:variant>
      <vt:variant>
        <vt:i4>5</vt:i4>
      </vt:variant>
      <vt:variant>
        <vt:lpwstr/>
      </vt:variant>
      <vt:variant>
        <vt:lpwstr>_Toc141203368</vt:lpwstr>
      </vt:variant>
      <vt:variant>
        <vt:i4>1310771</vt:i4>
      </vt:variant>
      <vt:variant>
        <vt:i4>8</vt:i4>
      </vt:variant>
      <vt:variant>
        <vt:i4>0</vt:i4>
      </vt:variant>
      <vt:variant>
        <vt:i4>5</vt:i4>
      </vt:variant>
      <vt:variant>
        <vt:lpwstr/>
      </vt:variant>
      <vt:variant>
        <vt:lpwstr>_Toc141203367</vt:lpwstr>
      </vt:variant>
      <vt:variant>
        <vt:i4>1310771</vt:i4>
      </vt:variant>
      <vt:variant>
        <vt:i4>2</vt:i4>
      </vt:variant>
      <vt:variant>
        <vt:i4>0</vt:i4>
      </vt:variant>
      <vt:variant>
        <vt:i4>5</vt:i4>
      </vt:variant>
      <vt:variant>
        <vt:lpwstr/>
      </vt:variant>
      <vt:variant>
        <vt:lpwstr>_Toc141203366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Farman Ahmed</cp:lastModifiedBy>
  <cp:revision>2</cp:revision>
  <cp:lastPrinted>1601-01-01T00:00:00Z</cp:lastPrinted>
  <dcterms:created xsi:type="dcterms:W3CDTF">2023-08-18T16:37:00Z</dcterms:created>
  <dcterms:modified xsi:type="dcterms:W3CDTF">2023-08-18T16:37:00Z</dcterms:modified>
</cp:coreProperties>
</file>