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D8E0F" w14:textId="77777777" w:rsidR="00F025E2" w:rsidRPr="00F025E2" w:rsidRDefault="00F025E2" w:rsidP="00F025E2">
      <w:pPr>
        <w:spacing w:line="360" w:lineRule="auto"/>
        <w:rPr>
          <w:rFonts w:ascii="Arial" w:hAnsi="Arial" w:cs="Arial"/>
        </w:rPr>
      </w:pPr>
      <w:r w:rsidRPr="00F025E2">
        <w:rPr>
          <w:rFonts w:ascii="Arial" w:hAnsi="Arial" w:cs="Arial"/>
          <w:u w:val="single"/>
        </w:rPr>
        <w:t>Voice mail</w:t>
      </w:r>
    </w:p>
    <w:p w14:paraId="563FC192" w14:textId="77777777" w:rsidR="00F025E2" w:rsidRPr="00F025E2" w:rsidRDefault="00F025E2" w:rsidP="00F025E2">
      <w:pPr>
        <w:spacing w:line="360" w:lineRule="auto"/>
        <w:rPr>
          <w:rFonts w:ascii="Arial" w:hAnsi="Arial" w:cs="Arial"/>
        </w:rPr>
      </w:pPr>
      <w:r w:rsidRPr="00F025E2">
        <w:rPr>
          <w:rFonts w:ascii="Arial" w:hAnsi="Arial" w:cs="Arial"/>
        </w:rPr>
        <w:t>Fees: The Trinity Laws fees table states that the charge is £1,800 for purchases between £500,001 and £750,000, including 20% VAT. This equals £2160 (</w:t>
      </w:r>
      <w:r w:rsidRPr="00F025E2">
        <w:rPr>
          <w:rFonts w:ascii="Arial" w:hAnsi="Arial" w:cs="Arial"/>
          <w:i/>
          <w:iCs/>
        </w:rPr>
        <w:t>Value Added Tax Act 1994</w:t>
      </w:r>
      <w:r w:rsidRPr="00F025E2">
        <w:rPr>
          <w:rFonts w:ascii="Arial" w:hAnsi="Arial" w:cs="Arial"/>
        </w:rPr>
        <w:t xml:space="preserve">, s2.1). Since Mrs Jenkins is buying with a mortgage, an additional £200 will also be added for acting on behalf of the lender, as outlined in the mortgage lender's handbook (UK Finance, 2024). </w:t>
      </w:r>
    </w:p>
    <w:p w14:paraId="66F1DC12" w14:textId="77777777" w:rsidR="00F025E2" w:rsidRPr="00F025E2" w:rsidRDefault="00F025E2" w:rsidP="00F025E2">
      <w:pPr>
        <w:spacing w:line="360" w:lineRule="auto"/>
        <w:rPr>
          <w:rFonts w:ascii="Arial" w:hAnsi="Arial" w:cs="Arial"/>
        </w:rPr>
      </w:pPr>
      <w:r w:rsidRPr="00F025E2">
        <w:rPr>
          <w:rFonts w:ascii="Arial" w:hAnsi="Arial" w:cs="Arial"/>
        </w:rPr>
        <w:t>A £300 deposit will be taken to cover initial disbursements, held in a separate account in accordance with the SRA Accounts Rules (SRA, 2019, 4.2), which includes searches such as local authority, drainage, water, and environmental searches.</w:t>
      </w:r>
    </w:p>
    <w:p w14:paraId="67949D2A" w14:textId="77777777" w:rsidR="00F025E2" w:rsidRPr="00F025E2" w:rsidRDefault="00F025E2" w:rsidP="00F025E2">
      <w:pPr>
        <w:spacing w:line="360" w:lineRule="auto"/>
        <w:rPr>
          <w:rFonts w:ascii="Arial" w:hAnsi="Arial" w:cs="Arial"/>
        </w:rPr>
      </w:pPr>
      <w:r w:rsidRPr="00F025E2">
        <w:rPr>
          <w:rFonts w:ascii="Arial" w:hAnsi="Arial" w:cs="Arial"/>
        </w:rPr>
        <w:t xml:space="preserve">The Land Registry fee for a £ 739,000 purchase is either £295 for an electronic submission or £495 for a postal submission. This is set by the </w:t>
      </w:r>
      <w:r w:rsidRPr="00F025E2">
        <w:rPr>
          <w:rFonts w:ascii="Arial" w:hAnsi="Arial" w:cs="Arial"/>
          <w:i/>
          <w:iCs/>
        </w:rPr>
        <w:t>Land Registration Fee Order 2021</w:t>
      </w:r>
    </w:p>
    <w:p w14:paraId="4B5E5369" w14:textId="77777777" w:rsidR="00F025E2" w:rsidRPr="00F025E2" w:rsidRDefault="00F025E2" w:rsidP="00F025E2">
      <w:pPr>
        <w:spacing w:line="360" w:lineRule="auto"/>
        <w:rPr>
          <w:rFonts w:ascii="Arial" w:hAnsi="Arial" w:cs="Arial"/>
        </w:rPr>
      </w:pPr>
      <w:r w:rsidRPr="00F025E2">
        <w:rPr>
          <w:rFonts w:ascii="Arial" w:hAnsi="Arial" w:cs="Arial"/>
        </w:rPr>
        <w:t xml:space="preserve">Land Transaction is regulated </w:t>
      </w:r>
      <w:r w:rsidRPr="00F025E2">
        <w:rPr>
          <w:rFonts w:ascii="Arial" w:hAnsi="Arial" w:cs="Arial"/>
          <w:i/>
          <w:iCs/>
        </w:rPr>
        <w:t>under Land Transaction Tax and Anti Avoidance of Devolved Taxes (Wales) Act 2017</w:t>
      </w:r>
      <w:r w:rsidRPr="00F025E2">
        <w:rPr>
          <w:rFonts w:ascii="Arial" w:hAnsi="Arial" w:cs="Arial"/>
        </w:rPr>
        <w:t xml:space="preserve"> and calculated by using the Welsh Revenue Authority (2025) rates, 0% to 225,000, 6% on 225,001-400,000 (10,500), 7.5% on 400,001-750,000 (25,425) which adds up to £35,925, this is payable within 30 days of completion (</w:t>
      </w:r>
      <w:r w:rsidRPr="00F025E2">
        <w:rPr>
          <w:rFonts w:ascii="Arial" w:hAnsi="Arial" w:cs="Arial"/>
          <w:i/>
          <w:iCs/>
        </w:rPr>
        <w:t xml:space="preserve">Land Transaction Tax and Anti Avoidance of Devolved Taxes (Wales) act 2017 </w:t>
      </w:r>
      <w:r w:rsidRPr="00F025E2">
        <w:rPr>
          <w:rFonts w:ascii="Arial" w:hAnsi="Arial" w:cs="Arial"/>
        </w:rPr>
        <w:t xml:space="preserve">s.44) </w:t>
      </w:r>
    </w:p>
    <w:p w14:paraId="7CB2C659" w14:textId="023FC06B" w:rsidR="00F025E2" w:rsidRPr="00F025E2" w:rsidRDefault="00F025E2" w:rsidP="00F025E2">
      <w:pPr>
        <w:spacing w:line="360" w:lineRule="auto"/>
        <w:rPr>
          <w:rFonts w:ascii="Arial" w:hAnsi="Arial" w:cs="Arial"/>
        </w:rPr>
      </w:pPr>
      <w:r w:rsidRPr="00F025E2">
        <w:rPr>
          <w:rFonts w:ascii="Arial" w:hAnsi="Arial" w:cs="Arial"/>
        </w:rPr>
        <w:t xml:space="preserve">Other </w:t>
      </w:r>
      <w:r w:rsidRPr="00F025E2">
        <w:rPr>
          <w:rFonts w:ascii="Arial" w:hAnsi="Arial" w:cs="Arial"/>
        </w:rPr>
        <w:t>disbursement fees</w:t>
      </w:r>
      <w:r w:rsidRPr="00F025E2">
        <w:rPr>
          <w:rFonts w:ascii="Arial" w:hAnsi="Arial" w:cs="Arial"/>
        </w:rPr>
        <w:t xml:space="preserve"> include a telegraphic transfer (£20 + VAT) and ID verification (£20 + VAT). Currently, there is no requirement for indemnity insurance, as the searches and titles are clear; however, if a problem were to arise, we would arrange a policy (UK Finance, 2024, s.9.1). </w:t>
      </w:r>
    </w:p>
    <w:p w14:paraId="7170310D" w14:textId="77777777" w:rsidR="00F025E2" w:rsidRPr="00F025E2" w:rsidRDefault="00F025E2" w:rsidP="00F025E2">
      <w:pPr>
        <w:spacing w:line="360" w:lineRule="auto"/>
        <w:rPr>
          <w:rFonts w:ascii="Arial" w:hAnsi="Arial" w:cs="Arial"/>
        </w:rPr>
      </w:pPr>
      <w:r w:rsidRPr="00F025E2">
        <w:rPr>
          <w:rFonts w:ascii="Arial" w:hAnsi="Arial" w:cs="Arial"/>
        </w:rPr>
        <w:t xml:space="preserve">The total estimated cost is 38,928; however, this is an estimate and may vary. While providing figures that are VAT inclusive and explaining necessary costs clearly, it ensures the firm complies with section 8.7 of the SRA Code of Conduct (SRA, 2019) and the SRA Transparency Rules (SRA, 2018) by providing clear information to the client. </w:t>
      </w:r>
    </w:p>
    <w:p w14:paraId="7816AF23" w14:textId="77777777" w:rsidR="00F025E2" w:rsidRPr="00F025E2" w:rsidRDefault="00F025E2" w:rsidP="00F025E2">
      <w:pPr>
        <w:spacing w:line="360" w:lineRule="auto"/>
        <w:rPr>
          <w:rFonts w:ascii="Arial" w:hAnsi="Arial" w:cs="Arial"/>
        </w:rPr>
      </w:pPr>
      <w:r w:rsidRPr="00F025E2">
        <w:rPr>
          <w:rFonts w:ascii="Arial" w:hAnsi="Arial" w:cs="Arial"/>
        </w:rPr>
        <w:t>Regarding time scale, Trinity Laws conveyancing services document sets out an 8–12 week period, this is because there are multiple stages that all require attention and time for instance taking ID, checking proof of funds and the source of the client's wealth (</w:t>
      </w:r>
      <w:r w:rsidRPr="00F025E2">
        <w:rPr>
          <w:rFonts w:ascii="Arial" w:hAnsi="Arial" w:cs="Arial"/>
          <w:i/>
          <w:iCs/>
        </w:rPr>
        <w:t xml:space="preserve">Money Laundering regulations 2017), </w:t>
      </w:r>
      <w:r w:rsidRPr="00F025E2">
        <w:rPr>
          <w:rFonts w:ascii="Arial" w:hAnsi="Arial" w:cs="Arial"/>
        </w:rPr>
        <w:t xml:space="preserve">the pre contract stage where the title will be examined, searches will commence (UK Finance, 2024 and the exchange of contract and the transfer of legal title </w:t>
      </w:r>
      <w:r w:rsidRPr="00F025E2">
        <w:rPr>
          <w:rFonts w:ascii="Arial" w:hAnsi="Arial" w:cs="Arial"/>
          <w:i/>
          <w:iCs/>
        </w:rPr>
        <w:t>(Law of property act 1925</w:t>
      </w:r>
      <w:r w:rsidRPr="00F025E2">
        <w:rPr>
          <w:rFonts w:ascii="Arial" w:hAnsi="Arial" w:cs="Arial"/>
        </w:rPr>
        <w:t xml:space="preserve"> s.52)</w:t>
      </w:r>
    </w:p>
    <w:p w14:paraId="1BA32A6D" w14:textId="77777777" w:rsidR="00F025E2" w:rsidRDefault="00F025E2" w:rsidP="00F025E2">
      <w:pPr>
        <w:spacing w:line="360" w:lineRule="auto"/>
        <w:rPr>
          <w:rFonts w:ascii="Arial" w:hAnsi="Arial" w:cs="Arial"/>
        </w:rPr>
      </w:pPr>
      <w:r w:rsidRPr="00F025E2">
        <w:rPr>
          <w:rFonts w:ascii="Arial" w:hAnsi="Arial" w:cs="Arial"/>
        </w:rPr>
        <w:t>No party is bound until a contract is in writing, has all the terms and is signed by both parties (</w:t>
      </w:r>
      <w:r w:rsidRPr="00F025E2">
        <w:rPr>
          <w:rFonts w:ascii="Arial" w:hAnsi="Arial" w:cs="Arial"/>
          <w:i/>
          <w:iCs/>
        </w:rPr>
        <w:t>Law of Property Act 1989</w:t>
      </w:r>
      <w:r w:rsidRPr="00F025E2">
        <w:rPr>
          <w:rFonts w:ascii="Arial" w:hAnsi="Arial" w:cs="Arial"/>
        </w:rPr>
        <w:t>, s.2). After the exchange of contracts, the buyer holds equitable ownership ('Lysaght v Edwards, 1879') and is bound to complete the purchase.</w:t>
      </w:r>
    </w:p>
    <w:p w14:paraId="42F094C6" w14:textId="30969371" w:rsidR="00F025E2" w:rsidRPr="00F025E2" w:rsidRDefault="00F025E2" w:rsidP="00F025E2">
      <w:pPr>
        <w:spacing w:line="360" w:lineRule="auto"/>
        <w:rPr>
          <w:rFonts w:ascii="Arial" w:hAnsi="Arial" w:cs="Arial"/>
        </w:rPr>
      </w:pPr>
      <w:r w:rsidRPr="00F025E2">
        <w:rPr>
          <w:rFonts w:ascii="Arial" w:hAnsi="Arial" w:cs="Arial"/>
          <w:u w:val="single"/>
        </w:rPr>
        <w:lastRenderedPageBreak/>
        <w:t>Task 2</w:t>
      </w:r>
    </w:p>
    <w:p w14:paraId="22883ADC" w14:textId="77777777" w:rsidR="00F025E2" w:rsidRPr="00F025E2" w:rsidRDefault="00F025E2" w:rsidP="00F025E2">
      <w:pPr>
        <w:spacing w:line="360" w:lineRule="auto"/>
        <w:rPr>
          <w:rFonts w:ascii="Arial" w:hAnsi="Arial" w:cs="Arial"/>
        </w:rPr>
      </w:pPr>
      <w:r w:rsidRPr="00F025E2">
        <w:rPr>
          <w:rFonts w:ascii="Arial" w:hAnsi="Arial" w:cs="Arial"/>
        </w:rPr>
        <w:t>To: Ida Matthew – Senior Associate</w:t>
      </w:r>
    </w:p>
    <w:p w14:paraId="5F46D5F9" w14:textId="77777777" w:rsidR="00F025E2" w:rsidRPr="00F025E2" w:rsidRDefault="00F025E2" w:rsidP="00F025E2">
      <w:pPr>
        <w:spacing w:line="360" w:lineRule="auto"/>
        <w:rPr>
          <w:rFonts w:ascii="Arial" w:hAnsi="Arial" w:cs="Arial"/>
        </w:rPr>
      </w:pPr>
      <w:r w:rsidRPr="00F025E2">
        <w:rPr>
          <w:rFonts w:ascii="Arial" w:hAnsi="Arial" w:cs="Arial"/>
        </w:rPr>
        <w:t>From: Shannon Davies, Trainee</w:t>
      </w:r>
    </w:p>
    <w:p w14:paraId="3B8B994F" w14:textId="77777777" w:rsidR="00F025E2" w:rsidRPr="00F025E2" w:rsidRDefault="00F025E2" w:rsidP="00F025E2">
      <w:pPr>
        <w:spacing w:line="360" w:lineRule="auto"/>
        <w:rPr>
          <w:rFonts w:ascii="Arial" w:hAnsi="Arial" w:cs="Arial"/>
        </w:rPr>
      </w:pPr>
      <w:r w:rsidRPr="00F025E2">
        <w:rPr>
          <w:rFonts w:ascii="Arial" w:hAnsi="Arial" w:cs="Arial"/>
        </w:rPr>
        <w:t>Date: 08/11/2025</w:t>
      </w:r>
    </w:p>
    <w:p w14:paraId="75853C18" w14:textId="77777777" w:rsidR="00F025E2" w:rsidRPr="00F025E2" w:rsidRDefault="00F025E2" w:rsidP="00F025E2">
      <w:pPr>
        <w:spacing w:line="360" w:lineRule="auto"/>
        <w:rPr>
          <w:rFonts w:ascii="Arial" w:hAnsi="Arial" w:cs="Arial"/>
        </w:rPr>
      </w:pPr>
      <w:r w:rsidRPr="00F025E2">
        <w:rPr>
          <w:rFonts w:ascii="Arial" w:hAnsi="Arial" w:cs="Arial"/>
        </w:rPr>
        <w:t>Re: Easements and Covenants</w:t>
      </w:r>
    </w:p>
    <w:p w14:paraId="135F611A" w14:textId="77777777" w:rsidR="00F025E2" w:rsidRPr="00F025E2" w:rsidRDefault="00F025E2" w:rsidP="00F025E2">
      <w:pPr>
        <w:spacing w:line="360" w:lineRule="auto"/>
        <w:rPr>
          <w:rFonts w:ascii="Arial" w:hAnsi="Arial" w:cs="Arial"/>
        </w:rPr>
      </w:pPr>
      <w:r w:rsidRPr="00F025E2">
        <w:rPr>
          <w:rFonts w:ascii="Arial" w:hAnsi="Arial" w:cs="Arial"/>
        </w:rPr>
        <w:t xml:space="preserve">This email is regarding the analysis of easements and covenants that affect the freehold title to Arben Manor, specifically whether their benefits or burdens will impact the client, Ms Jenkins. </w:t>
      </w:r>
    </w:p>
    <w:p w14:paraId="4D1CEA00" w14:textId="77777777" w:rsidR="00F025E2" w:rsidRPr="00F025E2" w:rsidRDefault="00F025E2" w:rsidP="00F025E2">
      <w:pPr>
        <w:spacing w:line="360" w:lineRule="auto"/>
        <w:rPr>
          <w:rFonts w:ascii="Arial" w:hAnsi="Arial" w:cs="Arial"/>
        </w:rPr>
      </w:pPr>
      <w:r w:rsidRPr="00F025E2">
        <w:rPr>
          <w:rFonts w:ascii="Arial" w:hAnsi="Arial" w:cs="Arial"/>
        </w:rPr>
        <w:t xml:space="preserve">Upon reviewing the register of title and similar documents, a series of issues have been identified, including party wall rights, a reserved right of way, drainage rights, an ancillary right of entry, and both restrictive and positive covenants. </w:t>
      </w:r>
    </w:p>
    <w:p w14:paraId="6949EDBF" w14:textId="77777777" w:rsidR="00F025E2" w:rsidRPr="00F025E2" w:rsidRDefault="00F025E2" w:rsidP="00F025E2">
      <w:pPr>
        <w:spacing w:line="360" w:lineRule="auto"/>
        <w:rPr>
          <w:rFonts w:ascii="Arial" w:hAnsi="Arial" w:cs="Arial"/>
        </w:rPr>
      </w:pPr>
      <w:r w:rsidRPr="00F025E2">
        <w:rPr>
          <w:rFonts w:ascii="Arial" w:hAnsi="Arial" w:cs="Arial"/>
        </w:rPr>
        <w:t xml:space="preserve">The first easement is regarding party wall, fences and boundary walls must be used, repaired and maintained accordingly, creating a shared right of support while also a shared obligation to maintain the wall/fences, this meets the criteria in </w:t>
      </w:r>
      <w:proofErr w:type="spellStart"/>
      <w:r w:rsidRPr="00F025E2">
        <w:rPr>
          <w:rFonts w:ascii="Arial" w:hAnsi="Arial" w:cs="Arial"/>
        </w:rPr>
        <w:t>'Re</w:t>
      </w:r>
      <w:proofErr w:type="spellEnd"/>
      <w:r w:rsidRPr="00F025E2">
        <w:rPr>
          <w:rFonts w:ascii="Arial" w:hAnsi="Arial" w:cs="Arial"/>
        </w:rPr>
        <w:t xml:space="preserve"> Ellenborough Park' (1956) to become a valid easement; both parties, either side of the land can benefit from the right of support and can interchangeably be the dominant and servant, it accommodates the dominant land as if neither party upkept the fences then they would collapse, the properties are owned by different people and lastly, the right of support is something the court recognises ('Dalton v Angus' 1881). Ms Jenkins will have the benefit of neighbours also maintaining the walls; however, there is a burden as she will then have to provide the same support under the benefit and burden principle ('Halsall v </w:t>
      </w:r>
      <w:proofErr w:type="spellStart"/>
      <w:r w:rsidRPr="00F025E2">
        <w:rPr>
          <w:rFonts w:ascii="Arial" w:hAnsi="Arial" w:cs="Arial"/>
        </w:rPr>
        <w:t>Brizell</w:t>
      </w:r>
      <w:proofErr w:type="spellEnd"/>
      <w:r w:rsidRPr="00F025E2">
        <w:rPr>
          <w:rFonts w:ascii="Arial" w:hAnsi="Arial" w:cs="Arial"/>
        </w:rPr>
        <w:t xml:space="preserve">' 1957). </w:t>
      </w:r>
      <w:r w:rsidRPr="00F025E2">
        <w:rPr>
          <w:rFonts w:ascii="Arial" w:hAnsi="Arial" w:cs="Arial"/>
          <w:i/>
          <w:iCs/>
        </w:rPr>
        <w:t>The Party Walls Act 1996</w:t>
      </w:r>
      <w:r w:rsidRPr="00F025E2">
        <w:rPr>
          <w:rFonts w:ascii="Arial" w:hAnsi="Arial" w:cs="Arial"/>
        </w:rPr>
        <w:t xml:space="preserve"> reinforces this easement, regulating cost sharing, rights of entry, and contains procedures that Ms Jenkins will have to follow if she wishes to rebuild, change, or repair the shared walls. </w:t>
      </w:r>
    </w:p>
    <w:p w14:paraId="543299DE" w14:textId="77777777" w:rsidR="00F025E2" w:rsidRPr="00F025E2" w:rsidRDefault="00F025E2" w:rsidP="00F025E2">
      <w:pPr>
        <w:spacing w:line="360" w:lineRule="auto"/>
        <w:rPr>
          <w:rFonts w:ascii="Arial" w:hAnsi="Arial" w:cs="Arial"/>
        </w:rPr>
      </w:pPr>
      <w:r w:rsidRPr="00F025E2">
        <w:rPr>
          <w:rFonts w:ascii="Arial" w:hAnsi="Arial" w:cs="Arial"/>
        </w:rPr>
        <w:t>Another easement is the right of access via the rocky road to the owners of Poppy Field Park, which should be maintained by Ms Jenkins. This is an expressly reserved legal easement created by deed, which constitutes a legal interest in land and is binding regardless of the owner of Arben Manor (</w:t>
      </w:r>
      <w:r w:rsidRPr="00F025E2">
        <w:rPr>
          <w:rFonts w:ascii="Arial" w:hAnsi="Arial" w:cs="Arial"/>
          <w:i/>
          <w:iCs/>
        </w:rPr>
        <w:t>Law of Property Act 1925</w:t>
      </w:r>
      <w:r w:rsidRPr="00F025E2">
        <w:rPr>
          <w:rFonts w:ascii="Arial" w:hAnsi="Arial" w:cs="Arial"/>
        </w:rPr>
        <w:t xml:space="preserve">). Ms Jenkins cannot prevent Poppy Field Park from accessing the land by making it inaccessible ('B&amp;Q plc v Liverpool &amp; Lancashire Properties Ltd' 2001); however, the maintenance clause would constitute a positive covenant, as it would involve a promise to maintain the land. 'Haywood v Brunswick Building Society' (1881) sets out the principle that you can inherit restrictions (a negative covenant) but not obligations (positive covenants). This highlights that Ms Jenkins </w:t>
      </w:r>
      <w:r w:rsidRPr="00F025E2">
        <w:rPr>
          <w:rFonts w:ascii="Arial" w:hAnsi="Arial" w:cs="Arial"/>
        </w:rPr>
        <w:lastRenderedPageBreak/>
        <w:t xml:space="preserve">may not be bound to maintain the road. Despite this, if she wishes to utilise the easement rights she may receive, she must fulfil the obligations imposed on her due to the benefit and burden principle in 'Halsall v </w:t>
      </w:r>
      <w:proofErr w:type="spellStart"/>
      <w:r w:rsidRPr="00F025E2">
        <w:rPr>
          <w:rFonts w:ascii="Arial" w:hAnsi="Arial" w:cs="Arial"/>
        </w:rPr>
        <w:t>Brizell</w:t>
      </w:r>
      <w:proofErr w:type="spellEnd"/>
      <w:r w:rsidRPr="00F025E2">
        <w:rPr>
          <w:rFonts w:ascii="Arial" w:hAnsi="Arial" w:cs="Arial"/>
        </w:rPr>
        <w:t xml:space="preserve">' (1957). An issue Ms Jenkins could face is that the title has a clause which makes each buyer indemnify the seller when there is a breach of covenant, so although positive covenants cannot be binding with the land, Ms Jenkins could be liable personally, however, 'Thamesmead Town Ltd v Allotey' (1998) confirms that liability </w:t>
      </w:r>
      <w:proofErr w:type="spellStart"/>
      <w:r w:rsidRPr="00F025E2">
        <w:rPr>
          <w:rFonts w:ascii="Arial" w:hAnsi="Arial" w:cs="Arial"/>
        </w:rPr>
        <w:t>cant</w:t>
      </w:r>
      <w:proofErr w:type="spellEnd"/>
      <w:r w:rsidRPr="00F025E2">
        <w:rPr>
          <w:rFonts w:ascii="Arial" w:hAnsi="Arial" w:cs="Arial"/>
        </w:rPr>
        <w:t xml:space="preserve"> be enforced unless Ms Jenkins too the benefit. </w:t>
      </w:r>
    </w:p>
    <w:p w14:paraId="3445BF8D" w14:textId="77777777" w:rsidR="00F025E2" w:rsidRPr="00F025E2" w:rsidRDefault="00F025E2" w:rsidP="00F025E2">
      <w:pPr>
        <w:spacing w:line="360" w:lineRule="auto"/>
        <w:rPr>
          <w:rFonts w:ascii="Arial" w:hAnsi="Arial" w:cs="Arial"/>
        </w:rPr>
      </w:pPr>
      <w:r w:rsidRPr="00F025E2">
        <w:rPr>
          <w:rFonts w:ascii="Arial" w:hAnsi="Arial" w:cs="Arial"/>
        </w:rPr>
        <w:t xml:space="preserve">The next easement is the sewerage undertaker's statutory right of access, as stipulated in the </w:t>
      </w:r>
      <w:r w:rsidRPr="00F025E2">
        <w:rPr>
          <w:rFonts w:ascii="Arial" w:hAnsi="Arial" w:cs="Arial"/>
          <w:i/>
          <w:iCs/>
        </w:rPr>
        <w:t>Water Industry Act 1991</w:t>
      </w:r>
      <w:r w:rsidRPr="00F025E2">
        <w:rPr>
          <w:rFonts w:ascii="Arial" w:hAnsi="Arial" w:cs="Arial"/>
        </w:rPr>
        <w:t xml:space="preserve">. This allows sewage undertakers to access the land for inspection, repairs, or maintenance due to there being sewer on the property. This is based on the statutory framework, rather than any easement discussed in the title. </w:t>
      </w:r>
    </w:p>
    <w:p w14:paraId="72D25F42" w14:textId="77777777" w:rsidR="00F025E2" w:rsidRPr="00F025E2" w:rsidRDefault="00F025E2" w:rsidP="00F025E2">
      <w:pPr>
        <w:spacing w:line="360" w:lineRule="auto"/>
        <w:rPr>
          <w:rFonts w:ascii="Arial" w:hAnsi="Arial" w:cs="Arial"/>
        </w:rPr>
      </w:pPr>
      <w:r w:rsidRPr="00F025E2">
        <w:rPr>
          <w:rFonts w:ascii="Arial" w:hAnsi="Arial" w:cs="Arial"/>
        </w:rPr>
        <w:t xml:space="preserve">There are numerous restrictive covenants, including prohibitions on building new buildings, extending without permission, altering the exterior, or operating a business from one's home. Due to Ms Jenkins having to refrain from specific actions, these covenants are negative and restrictive. The 'Tulk v </w:t>
      </w:r>
      <w:proofErr w:type="spellStart"/>
      <w:r w:rsidRPr="00F025E2">
        <w:rPr>
          <w:rFonts w:ascii="Arial" w:hAnsi="Arial" w:cs="Arial"/>
        </w:rPr>
        <w:t>Moxhay</w:t>
      </w:r>
      <w:proofErr w:type="spellEnd"/>
      <w:r w:rsidRPr="00F025E2">
        <w:rPr>
          <w:rFonts w:ascii="Arial" w:hAnsi="Arial" w:cs="Arial"/>
        </w:rPr>
        <w:t xml:space="preserve">' (1848) case solidifies that restrictive covenants are binding on future owners. The </w:t>
      </w:r>
      <w:r w:rsidRPr="00F025E2">
        <w:rPr>
          <w:rFonts w:ascii="Arial" w:hAnsi="Arial" w:cs="Arial"/>
          <w:i/>
          <w:iCs/>
        </w:rPr>
        <w:t>Law of Property Act 1925</w:t>
      </w:r>
      <w:r w:rsidRPr="00F025E2">
        <w:rPr>
          <w:rFonts w:ascii="Arial" w:hAnsi="Arial" w:cs="Arial"/>
        </w:rPr>
        <w:t xml:space="preserve"> also sets the precedent that restrictive covenants bind all future owners. Since restrictive covenants stop the owner from doing something, rather than spending money, the 'Haywood v Brunswick' (1881) rule does not apply. Ms Jenkins is bound by negative covenants and will have to obtain consent before building, extending or altering her home. </w:t>
      </w:r>
    </w:p>
    <w:p w14:paraId="0B9D5B6B" w14:textId="77777777" w:rsidR="00F025E2" w:rsidRPr="00F025E2" w:rsidRDefault="00F025E2" w:rsidP="00F025E2">
      <w:pPr>
        <w:spacing w:line="360" w:lineRule="auto"/>
        <w:rPr>
          <w:rFonts w:ascii="Arial" w:hAnsi="Arial" w:cs="Arial"/>
        </w:rPr>
      </w:pPr>
      <w:r w:rsidRPr="00F025E2">
        <w:rPr>
          <w:rFonts w:ascii="Arial" w:hAnsi="Arial" w:cs="Arial"/>
        </w:rPr>
        <w:t xml:space="preserve">Lastly, the maintenance of the rocky road and party walls is a positive covenant; this cannot be inherited with the land ('Haywood v Brunswick Building Society' 1881), however, it can still be binding through an indemnity chain or the benefit and burden principle ('Halsall v </w:t>
      </w:r>
      <w:proofErr w:type="spellStart"/>
      <w:r w:rsidRPr="00F025E2">
        <w:rPr>
          <w:rFonts w:ascii="Arial" w:hAnsi="Arial" w:cs="Arial"/>
        </w:rPr>
        <w:t>Brizell</w:t>
      </w:r>
      <w:proofErr w:type="spellEnd"/>
      <w:r w:rsidRPr="00F025E2">
        <w:rPr>
          <w:rFonts w:ascii="Arial" w:hAnsi="Arial" w:cs="Arial"/>
        </w:rPr>
        <w:t xml:space="preserve">' 1957). </w:t>
      </w:r>
    </w:p>
    <w:p w14:paraId="724ACD55" w14:textId="77777777" w:rsidR="00F025E2" w:rsidRPr="00F025E2" w:rsidRDefault="00F025E2" w:rsidP="00F025E2">
      <w:pPr>
        <w:spacing w:line="360" w:lineRule="auto"/>
        <w:rPr>
          <w:rFonts w:ascii="Arial" w:hAnsi="Arial" w:cs="Arial"/>
        </w:rPr>
      </w:pPr>
    </w:p>
    <w:p w14:paraId="1A63B9F7" w14:textId="77777777" w:rsidR="00F025E2" w:rsidRPr="00F025E2" w:rsidRDefault="00F025E2" w:rsidP="00F025E2">
      <w:pPr>
        <w:spacing w:line="360" w:lineRule="auto"/>
        <w:rPr>
          <w:rFonts w:ascii="Arial" w:hAnsi="Arial" w:cs="Arial"/>
        </w:rPr>
      </w:pPr>
    </w:p>
    <w:p w14:paraId="40E6C89C" w14:textId="77777777" w:rsidR="00F025E2" w:rsidRPr="00F025E2" w:rsidRDefault="00F025E2" w:rsidP="00F025E2">
      <w:pPr>
        <w:spacing w:line="360" w:lineRule="auto"/>
        <w:rPr>
          <w:rFonts w:ascii="Arial" w:hAnsi="Arial" w:cs="Arial"/>
        </w:rPr>
      </w:pPr>
    </w:p>
    <w:p w14:paraId="66089589" w14:textId="77777777" w:rsidR="00F025E2" w:rsidRPr="00F025E2" w:rsidRDefault="00F025E2" w:rsidP="00F025E2">
      <w:pPr>
        <w:spacing w:line="360" w:lineRule="auto"/>
        <w:rPr>
          <w:rFonts w:ascii="Arial" w:hAnsi="Arial" w:cs="Arial"/>
        </w:rPr>
      </w:pPr>
    </w:p>
    <w:p w14:paraId="0D64B2ED" w14:textId="77777777" w:rsidR="00F025E2" w:rsidRPr="00F025E2" w:rsidRDefault="00F025E2" w:rsidP="00F025E2">
      <w:pPr>
        <w:spacing w:line="360" w:lineRule="auto"/>
        <w:rPr>
          <w:rFonts w:ascii="Arial" w:hAnsi="Arial" w:cs="Arial"/>
        </w:rPr>
      </w:pPr>
    </w:p>
    <w:p w14:paraId="4EFF826B" w14:textId="77777777" w:rsidR="00F025E2" w:rsidRPr="00F025E2" w:rsidRDefault="00F025E2" w:rsidP="00F025E2">
      <w:pPr>
        <w:spacing w:line="360" w:lineRule="auto"/>
        <w:rPr>
          <w:rFonts w:ascii="Arial" w:hAnsi="Arial" w:cs="Arial"/>
        </w:rPr>
      </w:pPr>
    </w:p>
    <w:p w14:paraId="63DADA08" w14:textId="77777777" w:rsidR="00F025E2" w:rsidRPr="00F025E2" w:rsidRDefault="00F025E2" w:rsidP="00F025E2">
      <w:pPr>
        <w:spacing w:line="360" w:lineRule="auto"/>
        <w:rPr>
          <w:rFonts w:ascii="Arial" w:hAnsi="Arial" w:cs="Arial"/>
        </w:rPr>
      </w:pPr>
    </w:p>
    <w:p w14:paraId="43CAC12B" w14:textId="77777777" w:rsidR="00F025E2" w:rsidRDefault="00F025E2" w:rsidP="00F025E2">
      <w:pPr>
        <w:spacing w:line="360" w:lineRule="auto"/>
        <w:rPr>
          <w:rFonts w:ascii="Arial" w:hAnsi="Arial" w:cs="Arial"/>
        </w:rPr>
      </w:pPr>
    </w:p>
    <w:p w14:paraId="4A753F4A" w14:textId="5D9F4FF1" w:rsidR="00F025E2" w:rsidRPr="00F025E2" w:rsidRDefault="00F025E2" w:rsidP="00F025E2">
      <w:pPr>
        <w:spacing w:line="360" w:lineRule="auto"/>
        <w:rPr>
          <w:rFonts w:ascii="Arial" w:hAnsi="Arial" w:cs="Arial"/>
        </w:rPr>
      </w:pPr>
      <w:r w:rsidRPr="00F025E2">
        <w:rPr>
          <w:rFonts w:ascii="Arial" w:hAnsi="Arial" w:cs="Arial"/>
          <w:u w:val="single"/>
        </w:rPr>
        <w:lastRenderedPageBreak/>
        <w:t>Task 3</w:t>
      </w:r>
    </w:p>
    <w:p w14:paraId="0F09D513" w14:textId="77777777" w:rsidR="00F025E2" w:rsidRPr="00F025E2" w:rsidRDefault="00F025E2" w:rsidP="00F025E2">
      <w:pPr>
        <w:spacing w:line="360" w:lineRule="auto"/>
        <w:rPr>
          <w:rFonts w:ascii="Arial" w:hAnsi="Arial" w:cs="Arial"/>
        </w:rPr>
      </w:pPr>
      <w:r w:rsidRPr="00F025E2">
        <w:rPr>
          <w:rFonts w:ascii="Arial" w:hAnsi="Arial" w:cs="Arial"/>
        </w:rPr>
        <w:t>To: Ida Matthew – Senior Associate</w:t>
      </w:r>
    </w:p>
    <w:p w14:paraId="073FEF8E" w14:textId="77777777" w:rsidR="00F025E2" w:rsidRPr="00F025E2" w:rsidRDefault="00F025E2" w:rsidP="00F025E2">
      <w:pPr>
        <w:spacing w:line="360" w:lineRule="auto"/>
        <w:rPr>
          <w:rFonts w:ascii="Arial" w:hAnsi="Arial" w:cs="Arial"/>
        </w:rPr>
      </w:pPr>
      <w:r w:rsidRPr="00F025E2">
        <w:rPr>
          <w:rFonts w:ascii="Arial" w:hAnsi="Arial" w:cs="Arial"/>
        </w:rPr>
        <w:t>From: Shannon Davies, Trainee</w:t>
      </w:r>
    </w:p>
    <w:p w14:paraId="3AD5D029" w14:textId="77777777" w:rsidR="00F025E2" w:rsidRPr="00F025E2" w:rsidRDefault="00F025E2" w:rsidP="00F025E2">
      <w:pPr>
        <w:spacing w:line="360" w:lineRule="auto"/>
        <w:rPr>
          <w:rFonts w:ascii="Arial" w:hAnsi="Arial" w:cs="Arial"/>
        </w:rPr>
      </w:pPr>
      <w:r w:rsidRPr="00F025E2">
        <w:rPr>
          <w:rFonts w:ascii="Arial" w:hAnsi="Arial" w:cs="Arial"/>
        </w:rPr>
        <w:t>Date: 08/11/2025</w:t>
      </w:r>
    </w:p>
    <w:p w14:paraId="379F89DD" w14:textId="77777777" w:rsidR="00F025E2" w:rsidRPr="00F025E2" w:rsidRDefault="00F025E2" w:rsidP="00F025E2">
      <w:pPr>
        <w:spacing w:line="360" w:lineRule="auto"/>
        <w:rPr>
          <w:rFonts w:ascii="Arial" w:hAnsi="Arial" w:cs="Arial"/>
        </w:rPr>
      </w:pPr>
      <w:r w:rsidRPr="00F025E2">
        <w:rPr>
          <w:rFonts w:ascii="Arial" w:hAnsi="Arial" w:cs="Arial"/>
        </w:rPr>
        <w:t>Re: Investigation of Title</w:t>
      </w:r>
    </w:p>
    <w:p w14:paraId="7E78BC5F" w14:textId="77777777" w:rsidR="00F025E2" w:rsidRPr="00F025E2" w:rsidRDefault="00F025E2" w:rsidP="00F025E2">
      <w:pPr>
        <w:numPr>
          <w:ilvl w:val="0"/>
          <w:numId w:val="1"/>
        </w:numPr>
        <w:spacing w:line="360" w:lineRule="auto"/>
        <w:rPr>
          <w:rFonts w:ascii="Arial" w:hAnsi="Arial" w:cs="Arial"/>
        </w:rPr>
      </w:pPr>
      <w:r w:rsidRPr="00F025E2">
        <w:rPr>
          <w:rFonts w:ascii="Arial" w:hAnsi="Arial" w:cs="Arial"/>
        </w:rPr>
        <w:t xml:space="preserve">Introduction </w:t>
      </w:r>
    </w:p>
    <w:p w14:paraId="78DF8796" w14:textId="77777777" w:rsidR="00F025E2" w:rsidRPr="00F025E2" w:rsidRDefault="00F025E2" w:rsidP="00F025E2">
      <w:pPr>
        <w:spacing w:line="360" w:lineRule="auto"/>
        <w:rPr>
          <w:rFonts w:ascii="Arial" w:hAnsi="Arial" w:cs="Arial"/>
        </w:rPr>
      </w:pPr>
      <w:r w:rsidRPr="00F025E2">
        <w:rPr>
          <w:rFonts w:ascii="Arial" w:hAnsi="Arial" w:cs="Arial"/>
        </w:rPr>
        <w:t xml:space="preserve">This report presents the results of an investigation into the title for the anticipated purchase of Arben Manor, a freehold registered land with title number WA1234, which is held in absolute title, the highest class of title (HM Land Registry, 2023, p. 42). Under the </w:t>
      </w:r>
      <w:r w:rsidRPr="00F025E2">
        <w:rPr>
          <w:rFonts w:ascii="Arial" w:hAnsi="Arial" w:cs="Arial"/>
          <w:i/>
          <w:iCs/>
        </w:rPr>
        <w:t>Land Registration Act 2002, section 11</w:t>
      </w:r>
      <w:r w:rsidRPr="00F025E2">
        <w:rPr>
          <w:rFonts w:ascii="Arial" w:hAnsi="Arial" w:cs="Arial"/>
        </w:rPr>
        <w:t xml:space="preserve">, a freehold estate with the title absolute will only be bound by overriding interests and interests entered on the register; no other rights can challenge Ms Jenkins' ownership. The current proprietor is Peter Hawkes, who purchased the estate in 2004 for a purchase price of £312,900. </w:t>
      </w:r>
    </w:p>
    <w:p w14:paraId="32618818" w14:textId="77777777" w:rsidR="00F025E2" w:rsidRPr="00F025E2" w:rsidRDefault="00F025E2" w:rsidP="00F025E2">
      <w:pPr>
        <w:spacing w:line="360" w:lineRule="auto"/>
        <w:rPr>
          <w:rFonts w:ascii="Arial" w:hAnsi="Arial" w:cs="Arial"/>
        </w:rPr>
      </w:pPr>
      <w:r w:rsidRPr="00F025E2">
        <w:rPr>
          <w:rFonts w:ascii="Arial" w:hAnsi="Arial" w:cs="Arial"/>
        </w:rPr>
        <w:t xml:space="preserve">Upon viewing the charges register, it states that there is a registered mortgage dated 19 November 2009, which was carried out by </w:t>
      </w:r>
      <w:proofErr w:type="spellStart"/>
      <w:r w:rsidRPr="00F025E2">
        <w:rPr>
          <w:rFonts w:ascii="Arial" w:hAnsi="Arial" w:cs="Arial"/>
        </w:rPr>
        <w:t>Brickside</w:t>
      </w:r>
      <w:proofErr w:type="spellEnd"/>
      <w:r w:rsidRPr="00F025E2">
        <w:rPr>
          <w:rFonts w:ascii="Arial" w:hAnsi="Arial" w:cs="Arial"/>
        </w:rPr>
        <w:t xml:space="preserve"> Building Society. The seller must clear these charges prior to Ms Jenkins being registered and must provide any evidence of discharge (DS1 form) as per the Law Society's (2023) conveyancing protocol. </w:t>
      </w:r>
    </w:p>
    <w:p w14:paraId="62AECB45" w14:textId="77777777" w:rsidR="00F025E2" w:rsidRPr="00F025E2" w:rsidRDefault="00F025E2" w:rsidP="00F025E2">
      <w:pPr>
        <w:spacing w:line="360" w:lineRule="auto"/>
        <w:rPr>
          <w:rFonts w:ascii="Arial" w:hAnsi="Arial" w:cs="Arial"/>
        </w:rPr>
      </w:pPr>
      <w:r w:rsidRPr="00F025E2">
        <w:rPr>
          <w:rFonts w:ascii="Arial" w:hAnsi="Arial" w:cs="Arial"/>
        </w:rPr>
        <w:t>The title also has a mines and minerals exception that is in favour of the Crown; the Crown has prerogative rights over gold and silver mines (</w:t>
      </w:r>
      <w:r w:rsidRPr="00F025E2">
        <w:rPr>
          <w:rFonts w:ascii="Arial" w:hAnsi="Arial" w:cs="Arial"/>
          <w:i/>
          <w:iCs/>
        </w:rPr>
        <w:t>Royal Mines Act 1688</w:t>
      </w:r>
      <w:r w:rsidRPr="00F025E2">
        <w:rPr>
          <w:rFonts w:ascii="Arial" w:hAnsi="Arial" w:cs="Arial"/>
        </w:rPr>
        <w:t xml:space="preserve">), and the HM Land Registry (2023) Practice Guide 65 highlights that these rights are commonly recorded on titles. </w:t>
      </w:r>
    </w:p>
    <w:p w14:paraId="66B90C00" w14:textId="460562DF"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Boundaries</w:t>
      </w:r>
    </w:p>
    <w:p w14:paraId="640E5874" w14:textId="77777777" w:rsidR="00F025E2" w:rsidRPr="00F025E2" w:rsidRDefault="00F025E2" w:rsidP="00F025E2">
      <w:pPr>
        <w:spacing w:line="360" w:lineRule="auto"/>
        <w:rPr>
          <w:rFonts w:ascii="Arial" w:hAnsi="Arial" w:cs="Arial"/>
        </w:rPr>
      </w:pPr>
      <w:r w:rsidRPr="00F025E2">
        <w:rPr>
          <w:rFonts w:ascii="Arial" w:hAnsi="Arial" w:cs="Arial"/>
        </w:rPr>
        <w:t xml:space="preserve">The plan can be used as a guide to the boundaries and is subject to the boundary rule in the </w:t>
      </w:r>
      <w:r w:rsidRPr="00F025E2">
        <w:rPr>
          <w:rFonts w:ascii="Arial" w:hAnsi="Arial" w:cs="Arial"/>
          <w:i/>
          <w:iCs/>
        </w:rPr>
        <w:t>Land Registration Act 2002, section 60</w:t>
      </w:r>
      <w:r w:rsidRPr="00F025E2">
        <w:rPr>
          <w:rFonts w:ascii="Arial" w:hAnsi="Arial" w:cs="Arial"/>
        </w:rPr>
        <w:t xml:space="preserve">, meaning the land registry does not automatically guarantee the exact boundaries and records </w:t>
      </w:r>
      <w:proofErr w:type="spellStart"/>
      <w:proofErr w:type="gramStart"/>
      <w:r w:rsidRPr="00F025E2">
        <w:rPr>
          <w:rFonts w:ascii="Arial" w:hAnsi="Arial" w:cs="Arial"/>
        </w:rPr>
        <w:t>a</w:t>
      </w:r>
      <w:proofErr w:type="spellEnd"/>
      <w:proofErr w:type="gramEnd"/>
      <w:r w:rsidRPr="00F025E2">
        <w:rPr>
          <w:rFonts w:ascii="Arial" w:hAnsi="Arial" w:cs="Arial"/>
        </w:rPr>
        <w:t xml:space="preserve"> estimated position. The HM Land Registry (2023) practice guide 40 confirms that these are not always accurate measurements. </w:t>
      </w:r>
    </w:p>
    <w:p w14:paraId="15644F08" w14:textId="77777777" w:rsidR="00F025E2" w:rsidRPr="00F025E2" w:rsidRDefault="00F025E2" w:rsidP="00F025E2">
      <w:pPr>
        <w:spacing w:line="360" w:lineRule="auto"/>
        <w:rPr>
          <w:rFonts w:ascii="Arial" w:hAnsi="Arial" w:cs="Arial"/>
        </w:rPr>
      </w:pPr>
      <w:r w:rsidRPr="00F025E2">
        <w:rPr>
          <w:rFonts w:ascii="Arial" w:hAnsi="Arial" w:cs="Arial"/>
        </w:rPr>
        <w:t xml:space="preserve">The register of title document also states that boundary walls or fences are classified as party structures and must be maintained and repaired jointly by both parties. The obligation passes to successors in the title automatically due to the </w:t>
      </w:r>
      <w:r w:rsidRPr="00F025E2">
        <w:rPr>
          <w:rFonts w:ascii="Arial" w:hAnsi="Arial" w:cs="Arial"/>
          <w:i/>
          <w:iCs/>
        </w:rPr>
        <w:t>Law of Property Act 1925</w:t>
      </w:r>
      <w:r w:rsidRPr="00F025E2">
        <w:rPr>
          <w:rFonts w:ascii="Arial" w:hAnsi="Arial" w:cs="Arial"/>
        </w:rPr>
        <w:t xml:space="preserve"> s.62, which is sometimes used to carry rights or obligations forward without the need to restate them. </w:t>
      </w:r>
    </w:p>
    <w:p w14:paraId="4438A72B" w14:textId="77777777" w:rsidR="00F025E2" w:rsidRPr="00F025E2" w:rsidRDefault="00F025E2" w:rsidP="00F025E2">
      <w:pPr>
        <w:spacing w:line="360" w:lineRule="auto"/>
        <w:rPr>
          <w:rFonts w:ascii="Arial" w:hAnsi="Arial" w:cs="Arial"/>
        </w:rPr>
      </w:pPr>
      <w:r w:rsidRPr="00F025E2">
        <w:rPr>
          <w:rFonts w:ascii="Arial" w:hAnsi="Arial" w:cs="Arial"/>
        </w:rPr>
        <w:lastRenderedPageBreak/>
        <w:t>The TA6 form confirms that there are no disputes or issues surrounding the boundaries, and similarly, the local authority search highlights no issues that would affect boundaries, such as a compulsory purchase.</w:t>
      </w:r>
    </w:p>
    <w:p w14:paraId="4C71FE7A" w14:textId="70EA970F"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Rights benefiting Arben Manor</w:t>
      </w:r>
    </w:p>
    <w:p w14:paraId="4C3C70B3" w14:textId="77777777" w:rsidR="00F025E2" w:rsidRPr="00F025E2" w:rsidRDefault="00F025E2" w:rsidP="00F025E2">
      <w:pPr>
        <w:spacing w:line="360" w:lineRule="auto"/>
        <w:rPr>
          <w:rFonts w:ascii="Arial" w:hAnsi="Arial" w:cs="Arial"/>
        </w:rPr>
      </w:pPr>
      <w:r w:rsidRPr="00F025E2">
        <w:rPr>
          <w:rFonts w:ascii="Arial" w:hAnsi="Arial" w:cs="Arial"/>
        </w:rPr>
        <w:t xml:space="preserve">The property registers state that Arben Manor receives benefits from rights between the Argent Peoples Trust and the Western Peoples Trust. However, a copy of what these exact deeds are is not present. The </w:t>
      </w:r>
      <w:r w:rsidRPr="00F025E2">
        <w:rPr>
          <w:rFonts w:ascii="Arial" w:hAnsi="Arial" w:cs="Arial"/>
          <w:i/>
          <w:iCs/>
        </w:rPr>
        <w:t>Law of Property Act 1925</w:t>
      </w:r>
      <w:r w:rsidRPr="00F025E2">
        <w:rPr>
          <w:rFonts w:ascii="Arial" w:hAnsi="Arial" w:cs="Arial"/>
        </w:rPr>
        <w:t xml:space="preserve">, s.62, means that these benefits and rights appertaining to the land will be given to whoever owns the land and can be passed on. </w:t>
      </w:r>
    </w:p>
    <w:p w14:paraId="45BC6FD3" w14:textId="77777777" w:rsidR="00F025E2" w:rsidRPr="00F025E2" w:rsidRDefault="00F025E2" w:rsidP="00F025E2">
      <w:pPr>
        <w:spacing w:line="360" w:lineRule="auto"/>
        <w:rPr>
          <w:rFonts w:ascii="Arial" w:hAnsi="Arial" w:cs="Arial"/>
        </w:rPr>
      </w:pPr>
      <w:r w:rsidRPr="00F025E2">
        <w:rPr>
          <w:rFonts w:ascii="Arial" w:hAnsi="Arial" w:cs="Arial"/>
        </w:rPr>
        <w:t xml:space="preserve">The drainage and water search confirmed a connection to sewers within the boundaries. Due to the </w:t>
      </w:r>
      <w:r w:rsidRPr="00F025E2">
        <w:rPr>
          <w:rFonts w:ascii="Arial" w:hAnsi="Arial" w:cs="Arial"/>
          <w:i/>
          <w:iCs/>
        </w:rPr>
        <w:t>Water Industry Act 1991</w:t>
      </w:r>
      <w:r w:rsidRPr="00F025E2">
        <w:rPr>
          <w:rFonts w:ascii="Arial" w:hAnsi="Arial" w:cs="Arial"/>
        </w:rPr>
        <w:t xml:space="preserve">, sewage undertakers have statutory powers to enter when necessary to maintain the sewage system; this may restrict further development. The Local Authority Search states that roadways coloured green are maintained at public expense, giving Ms Jenkins full public right of vehicular and pedestrian access. </w:t>
      </w:r>
    </w:p>
    <w:p w14:paraId="691AC199" w14:textId="15AACD59"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 xml:space="preserve">Right of way </w:t>
      </w:r>
    </w:p>
    <w:p w14:paraId="42820384" w14:textId="77777777" w:rsidR="00F025E2" w:rsidRPr="00F025E2" w:rsidRDefault="00F025E2" w:rsidP="00F025E2">
      <w:pPr>
        <w:spacing w:line="360" w:lineRule="auto"/>
        <w:rPr>
          <w:rFonts w:ascii="Arial" w:hAnsi="Arial" w:cs="Arial"/>
        </w:rPr>
      </w:pPr>
      <w:r w:rsidRPr="00F025E2">
        <w:rPr>
          <w:rFonts w:ascii="Arial" w:hAnsi="Arial" w:cs="Arial"/>
        </w:rPr>
        <w:t xml:space="preserve">There is an express right-of-way that benefits Poppy Field Park via Rocky Road. Since this is an express easement created by deed under the </w:t>
      </w:r>
      <w:r w:rsidRPr="00F025E2">
        <w:rPr>
          <w:rFonts w:ascii="Arial" w:hAnsi="Arial" w:cs="Arial"/>
          <w:i/>
          <w:iCs/>
        </w:rPr>
        <w:t>Land Registration Act 2002</w:t>
      </w:r>
      <w:r w:rsidRPr="00F025E2">
        <w:rPr>
          <w:rFonts w:ascii="Arial" w:hAnsi="Arial" w:cs="Arial"/>
        </w:rPr>
        <w:t>, it binds anyone who subsequently buys the land. Due to Poppy Field Park having this right, Ms Jenkins cannot block the road or do anything to prevent access ('B&amp;Q plc v Liverpool &amp; Lancashire Properties Ltd' 2001)</w:t>
      </w:r>
    </w:p>
    <w:p w14:paraId="10CDBF3D" w14:textId="77777777" w:rsidR="00F025E2" w:rsidRPr="00F025E2" w:rsidRDefault="00F025E2" w:rsidP="00F025E2">
      <w:pPr>
        <w:spacing w:line="360" w:lineRule="auto"/>
        <w:rPr>
          <w:rFonts w:ascii="Arial" w:hAnsi="Arial" w:cs="Arial"/>
        </w:rPr>
      </w:pPr>
      <w:r w:rsidRPr="00F025E2">
        <w:rPr>
          <w:rFonts w:ascii="Arial" w:hAnsi="Arial" w:cs="Arial"/>
        </w:rPr>
        <w:t xml:space="preserve">The TA6 form indicates that Rocky Road can be used by the public; however, despite this, the local authority search did not identify any public right of way. This may mean it is not a formally registered right of way; however, if the public is using it at the time of purchase, it may constitute an overriding interest under the </w:t>
      </w:r>
      <w:r w:rsidRPr="00F025E2">
        <w:rPr>
          <w:rFonts w:ascii="Arial" w:hAnsi="Arial" w:cs="Arial"/>
          <w:i/>
          <w:iCs/>
        </w:rPr>
        <w:t>Land Registration Act 2002</w:t>
      </w:r>
      <w:r w:rsidRPr="00F025E2">
        <w:rPr>
          <w:rFonts w:ascii="Arial" w:hAnsi="Arial" w:cs="Arial"/>
        </w:rPr>
        <w:t xml:space="preserve"> (Schedule 3). Ms Jenkins would have to honour this. </w:t>
      </w:r>
    </w:p>
    <w:p w14:paraId="402E4A4C" w14:textId="5CFC39D7"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Restrictive Covenants</w:t>
      </w:r>
    </w:p>
    <w:p w14:paraId="4AE515DB" w14:textId="77777777" w:rsidR="00F025E2" w:rsidRPr="00F025E2" w:rsidRDefault="00F025E2" w:rsidP="00F025E2">
      <w:pPr>
        <w:spacing w:line="360" w:lineRule="auto"/>
        <w:rPr>
          <w:rFonts w:ascii="Arial" w:hAnsi="Arial" w:cs="Arial"/>
        </w:rPr>
      </w:pPr>
      <w:r w:rsidRPr="00F025E2">
        <w:rPr>
          <w:rFonts w:ascii="Arial" w:hAnsi="Arial" w:cs="Arial"/>
        </w:rPr>
        <w:t xml:space="preserve">The registration of the title document contains restrictive covenants, including prohibitions on noisy activity, keeping livestock, using the land for a place of worship, and the production or sale of alcohol. Due to 'Tulk v </w:t>
      </w:r>
      <w:proofErr w:type="spellStart"/>
      <w:r w:rsidRPr="00F025E2">
        <w:rPr>
          <w:rFonts w:ascii="Arial" w:hAnsi="Arial" w:cs="Arial"/>
        </w:rPr>
        <w:t>Moxhay</w:t>
      </w:r>
      <w:proofErr w:type="spellEnd"/>
      <w:r w:rsidRPr="00F025E2">
        <w:rPr>
          <w:rFonts w:ascii="Arial" w:hAnsi="Arial" w:cs="Arial"/>
        </w:rPr>
        <w:t xml:space="preserve">' (1848), restrictive covenants stay with the land when they are negative in substance, benefit the identifiable dominant land, are intended to run, and the purchaser has notice. In this case, the </w:t>
      </w:r>
      <w:r w:rsidRPr="00F025E2">
        <w:rPr>
          <w:rFonts w:ascii="Arial" w:hAnsi="Arial" w:cs="Arial"/>
          <w:i/>
          <w:iCs/>
        </w:rPr>
        <w:t>Land Registration Act 2002</w:t>
      </w:r>
      <w:r w:rsidRPr="00F025E2">
        <w:rPr>
          <w:rFonts w:ascii="Arial" w:hAnsi="Arial" w:cs="Arial"/>
        </w:rPr>
        <w:t xml:space="preserve"> provides notice, and 'Federated Homes v Mil Lodge Properties' (1980) confirms that, due to the land surrounding clearly benefiting, the intention behind the covenant is inferred, and Ms Jenkins is obligated to the covenant.</w:t>
      </w:r>
    </w:p>
    <w:p w14:paraId="51846101" w14:textId="4FF80EB6"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lastRenderedPageBreak/>
        <w:t xml:space="preserve">Positive Covenant </w:t>
      </w:r>
    </w:p>
    <w:p w14:paraId="5E8A3329" w14:textId="77777777" w:rsidR="00F025E2" w:rsidRPr="00F025E2" w:rsidRDefault="00F025E2" w:rsidP="00F025E2">
      <w:pPr>
        <w:spacing w:line="360" w:lineRule="auto"/>
        <w:rPr>
          <w:rFonts w:ascii="Arial" w:hAnsi="Arial" w:cs="Arial"/>
        </w:rPr>
      </w:pPr>
      <w:r w:rsidRPr="00F025E2">
        <w:rPr>
          <w:rFonts w:ascii="Arial" w:hAnsi="Arial" w:cs="Arial"/>
        </w:rPr>
        <w:t xml:space="preserve">Ms Jenkins will have a positive obligation to maintain and fix the rocky road; she will also have to repaint the road, but only in red. Positive covenants do not usually legally apply to freehold land ('Austerberry v Corporation of Oldham' 1885). In this case, there is an indemnity clause which creates a chain of </w:t>
      </w:r>
      <w:proofErr w:type="gramStart"/>
      <w:r w:rsidRPr="00F025E2">
        <w:rPr>
          <w:rFonts w:ascii="Arial" w:hAnsi="Arial" w:cs="Arial"/>
        </w:rPr>
        <w:t>indemnity</w:t>
      </w:r>
      <w:proofErr w:type="gramEnd"/>
      <w:r w:rsidRPr="00F025E2">
        <w:rPr>
          <w:rFonts w:ascii="Arial" w:hAnsi="Arial" w:cs="Arial"/>
        </w:rPr>
        <w:t xml:space="preserve"> and which enforces positive covenants despite the rule that was created in 'Austerberry v Corporation of Oldham' 1885, Ms Jenkins will have to be liable for preserving the road. </w:t>
      </w:r>
    </w:p>
    <w:p w14:paraId="76D996E4" w14:textId="67177BE4"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 xml:space="preserve">Local Authority finding </w:t>
      </w:r>
    </w:p>
    <w:p w14:paraId="147E915B" w14:textId="77777777" w:rsidR="00F025E2" w:rsidRPr="00F025E2" w:rsidRDefault="00F025E2" w:rsidP="00F025E2">
      <w:pPr>
        <w:spacing w:line="360" w:lineRule="auto"/>
        <w:rPr>
          <w:rFonts w:ascii="Arial" w:hAnsi="Arial" w:cs="Arial"/>
        </w:rPr>
      </w:pPr>
      <w:r w:rsidRPr="00F025E2">
        <w:rPr>
          <w:rFonts w:ascii="Arial" w:hAnsi="Arial" w:cs="Arial"/>
        </w:rPr>
        <w:t>The Local authority search uncovered no enforcement notices, tree preservation orders, conservation areas, financial charges, or highway schemes; however, the TA6/</w:t>
      </w:r>
      <w:proofErr w:type="spellStart"/>
      <w:r w:rsidRPr="00F025E2">
        <w:rPr>
          <w:rFonts w:ascii="Arial" w:hAnsi="Arial" w:cs="Arial"/>
        </w:rPr>
        <w:t>Rics</w:t>
      </w:r>
      <w:proofErr w:type="spellEnd"/>
      <w:r w:rsidRPr="00F025E2">
        <w:rPr>
          <w:rFonts w:ascii="Arial" w:hAnsi="Arial" w:cs="Arial"/>
        </w:rPr>
        <w:t xml:space="preserve"> survey states that there is an extension on the rear of the house, and no planning permission or building regulation approval is recorded. The </w:t>
      </w:r>
      <w:r w:rsidRPr="00F025E2">
        <w:rPr>
          <w:rFonts w:ascii="Arial" w:hAnsi="Arial" w:cs="Arial"/>
          <w:i/>
          <w:iCs/>
        </w:rPr>
        <w:t xml:space="preserve">Town and Country Planning Act 1990 </w:t>
      </w:r>
      <w:r w:rsidRPr="00F025E2">
        <w:rPr>
          <w:rFonts w:ascii="Arial" w:hAnsi="Arial" w:cs="Arial"/>
        </w:rPr>
        <w:t>states that if the extension was built unlawfully more than 4 years ago, it is now immune from planning enforcement.</w:t>
      </w:r>
    </w:p>
    <w:p w14:paraId="569B1285" w14:textId="4781C899"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 xml:space="preserve">Environmental Search </w:t>
      </w:r>
    </w:p>
    <w:p w14:paraId="16225694" w14:textId="77777777" w:rsidR="00F025E2" w:rsidRPr="00F025E2" w:rsidRDefault="00F025E2" w:rsidP="00F025E2">
      <w:pPr>
        <w:spacing w:line="360" w:lineRule="auto"/>
        <w:rPr>
          <w:rFonts w:ascii="Arial" w:hAnsi="Arial" w:cs="Arial"/>
        </w:rPr>
      </w:pPr>
      <w:r w:rsidRPr="00F025E2">
        <w:rPr>
          <w:rFonts w:ascii="Arial" w:hAnsi="Arial" w:cs="Arial"/>
        </w:rPr>
        <w:t xml:space="preserve">The environmental search indicates that there is no risk of contaminated land, no flood risk, no radon exposure, and no subsidence or instability indicators. </w:t>
      </w:r>
    </w:p>
    <w:p w14:paraId="3E603293" w14:textId="4FC08E88"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RICS Survey</w:t>
      </w:r>
    </w:p>
    <w:p w14:paraId="0B80FDD5" w14:textId="77777777" w:rsidR="00F025E2" w:rsidRPr="00F025E2" w:rsidRDefault="00F025E2" w:rsidP="00F025E2">
      <w:pPr>
        <w:spacing w:line="360" w:lineRule="auto"/>
        <w:rPr>
          <w:rFonts w:ascii="Arial" w:hAnsi="Arial" w:cs="Arial"/>
        </w:rPr>
      </w:pPr>
      <w:r w:rsidRPr="00F025E2">
        <w:rPr>
          <w:rFonts w:ascii="Arial" w:hAnsi="Arial" w:cs="Arial"/>
        </w:rPr>
        <w:t xml:space="preserve">The RICS survey highlights issues related to the roof, timber, external walls, windows, and heating. </w:t>
      </w:r>
    </w:p>
    <w:p w14:paraId="6E969258" w14:textId="638F1C8B" w:rsidR="00F025E2" w:rsidRPr="00F025E2" w:rsidRDefault="00F025E2" w:rsidP="00F025E2">
      <w:pPr>
        <w:pStyle w:val="ListParagraph"/>
        <w:numPr>
          <w:ilvl w:val="0"/>
          <w:numId w:val="1"/>
        </w:numPr>
        <w:spacing w:line="360" w:lineRule="auto"/>
        <w:rPr>
          <w:rFonts w:ascii="Arial" w:hAnsi="Arial" w:cs="Arial"/>
        </w:rPr>
      </w:pPr>
      <w:r w:rsidRPr="00F025E2">
        <w:rPr>
          <w:rFonts w:ascii="Arial" w:hAnsi="Arial" w:cs="Arial"/>
        </w:rPr>
        <w:t xml:space="preserve">Conclusion </w:t>
      </w:r>
    </w:p>
    <w:p w14:paraId="21791C21" w14:textId="77777777" w:rsidR="00F025E2" w:rsidRPr="00F025E2" w:rsidRDefault="00F025E2" w:rsidP="00F025E2">
      <w:pPr>
        <w:spacing w:line="360" w:lineRule="auto"/>
        <w:rPr>
          <w:rFonts w:ascii="Arial" w:hAnsi="Arial" w:cs="Arial"/>
        </w:rPr>
      </w:pPr>
      <w:r w:rsidRPr="00F025E2">
        <w:rPr>
          <w:rFonts w:ascii="Arial" w:hAnsi="Arial" w:cs="Arial"/>
        </w:rPr>
        <w:t xml:space="preserve">The title to Arben manor is satisfactory but the following actions are recommended: the discharge of the previous mortgage, determining if the right of way exists publicly, attempting to obtain planning permission for the extension, discuss the affects the restrictive covenants could have with the client, address the positive covenant obligations with the client and make a note of all the sewerage locations in case of future expansion. </w:t>
      </w:r>
    </w:p>
    <w:p w14:paraId="5C191654" w14:textId="77777777" w:rsidR="00F025E2" w:rsidRDefault="00F025E2"/>
    <w:p w14:paraId="39162746" w14:textId="77777777" w:rsidR="00F025E2" w:rsidRDefault="00F025E2"/>
    <w:p w14:paraId="2FBCA1F7" w14:textId="77777777" w:rsidR="00F025E2" w:rsidRDefault="00F025E2"/>
    <w:p w14:paraId="3C3F902A" w14:textId="77777777" w:rsidR="00F025E2" w:rsidRDefault="00F025E2"/>
    <w:p w14:paraId="74398C10" w14:textId="77777777" w:rsidR="00F025E2" w:rsidRDefault="00F025E2"/>
    <w:p w14:paraId="5798CD6C" w14:textId="77777777" w:rsidR="00F025E2" w:rsidRPr="009042D1" w:rsidRDefault="00F025E2" w:rsidP="00F025E2">
      <w:pPr>
        <w:rPr>
          <w:rFonts w:ascii="Arial" w:hAnsi="Arial" w:cs="Arial"/>
          <w:u w:val="single"/>
        </w:rPr>
      </w:pPr>
      <w:r w:rsidRPr="009042D1">
        <w:rPr>
          <w:rFonts w:ascii="Arial" w:hAnsi="Arial" w:cs="Arial"/>
          <w:u w:val="single"/>
        </w:rPr>
        <w:lastRenderedPageBreak/>
        <w:t>Reference list</w:t>
      </w:r>
    </w:p>
    <w:p w14:paraId="1C0D9542" w14:textId="77777777" w:rsidR="00F025E2" w:rsidRDefault="00F025E2" w:rsidP="00F025E2">
      <w:pPr>
        <w:rPr>
          <w:rFonts w:ascii="Arial" w:hAnsi="Arial" w:cs="Arial"/>
        </w:rPr>
      </w:pPr>
      <w:r>
        <w:rPr>
          <w:rFonts w:ascii="Arial" w:hAnsi="Arial" w:cs="Arial"/>
        </w:rPr>
        <w:t>Legislation-</w:t>
      </w:r>
    </w:p>
    <w:p w14:paraId="5023C377" w14:textId="77777777" w:rsidR="00F025E2" w:rsidRPr="008D33BF" w:rsidRDefault="00F025E2" w:rsidP="00F025E2">
      <w:pPr>
        <w:rPr>
          <w:rFonts w:ascii="Arial" w:hAnsi="Arial" w:cs="Arial"/>
          <w:i/>
          <w:iCs/>
        </w:rPr>
      </w:pPr>
      <w:r w:rsidRPr="008D33BF">
        <w:rPr>
          <w:rFonts w:ascii="Arial" w:hAnsi="Arial" w:cs="Arial"/>
          <w:i/>
          <w:iCs/>
        </w:rPr>
        <w:t>Land Registration Act 2002, c.9</w:t>
      </w:r>
    </w:p>
    <w:p w14:paraId="070E98CE" w14:textId="77777777" w:rsidR="00F025E2" w:rsidRPr="008D33BF" w:rsidRDefault="00F025E2" w:rsidP="00F025E2">
      <w:pPr>
        <w:rPr>
          <w:rFonts w:ascii="Arial" w:hAnsi="Arial" w:cs="Arial"/>
        </w:rPr>
      </w:pPr>
      <w:r w:rsidRPr="008D33BF">
        <w:rPr>
          <w:rFonts w:ascii="Arial" w:hAnsi="Arial" w:cs="Arial"/>
        </w:rPr>
        <w:t xml:space="preserve">Available at: </w:t>
      </w:r>
      <w:hyperlink r:id="rId8" w:history="1">
        <w:r w:rsidRPr="008D33BF">
          <w:rPr>
            <w:rStyle w:val="Hyperlink"/>
            <w:rFonts w:ascii="Arial" w:hAnsi="Arial" w:cs="Arial"/>
          </w:rPr>
          <w:t>https://www.legislation.gov.uk/ukpga/2002/9/section/27</w:t>
        </w:r>
      </w:hyperlink>
    </w:p>
    <w:p w14:paraId="5608D1E1" w14:textId="77777777" w:rsidR="00F025E2" w:rsidRDefault="00F025E2" w:rsidP="00F025E2">
      <w:pPr>
        <w:rPr>
          <w:rFonts w:ascii="Arial" w:hAnsi="Arial" w:cs="Arial"/>
        </w:rPr>
      </w:pPr>
    </w:p>
    <w:p w14:paraId="2B6883AD" w14:textId="77777777" w:rsidR="00F025E2" w:rsidRPr="00107668" w:rsidRDefault="00F025E2" w:rsidP="00F025E2">
      <w:pPr>
        <w:rPr>
          <w:rFonts w:ascii="Arial" w:hAnsi="Arial" w:cs="Arial"/>
          <w:i/>
          <w:iCs/>
        </w:rPr>
      </w:pPr>
      <w:r w:rsidRPr="00107668">
        <w:rPr>
          <w:rFonts w:ascii="Arial" w:hAnsi="Arial" w:cs="Arial"/>
          <w:i/>
          <w:iCs/>
        </w:rPr>
        <w:t>Land Registration Fee Order 2021, no. 1226</w:t>
      </w:r>
    </w:p>
    <w:p w14:paraId="63903CA4" w14:textId="77777777" w:rsidR="00F025E2" w:rsidRPr="00107668" w:rsidRDefault="00F025E2" w:rsidP="00F025E2">
      <w:pPr>
        <w:rPr>
          <w:rFonts w:ascii="Arial" w:hAnsi="Arial" w:cs="Arial"/>
        </w:rPr>
      </w:pPr>
      <w:r w:rsidRPr="00107668">
        <w:rPr>
          <w:rFonts w:ascii="Arial" w:hAnsi="Arial" w:cs="Arial"/>
        </w:rPr>
        <w:t xml:space="preserve">Available at: </w:t>
      </w:r>
      <w:hyperlink r:id="rId9" w:history="1">
        <w:r w:rsidRPr="00107668">
          <w:rPr>
            <w:rStyle w:val="Hyperlink"/>
            <w:rFonts w:ascii="Arial" w:hAnsi="Arial" w:cs="Arial"/>
          </w:rPr>
          <w:t>https://www.legislation.gov.uk/uksi/2021/1226/pdfs/uksi_20211226_en.pdf</w:t>
        </w:r>
      </w:hyperlink>
    </w:p>
    <w:p w14:paraId="2F7353A5" w14:textId="77777777" w:rsidR="00F025E2" w:rsidRPr="00107668" w:rsidRDefault="00F025E2" w:rsidP="00F025E2">
      <w:pPr>
        <w:rPr>
          <w:rFonts w:ascii="Arial" w:hAnsi="Arial" w:cs="Arial"/>
        </w:rPr>
      </w:pPr>
    </w:p>
    <w:p w14:paraId="765CA247" w14:textId="77777777" w:rsidR="00F025E2" w:rsidRPr="00107668" w:rsidRDefault="00F025E2" w:rsidP="00F025E2">
      <w:pPr>
        <w:rPr>
          <w:rFonts w:ascii="Arial" w:hAnsi="Arial" w:cs="Arial"/>
          <w:i/>
          <w:iCs/>
        </w:rPr>
      </w:pPr>
      <w:r w:rsidRPr="00107668">
        <w:rPr>
          <w:rFonts w:ascii="Arial" w:hAnsi="Arial" w:cs="Arial"/>
          <w:i/>
          <w:iCs/>
        </w:rPr>
        <w:t>Land Transaction Tax and Anti-Avoidance of Devolved Taxes (Wales) act 2017, 1</w:t>
      </w:r>
    </w:p>
    <w:p w14:paraId="5ACA669E" w14:textId="77777777" w:rsidR="00F025E2" w:rsidRPr="00107668" w:rsidRDefault="00F025E2" w:rsidP="00F025E2">
      <w:pPr>
        <w:rPr>
          <w:rFonts w:ascii="Arial" w:hAnsi="Arial" w:cs="Arial"/>
        </w:rPr>
      </w:pPr>
      <w:r w:rsidRPr="00107668">
        <w:rPr>
          <w:rFonts w:ascii="Arial" w:hAnsi="Arial" w:cs="Arial"/>
        </w:rPr>
        <w:t xml:space="preserve">Available at: </w:t>
      </w:r>
      <w:hyperlink r:id="rId10" w:history="1">
        <w:r w:rsidRPr="00107668">
          <w:rPr>
            <w:rStyle w:val="Hyperlink"/>
            <w:rFonts w:ascii="Arial" w:hAnsi="Arial" w:cs="Arial"/>
          </w:rPr>
          <w:t>https://www.legislation.gov.uk/anaw/2017/1/contents</w:t>
        </w:r>
      </w:hyperlink>
    </w:p>
    <w:p w14:paraId="21CF99BC" w14:textId="77777777" w:rsidR="00F025E2" w:rsidRPr="00107668" w:rsidRDefault="00F025E2" w:rsidP="00F025E2">
      <w:pPr>
        <w:rPr>
          <w:rFonts w:ascii="Arial" w:hAnsi="Arial" w:cs="Arial"/>
          <w:i/>
          <w:iCs/>
        </w:rPr>
      </w:pPr>
    </w:p>
    <w:p w14:paraId="34498F13" w14:textId="77777777" w:rsidR="00F025E2" w:rsidRPr="00D077E0" w:rsidRDefault="00F025E2" w:rsidP="00F025E2">
      <w:pPr>
        <w:rPr>
          <w:rFonts w:ascii="Arial" w:hAnsi="Arial" w:cs="Arial"/>
          <w:i/>
          <w:iCs/>
        </w:rPr>
      </w:pPr>
      <w:r w:rsidRPr="00D077E0">
        <w:rPr>
          <w:rFonts w:ascii="Arial" w:hAnsi="Arial" w:cs="Arial"/>
          <w:i/>
          <w:iCs/>
        </w:rPr>
        <w:t>Law of Property Act 1925, c.20</w:t>
      </w:r>
    </w:p>
    <w:p w14:paraId="05029436" w14:textId="77777777" w:rsidR="00F025E2" w:rsidRPr="00D077E0" w:rsidRDefault="00F025E2" w:rsidP="00F025E2">
      <w:pPr>
        <w:rPr>
          <w:rFonts w:ascii="Arial" w:hAnsi="Arial" w:cs="Arial"/>
        </w:rPr>
      </w:pPr>
      <w:r w:rsidRPr="00D077E0">
        <w:rPr>
          <w:rFonts w:ascii="Arial" w:hAnsi="Arial" w:cs="Arial"/>
        </w:rPr>
        <w:t xml:space="preserve">Available at: </w:t>
      </w:r>
      <w:hyperlink r:id="rId11" w:history="1">
        <w:r w:rsidRPr="00D077E0">
          <w:rPr>
            <w:rStyle w:val="Hyperlink"/>
            <w:rFonts w:ascii="Arial" w:hAnsi="Arial" w:cs="Arial"/>
          </w:rPr>
          <w:t>https://www.legislation.gov.uk/ukpga/Geo5/15-16/20</w:t>
        </w:r>
      </w:hyperlink>
    </w:p>
    <w:p w14:paraId="4EFC99F5" w14:textId="77777777" w:rsidR="00F025E2" w:rsidRDefault="00F025E2" w:rsidP="00F025E2">
      <w:pPr>
        <w:rPr>
          <w:rFonts w:ascii="Arial" w:hAnsi="Arial" w:cs="Arial"/>
        </w:rPr>
      </w:pPr>
    </w:p>
    <w:p w14:paraId="4BAB2AA3" w14:textId="77777777" w:rsidR="00F025E2" w:rsidRPr="00D66BD2" w:rsidRDefault="00F025E2" w:rsidP="00F025E2">
      <w:pPr>
        <w:rPr>
          <w:rFonts w:ascii="Arial" w:hAnsi="Arial" w:cs="Arial"/>
          <w:i/>
          <w:iCs/>
        </w:rPr>
      </w:pPr>
      <w:r w:rsidRPr="00D66BD2">
        <w:rPr>
          <w:rFonts w:ascii="Arial" w:hAnsi="Arial" w:cs="Arial"/>
          <w:i/>
          <w:iCs/>
        </w:rPr>
        <w:t>Money Laundering regulations 2017, 692</w:t>
      </w:r>
    </w:p>
    <w:p w14:paraId="008F98DE" w14:textId="77777777" w:rsidR="00F025E2" w:rsidRPr="00D66BD2" w:rsidRDefault="00F025E2" w:rsidP="00F025E2">
      <w:pPr>
        <w:rPr>
          <w:rFonts w:ascii="Arial" w:hAnsi="Arial" w:cs="Arial"/>
        </w:rPr>
      </w:pPr>
      <w:r w:rsidRPr="00D66BD2">
        <w:rPr>
          <w:rFonts w:ascii="Arial" w:hAnsi="Arial" w:cs="Arial"/>
        </w:rPr>
        <w:t xml:space="preserve">Available at: </w:t>
      </w:r>
      <w:hyperlink r:id="rId12" w:history="1">
        <w:r w:rsidRPr="00D66BD2">
          <w:rPr>
            <w:rStyle w:val="Hyperlink"/>
            <w:rFonts w:ascii="Arial" w:hAnsi="Arial" w:cs="Arial"/>
          </w:rPr>
          <w:t>https://www.legislation.gov.uk/uksi/2017/692/contents</w:t>
        </w:r>
      </w:hyperlink>
    </w:p>
    <w:p w14:paraId="1FE83479" w14:textId="77777777" w:rsidR="00F025E2" w:rsidRDefault="00F025E2" w:rsidP="00F025E2">
      <w:pPr>
        <w:rPr>
          <w:rFonts w:ascii="Arial" w:hAnsi="Arial" w:cs="Arial"/>
        </w:rPr>
      </w:pPr>
    </w:p>
    <w:p w14:paraId="2A31C5CC" w14:textId="77777777" w:rsidR="00F025E2" w:rsidRPr="008F39D1" w:rsidRDefault="00F025E2" w:rsidP="00F025E2">
      <w:pPr>
        <w:rPr>
          <w:rFonts w:ascii="Arial" w:hAnsi="Arial" w:cs="Arial"/>
          <w:i/>
          <w:iCs/>
        </w:rPr>
      </w:pPr>
      <w:r w:rsidRPr="008F39D1">
        <w:rPr>
          <w:rFonts w:ascii="Arial" w:hAnsi="Arial" w:cs="Arial"/>
          <w:i/>
          <w:iCs/>
        </w:rPr>
        <w:t xml:space="preserve"> Party Walls Act 1996, c. 40</w:t>
      </w:r>
    </w:p>
    <w:p w14:paraId="527DFF28" w14:textId="77777777" w:rsidR="00F025E2" w:rsidRDefault="00F025E2" w:rsidP="00F025E2">
      <w:pPr>
        <w:rPr>
          <w:rFonts w:ascii="Arial" w:hAnsi="Arial" w:cs="Arial"/>
        </w:rPr>
      </w:pPr>
      <w:r w:rsidRPr="008F39D1">
        <w:rPr>
          <w:rFonts w:ascii="Arial" w:hAnsi="Arial" w:cs="Arial"/>
        </w:rPr>
        <w:t xml:space="preserve">Available at: </w:t>
      </w:r>
      <w:hyperlink r:id="rId13" w:history="1">
        <w:r w:rsidRPr="008F39D1">
          <w:rPr>
            <w:rStyle w:val="Hyperlink"/>
            <w:rFonts w:ascii="Arial" w:hAnsi="Arial" w:cs="Arial"/>
          </w:rPr>
          <w:t>https://www.legislation.gov.uk/ukpga/1996/40/contents</w:t>
        </w:r>
      </w:hyperlink>
    </w:p>
    <w:p w14:paraId="46B29422" w14:textId="77777777" w:rsidR="00F025E2" w:rsidRDefault="00F025E2" w:rsidP="00F025E2">
      <w:pPr>
        <w:rPr>
          <w:rFonts w:ascii="Arial" w:hAnsi="Arial" w:cs="Arial"/>
        </w:rPr>
      </w:pPr>
    </w:p>
    <w:p w14:paraId="4BE9C267" w14:textId="77777777" w:rsidR="00F025E2" w:rsidRPr="00863F4F" w:rsidRDefault="00F025E2" w:rsidP="00F025E2">
      <w:pPr>
        <w:rPr>
          <w:rFonts w:ascii="Arial" w:hAnsi="Arial" w:cs="Arial"/>
          <w:i/>
          <w:iCs/>
        </w:rPr>
      </w:pPr>
      <w:r w:rsidRPr="00863F4F">
        <w:rPr>
          <w:rFonts w:ascii="Arial" w:hAnsi="Arial" w:cs="Arial"/>
          <w:i/>
          <w:iCs/>
        </w:rPr>
        <w:t xml:space="preserve">Royal Mines Act 1688, c.30 </w:t>
      </w:r>
    </w:p>
    <w:p w14:paraId="61D3D264" w14:textId="77777777" w:rsidR="00F025E2" w:rsidRPr="00863F4F" w:rsidRDefault="00F025E2" w:rsidP="00F025E2">
      <w:pPr>
        <w:rPr>
          <w:rFonts w:ascii="Arial" w:hAnsi="Arial" w:cs="Arial"/>
        </w:rPr>
      </w:pPr>
      <w:r w:rsidRPr="00863F4F">
        <w:rPr>
          <w:rFonts w:ascii="Arial" w:hAnsi="Arial" w:cs="Arial"/>
        </w:rPr>
        <w:t xml:space="preserve">Available at: </w:t>
      </w:r>
      <w:hyperlink r:id="rId14" w:history="1">
        <w:r w:rsidRPr="00863F4F">
          <w:rPr>
            <w:rStyle w:val="Hyperlink"/>
            <w:rFonts w:ascii="Arial" w:hAnsi="Arial" w:cs="Arial"/>
          </w:rPr>
          <w:t>https://www.legislation.gov.uk/aep/WillandMar/1/30/contents</w:t>
        </w:r>
      </w:hyperlink>
    </w:p>
    <w:p w14:paraId="163B3287" w14:textId="77777777" w:rsidR="00F025E2" w:rsidRPr="00863F4F" w:rsidRDefault="00F025E2" w:rsidP="00F025E2">
      <w:pPr>
        <w:rPr>
          <w:rFonts w:ascii="Arial" w:hAnsi="Arial" w:cs="Arial"/>
        </w:rPr>
      </w:pPr>
    </w:p>
    <w:p w14:paraId="780E239B" w14:textId="77777777" w:rsidR="00F025E2" w:rsidRPr="00863F4F" w:rsidRDefault="00F025E2" w:rsidP="00F025E2">
      <w:pPr>
        <w:rPr>
          <w:rFonts w:ascii="Arial" w:hAnsi="Arial" w:cs="Arial"/>
          <w:i/>
          <w:iCs/>
        </w:rPr>
      </w:pPr>
      <w:r w:rsidRPr="00863F4F">
        <w:rPr>
          <w:rFonts w:ascii="Arial" w:hAnsi="Arial" w:cs="Arial"/>
          <w:i/>
          <w:iCs/>
        </w:rPr>
        <w:t>Town and Country Planning Act 1990 c.8</w:t>
      </w:r>
    </w:p>
    <w:p w14:paraId="5178E4D9" w14:textId="77777777" w:rsidR="00F025E2" w:rsidRDefault="00F025E2" w:rsidP="00F025E2">
      <w:pPr>
        <w:rPr>
          <w:rFonts w:ascii="Arial" w:hAnsi="Arial" w:cs="Arial"/>
        </w:rPr>
      </w:pPr>
      <w:r w:rsidRPr="00863F4F">
        <w:rPr>
          <w:rFonts w:ascii="Arial" w:hAnsi="Arial" w:cs="Arial"/>
        </w:rPr>
        <w:t xml:space="preserve">Available at: </w:t>
      </w:r>
      <w:hyperlink r:id="rId15" w:history="1">
        <w:r w:rsidRPr="00863F4F">
          <w:rPr>
            <w:rStyle w:val="Hyperlink"/>
            <w:rFonts w:ascii="Arial" w:hAnsi="Arial" w:cs="Arial"/>
          </w:rPr>
          <w:t>https://www.legislation.gov.uk/ukpga/1990/8/contents</w:t>
        </w:r>
      </w:hyperlink>
    </w:p>
    <w:p w14:paraId="25F03645" w14:textId="77777777" w:rsidR="00F025E2" w:rsidRDefault="00F025E2" w:rsidP="00F025E2">
      <w:pPr>
        <w:rPr>
          <w:rFonts w:ascii="Arial" w:hAnsi="Arial" w:cs="Arial"/>
        </w:rPr>
      </w:pPr>
    </w:p>
    <w:p w14:paraId="0B5EBBF4" w14:textId="77777777" w:rsidR="00F025E2" w:rsidRPr="00A01AFE" w:rsidRDefault="00F025E2" w:rsidP="00F025E2">
      <w:pPr>
        <w:rPr>
          <w:rFonts w:ascii="Arial" w:hAnsi="Arial" w:cs="Arial"/>
          <w:i/>
          <w:iCs/>
        </w:rPr>
      </w:pPr>
      <w:r w:rsidRPr="00A01AFE">
        <w:rPr>
          <w:rFonts w:ascii="Arial" w:hAnsi="Arial" w:cs="Arial"/>
          <w:i/>
          <w:iCs/>
        </w:rPr>
        <w:t xml:space="preserve">Value Added Tax Act 1994, c.23 </w:t>
      </w:r>
    </w:p>
    <w:p w14:paraId="4C5D2CAC" w14:textId="77777777" w:rsidR="00F025E2" w:rsidRPr="00A01AFE" w:rsidRDefault="00F025E2" w:rsidP="00F025E2">
      <w:pPr>
        <w:rPr>
          <w:rFonts w:ascii="Arial" w:hAnsi="Arial" w:cs="Arial"/>
        </w:rPr>
      </w:pPr>
      <w:r w:rsidRPr="00A01AFE">
        <w:rPr>
          <w:rFonts w:ascii="Arial" w:hAnsi="Arial" w:cs="Arial"/>
        </w:rPr>
        <w:t xml:space="preserve">Available at: </w:t>
      </w:r>
      <w:hyperlink r:id="rId16" w:history="1">
        <w:r w:rsidRPr="00A01AFE">
          <w:rPr>
            <w:rStyle w:val="Hyperlink"/>
            <w:rFonts w:ascii="Arial" w:hAnsi="Arial" w:cs="Arial"/>
          </w:rPr>
          <w:t>https://www.legislation.gov.uk/ukpga/1994/23/contents</w:t>
        </w:r>
      </w:hyperlink>
    </w:p>
    <w:p w14:paraId="2D87A2B2" w14:textId="77777777" w:rsidR="00F025E2" w:rsidRPr="00A01AFE" w:rsidRDefault="00F025E2" w:rsidP="00F025E2">
      <w:pPr>
        <w:rPr>
          <w:rFonts w:ascii="Arial" w:hAnsi="Arial" w:cs="Arial"/>
        </w:rPr>
      </w:pPr>
    </w:p>
    <w:p w14:paraId="477942D5" w14:textId="77777777" w:rsidR="00F025E2" w:rsidRPr="00A01AFE" w:rsidRDefault="00F025E2" w:rsidP="00F025E2">
      <w:pPr>
        <w:rPr>
          <w:rFonts w:ascii="Arial" w:hAnsi="Arial" w:cs="Arial"/>
          <w:i/>
          <w:iCs/>
        </w:rPr>
      </w:pPr>
      <w:r w:rsidRPr="00A01AFE">
        <w:rPr>
          <w:rFonts w:ascii="Arial" w:hAnsi="Arial" w:cs="Arial"/>
          <w:i/>
          <w:iCs/>
        </w:rPr>
        <w:t>Water Industry Act 1991, c. 56</w:t>
      </w:r>
    </w:p>
    <w:p w14:paraId="1205B9C0" w14:textId="77777777" w:rsidR="00F025E2" w:rsidRPr="00A01AFE" w:rsidRDefault="00F025E2" w:rsidP="00F025E2">
      <w:pPr>
        <w:rPr>
          <w:rFonts w:ascii="Arial" w:hAnsi="Arial" w:cs="Arial"/>
        </w:rPr>
      </w:pPr>
      <w:r w:rsidRPr="00A01AFE">
        <w:rPr>
          <w:rFonts w:ascii="Arial" w:hAnsi="Arial" w:cs="Arial"/>
        </w:rPr>
        <w:t xml:space="preserve">Available at: </w:t>
      </w:r>
      <w:hyperlink r:id="rId17" w:history="1">
        <w:r w:rsidRPr="00A01AFE">
          <w:rPr>
            <w:rStyle w:val="Hyperlink"/>
            <w:rFonts w:ascii="Arial" w:hAnsi="Arial" w:cs="Arial"/>
          </w:rPr>
          <w:t>https://www.legislation.gov.uk/ukpga/1991/56/contents</w:t>
        </w:r>
      </w:hyperlink>
    </w:p>
    <w:p w14:paraId="00B3C276" w14:textId="77777777" w:rsidR="00F025E2" w:rsidRDefault="00F025E2" w:rsidP="00F025E2">
      <w:pPr>
        <w:rPr>
          <w:rFonts w:ascii="Arial" w:hAnsi="Arial" w:cs="Arial"/>
        </w:rPr>
      </w:pPr>
    </w:p>
    <w:p w14:paraId="0B37D5D4" w14:textId="77777777" w:rsidR="00F025E2" w:rsidRDefault="00F025E2" w:rsidP="00F025E2">
      <w:pPr>
        <w:rPr>
          <w:rFonts w:ascii="Arial" w:hAnsi="Arial" w:cs="Arial"/>
        </w:rPr>
      </w:pPr>
      <w:r>
        <w:rPr>
          <w:rFonts w:ascii="Arial" w:hAnsi="Arial" w:cs="Arial"/>
        </w:rPr>
        <w:lastRenderedPageBreak/>
        <w:t xml:space="preserve">Cases- </w:t>
      </w:r>
    </w:p>
    <w:p w14:paraId="7812D8E4" w14:textId="77777777" w:rsidR="00F025E2" w:rsidRPr="006C3964" w:rsidRDefault="00F025E2" w:rsidP="00F025E2">
      <w:pPr>
        <w:rPr>
          <w:rFonts w:ascii="Arial" w:hAnsi="Arial" w:cs="Arial"/>
        </w:rPr>
      </w:pPr>
      <w:r w:rsidRPr="006C3964">
        <w:rPr>
          <w:rFonts w:ascii="Arial" w:hAnsi="Arial" w:cs="Arial"/>
        </w:rPr>
        <w:t xml:space="preserve">‘Austerberry v Corporation of Oldham’ 1885 29 </w:t>
      </w:r>
      <w:r w:rsidRPr="006C3964">
        <w:rPr>
          <w:rFonts w:ascii="Arial" w:hAnsi="Arial" w:cs="Arial"/>
          <w:i/>
          <w:iCs/>
        </w:rPr>
        <w:t>Ch D</w:t>
      </w:r>
      <w:r w:rsidRPr="006C3964">
        <w:rPr>
          <w:rFonts w:ascii="Arial" w:hAnsi="Arial" w:cs="Arial"/>
        </w:rPr>
        <w:t xml:space="preserve"> 750</w:t>
      </w:r>
    </w:p>
    <w:p w14:paraId="061794FC" w14:textId="77777777" w:rsidR="00F025E2" w:rsidRDefault="00F025E2" w:rsidP="00F025E2">
      <w:pPr>
        <w:rPr>
          <w:rFonts w:ascii="Arial" w:hAnsi="Arial" w:cs="Arial"/>
        </w:rPr>
      </w:pPr>
    </w:p>
    <w:p w14:paraId="51BB43DD" w14:textId="77777777" w:rsidR="00F025E2" w:rsidRDefault="00F025E2" w:rsidP="00F025E2">
      <w:pPr>
        <w:rPr>
          <w:rFonts w:ascii="Arial" w:hAnsi="Arial" w:cs="Arial"/>
        </w:rPr>
      </w:pPr>
      <w:r w:rsidRPr="0079785E">
        <w:rPr>
          <w:rFonts w:ascii="Arial" w:hAnsi="Arial" w:cs="Arial"/>
        </w:rPr>
        <w:t xml:space="preserve">‘B&amp;Q plc v Liverpool &amp; Lancashire Properties Ltd’ (2001) 1 </w:t>
      </w:r>
      <w:r w:rsidRPr="0079785E">
        <w:rPr>
          <w:rFonts w:ascii="Arial" w:hAnsi="Arial" w:cs="Arial"/>
          <w:i/>
          <w:iCs/>
        </w:rPr>
        <w:t>EGLR</w:t>
      </w:r>
      <w:r w:rsidRPr="0079785E">
        <w:rPr>
          <w:rFonts w:ascii="Arial" w:hAnsi="Arial" w:cs="Arial"/>
        </w:rPr>
        <w:t xml:space="preserve"> 92</w:t>
      </w:r>
    </w:p>
    <w:p w14:paraId="18275798" w14:textId="77777777" w:rsidR="00F025E2" w:rsidRDefault="00F025E2" w:rsidP="00F025E2">
      <w:pPr>
        <w:rPr>
          <w:rFonts w:ascii="Arial" w:hAnsi="Arial" w:cs="Arial"/>
        </w:rPr>
      </w:pPr>
    </w:p>
    <w:p w14:paraId="385821AF" w14:textId="77777777" w:rsidR="00F025E2" w:rsidRPr="00710951" w:rsidRDefault="00F025E2" w:rsidP="00F025E2">
      <w:pPr>
        <w:rPr>
          <w:rFonts w:ascii="Arial" w:hAnsi="Arial" w:cs="Arial"/>
        </w:rPr>
      </w:pPr>
      <w:r w:rsidRPr="00710951">
        <w:rPr>
          <w:rFonts w:ascii="Arial" w:hAnsi="Arial" w:cs="Arial"/>
        </w:rPr>
        <w:t xml:space="preserve">‘Dalton v Angus’ (1881) </w:t>
      </w:r>
      <w:r w:rsidRPr="00710951">
        <w:rPr>
          <w:rFonts w:ascii="Arial" w:hAnsi="Arial" w:cs="Arial"/>
          <w:i/>
          <w:iCs/>
        </w:rPr>
        <w:t xml:space="preserve">UKHL </w:t>
      </w:r>
      <w:r w:rsidRPr="00710951">
        <w:rPr>
          <w:rFonts w:ascii="Arial" w:hAnsi="Arial" w:cs="Arial"/>
        </w:rPr>
        <w:t>1</w:t>
      </w:r>
    </w:p>
    <w:p w14:paraId="28110AA5" w14:textId="77777777" w:rsidR="00F025E2" w:rsidRDefault="00F025E2" w:rsidP="00F025E2">
      <w:pPr>
        <w:rPr>
          <w:rFonts w:ascii="Arial" w:hAnsi="Arial" w:cs="Arial"/>
        </w:rPr>
      </w:pPr>
    </w:p>
    <w:p w14:paraId="30D22E24" w14:textId="77777777" w:rsidR="00F025E2" w:rsidRDefault="00F025E2" w:rsidP="00F025E2">
      <w:pPr>
        <w:rPr>
          <w:rFonts w:ascii="Arial" w:hAnsi="Arial" w:cs="Arial"/>
        </w:rPr>
      </w:pPr>
      <w:r>
        <w:rPr>
          <w:rFonts w:ascii="Arial" w:hAnsi="Arial" w:cs="Arial"/>
        </w:rPr>
        <w:t xml:space="preserve"> </w:t>
      </w:r>
      <w:r w:rsidRPr="00EB6AD9">
        <w:rPr>
          <w:rFonts w:ascii="Arial" w:hAnsi="Arial" w:cs="Arial"/>
        </w:rPr>
        <w:t>‘Federated Homes v Mil Lodge Properties’ (1980)</w:t>
      </w:r>
      <w:r>
        <w:rPr>
          <w:rFonts w:ascii="Arial" w:hAnsi="Arial" w:cs="Arial"/>
        </w:rPr>
        <w:t xml:space="preserve"> </w:t>
      </w:r>
      <w:r w:rsidRPr="00F95BE2">
        <w:rPr>
          <w:rFonts w:ascii="Arial" w:hAnsi="Arial" w:cs="Arial"/>
        </w:rPr>
        <w:t xml:space="preserve">1 </w:t>
      </w:r>
      <w:r w:rsidRPr="00F95BE2">
        <w:rPr>
          <w:rFonts w:ascii="Arial" w:hAnsi="Arial" w:cs="Arial"/>
          <w:i/>
          <w:iCs/>
        </w:rPr>
        <w:t>WLR</w:t>
      </w:r>
      <w:r w:rsidRPr="00F95BE2">
        <w:rPr>
          <w:rFonts w:ascii="Arial" w:hAnsi="Arial" w:cs="Arial"/>
        </w:rPr>
        <w:t xml:space="preserve"> 594</w:t>
      </w:r>
    </w:p>
    <w:p w14:paraId="0A40D886" w14:textId="77777777" w:rsidR="00F025E2" w:rsidRDefault="00F025E2" w:rsidP="00F025E2">
      <w:pPr>
        <w:rPr>
          <w:rFonts w:ascii="Arial" w:hAnsi="Arial" w:cs="Arial"/>
        </w:rPr>
      </w:pPr>
    </w:p>
    <w:p w14:paraId="74BF3E0E" w14:textId="77777777" w:rsidR="00F025E2" w:rsidRPr="00A93E0A" w:rsidRDefault="00F025E2" w:rsidP="00F025E2">
      <w:pPr>
        <w:rPr>
          <w:rFonts w:ascii="Arial" w:hAnsi="Arial" w:cs="Arial"/>
        </w:rPr>
      </w:pPr>
      <w:r w:rsidRPr="00A93E0A">
        <w:rPr>
          <w:rFonts w:ascii="Arial" w:hAnsi="Arial" w:cs="Arial"/>
        </w:rPr>
        <w:t xml:space="preserve">‘Halsall v </w:t>
      </w:r>
      <w:proofErr w:type="spellStart"/>
      <w:r w:rsidRPr="00A93E0A">
        <w:rPr>
          <w:rFonts w:ascii="Arial" w:hAnsi="Arial" w:cs="Arial"/>
        </w:rPr>
        <w:t>Brizell</w:t>
      </w:r>
      <w:proofErr w:type="spellEnd"/>
      <w:r w:rsidRPr="00A93E0A">
        <w:rPr>
          <w:rFonts w:ascii="Arial" w:hAnsi="Arial" w:cs="Arial"/>
        </w:rPr>
        <w:t xml:space="preserve">’ (1957) </w:t>
      </w:r>
      <w:r w:rsidRPr="00A93E0A">
        <w:rPr>
          <w:rFonts w:ascii="Arial" w:hAnsi="Arial" w:cs="Arial"/>
          <w:i/>
          <w:iCs/>
        </w:rPr>
        <w:t>Ch</w:t>
      </w:r>
      <w:r w:rsidRPr="00A93E0A">
        <w:rPr>
          <w:rFonts w:ascii="Arial" w:hAnsi="Arial" w:cs="Arial"/>
        </w:rPr>
        <w:t xml:space="preserve"> 169</w:t>
      </w:r>
    </w:p>
    <w:p w14:paraId="67BC93D2" w14:textId="77777777" w:rsidR="00F025E2" w:rsidRDefault="00F025E2" w:rsidP="00F025E2">
      <w:pPr>
        <w:rPr>
          <w:rFonts w:ascii="Arial" w:hAnsi="Arial" w:cs="Arial"/>
        </w:rPr>
      </w:pPr>
    </w:p>
    <w:p w14:paraId="487FDF7E" w14:textId="77777777" w:rsidR="00F025E2" w:rsidRPr="001A3B15" w:rsidRDefault="00F025E2" w:rsidP="00F025E2">
      <w:pPr>
        <w:rPr>
          <w:rFonts w:ascii="Arial" w:hAnsi="Arial" w:cs="Arial"/>
        </w:rPr>
      </w:pPr>
      <w:r w:rsidRPr="001A3B15">
        <w:rPr>
          <w:rFonts w:ascii="Arial" w:hAnsi="Arial" w:cs="Arial"/>
        </w:rPr>
        <w:t xml:space="preserve">‘Haywood v Brunswick Building Society’ (1881) 8 </w:t>
      </w:r>
      <w:r w:rsidRPr="001A3B15">
        <w:rPr>
          <w:rFonts w:ascii="Arial" w:hAnsi="Arial" w:cs="Arial"/>
          <w:i/>
          <w:iCs/>
        </w:rPr>
        <w:t>QBD</w:t>
      </w:r>
      <w:r w:rsidRPr="001A3B15">
        <w:rPr>
          <w:rFonts w:ascii="Arial" w:hAnsi="Arial" w:cs="Arial"/>
        </w:rPr>
        <w:t xml:space="preserve"> 403</w:t>
      </w:r>
    </w:p>
    <w:p w14:paraId="6CADB671" w14:textId="77777777" w:rsidR="00F025E2" w:rsidRDefault="00F025E2" w:rsidP="00F025E2">
      <w:pPr>
        <w:rPr>
          <w:rFonts w:ascii="Arial" w:hAnsi="Arial" w:cs="Arial"/>
        </w:rPr>
      </w:pPr>
    </w:p>
    <w:p w14:paraId="5F3D0CCD" w14:textId="77777777" w:rsidR="00F025E2" w:rsidRPr="00931E51" w:rsidRDefault="00F025E2" w:rsidP="00F025E2">
      <w:pPr>
        <w:rPr>
          <w:rFonts w:ascii="Arial" w:hAnsi="Arial" w:cs="Arial"/>
        </w:rPr>
      </w:pPr>
      <w:r w:rsidRPr="00931E51">
        <w:rPr>
          <w:rFonts w:ascii="Arial" w:hAnsi="Arial" w:cs="Arial"/>
        </w:rPr>
        <w:t xml:space="preserve">‘Lysaght V Edwards’ (1876) </w:t>
      </w:r>
      <w:r w:rsidRPr="00931E51">
        <w:rPr>
          <w:rFonts w:ascii="Arial" w:hAnsi="Arial" w:cs="Arial"/>
          <w:i/>
          <w:iCs/>
        </w:rPr>
        <w:t>2 Ch D</w:t>
      </w:r>
      <w:r w:rsidRPr="00931E51">
        <w:rPr>
          <w:rFonts w:ascii="Arial" w:hAnsi="Arial" w:cs="Arial"/>
        </w:rPr>
        <w:t xml:space="preserve"> 499. </w:t>
      </w:r>
    </w:p>
    <w:p w14:paraId="44210923" w14:textId="77777777" w:rsidR="00F025E2" w:rsidRDefault="00F025E2" w:rsidP="00F025E2">
      <w:pPr>
        <w:rPr>
          <w:rFonts w:ascii="Arial" w:hAnsi="Arial" w:cs="Arial"/>
        </w:rPr>
      </w:pPr>
    </w:p>
    <w:p w14:paraId="42685670" w14:textId="77777777" w:rsidR="00F025E2" w:rsidRPr="00161B13" w:rsidRDefault="00F025E2" w:rsidP="00F025E2">
      <w:pPr>
        <w:rPr>
          <w:rFonts w:ascii="Arial" w:hAnsi="Arial" w:cs="Arial"/>
        </w:rPr>
      </w:pPr>
      <w:proofErr w:type="spellStart"/>
      <w:r w:rsidRPr="00161B13">
        <w:rPr>
          <w:rFonts w:ascii="Arial" w:hAnsi="Arial" w:cs="Arial"/>
        </w:rPr>
        <w:t>‘Re</w:t>
      </w:r>
      <w:proofErr w:type="spellEnd"/>
      <w:r w:rsidRPr="00161B13">
        <w:rPr>
          <w:rFonts w:ascii="Arial" w:hAnsi="Arial" w:cs="Arial"/>
        </w:rPr>
        <w:t xml:space="preserve"> Ellenborough Park’ (1956) </w:t>
      </w:r>
      <w:r w:rsidRPr="00161B13">
        <w:rPr>
          <w:rFonts w:ascii="Arial" w:hAnsi="Arial" w:cs="Arial"/>
          <w:i/>
          <w:iCs/>
        </w:rPr>
        <w:t xml:space="preserve">Ch </w:t>
      </w:r>
      <w:r w:rsidRPr="00161B13">
        <w:rPr>
          <w:rFonts w:ascii="Arial" w:hAnsi="Arial" w:cs="Arial"/>
        </w:rPr>
        <w:t>131.</w:t>
      </w:r>
    </w:p>
    <w:p w14:paraId="37C8CE8B" w14:textId="77777777" w:rsidR="00F025E2" w:rsidRDefault="00F025E2" w:rsidP="00F025E2">
      <w:pPr>
        <w:rPr>
          <w:rFonts w:ascii="Arial" w:hAnsi="Arial" w:cs="Arial"/>
        </w:rPr>
      </w:pPr>
    </w:p>
    <w:p w14:paraId="2DA88BC1" w14:textId="77777777" w:rsidR="00F025E2" w:rsidRPr="002111D5" w:rsidRDefault="00F025E2" w:rsidP="00F025E2">
      <w:pPr>
        <w:rPr>
          <w:rFonts w:ascii="Arial" w:hAnsi="Arial" w:cs="Arial"/>
        </w:rPr>
      </w:pPr>
      <w:r w:rsidRPr="002111D5">
        <w:rPr>
          <w:rFonts w:ascii="Arial" w:hAnsi="Arial" w:cs="Arial"/>
        </w:rPr>
        <w:t xml:space="preserve">‘Thamesmead Town Ltd v Allotey’ (1998) 30 </w:t>
      </w:r>
      <w:r w:rsidRPr="002111D5">
        <w:rPr>
          <w:rFonts w:ascii="Arial" w:hAnsi="Arial" w:cs="Arial"/>
          <w:i/>
          <w:iCs/>
        </w:rPr>
        <w:t>HLR</w:t>
      </w:r>
      <w:r w:rsidRPr="002111D5">
        <w:rPr>
          <w:rFonts w:ascii="Arial" w:hAnsi="Arial" w:cs="Arial"/>
        </w:rPr>
        <w:t xml:space="preserve"> 1052</w:t>
      </w:r>
    </w:p>
    <w:p w14:paraId="36063C1D" w14:textId="77777777" w:rsidR="00F025E2" w:rsidRPr="002111D5" w:rsidRDefault="00F025E2" w:rsidP="00F025E2">
      <w:pPr>
        <w:rPr>
          <w:rFonts w:ascii="Arial" w:hAnsi="Arial" w:cs="Arial"/>
        </w:rPr>
      </w:pPr>
    </w:p>
    <w:p w14:paraId="283CE593" w14:textId="77777777" w:rsidR="00F025E2" w:rsidRPr="002111D5" w:rsidRDefault="00F025E2" w:rsidP="00F025E2">
      <w:pPr>
        <w:rPr>
          <w:rFonts w:ascii="Arial" w:hAnsi="Arial" w:cs="Arial"/>
        </w:rPr>
      </w:pPr>
      <w:r w:rsidRPr="002111D5">
        <w:rPr>
          <w:rFonts w:ascii="Arial" w:hAnsi="Arial" w:cs="Arial"/>
        </w:rPr>
        <w:t xml:space="preserve">‘Tulk v </w:t>
      </w:r>
      <w:proofErr w:type="spellStart"/>
      <w:r w:rsidRPr="002111D5">
        <w:rPr>
          <w:rFonts w:ascii="Arial" w:hAnsi="Arial" w:cs="Arial"/>
        </w:rPr>
        <w:t>Moxhay</w:t>
      </w:r>
      <w:proofErr w:type="spellEnd"/>
      <w:r w:rsidRPr="002111D5">
        <w:rPr>
          <w:rFonts w:ascii="Arial" w:hAnsi="Arial" w:cs="Arial"/>
        </w:rPr>
        <w:t xml:space="preserve">’ (1848) 41 </w:t>
      </w:r>
      <w:r w:rsidRPr="002111D5">
        <w:rPr>
          <w:rFonts w:ascii="Arial" w:hAnsi="Arial" w:cs="Arial"/>
          <w:i/>
          <w:iCs/>
        </w:rPr>
        <w:t xml:space="preserve">ER </w:t>
      </w:r>
      <w:r w:rsidRPr="002111D5">
        <w:rPr>
          <w:rFonts w:ascii="Arial" w:hAnsi="Arial" w:cs="Arial"/>
        </w:rPr>
        <w:t>1143</w:t>
      </w:r>
    </w:p>
    <w:p w14:paraId="4340055B" w14:textId="77777777" w:rsidR="00F025E2" w:rsidRPr="002111D5" w:rsidRDefault="00F025E2" w:rsidP="00F025E2">
      <w:pPr>
        <w:rPr>
          <w:rFonts w:ascii="Arial" w:hAnsi="Arial" w:cs="Arial"/>
        </w:rPr>
      </w:pPr>
    </w:p>
    <w:p w14:paraId="4C9F8972" w14:textId="77777777" w:rsidR="00F025E2" w:rsidRDefault="00F025E2" w:rsidP="00F025E2">
      <w:pPr>
        <w:rPr>
          <w:rFonts w:ascii="Arial" w:hAnsi="Arial" w:cs="Arial"/>
        </w:rPr>
      </w:pPr>
    </w:p>
    <w:p w14:paraId="11A0D337" w14:textId="77777777" w:rsidR="00F025E2" w:rsidRDefault="00F025E2" w:rsidP="00F025E2">
      <w:pPr>
        <w:rPr>
          <w:rFonts w:ascii="Arial" w:hAnsi="Arial" w:cs="Arial"/>
        </w:rPr>
      </w:pPr>
    </w:p>
    <w:p w14:paraId="0F8C3B29" w14:textId="77777777" w:rsidR="00F025E2" w:rsidRDefault="00F025E2" w:rsidP="00F025E2">
      <w:pPr>
        <w:rPr>
          <w:rFonts w:ascii="Arial" w:hAnsi="Arial" w:cs="Arial"/>
        </w:rPr>
      </w:pPr>
    </w:p>
    <w:p w14:paraId="7DE961F9" w14:textId="77777777" w:rsidR="00F025E2" w:rsidRDefault="00F025E2" w:rsidP="00F025E2">
      <w:pPr>
        <w:rPr>
          <w:rFonts w:ascii="Arial" w:hAnsi="Arial" w:cs="Arial"/>
        </w:rPr>
      </w:pPr>
    </w:p>
    <w:p w14:paraId="7DD68ABD" w14:textId="77777777" w:rsidR="00F025E2" w:rsidRDefault="00F025E2" w:rsidP="00F025E2">
      <w:pPr>
        <w:rPr>
          <w:rFonts w:ascii="Arial" w:hAnsi="Arial" w:cs="Arial"/>
        </w:rPr>
      </w:pPr>
    </w:p>
    <w:p w14:paraId="43075027" w14:textId="77777777" w:rsidR="00F025E2" w:rsidRDefault="00F025E2" w:rsidP="00F025E2">
      <w:pPr>
        <w:rPr>
          <w:rFonts w:ascii="Arial" w:hAnsi="Arial" w:cs="Arial"/>
        </w:rPr>
      </w:pPr>
    </w:p>
    <w:p w14:paraId="6DC3FBE3" w14:textId="77777777" w:rsidR="00F025E2" w:rsidRDefault="00F025E2" w:rsidP="00F025E2">
      <w:pPr>
        <w:rPr>
          <w:rFonts w:ascii="Arial" w:hAnsi="Arial" w:cs="Arial"/>
        </w:rPr>
      </w:pPr>
    </w:p>
    <w:p w14:paraId="195E2051" w14:textId="77777777" w:rsidR="00F025E2" w:rsidRDefault="00F025E2" w:rsidP="00F025E2">
      <w:pPr>
        <w:rPr>
          <w:rFonts w:ascii="Arial" w:hAnsi="Arial" w:cs="Arial"/>
        </w:rPr>
      </w:pPr>
    </w:p>
    <w:p w14:paraId="6E3ACE29" w14:textId="77777777" w:rsidR="00F025E2" w:rsidRDefault="00F025E2" w:rsidP="00F025E2">
      <w:pPr>
        <w:rPr>
          <w:rFonts w:ascii="Arial" w:hAnsi="Arial" w:cs="Arial"/>
        </w:rPr>
      </w:pPr>
    </w:p>
    <w:p w14:paraId="701B2762" w14:textId="77777777" w:rsidR="00F025E2" w:rsidRDefault="00F025E2" w:rsidP="00F025E2">
      <w:pPr>
        <w:rPr>
          <w:rFonts w:ascii="Arial" w:hAnsi="Arial" w:cs="Arial"/>
        </w:rPr>
      </w:pPr>
    </w:p>
    <w:p w14:paraId="36712F47" w14:textId="77777777" w:rsidR="00F025E2" w:rsidRDefault="00F025E2" w:rsidP="00F025E2">
      <w:pPr>
        <w:rPr>
          <w:rFonts w:ascii="Arial" w:hAnsi="Arial" w:cs="Arial"/>
        </w:rPr>
      </w:pPr>
    </w:p>
    <w:p w14:paraId="0A1A3C71" w14:textId="5CC2C0F4" w:rsidR="00F025E2" w:rsidRDefault="00F025E2" w:rsidP="00F025E2">
      <w:pPr>
        <w:rPr>
          <w:rFonts w:ascii="Arial" w:hAnsi="Arial" w:cs="Arial"/>
        </w:rPr>
      </w:pPr>
      <w:r>
        <w:rPr>
          <w:rFonts w:ascii="Arial" w:hAnsi="Arial" w:cs="Arial"/>
        </w:rPr>
        <w:lastRenderedPageBreak/>
        <w:t>Websites-</w:t>
      </w:r>
    </w:p>
    <w:p w14:paraId="2B8D805C" w14:textId="77777777" w:rsidR="00F025E2" w:rsidRPr="0012777D" w:rsidRDefault="00F025E2" w:rsidP="00F025E2">
      <w:pPr>
        <w:rPr>
          <w:rFonts w:ascii="Arial" w:hAnsi="Arial" w:cs="Arial"/>
        </w:rPr>
      </w:pPr>
      <w:r w:rsidRPr="0012777D">
        <w:rPr>
          <w:rFonts w:ascii="Arial" w:hAnsi="Arial" w:cs="Arial"/>
        </w:rPr>
        <w:t>HM Land Registry</w:t>
      </w:r>
      <w:r>
        <w:rPr>
          <w:rFonts w:ascii="Arial" w:hAnsi="Arial" w:cs="Arial"/>
        </w:rPr>
        <w:t xml:space="preserve"> </w:t>
      </w:r>
      <w:r w:rsidRPr="0012777D">
        <w:rPr>
          <w:rFonts w:ascii="Arial" w:hAnsi="Arial" w:cs="Arial"/>
        </w:rPr>
        <w:t xml:space="preserve">(2023) </w:t>
      </w:r>
      <w:r w:rsidRPr="0012777D">
        <w:rPr>
          <w:rFonts w:ascii="Arial" w:hAnsi="Arial" w:cs="Arial"/>
          <w:i/>
          <w:iCs/>
        </w:rPr>
        <w:t>Practice Guide 40: Guide to the preparation of plans and deeds</w:t>
      </w:r>
      <w:r w:rsidRPr="0012777D">
        <w:rPr>
          <w:rFonts w:ascii="Arial" w:hAnsi="Arial" w:cs="Arial"/>
        </w:rPr>
        <w:t xml:space="preserve">. London: HM Land Registry </w:t>
      </w:r>
    </w:p>
    <w:p w14:paraId="6E8223EF" w14:textId="77777777" w:rsidR="00F025E2" w:rsidRDefault="00F025E2" w:rsidP="00F025E2">
      <w:pPr>
        <w:rPr>
          <w:rFonts w:ascii="Arial" w:hAnsi="Arial" w:cs="Arial"/>
        </w:rPr>
      </w:pPr>
      <w:r w:rsidRPr="0012777D">
        <w:rPr>
          <w:rFonts w:ascii="Arial" w:hAnsi="Arial" w:cs="Arial"/>
        </w:rPr>
        <w:t xml:space="preserve">Available at: </w:t>
      </w:r>
      <w:hyperlink r:id="rId18" w:history="1">
        <w:r w:rsidRPr="0012777D">
          <w:rPr>
            <w:rStyle w:val="Hyperlink"/>
            <w:rFonts w:ascii="Arial" w:hAnsi="Arial" w:cs="Arial"/>
          </w:rPr>
          <w:t>https://www.gov.uk/government/publications/land-registry-plans-guide-overview/practice-guide-40-guide-overview-of-land-registry-plans</w:t>
        </w:r>
      </w:hyperlink>
    </w:p>
    <w:p w14:paraId="11A971DA" w14:textId="77777777" w:rsidR="00F025E2" w:rsidRDefault="00F025E2" w:rsidP="00F025E2">
      <w:pPr>
        <w:rPr>
          <w:rFonts w:ascii="Arial" w:hAnsi="Arial" w:cs="Arial"/>
        </w:rPr>
      </w:pPr>
    </w:p>
    <w:p w14:paraId="2C816C92" w14:textId="77777777" w:rsidR="00F025E2" w:rsidRPr="00B223EC" w:rsidRDefault="00F025E2" w:rsidP="00F025E2">
      <w:pPr>
        <w:rPr>
          <w:rFonts w:ascii="Arial" w:hAnsi="Arial" w:cs="Arial"/>
        </w:rPr>
      </w:pPr>
      <w:r w:rsidRPr="00B223EC">
        <w:rPr>
          <w:rFonts w:ascii="Arial" w:hAnsi="Arial" w:cs="Arial"/>
        </w:rPr>
        <w:t xml:space="preserve">HM Land Registry (2023) </w:t>
      </w:r>
      <w:r w:rsidRPr="00B223EC">
        <w:rPr>
          <w:rFonts w:ascii="Arial" w:hAnsi="Arial" w:cs="Arial"/>
          <w:i/>
          <w:iCs/>
        </w:rPr>
        <w:t xml:space="preserve">Practised Guide 65: Registration </w:t>
      </w:r>
      <w:proofErr w:type="gramStart"/>
      <w:r w:rsidRPr="00B223EC">
        <w:rPr>
          <w:rFonts w:ascii="Arial" w:hAnsi="Arial" w:cs="Arial"/>
          <w:i/>
          <w:iCs/>
        </w:rPr>
        <w:t>Of</w:t>
      </w:r>
      <w:proofErr w:type="gramEnd"/>
      <w:r w:rsidRPr="00B223EC">
        <w:rPr>
          <w:rFonts w:ascii="Arial" w:hAnsi="Arial" w:cs="Arial"/>
          <w:i/>
          <w:iCs/>
        </w:rPr>
        <w:t xml:space="preserve"> Mines and Minerals</w:t>
      </w:r>
      <w:r w:rsidRPr="00B223EC">
        <w:rPr>
          <w:rFonts w:ascii="Arial" w:hAnsi="Arial" w:cs="Arial"/>
        </w:rPr>
        <w:t>. London: HM Land Registry</w:t>
      </w:r>
    </w:p>
    <w:p w14:paraId="7C2EF59A" w14:textId="77777777" w:rsidR="00F025E2" w:rsidRPr="00B223EC" w:rsidRDefault="00F025E2" w:rsidP="00F025E2">
      <w:pPr>
        <w:rPr>
          <w:rFonts w:ascii="Arial" w:hAnsi="Arial" w:cs="Arial"/>
        </w:rPr>
      </w:pPr>
      <w:r w:rsidRPr="00B223EC">
        <w:rPr>
          <w:rFonts w:ascii="Arial" w:hAnsi="Arial" w:cs="Arial"/>
        </w:rPr>
        <w:t xml:space="preserve">Available at: </w:t>
      </w:r>
      <w:hyperlink r:id="rId19" w:history="1">
        <w:r w:rsidRPr="00B223EC">
          <w:rPr>
            <w:rStyle w:val="Hyperlink"/>
            <w:rFonts w:ascii="Arial" w:hAnsi="Arial" w:cs="Arial"/>
          </w:rPr>
          <w:t>https://www.gov.uk/government/publications/registration-of-mines-and-minerals/practice-guide-65-registration-of-mines-and-minerals</w:t>
        </w:r>
      </w:hyperlink>
    </w:p>
    <w:p w14:paraId="3091099C" w14:textId="77777777" w:rsidR="00F025E2" w:rsidRDefault="00F025E2" w:rsidP="00F025E2">
      <w:pPr>
        <w:rPr>
          <w:rFonts w:ascii="Arial" w:hAnsi="Arial" w:cs="Arial"/>
        </w:rPr>
      </w:pPr>
    </w:p>
    <w:p w14:paraId="472A7878" w14:textId="77777777" w:rsidR="00F025E2" w:rsidRPr="001F54CA" w:rsidRDefault="00F025E2" w:rsidP="00F025E2">
      <w:pPr>
        <w:rPr>
          <w:rFonts w:ascii="Arial" w:hAnsi="Arial" w:cs="Arial"/>
        </w:rPr>
      </w:pPr>
      <w:r w:rsidRPr="001F54CA">
        <w:rPr>
          <w:rFonts w:ascii="Arial" w:hAnsi="Arial" w:cs="Arial"/>
        </w:rPr>
        <w:t xml:space="preserve"> Solicitors Regulation Authority (2019) SRA Accounts Rules. Birmingham: SRA</w:t>
      </w:r>
    </w:p>
    <w:p w14:paraId="435C626B" w14:textId="77777777" w:rsidR="00F025E2" w:rsidRPr="001F54CA" w:rsidRDefault="00F025E2" w:rsidP="00F025E2">
      <w:pPr>
        <w:rPr>
          <w:rFonts w:ascii="Arial" w:hAnsi="Arial" w:cs="Arial"/>
        </w:rPr>
      </w:pPr>
      <w:r w:rsidRPr="001F54CA">
        <w:rPr>
          <w:rFonts w:ascii="Arial" w:hAnsi="Arial" w:cs="Arial"/>
        </w:rPr>
        <w:t xml:space="preserve">Available at: </w:t>
      </w:r>
      <w:hyperlink r:id="rId20" w:history="1">
        <w:r w:rsidRPr="001F54CA">
          <w:rPr>
            <w:rStyle w:val="Hyperlink"/>
            <w:rFonts w:ascii="Arial" w:hAnsi="Arial" w:cs="Arial"/>
          </w:rPr>
          <w:t>https://www.sra.org.uk/solicitors/standards-regulations/accounts-rules/</w:t>
        </w:r>
      </w:hyperlink>
    </w:p>
    <w:p w14:paraId="4A388002" w14:textId="77777777" w:rsidR="00F025E2" w:rsidRPr="0059212D" w:rsidRDefault="00F025E2" w:rsidP="00F025E2">
      <w:pPr>
        <w:rPr>
          <w:rFonts w:ascii="Arial" w:hAnsi="Arial" w:cs="Arial"/>
        </w:rPr>
      </w:pPr>
      <w:r w:rsidRPr="0059212D">
        <w:rPr>
          <w:rFonts w:ascii="Arial" w:hAnsi="Arial" w:cs="Arial"/>
        </w:rPr>
        <w:t xml:space="preserve"> Solicitors Regulation Authority (2019) SRA Code of Conduct for Solicitors. Birmingham: SRA</w:t>
      </w:r>
    </w:p>
    <w:p w14:paraId="74939E19" w14:textId="77777777" w:rsidR="00F025E2" w:rsidRPr="0059212D" w:rsidRDefault="00F025E2" w:rsidP="00F025E2">
      <w:pPr>
        <w:rPr>
          <w:rFonts w:ascii="Arial" w:hAnsi="Arial" w:cs="Arial"/>
        </w:rPr>
      </w:pPr>
      <w:r w:rsidRPr="0059212D">
        <w:rPr>
          <w:rFonts w:ascii="Arial" w:hAnsi="Arial" w:cs="Arial"/>
        </w:rPr>
        <w:t xml:space="preserve">Available at: </w:t>
      </w:r>
      <w:hyperlink r:id="rId21" w:history="1">
        <w:r w:rsidRPr="0059212D">
          <w:rPr>
            <w:rStyle w:val="Hyperlink"/>
            <w:rFonts w:ascii="Arial" w:hAnsi="Arial" w:cs="Arial"/>
          </w:rPr>
          <w:t>https://www.sra.org.uk/solicitors/standards-regulations/code-conduct-solicitors/</w:t>
        </w:r>
      </w:hyperlink>
    </w:p>
    <w:p w14:paraId="5E2508F6" w14:textId="77777777" w:rsidR="00F025E2" w:rsidRDefault="00F025E2" w:rsidP="00F025E2">
      <w:pPr>
        <w:rPr>
          <w:rFonts w:ascii="Arial" w:hAnsi="Arial" w:cs="Arial"/>
        </w:rPr>
      </w:pPr>
    </w:p>
    <w:p w14:paraId="4DD5A427" w14:textId="77777777" w:rsidR="00F025E2" w:rsidRPr="00072E12" w:rsidRDefault="00F025E2" w:rsidP="00F025E2">
      <w:pPr>
        <w:rPr>
          <w:rFonts w:ascii="Arial" w:hAnsi="Arial" w:cs="Arial"/>
        </w:rPr>
      </w:pPr>
      <w:r w:rsidRPr="00072E12">
        <w:rPr>
          <w:rFonts w:ascii="Arial" w:hAnsi="Arial" w:cs="Arial"/>
        </w:rPr>
        <w:t xml:space="preserve">Solicitors Regulation Authority (2018) SRA Transparency rules. Birmingham: Solicitors Regulation Authority </w:t>
      </w:r>
    </w:p>
    <w:p w14:paraId="18073D65" w14:textId="77777777" w:rsidR="00F025E2" w:rsidRDefault="00F025E2" w:rsidP="00F025E2">
      <w:pPr>
        <w:rPr>
          <w:rFonts w:ascii="Arial" w:hAnsi="Arial" w:cs="Arial"/>
        </w:rPr>
      </w:pPr>
      <w:r w:rsidRPr="00072E12">
        <w:rPr>
          <w:rFonts w:ascii="Arial" w:hAnsi="Arial" w:cs="Arial"/>
        </w:rPr>
        <w:t xml:space="preserve">Available at: </w:t>
      </w:r>
      <w:hyperlink r:id="rId22" w:history="1">
        <w:r w:rsidRPr="00072E12">
          <w:rPr>
            <w:rStyle w:val="Hyperlink"/>
            <w:rFonts w:ascii="Arial" w:hAnsi="Arial" w:cs="Arial"/>
          </w:rPr>
          <w:t>https://www.sra.org.uk/solicitors/standards-regulations/transparency-rules/</w:t>
        </w:r>
      </w:hyperlink>
    </w:p>
    <w:p w14:paraId="68CAFB45" w14:textId="77777777" w:rsidR="00F025E2" w:rsidRDefault="00F025E2" w:rsidP="00F025E2">
      <w:pPr>
        <w:rPr>
          <w:rFonts w:ascii="Arial" w:hAnsi="Arial" w:cs="Arial"/>
        </w:rPr>
      </w:pPr>
    </w:p>
    <w:p w14:paraId="4E166D04" w14:textId="77777777" w:rsidR="00F025E2" w:rsidRPr="00D53745" w:rsidRDefault="00F025E2" w:rsidP="00F025E2">
      <w:pPr>
        <w:rPr>
          <w:rFonts w:ascii="Arial" w:hAnsi="Arial" w:cs="Arial"/>
        </w:rPr>
      </w:pPr>
      <w:r w:rsidRPr="00D53745">
        <w:rPr>
          <w:rFonts w:ascii="Arial" w:hAnsi="Arial" w:cs="Arial"/>
        </w:rPr>
        <w:t>The Law Society (2023) Conveyancing Protocol. London: The Law Society.</w:t>
      </w:r>
    </w:p>
    <w:p w14:paraId="4D612252" w14:textId="77777777" w:rsidR="00F025E2" w:rsidRPr="00D53745" w:rsidRDefault="00F025E2" w:rsidP="00F025E2">
      <w:pPr>
        <w:rPr>
          <w:rFonts w:ascii="Arial" w:hAnsi="Arial" w:cs="Arial"/>
        </w:rPr>
      </w:pPr>
      <w:r w:rsidRPr="00D53745">
        <w:rPr>
          <w:rFonts w:ascii="Arial" w:hAnsi="Arial" w:cs="Arial"/>
        </w:rPr>
        <w:t xml:space="preserve">Available at: </w:t>
      </w:r>
      <w:hyperlink r:id="rId23" w:history="1">
        <w:r w:rsidRPr="00D53745">
          <w:rPr>
            <w:rStyle w:val="Hyperlink"/>
            <w:rFonts w:ascii="Arial" w:hAnsi="Arial" w:cs="Arial"/>
          </w:rPr>
          <w:t>https://www.lawsociety.org.uk/topics/property/conveyancing-protocol</w:t>
        </w:r>
      </w:hyperlink>
    </w:p>
    <w:p w14:paraId="226E84E6" w14:textId="77777777" w:rsidR="00F025E2" w:rsidRPr="00D53745" w:rsidRDefault="00F025E2" w:rsidP="00F025E2">
      <w:pPr>
        <w:rPr>
          <w:rFonts w:ascii="Arial" w:hAnsi="Arial" w:cs="Arial"/>
        </w:rPr>
      </w:pPr>
    </w:p>
    <w:p w14:paraId="04ED2E9F" w14:textId="77777777" w:rsidR="00F025E2" w:rsidRPr="000B3B15" w:rsidRDefault="00F025E2" w:rsidP="00F025E2">
      <w:pPr>
        <w:rPr>
          <w:rFonts w:ascii="Arial" w:hAnsi="Arial" w:cs="Arial"/>
        </w:rPr>
      </w:pPr>
      <w:r w:rsidRPr="000B3B15">
        <w:rPr>
          <w:rFonts w:ascii="Arial" w:hAnsi="Arial" w:cs="Arial"/>
        </w:rPr>
        <w:t xml:space="preserve">UK Finance (2024) </w:t>
      </w:r>
      <w:r w:rsidRPr="000B3B15">
        <w:rPr>
          <w:rFonts w:ascii="Arial" w:hAnsi="Arial" w:cs="Arial"/>
          <w:i/>
          <w:iCs/>
        </w:rPr>
        <w:t>Mortgage Lenders Handbook for conveyancers</w:t>
      </w:r>
      <w:r w:rsidRPr="000B3B15">
        <w:rPr>
          <w:rFonts w:ascii="Arial" w:hAnsi="Arial" w:cs="Arial"/>
        </w:rPr>
        <w:t>. London: UK Finance</w:t>
      </w:r>
    </w:p>
    <w:p w14:paraId="1A222CAE" w14:textId="77777777" w:rsidR="00F025E2" w:rsidRDefault="00F025E2" w:rsidP="00F025E2">
      <w:pPr>
        <w:rPr>
          <w:rFonts w:ascii="Arial" w:hAnsi="Arial" w:cs="Arial"/>
        </w:rPr>
      </w:pPr>
      <w:r w:rsidRPr="000B3B15">
        <w:rPr>
          <w:rFonts w:ascii="Arial" w:hAnsi="Arial" w:cs="Arial"/>
        </w:rPr>
        <w:t xml:space="preserve">Available at: </w:t>
      </w:r>
      <w:hyperlink r:id="rId24" w:history="1">
        <w:r w:rsidRPr="000B3B15">
          <w:rPr>
            <w:rStyle w:val="Hyperlink"/>
            <w:rFonts w:ascii="Arial" w:hAnsi="Arial" w:cs="Arial"/>
          </w:rPr>
          <w:t>https://lendershandbook.ukfinance.org.uk/lenders-handbook/</w:t>
        </w:r>
      </w:hyperlink>
    </w:p>
    <w:p w14:paraId="2C18DB6A" w14:textId="77777777" w:rsidR="00F025E2" w:rsidRDefault="00F025E2" w:rsidP="00F025E2">
      <w:pPr>
        <w:rPr>
          <w:rFonts w:ascii="Arial" w:hAnsi="Arial" w:cs="Arial"/>
        </w:rPr>
      </w:pPr>
    </w:p>
    <w:p w14:paraId="50A640EE" w14:textId="77777777" w:rsidR="00F025E2" w:rsidRPr="007E22BD" w:rsidRDefault="00F025E2" w:rsidP="00F025E2">
      <w:pPr>
        <w:rPr>
          <w:rFonts w:ascii="Arial" w:hAnsi="Arial" w:cs="Arial"/>
        </w:rPr>
      </w:pPr>
      <w:r w:rsidRPr="007E22BD">
        <w:rPr>
          <w:rFonts w:ascii="Arial" w:hAnsi="Arial" w:cs="Arial"/>
        </w:rPr>
        <w:t xml:space="preserve">Welsh Revenue Authority (2025) </w:t>
      </w:r>
      <w:proofErr w:type="spellStart"/>
      <w:r w:rsidRPr="007E22BD">
        <w:rPr>
          <w:rFonts w:ascii="Arial" w:hAnsi="Arial" w:cs="Arial"/>
        </w:rPr>
        <w:t>Residental</w:t>
      </w:r>
      <w:proofErr w:type="spellEnd"/>
      <w:r w:rsidRPr="007E22BD">
        <w:rPr>
          <w:rFonts w:ascii="Arial" w:hAnsi="Arial" w:cs="Arial"/>
        </w:rPr>
        <w:t xml:space="preserve"> Land Transaction Tax Rates. Cardiff: Welsh Revenue Authority </w:t>
      </w:r>
    </w:p>
    <w:p w14:paraId="1515D8FC" w14:textId="77777777" w:rsidR="00F025E2" w:rsidRPr="007E22BD" w:rsidRDefault="00F025E2" w:rsidP="00F025E2">
      <w:pPr>
        <w:rPr>
          <w:rFonts w:ascii="Arial" w:hAnsi="Arial" w:cs="Arial"/>
        </w:rPr>
      </w:pPr>
      <w:r w:rsidRPr="007E22BD">
        <w:rPr>
          <w:rFonts w:ascii="Arial" w:hAnsi="Arial" w:cs="Arial"/>
        </w:rPr>
        <w:t xml:space="preserve">Available at: </w:t>
      </w:r>
      <w:hyperlink r:id="rId25" w:history="1">
        <w:r w:rsidRPr="007E22BD">
          <w:rPr>
            <w:rStyle w:val="Hyperlink"/>
            <w:rFonts w:ascii="Arial" w:hAnsi="Arial" w:cs="Arial"/>
          </w:rPr>
          <w:t>https://www.gov.wales/land-transaction-tax-rates-and-bands</w:t>
        </w:r>
      </w:hyperlink>
    </w:p>
    <w:p w14:paraId="0231EBF4" w14:textId="77777777" w:rsidR="00F025E2" w:rsidRPr="007E22BD" w:rsidRDefault="00F025E2" w:rsidP="00F025E2">
      <w:pPr>
        <w:rPr>
          <w:rFonts w:ascii="Arial" w:hAnsi="Arial" w:cs="Arial"/>
        </w:rPr>
      </w:pPr>
    </w:p>
    <w:p w14:paraId="5035B027" w14:textId="77777777" w:rsidR="00F025E2" w:rsidRPr="000B3B15" w:rsidRDefault="00F025E2" w:rsidP="00F025E2">
      <w:pPr>
        <w:rPr>
          <w:rFonts w:ascii="Arial" w:hAnsi="Arial" w:cs="Arial"/>
        </w:rPr>
      </w:pPr>
    </w:p>
    <w:p w14:paraId="36B3B112" w14:textId="77777777" w:rsidR="00F025E2" w:rsidRPr="000B3B15" w:rsidRDefault="00F025E2" w:rsidP="00F025E2">
      <w:pPr>
        <w:rPr>
          <w:rFonts w:ascii="Arial" w:hAnsi="Arial" w:cs="Arial"/>
        </w:rPr>
      </w:pPr>
    </w:p>
    <w:p w14:paraId="269CD569" w14:textId="77777777" w:rsidR="00F025E2" w:rsidRDefault="00F025E2" w:rsidP="00F025E2">
      <w:pPr>
        <w:rPr>
          <w:rFonts w:ascii="Arial" w:hAnsi="Arial" w:cs="Arial"/>
        </w:rPr>
      </w:pPr>
    </w:p>
    <w:p w14:paraId="69B3D6C3" w14:textId="77777777" w:rsidR="00F025E2" w:rsidRPr="0012777D" w:rsidRDefault="00F025E2" w:rsidP="00F025E2">
      <w:pPr>
        <w:rPr>
          <w:rFonts w:ascii="Arial" w:hAnsi="Arial" w:cs="Arial"/>
        </w:rPr>
      </w:pPr>
    </w:p>
    <w:p w14:paraId="3342EAD4" w14:textId="77777777" w:rsidR="00F025E2" w:rsidRPr="0079785E" w:rsidRDefault="00F025E2" w:rsidP="00F025E2">
      <w:pPr>
        <w:rPr>
          <w:rFonts w:ascii="Arial" w:hAnsi="Arial" w:cs="Arial"/>
        </w:rPr>
      </w:pPr>
    </w:p>
    <w:p w14:paraId="2937A7C0" w14:textId="77777777" w:rsidR="00F025E2" w:rsidRPr="00863F4F" w:rsidRDefault="00F025E2" w:rsidP="00F025E2">
      <w:pPr>
        <w:rPr>
          <w:rFonts w:ascii="Arial" w:hAnsi="Arial" w:cs="Arial"/>
        </w:rPr>
      </w:pPr>
    </w:p>
    <w:p w14:paraId="572B3755" w14:textId="77777777" w:rsidR="00F025E2" w:rsidRPr="008F39D1" w:rsidRDefault="00F025E2" w:rsidP="00F025E2">
      <w:pPr>
        <w:rPr>
          <w:rFonts w:ascii="Arial" w:hAnsi="Arial" w:cs="Arial"/>
        </w:rPr>
      </w:pPr>
    </w:p>
    <w:p w14:paraId="2FF695C4" w14:textId="77777777" w:rsidR="00F025E2" w:rsidRDefault="00F025E2" w:rsidP="00F025E2">
      <w:pPr>
        <w:rPr>
          <w:rFonts w:ascii="Arial" w:hAnsi="Arial" w:cs="Arial"/>
        </w:rPr>
      </w:pPr>
    </w:p>
    <w:p w14:paraId="21DC4A89" w14:textId="77777777" w:rsidR="00F025E2" w:rsidRDefault="00F025E2" w:rsidP="00F025E2">
      <w:pPr>
        <w:rPr>
          <w:rFonts w:ascii="Arial" w:hAnsi="Arial" w:cs="Arial"/>
        </w:rPr>
      </w:pPr>
    </w:p>
    <w:p w14:paraId="1B242471" w14:textId="77777777" w:rsidR="00F025E2" w:rsidRDefault="00F025E2" w:rsidP="00F025E2">
      <w:pPr>
        <w:rPr>
          <w:rFonts w:ascii="Arial" w:hAnsi="Arial" w:cs="Arial"/>
        </w:rPr>
      </w:pPr>
    </w:p>
    <w:p w14:paraId="5496BF24" w14:textId="77777777" w:rsidR="00F025E2" w:rsidRDefault="00F025E2" w:rsidP="00F025E2">
      <w:pPr>
        <w:rPr>
          <w:rFonts w:ascii="Arial" w:hAnsi="Arial" w:cs="Arial"/>
        </w:rPr>
      </w:pPr>
    </w:p>
    <w:p w14:paraId="362FBBD8" w14:textId="77777777" w:rsidR="00F025E2" w:rsidRPr="000B462A" w:rsidRDefault="00F025E2" w:rsidP="00F025E2">
      <w:pPr>
        <w:rPr>
          <w:rFonts w:ascii="Arial" w:hAnsi="Arial" w:cs="Arial"/>
        </w:rPr>
      </w:pPr>
    </w:p>
    <w:p w14:paraId="4AF94354" w14:textId="77777777" w:rsidR="00F025E2" w:rsidRDefault="00F025E2"/>
    <w:sectPr w:rsidR="00F025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832A9"/>
    <w:multiLevelType w:val="multilevel"/>
    <w:tmpl w:val="84F2D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FE0885"/>
    <w:multiLevelType w:val="multilevel"/>
    <w:tmpl w:val="04465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51909"/>
    <w:multiLevelType w:val="multilevel"/>
    <w:tmpl w:val="3AA07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810C23"/>
    <w:multiLevelType w:val="multilevel"/>
    <w:tmpl w:val="A2A06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8A3C65"/>
    <w:multiLevelType w:val="multilevel"/>
    <w:tmpl w:val="44608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CD439C"/>
    <w:multiLevelType w:val="multilevel"/>
    <w:tmpl w:val="F132C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734E6A"/>
    <w:multiLevelType w:val="multilevel"/>
    <w:tmpl w:val="FD86A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357691"/>
    <w:multiLevelType w:val="multilevel"/>
    <w:tmpl w:val="E432F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8B3AD4"/>
    <w:multiLevelType w:val="multilevel"/>
    <w:tmpl w:val="18E67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5E2832"/>
    <w:multiLevelType w:val="multilevel"/>
    <w:tmpl w:val="7A6A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9289197">
    <w:abstractNumId w:val="4"/>
  </w:num>
  <w:num w:numId="2" w16cid:durableId="1094936082">
    <w:abstractNumId w:val="8"/>
  </w:num>
  <w:num w:numId="3" w16cid:durableId="1942294706">
    <w:abstractNumId w:val="1"/>
  </w:num>
  <w:num w:numId="4" w16cid:durableId="1269898541">
    <w:abstractNumId w:val="3"/>
  </w:num>
  <w:num w:numId="5" w16cid:durableId="1151675663">
    <w:abstractNumId w:val="9"/>
  </w:num>
  <w:num w:numId="6" w16cid:durableId="1197156529">
    <w:abstractNumId w:val="5"/>
  </w:num>
  <w:num w:numId="7" w16cid:durableId="789054169">
    <w:abstractNumId w:val="6"/>
  </w:num>
  <w:num w:numId="8" w16cid:durableId="1073432040">
    <w:abstractNumId w:val="7"/>
  </w:num>
  <w:num w:numId="9" w16cid:durableId="1871407097">
    <w:abstractNumId w:val="0"/>
  </w:num>
  <w:num w:numId="10" w16cid:durableId="463277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5E2"/>
    <w:rsid w:val="00421860"/>
    <w:rsid w:val="00700534"/>
    <w:rsid w:val="008A0EDF"/>
    <w:rsid w:val="009D39F3"/>
    <w:rsid w:val="00B651F1"/>
    <w:rsid w:val="00BE6809"/>
    <w:rsid w:val="00D550B7"/>
    <w:rsid w:val="00F02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EA15E0"/>
  <w15:chartTrackingRefBased/>
  <w15:docId w15:val="{1E2B60A4-2271-4745-80BB-00FDA0A2B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25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25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25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25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25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2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5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25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025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25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25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2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5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5E2"/>
    <w:rPr>
      <w:rFonts w:eastAsiaTheme="majorEastAsia" w:cstheme="majorBidi"/>
      <w:color w:val="272727" w:themeColor="text1" w:themeTint="D8"/>
    </w:rPr>
  </w:style>
  <w:style w:type="paragraph" w:styleId="Title">
    <w:name w:val="Title"/>
    <w:basedOn w:val="Normal"/>
    <w:next w:val="Normal"/>
    <w:link w:val="TitleChar"/>
    <w:uiPriority w:val="10"/>
    <w:qFormat/>
    <w:rsid w:val="00F02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5E2"/>
    <w:pPr>
      <w:spacing w:before="160"/>
      <w:jc w:val="center"/>
    </w:pPr>
    <w:rPr>
      <w:i/>
      <w:iCs/>
      <w:color w:val="404040" w:themeColor="text1" w:themeTint="BF"/>
    </w:rPr>
  </w:style>
  <w:style w:type="character" w:customStyle="1" w:styleId="QuoteChar">
    <w:name w:val="Quote Char"/>
    <w:basedOn w:val="DefaultParagraphFont"/>
    <w:link w:val="Quote"/>
    <w:uiPriority w:val="29"/>
    <w:rsid w:val="00F025E2"/>
    <w:rPr>
      <w:i/>
      <w:iCs/>
      <w:color w:val="404040" w:themeColor="text1" w:themeTint="BF"/>
    </w:rPr>
  </w:style>
  <w:style w:type="paragraph" w:styleId="ListParagraph">
    <w:name w:val="List Paragraph"/>
    <w:basedOn w:val="Normal"/>
    <w:uiPriority w:val="34"/>
    <w:qFormat/>
    <w:rsid w:val="00F025E2"/>
    <w:pPr>
      <w:ind w:left="720"/>
      <w:contextualSpacing/>
    </w:pPr>
  </w:style>
  <w:style w:type="character" w:styleId="IntenseEmphasis">
    <w:name w:val="Intense Emphasis"/>
    <w:basedOn w:val="DefaultParagraphFont"/>
    <w:uiPriority w:val="21"/>
    <w:qFormat/>
    <w:rsid w:val="00F025E2"/>
    <w:rPr>
      <w:i/>
      <w:iCs/>
      <w:color w:val="2F5496" w:themeColor="accent1" w:themeShade="BF"/>
    </w:rPr>
  </w:style>
  <w:style w:type="paragraph" w:styleId="IntenseQuote">
    <w:name w:val="Intense Quote"/>
    <w:basedOn w:val="Normal"/>
    <w:next w:val="Normal"/>
    <w:link w:val="IntenseQuoteChar"/>
    <w:uiPriority w:val="30"/>
    <w:qFormat/>
    <w:rsid w:val="00F025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25E2"/>
    <w:rPr>
      <w:i/>
      <w:iCs/>
      <w:color w:val="2F5496" w:themeColor="accent1" w:themeShade="BF"/>
    </w:rPr>
  </w:style>
  <w:style w:type="character" w:styleId="IntenseReference">
    <w:name w:val="Intense Reference"/>
    <w:basedOn w:val="DefaultParagraphFont"/>
    <w:uiPriority w:val="32"/>
    <w:qFormat/>
    <w:rsid w:val="00F025E2"/>
    <w:rPr>
      <w:b/>
      <w:bCs/>
      <w:smallCaps/>
      <w:color w:val="2F5496" w:themeColor="accent1" w:themeShade="BF"/>
      <w:spacing w:val="5"/>
    </w:rPr>
  </w:style>
  <w:style w:type="character" w:styleId="Hyperlink">
    <w:name w:val="Hyperlink"/>
    <w:basedOn w:val="DefaultParagraphFont"/>
    <w:uiPriority w:val="99"/>
    <w:unhideWhenUsed/>
    <w:rsid w:val="00F025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2/9/section/27" TargetMode="External"/><Relationship Id="rId13" Type="http://schemas.openxmlformats.org/officeDocument/2006/relationships/hyperlink" Target="https://www.legislation.gov.uk/ukpga/1996/40/contents" TargetMode="External"/><Relationship Id="rId18" Type="http://schemas.openxmlformats.org/officeDocument/2006/relationships/hyperlink" Target="https://www.gov.uk/government/publications/land-registry-plans-guide-overview/practice-guide-40-guide-overview-of-land-registry-pla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ra.org.uk/solicitors/standards-regulations/code-conduct-solicitors/" TargetMode="External"/><Relationship Id="rId7" Type="http://schemas.openxmlformats.org/officeDocument/2006/relationships/webSettings" Target="webSettings.xml"/><Relationship Id="rId12" Type="http://schemas.openxmlformats.org/officeDocument/2006/relationships/hyperlink" Target="https://www.legislation.gov.uk/uksi/2017/692/contents" TargetMode="External"/><Relationship Id="rId17" Type="http://schemas.openxmlformats.org/officeDocument/2006/relationships/hyperlink" Target="https://www.legislation.gov.uk/ukpga/1991/56/contents" TargetMode="External"/><Relationship Id="rId25" Type="http://schemas.openxmlformats.org/officeDocument/2006/relationships/hyperlink" Target="https://www.gov.wales/land-transaction-tax-rates-and-bands" TargetMode="External"/><Relationship Id="rId2" Type="http://schemas.openxmlformats.org/officeDocument/2006/relationships/customXml" Target="../customXml/item2.xml"/><Relationship Id="rId16" Type="http://schemas.openxmlformats.org/officeDocument/2006/relationships/hyperlink" Target="https://www.legislation.gov.uk/ukpga/1994/23/contents" TargetMode="External"/><Relationship Id="rId20" Type="http://schemas.openxmlformats.org/officeDocument/2006/relationships/hyperlink" Target="https://www.sra.org.uk/solicitors/standards-regulations/accounts-ru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Geo5/15-16/20" TargetMode="External"/><Relationship Id="rId24" Type="http://schemas.openxmlformats.org/officeDocument/2006/relationships/hyperlink" Target="https://lendershandbook.ukfinance.org.uk/lenders-handbook/" TargetMode="External"/><Relationship Id="rId5" Type="http://schemas.openxmlformats.org/officeDocument/2006/relationships/styles" Target="styles.xml"/><Relationship Id="rId15" Type="http://schemas.openxmlformats.org/officeDocument/2006/relationships/hyperlink" Target="https://www.legislation.gov.uk/ukpga/1990/8/contents" TargetMode="External"/><Relationship Id="rId23" Type="http://schemas.openxmlformats.org/officeDocument/2006/relationships/hyperlink" Target="https://www.lawsociety.org.uk/topics/property/conveyancing-protocol" TargetMode="External"/><Relationship Id="rId10" Type="http://schemas.openxmlformats.org/officeDocument/2006/relationships/hyperlink" Target="https://www.legislation.gov.uk/anaw/2017/1/contents" TargetMode="External"/><Relationship Id="rId19" Type="http://schemas.openxmlformats.org/officeDocument/2006/relationships/hyperlink" Target="https://www.gov.uk/government/publications/registration-of-mines-and-minerals/practice-guide-65-registration-of-mines-and-minerals" TargetMode="External"/><Relationship Id="rId4" Type="http://schemas.openxmlformats.org/officeDocument/2006/relationships/numbering" Target="numbering.xml"/><Relationship Id="rId9" Type="http://schemas.openxmlformats.org/officeDocument/2006/relationships/hyperlink" Target="https://www.legislation.gov.uk/uksi/2021/1226/pdfs/uksi_20211226_en.pdf" TargetMode="External"/><Relationship Id="rId14" Type="http://schemas.openxmlformats.org/officeDocument/2006/relationships/hyperlink" Target="https://www.legislation.gov.uk/aep/WillandMar/1/30/contents" TargetMode="External"/><Relationship Id="rId22" Type="http://schemas.openxmlformats.org/officeDocument/2006/relationships/hyperlink" Target="https://www.sra.org.uk/solicitors/standards-regulations/transparency-rul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ddfe44a316c0164626b2a71c48a667c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9b48e57ab8b7f11d1cf925edec6f5b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258EF61-E27E-44DD-8084-017279599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37EF19-2A2D-4F1E-BA6E-C81D20392BE8}">
  <ds:schemaRefs>
    <ds:schemaRef ds:uri="http://schemas.microsoft.com/sharepoint/v3/contenttype/forms"/>
  </ds:schemaRefs>
</ds:datastoreItem>
</file>

<file path=customXml/itemProps3.xml><?xml version="1.0" encoding="utf-8"?>
<ds:datastoreItem xmlns:ds="http://schemas.openxmlformats.org/officeDocument/2006/customXml" ds:itemID="{BFFD473B-9D17-45A0-A9CF-6FC1261A3FC1}">
  <ds:schemaRefs>
    <ds:schemaRef ds:uri="http://purl.org/dc/dcmitype/"/>
    <ds:schemaRef ds:uri="http://purl.org/dc/elements/1.1/"/>
    <ds:schemaRef ds:uri="http://purl.org/dc/terms/"/>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bd2b2a82-bc2e-4fcc-b8ad-fd63686c78d2"/>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2713</Words>
  <Characters>15410</Characters>
  <Application>Microsoft Office Word</Application>
  <DocSecurity>0</DocSecurity>
  <Lines>335</Lines>
  <Paragraphs>130</Paragraphs>
  <ScaleCrop>false</ScaleCrop>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2</cp:revision>
  <dcterms:created xsi:type="dcterms:W3CDTF">2025-11-14T23:52:00Z</dcterms:created>
  <dcterms:modified xsi:type="dcterms:W3CDTF">2025-11-14T23:52:00Z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ce786a17-d2f6-4c74-84f0-cb0d75a15b6d</vt:lpwstr>
  </property>
  <property fmtid="{D5CDD505-2E9C-101B-9397-08002B2CF9AE}" pid="3" name="ContentTypeId">
    <vt:lpwstr>0x01010096C48B67E562FF45ADD1FE43E2BC7706</vt:lpwstr>
  </property>
</Properties>
</file>