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B7157" w14:textId="77777777" w:rsidR="005D2215" w:rsidRPr="005D2215" w:rsidRDefault="005D2215" w:rsidP="005D2215">
      <w:pPr>
        <w:jc w:val="center"/>
        <w:rPr>
          <w:rFonts w:ascii="Times New Roman" w:hAnsi="Times New Roman" w:cs="Times New Roman"/>
          <w:b/>
          <w:bCs/>
          <w:sz w:val="32"/>
          <w:szCs w:val="32"/>
          <w:lang w:eastAsia="en-GB"/>
        </w:rPr>
      </w:pPr>
      <w:r w:rsidRPr="005D2215">
        <w:rPr>
          <w:rFonts w:ascii="Times New Roman" w:hAnsi="Times New Roman" w:cs="Times New Roman"/>
          <w:b/>
          <w:bCs/>
          <w:sz w:val="32"/>
          <w:szCs w:val="32"/>
          <w:lang w:eastAsia="en-GB"/>
        </w:rPr>
        <w:t>Causes, Lessons, and Future Directions After the 2007–08 Global Financial Crisis</w:t>
      </w:r>
    </w:p>
    <w:p w14:paraId="646818D4" w14:textId="5C942F3A" w:rsidR="005D2215" w:rsidRPr="005D2215" w:rsidRDefault="005D2215" w:rsidP="005D2215">
      <w:pPr>
        <w:rPr>
          <w:rFonts w:ascii="Times New Roman" w:hAnsi="Times New Roman" w:cs="Times New Roman"/>
          <w:lang w:eastAsia="en-GB"/>
        </w:rPr>
      </w:pPr>
      <w:r w:rsidRPr="005D2215">
        <w:rPr>
          <w:rFonts w:ascii="Times New Roman" w:hAnsi="Times New Roman" w:cs="Times New Roman"/>
          <w:lang w:eastAsia="en-GB"/>
        </w:rPr>
        <w:t>The 2007–2008 global financial crisis was triggered by excessive risk-taking incentivised by short-term gains, failures in risk management and corporate governance, and weaknesses in financial regulation. In the pre-crisis boom, many banks pursued high-leverage strategies that yielded short-term profits. Executive pay packages tied to immediate stock performance encouraged reckless behaviour. When the U.S. housing bubble burst and credit markets froze, these vulnerabilities led to a cascading failure of major financial institutions and a severe global recession. The crisis shattered public</w:t>
      </w:r>
      <w:r>
        <w:rPr>
          <w:rFonts w:ascii="Times New Roman" w:hAnsi="Times New Roman" w:cs="Times New Roman"/>
          <w:lang w:eastAsia="en-GB"/>
        </w:rPr>
        <w:t xml:space="preserve"> </w:t>
      </w:r>
      <w:r w:rsidRPr="005D2215">
        <w:rPr>
          <w:rFonts w:ascii="Times New Roman" w:hAnsi="Times New Roman" w:cs="Times New Roman"/>
          <w:lang w:eastAsia="en-GB"/>
        </w:rPr>
        <w:t>trust in financial institutions, as even top bankers failed to anticipate the collapse. Many bank CEOs who heavily invested in their own stock saw their fortunes plummet with their firms.</w:t>
      </w:r>
    </w:p>
    <w:p w14:paraId="088D7162" w14:textId="3B162B9E" w:rsidR="005D2215" w:rsidRPr="005D2215" w:rsidRDefault="005D2215" w:rsidP="005D2215">
      <w:pPr>
        <w:rPr>
          <w:rFonts w:ascii="Times New Roman" w:hAnsi="Times New Roman" w:cs="Times New Roman"/>
          <w:lang w:eastAsia="en-GB"/>
        </w:rPr>
      </w:pPr>
      <w:r w:rsidRPr="005D2215">
        <w:rPr>
          <w:rFonts w:ascii="Times New Roman" w:hAnsi="Times New Roman" w:cs="Times New Roman"/>
          <w:lang w:eastAsia="en-GB"/>
        </w:rPr>
        <w:t>In response, a broad</w:t>
      </w:r>
      <w:r>
        <w:rPr>
          <w:rFonts w:ascii="Times New Roman" w:hAnsi="Times New Roman" w:cs="Times New Roman"/>
          <w:lang w:eastAsia="en-GB"/>
        </w:rPr>
        <w:t xml:space="preserve"> </w:t>
      </w:r>
      <w:r w:rsidRPr="005D2215">
        <w:rPr>
          <w:rFonts w:ascii="Times New Roman" w:hAnsi="Times New Roman" w:cs="Times New Roman"/>
          <w:lang w:eastAsia="en-GB"/>
        </w:rPr>
        <w:t>consensus has emerge</w:t>
      </w:r>
      <w:r>
        <w:rPr>
          <w:rFonts w:ascii="Times New Roman" w:hAnsi="Times New Roman" w:cs="Times New Roman"/>
          <w:lang w:eastAsia="en-GB"/>
        </w:rPr>
        <w:t xml:space="preserve">d </w:t>
      </w:r>
      <w:r w:rsidRPr="005D2215">
        <w:rPr>
          <w:rFonts w:ascii="Times New Roman" w:hAnsi="Times New Roman" w:cs="Times New Roman"/>
          <w:lang w:eastAsia="en-GB"/>
        </w:rPr>
        <w:t>on reforms to prevent a repeat. Key lessons include the need to align executive incentives with long-term outcomes, strengthen risk oversight and governance, and restore trust through accountability. Policymakers worldwide, including in the UK, have adopted measures such as deferred bonuses and clawbacks to curb short-termism, increased bank capital buffers, and enhanced monitoring of systemic risks. The United Kingdom, as a major financial hub, has a pivotal role in this agenda. By reforming bankers’ pay, improving risk governance, embracing a stakeholder-oriented approach, and coordinating globally on regulation, the UK can help build a more resilient and responsible financial system for the future.</w:t>
      </w:r>
    </w:p>
    <w:p w14:paraId="35437373" w14:textId="77777777" w:rsidR="005D2215" w:rsidRPr="005D2215" w:rsidRDefault="005D2215" w:rsidP="005D2215">
      <w:pPr>
        <w:rPr>
          <w:rFonts w:ascii="Times New Roman" w:hAnsi="Times New Roman" w:cs="Times New Roman"/>
          <w:lang w:eastAsia="en-GB"/>
        </w:rPr>
      </w:pPr>
      <w:r w:rsidRPr="005D2215">
        <w:rPr>
          <w:rFonts w:ascii="Times New Roman" w:hAnsi="Times New Roman" w:cs="Times New Roman"/>
          <w:lang w:eastAsia="en-GB"/>
        </w:rPr>
        <w:t>The collapse of global financial markets in 2007–08 was the worst financial shock since the Great Depression. What began as rising U.S. subprime mortgage defaults snowballed into a full-blown banking crisis that required unprecedented government intervention in the US, UK, and elsewhere. Beyond the immense economic damage, millions of jobs were lost. (Farber, 2015) The crisis shattered confidence in the governance of major financial institutions. As the OECD’s Secretary-General observed in 2009, the turmoil “has done a lot of harm to the public trust in the institutions, the principles and the concept itself of the market economy”. Understanding the root causes of the crisis is essential to designing effective reforms and avoiding a repeat.</w:t>
      </w:r>
    </w:p>
    <w:p w14:paraId="77B0DB1D" w14:textId="77777777" w:rsidR="005D2215" w:rsidRPr="005D2215" w:rsidRDefault="005D2215" w:rsidP="005D2215">
      <w:pPr>
        <w:rPr>
          <w:rFonts w:ascii="Times New Roman" w:hAnsi="Times New Roman" w:cs="Times New Roman"/>
          <w:lang w:eastAsia="en-GB"/>
        </w:rPr>
      </w:pPr>
      <w:r w:rsidRPr="005D2215">
        <w:rPr>
          <w:rFonts w:ascii="Times New Roman" w:hAnsi="Times New Roman" w:cs="Times New Roman"/>
          <w:lang w:eastAsia="en-GB"/>
        </w:rPr>
        <w:t>This paper will walk us through the main causes of the 2007–08 financial crisis and the lessons learned from it, drawing on research into executive compensation, corporate governance, risk management, and the balance between shareholder and stakeholder interests. It then presents forward-looking recommendations, with an emphasis on the United Kingdom’s financial sector, to strengthen financial stability and governance. By analysing how misaligned incentives and governance failures contributed to the crisis, we can identify what changes are needed to make the financial system safer and more accountable going forward.</w:t>
      </w:r>
    </w:p>
    <w:p w14:paraId="56D2EDA8" w14:textId="77777777" w:rsidR="005D2215" w:rsidRPr="005D2215" w:rsidRDefault="005D2215" w:rsidP="005D2215">
      <w:pPr>
        <w:rPr>
          <w:rFonts w:ascii="Times New Roman" w:hAnsi="Times New Roman" w:cs="Times New Roman"/>
          <w:lang w:eastAsia="en-GB"/>
        </w:rPr>
      </w:pPr>
      <w:r w:rsidRPr="005D2215">
        <w:rPr>
          <w:rFonts w:ascii="Times New Roman" w:hAnsi="Times New Roman" w:cs="Times New Roman"/>
          <w:lang w:eastAsia="en-GB"/>
        </w:rPr>
        <w:t>One fundamental cause of the crisis wasperverse incentive structures in bank executive pay. In the years before 2008, many bank CEOs had compensation packages heavily tied to short-term profits and stock price gains, encouraging excessive risk-taking at the expense of long-</w:t>
      </w:r>
      <w:r w:rsidRPr="005D2215">
        <w:rPr>
          <w:rFonts w:ascii="Times New Roman" w:hAnsi="Times New Roman" w:cs="Times New Roman"/>
          <w:lang w:eastAsia="en-GB"/>
        </w:rPr>
        <w:lastRenderedPageBreak/>
        <w:t>term stability. Research confirms that banks’ pay arrangements enabled executives to cash out large amounts of bonus and equity compensation before the long-term consequences of their decisions were realised. (Bebchuk &amp; Fried, 2012) This gave leaders a strong motive to chase immediate results with too little regard for future risks. Moreover, bank CEOs’ wealth was largely tied to equity, giving them a one-sided bet: if risky investments succeeded, they profited, but if they failed, much of the downside would fall on creditors or taxpayers. In effect, pay was linked to“highly levered bets on the value of banks’ assets,” giving executives little incentive to account for potential losses to others. This moral hazard, privatising gains while socialising losses, fuelled imprudent risk-taking.</w:t>
      </w:r>
    </w:p>
    <w:p w14:paraId="74F4251D" w14:textId="3BE4B450" w:rsidR="005D2215" w:rsidRPr="005D2215" w:rsidRDefault="005D2215" w:rsidP="005D2215">
      <w:pPr>
        <w:rPr>
          <w:rFonts w:ascii="Times New Roman" w:hAnsi="Times New Roman" w:cs="Times New Roman"/>
          <w:lang w:eastAsia="en-GB"/>
        </w:rPr>
      </w:pPr>
      <w:r w:rsidRPr="005D2215">
        <w:rPr>
          <w:rFonts w:ascii="Times New Roman" w:hAnsi="Times New Roman" w:cs="Times New Roman"/>
          <w:lang w:eastAsia="en-GB"/>
        </w:rPr>
        <w:t>Paradoxically, making CEOs into big shareholders did not curb risk and may have worsened it. One study found that banks whose CEOs were</w:t>
      </w:r>
      <w:r>
        <w:rPr>
          <w:rFonts w:ascii="Times New Roman" w:hAnsi="Times New Roman" w:cs="Times New Roman"/>
          <w:lang w:eastAsia="en-GB"/>
        </w:rPr>
        <w:t xml:space="preserve"> </w:t>
      </w:r>
      <w:r w:rsidRPr="005D2215">
        <w:rPr>
          <w:rFonts w:ascii="Times New Roman" w:hAnsi="Times New Roman" w:cs="Times New Roman"/>
          <w:lang w:eastAsia="en-GB"/>
        </w:rPr>
        <w:t>more closely aligned with shareholders actually performed worse during 2007–08, with no evidence of better performance. These executives, emboldened by their equity stakes, took aggressive risks that markets applauded in the boom but that proved calamitous in the bust. Many of them ultimately suffered enormous personal wealth losses when their banks collapsed, showing that even insiders vastly underestimated the dangers. In sum, misaligned, short-term-focused pay incentives were a major driver of the reckless behaviour leading up to the crisis.</w:t>
      </w:r>
    </w:p>
    <w:p w14:paraId="5540B6A1" w14:textId="1E01364F" w:rsidR="005D2215" w:rsidRPr="005D2215" w:rsidRDefault="005D2215" w:rsidP="005D2215">
      <w:pPr>
        <w:rPr>
          <w:rFonts w:ascii="Times New Roman" w:hAnsi="Times New Roman" w:cs="Times New Roman"/>
          <w:lang w:eastAsia="en-GB"/>
        </w:rPr>
      </w:pPr>
      <w:r w:rsidRPr="005D2215">
        <w:rPr>
          <w:rFonts w:ascii="Times New Roman" w:hAnsi="Times New Roman" w:cs="Times New Roman"/>
          <w:lang w:eastAsia="en-GB"/>
        </w:rPr>
        <w:t>The crisis also exposed severe failures in risk management and corporate governance within financial institutions. Boards and senior executives failed to rein in the build-up of risky assets and leverage, often treating risk controls as a formality. A study of Chief Risk Officers at large banks before the crisis found that many banks’ risk frameworks were still “works-in-progress” by 2007 and had not fully matured when turmoil hit. CROs in different firms had</w:t>
      </w:r>
      <w:r>
        <w:rPr>
          <w:rFonts w:ascii="Times New Roman" w:hAnsi="Times New Roman" w:cs="Times New Roman"/>
          <w:lang w:eastAsia="en-GB"/>
        </w:rPr>
        <w:t xml:space="preserve"> </w:t>
      </w:r>
      <w:r w:rsidRPr="005D2215">
        <w:rPr>
          <w:rFonts w:ascii="Times New Roman" w:hAnsi="Times New Roman" w:cs="Times New Roman"/>
          <w:lang w:eastAsia="en-GB"/>
        </w:rPr>
        <w:t>divergent philosophies on risk modelling. Some “quantitative enthusiasts” rely on complex models, while others</w:t>
      </w:r>
      <w:r w:rsidR="00B72DBD">
        <w:rPr>
          <w:rFonts w:ascii="Times New Roman" w:hAnsi="Times New Roman" w:cs="Times New Roman"/>
          <w:lang w:eastAsia="en-GB"/>
        </w:rPr>
        <w:t>,</w:t>
      </w:r>
      <w:r w:rsidRPr="005D2215">
        <w:rPr>
          <w:rFonts w:ascii="Times New Roman" w:hAnsi="Times New Roman" w:cs="Times New Roman"/>
          <w:lang w:eastAsia="en-GB"/>
        </w:rPr>
        <w:t xml:space="preserve"> “quantitative sceptics”, favour expert judgment, leading to inconsistent risk cultures and an “expectations gap” in the role of risk management. (Mikes, 2008) During the credit boom, even when risk officers raised alarms, their warnings were often ignored by executives fixated on short-term revenue. In effect, governance structures failed to empower risk managers as a check on excessive risk-taking. CROs struggled to balance enforcement and advisory roles, and too much emphasis on being a “business partner” to the front office. The result was that many banks marched blindly into perilous waters without robust internal checks.</w:t>
      </w:r>
    </w:p>
    <w:p w14:paraId="2EAB2A50" w14:textId="77777777" w:rsidR="005D2215" w:rsidRPr="005D2215" w:rsidRDefault="005D2215" w:rsidP="005D2215">
      <w:pPr>
        <w:rPr>
          <w:rFonts w:ascii="Times New Roman" w:hAnsi="Times New Roman" w:cs="Times New Roman"/>
          <w:lang w:eastAsia="en-GB"/>
        </w:rPr>
      </w:pPr>
      <w:r w:rsidRPr="005D2215">
        <w:rPr>
          <w:rFonts w:ascii="Times New Roman" w:hAnsi="Times New Roman" w:cs="Times New Roman"/>
          <w:lang w:eastAsia="en-GB"/>
        </w:rPr>
        <w:t>A prevailing shareholder-centric mindset in corporate governance also contributed to the crisis. The crisis “exposed major weaknesses” in the idea that empowering shareholders always improves outcomes. In practice, shareholders before 2008 often pushed banks toward greater leverage and risk, penalising cautious banks and fuelling a herd mentality. Executives felt pressure to keep up with competitors’ risky strategies to satisfy the market, even at the expense of long-term stability.</w:t>
      </w:r>
    </w:p>
    <w:p w14:paraId="77830125" w14:textId="2F8D2B8C" w:rsidR="005D2215" w:rsidRPr="005D2215" w:rsidRDefault="005D2215" w:rsidP="005D2215">
      <w:pPr>
        <w:rPr>
          <w:rFonts w:ascii="Times New Roman" w:hAnsi="Times New Roman" w:cs="Times New Roman"/>
          <w:lang w:eastAsia="en-GB"/>
        </w:rPr>
      </w:pPr>
      <w:r w:rsidRPr="005D2215">
        <w:rPr>
          <w:rFonts w:ascii="Times New Roman" w:hAnsi="Times New Roman" w:cs="Times New Roman"/>
          <w:lang w:eastAsia="en-GB"/>
        </w:rPr>
        <w:t>However, what maximises shareholder value can be harmful to society. As one legal analysis noted, bank shareholders often benefit from risk-taking</w:t>
      </w:r>
      <w:r w:rsidR="00B72DBD">
        <w:rPr>
          <w:rFonts w:ascii="Times New Roman" w:hAnsi="Times New Roman" w:cs="Times New Roman"/>
          <w:lang w:eastAsia="en-GB"/>
        </w:rPr>
        <w:t xml:space="preserve"> </w:t>
      </w:r>
      <w:r w:rsidRPr="005D2215">
        <w:rPr>
          <w:rFonts w:ascii="Times New Roman" w:hAnsi="Times New Roman" w:cs="Times New Roman"/>
          <w:lang w:eastAsia="en-GB"/>
        </w:rPr>
        <w:t xml:space="preserve">beyond what is socially desirable. In other words, shareholders had incentives to encourage strategies that boosted short-term profits but left the public bearing the downside risk through eventual bailouts or economic </w:t>
      </w:r>
      <w:r w:rsidRPr="005D2215">
        <w:rPr>
          <w:rFonts w:ascii="Times New Roman" w:hAnsi="Times New Roman" w:cs="Times New Roman"/>
          <w:lang w:eastAsia="en-GB"/>
        </w:rPr>
        <w:lastRenderedPageBreak/>
        <w:t>fallout. Thus, an overemphasis on short-term shareholder value proved disastrous. It drove banks to adopt fragile business models, and when the music stopped, not only were taxpayers and creditors hurt, but shareholders were wiped out as well.</w:t>
      </w:r>
    </w:p>
    <w:p w14:paraId="77CFF095" w14:textId="58D3459A" w:rsidR="005D2215" w:rsidRPr="005D2215" w:rsidRDefault="005D2215" w:rsidP="005D2215">
      <w:pPr>
        <w:rPr>
          <w:rFonts w:ascii="Times New Roman" w:hAnsi="Times New Roman" w:cs="Times New Roman"/>
          <w:lang w:eastAsia="en-GB"/>
        </w:rPr>
      </w:pPr>
      <w:r w:rsidRPr="005D2215">
        <w:rPr>
          <w:rFonts w:ascii="Times New Roman" w:hAnsi="Times New Roman" w:cs="Times New Roman"/>
          <w:lang w:eastAsia="en-GB"/>
        </w:rPr>
        <w:t>Finally,</w:t>
      </w:r>
      <w:r w:rsidR="00B72DBD">
        <w:rPr>
          <w:rFonts w:ascii="Times New Roman" w:hAnsi="Times New Roman" w:cs="Times New Roman"/>
          <w:lang w:eastAsia="en-GB"/>
        </w:rPr>
        <w:t xml:space="preserve"> </w:t>
      </w:r>
      <w:r w:rsidRPr="005D2215">
        <w:rPr>
          <w:rFonts w:ascii="Times New Roman" w:hAnsi="Times New Roman" w:cs="Times New Roman"/>
          <w:lang w:eastAsia="en-GB"/>
        </w:rPr>
        <w:t>failures in regulation and supervision set the stage for the crisis. In the US and Europe, authorities underestimated mounting systemic risks and failed to adequately curb financial excesses. Risky lending practices and extreme leverage proliferated with little oversight. Regulators placed too much faith in banks’ self-regulation and market discipline, which proved illusory. They also missed warning signs of asset bubbles and dangerous imbalances in the wider economy. In short, public oversight did not keep pace with financial innovation and risk-taking, creating an environment in which banks could accumulate unchecked perilous exposures. The crisis was thus not only a failure of private governance but also of the regulatory framework intended to safeguard the system.</w:t>
      </w:r>
    </w:p>
    <w:p w14:paraId="7F4D85FA" w14:textId="021AF575" w:rsidR="005D2215" w:rsidRPr="005D2215" w:rsidRDefault="005D2215" w:rsidP="005D2215">
      <w:pPr>
        <w:rPr>
          <w:rFonts w:ascii="Times New Roman" w:hAnsi="Times New Roman" w:cs="Times New Roman"/>
          <w:lang w:eastAsia="en-GB"/>
        </w:rPr>
      </w:pPr>
      <w:r w:rsidRPr="005D2215">
        <w:rPr>
          <w:rFonts w:ascii="Times New Roman" w:hAnsi="Times New Roman" w:cs="Times New Roman"/>
          <w:lang w:eastAsia="en-GB"/>
        </w:rPr>
        <w:t>In the aftermath, there is broad global agreement on several key lessons to guide financial policy and corporate governance. Compensation must be structured to discourage short-termism and excessive risk. Pre-crisis, pay was heavily focused on immediate results, which is now discredited. Reforms now mandate deferring a large portion of bonuses over multiple years, multi-year performance evaluations, and clawbacks to recoup pay if losses emerge. Many countries, including the UK, have implemented these measures. Even industry insiders acknowledge the change. For example, Goldman Sachs’ CEO argued that bonuses should be deferred and that senior executives should hold most stock until retirement. The goal is to ensure executives prosper only if their decisions prove sound in the long run. Moreover, effective risk governance is essential. Banks must empower their risk officers and demand active board oversight of risk-taking. Post-crisis, banks are generally required to have a Chief Risk Officer reporting directly to the board, and board-level Risk Committees to set risk appetite and monitor exposures. The lesson is that boards can no longer be hands-off. They need the expertise and diligence to challenge management on risk issues. Risk management should be integral to strategy, not a box-ticking exercise. Regulators and investors now expect bank boards to actively oversee risk and maintain robust internal controls, rather than assuming that “the market knows best.” Furthermore, the crisis showed that</w:t>
      </w:r>
      <w:r w:rsidR="00B72DBD">
        <w:rPr>
          <w:rFonts w:ascii="Times New Roman" w:hAnsi="Times New Roman" w:cs="Times New Roman"/>
          <w:lang w:eastAsia="en-GB"/>
        </w:rPr>
        <w:t xml:space="preserve"> </w:t>
      </w:r>
      <w:r w:rsidRPr="005D2215">
        <w:rPr>
          <w:rFonts w:ascii="Times New Roman" w:hAnsi="Times New Roman" w:cs="Times New Roman"/>
          <w:lang w:eastAsia="en-GB"/>
        </w:rPr>
        <w:t xml:space="preserve">trust is the foundation of finance. Once trust erodes, markets seize up. Restoring trust requires broadening the focus beyond just shareholders. Treating customers, employees, creditors, and communities fairly isn’t just ethical; it makes firms more resilient. Studies show that companies with higher CSR and social responsibility had significantly better stock performance during the 2008–09 crisis, likely because their reservoir of goodwill and trust helped them in a low-trust environment. The lesson is that a stakeholder-oriented approach is crucial for long-term success. Banks that cultivate trust by offering fair products, putting customers first, and building social capital tend to be far better when the overall system is under stress. Accordingly, regulators now place greater emphasis on consumer protection and fair dealing in their supervision. A financial institution that values its stakeholders and reputation is far less likely to take the kind of reckless risks that destroy public trust. Also, policymakers learned the importance of monitoring system-wide risks and not relying on markets to self-correct. Since the crisis, banks must hold much higher capital and liquidity </w:t>
      </w:r>
      <w:r w:rsidRPr="005D2215">
        <w:rPr>
          <w:rFonts w:ascii="Times New Roman" w:hAnsi="Times New Roman" w:cs="Times New Roman"/>
          <w:lang w:eastAsia="en-GB"/>
        </w:rPr>
        <w:lastRenderedPageBreak/>
        <w:t>buffers to absorb shocks, and certain high-risk activities have been curtailed. Regulators created macroprudential bodies to monitor emerging risks across the financial system and developed tools to handle failing institutions so that no bank is “too big to fail.” Fundamentally, there is recognition that</w:t>
      </w:r>
      <w:r w:rsidR="00B72DBD">
        <w:rPr>
          <w:rFonts w:ascii="Times New Roman" w:hAnsi="Times New Roman" w:cs="Times New Roman"/>
          <w:lang w:eastAsia="en-GB"/>
        </w:rPr>
        <w:t xml:space="preserve"> </w:t>
      </w:r>
      <w:r w:rsidRPr="005D2215">
        <w:rPr>
          <w:rFonts w:ascii="Times New Roman" w:hAnsi="Times New Roman" w:cs="Times New Roman"/>
          <w:lang w:eastAsia="en-GB"/>
        </w:rPr>
        <w:t>financial markets need effective oversight. Authorities must be prepared to rein in excesses such as credit booms and asset bubbles before they lead to catastrophe. In short, smart regulation and vigilant supervision are indispensable for preventing another meltdown.</w:t>
      </w:r>
    </w:p>
    <w:p w14:paraId="5C19BFC7" w14:textId="77777777" w:rsidR="005D2215" w:rsidRPr="005D2215" w:rsidRDefault="005D2215" w:rsidP="005D2215">
      <w:pPr>
        <w:rPr>
          <w:rFonts w:ascii="Times New Roman" w:hAnsi="Times New Roman" w:cs="Times New Roman"/>
          <w:lang w:eastAsia="en-GB"/>
        </w:rPr>
      </w:pPr>
      <w:r w:rsidRPr="005D2215">
        <w:rPr>
          <w:rFonts w:ascii="Times New Roman" w:hAnsi="Times New Roman" w:cs="Times New Roman"/>
          <w:lang w:eastAsia="en-GB"/>
        </w:rPr>
        <w:t xml:space="preserve">Building on these lessons, the following recommendations aim to strengthen financial stability and governance, with a focus on steps the United Kingdom can take. First, the UK should further tighten rules on banker pay so that executives are rewarded for sustainable performance rather than short-term gains. Regulators should require deferring a large portion of bonuses for multiple years and enforce clawbacks if losses occur. Senior executives should also be compelled to hold a significant share of their stock awards long-term, for example, until retirement. Additionally, the UK could mandate that part of bonuses be paid in bonds or other debt-like instruments, so that if the bank experiences distress, executives share the pain. Such steps would better align managers’ incentives with the long-term health of their institutions. In addition, ensure every major bank has an independent Chief Risk Officer with a direct line to the board and the authority to veto or escalate overly risky proposals. Boards should formally set the firm’s risk tolerance and vet major business decisions for risk implications. Regulators must hold senior managers accountable for maintaining prudent risk practices as the UK’s Senior Managers regime does, and continue rigorous stress tests to evaluate banks’ risk resilience. The overarching goal is to embed a culture in which risk management is central to decision-making, making it impossible to ignore warning signs as some banks did before 2008. Moreover, the UK should promote a more stakeholder-inclusive approach to bank governance. Directors are legally obligated (under Section 172 of the Companies Act) to consider employees, customers, and other stakeholders, not just shareholders. This duty should be enforced and made transparent. For example, banks could be required to report how board decisions took stakeholder interests into account. The government might encourage large banks to consult stakeholder advisory panels or even include employee or customer representatives in certain governance processes. Also, regulators should encourage banks to build “social capital” by treating customers fairly and investing in community trust, as evidence suggests that banks with greater stakeholder trust were more resilient in the crisis. By moving beyond narrow shareholder primacy, the UK can foster a banking culture that prioritises long-term reputation and stability. Lastly, the UK should remain a leader in global regulatory standards and vigilance against systemic risks. Domestically, authorities should regularly review the regulatory architecture to ensure no gaps or overlaps undermine supervision. They should also proactively expand oversight to emerging risks. For instance, bringing more of the shadow banking sector and fintech activities under regulatory oversight to prevent risky blind spots. Internationally, the UK must continue working closely with other major jurisdictions to maintain high standards and avoid regulatory arbitrage. This means fully implementing Basel III capital and liquidity rules and coordinating through forums such as the G20 and the Financial Stability Board so that global banks face consistent requirements. It’s also crucial to have credible resolution plans for large </w:t>
      </w:r>
      <w:r w:rsidRPr="005D2215">
        <w:rPr>
          <w:rFonts w:ascii="Times New Roman" w:hAnsi="Times New Roman" w:cs="Times New Roman"/>
          <w:lang w:eastAsia="en-GB"/>
        </w:rPr>
        <w:lastRenderedPageBreak/>
        <w:t>banks, ensuring that even if a major institution fails, it can be wound down without a taxpayer bailout. By staying vigilant, adapting to innovation, and collaborating globally, the UK can better anticipate and mitigate future financial crises. These recommendations aim to cultivate a financial system in which incentives are balanced toward long-term stability, robust risk oversight is embedded at all levels, and banks operate in a manner that earns society's trust. Implementing these reforms will require sustained political will and cooperation between regulators and industry. There may be pushback from those who favour short-term profits or lighter rules, but maintaining strong safeguards is far better than reliving a crisis. As memories of 2008 fade, the challenge will be to avoid complacency and keep focused on resilience and responsibility.</w:t>
      </w:r>
    </w:p>
    <w:p w14:paraId="62DF2E27" w14:textId="3938FDAE" w:rsidR="005D2215" w:rsidRPr="005D2215" w:rsidRDefault="005D2215" w:rsidP="005D2215">
      <w:pPr>
        <w:rPr>
          <w:rFonts w:ascii="Times New Roman" w:hAnsi="Times New Roman" w:cs="Times New Roman"/>
          <w:lang w:eastAsia="en-GB"/>
        </w:rPr>
      </w:pPr>
      <w:r w:rsidRPr="005D2215">
        <w:rPr>
          <w:rFonts w:ascii="Times New Roman" w:hAnsi="Times New Roman" w:cs="Times New Roman"/>
          <w:lang w:eastAsia="en-GB"/>
        </w:rPr>
        <w:t>In conclusion, the 2007–08 crisis showed how badly things can go wrong when financial incentives and oversight fail. In its wake, the imperative is clear. Banks and regulators must prioritise long-term stability and public trust. The United Kingdom, with its large and influential financial sector, has a major role to play in delivering the necessary reforms, from aligning executive pay and strengthening risk governance to restoring trust through stakeholder accountability. No set of policies can guarantee a crisis will never happen again, but implementing these safeguards greatly improves the system’s resilience against future shocks. The key is to remain vigilant and resist pressure to roll back reforms over time. In short, “never again” must be more than a slogan. It should guide continuous efforts to keep the financial system safe, accountable, and aligned</w:t>
      </w:r>
      <w:r w:rsidR="00F06436">
        <w:rPr>
          <w:rFonts w:ascii="Times New Roman" w:hAnsi="Times New Roman" w:cs="Times New Roman"/>
          <w:lang w:eastAsia="en-GB"/>
        </w:rPr>
        <w:t xml:space="preserve"> </w:t>
      </w:r>
      <w:r w:rsidRPr="005D2215">
        <w:rPr>
          <w:rFonts w:ascii="Times New Roman" w:hAnsi="Times New Roman" w:cs="Times New Roman"/>
          <w:lang w:eastAsia="en-GB"/>
        </w:rPr>
        <w:t>with the broader needs of the economy and society.</w:t>
      </w:r>
    </w:p>
    <w:p w14:paraId="26FA677C" w14:textId="77777777" w:rsidR="005D2215" w:rsidRPr="005D2215" w:rsidRDefault="005D2215" w:rsidP="005D2215">
      <w:pPr>
        <w:rPr>
          <w:rFonts w:ascii="Times New Roman" w:hAnsi="Times New Roman" w:cs="Times New Roman"/>
          <w:sz w:val="36"/>
          <w:szCs w:val="36"/>
          <w:lang w:eastAsia="en-GB"/>
        </w:rPr>
      </w:pPr>
      <w:r w:rsidRPr="005D2215">
        <w:rPr>
          <w:rFonts w:ascii="Times New Roman" w:hAnsi="Times New Roman" w:cs="Times New Roman"/>
          <w:sz w:val="36"/>
          <w:szCs w:val="36"/>
          <w:lang w:eastAsia="en-GB"/>
        </w:rPr>
        <w:t>Bibliography</w:t>
      </w:r>
    </w:p>
    <w:p w14:paraId="6F60C74D" w14:textId="77777777" w:rsidR="005D2215" w:rsidRPr="005D2215" w:rsidRDefault="005D2215" w:rsidP="005D2215">
      <w:pPr>
        <w:rPr>
          <w:rFonts w:ascii="Times New Roman" w:hAnsi="Times New Roman" w:cs="Times New Roman"/>
          <w:lang w:eastAsia="en-GB"/>
        </w:rPr>
      </w:pPr>
      <w:r w:rsidRPr="005D2215">
        <w:rPr>
          <w:rFonts w:ascii="Times New Roman" w:hAnsi="Times New Roman" w:cs="Times New Roman"/>
          <w:lang w:eastAsia="en-GB"/>
        </w:rPr>
        <w:t>Fahlenbrach, R. &amp; Stulz, R. M. (2011).</w:t>
      </w:r>
      <w:r w:rsidRPr="005D2215">
        <w:rPr>
          <w:rFonts w:ascii="Times New Roman" w:hAnsi="Times New Roman" w:cs="Times New Roman"/>
          <w:i/>
          <w:iCs/>
          <w:lang w:eastAsia="en-GB"/>
        </w:rPr>
        <w:t>Bank CEO incentives and the credit crisis.</w:t>
      </w:r>
      <w:r w:rsidRPr="005D2215">
        <w:rPr>
          <w:rFonts w:ascii="Times New Roman" w:hAnsi="Times New Roman" w:cs="Times New Roman"/>
          <w:lang w:eastAsia="en-GB"/>
        </w:rPr>
        <w:t>Journal of Financial Economics, 99(1), 11–26.</w:t>
      </w:r>
    </w:p>
    <w:p w14:paraId="6ECACB35" w14:textId="77777777" w:rsidR="005D2215" w:rsidRPr="005D2215" w:rsidRDefault="005D2215" w:rsidP="005D2215">
      <w:pPr>
        <w:rPr>
          <w:rFonts w:ascii="Times New Roman" w:hAnsi="Times New Roman" w:cs="Times New Roman"/>
          <w:lang w:eastAsia="en-GB"/>
        </w:rPr>
      </w:pPr>
      <w:r w:rsidRPr="005D2215">
        <w:rPr>
          <w:rFonts w:ascii="Times New Roman" w:hAnsi="Times New Roman" w:cs="Times New Roman"/>
          <w:lang w:eastAsia="en-GB"/>
        </w:rPr>
        <w:t>Bebchuk, L. A. &amp; Spamann, H. (2009).</w:t>
      </w:r>
      <w:r w:rsidRPr="005D2215">
        <w:rPr>
          <w:rFonts w:ascii="Times New Roman" w:hAnsi="Times New Roman" w:cs="Times New Roman"/>
          <w:i/>
          <w:iCs/>
          <w:lang w:eastAsia="en-GB"/>
        </w:rPr>
        <w:t>Regulating Bankers’ Pay.</w:t>
      </w:r>
      <w:r w:rsidRPr="005D2215">
        <w:rPr>
          <w:rFonts w:ascii="Times New Roman" w:hAnsi="Times New Roman" w:cs="Times New Roman"/>
          <w:lang w:eastAsia="en-GB"/>
        </w:rPr>
        <w:t>Harvard Law and Economics Discussion Paper No. 641.</w:t>
      </w:r>
    </w:p>
    <w:p w14:paraId="74E2A238" w14:textId="77777777" w:rsidR="005D2215" w:rsidRPr="005D2215" w:rsidRDefault="005D2215" w:rsidP="005D2215">
      <w:pPr>
        <w:rPr>
          <w:rFonts w:ascii="Times New Roman" w:hAnsi="Times New Roman" w:cs="Times New Roman"/>
          <w:lang w:eastAsia="en-GB"/>
        </w:rPr>
      </w:pPr>
      <w:r w:rsidRPr="005D2215">
        <w:rPr>
          <w:rFonts w:ascii="Times New Roman" w:hAnsi="Times New Roman" w:cs="Times New Roman"/>
          <w:lang w:eastAsia="en-GB"/>
        </w:rPr>
        <w:t>Mikes, A. (2008).</w:t>
      </w:r>
      <w:r w:rsidRPr="005D2215">
        <w:rPr>
          <w:rFonts w:ascii="Times New Roman" w:hAnsi="Times New Roman" w:cs="Times New Roman"/>
          <w:i/>
          <w:iCs/>
          <w:lang w:eastAsia="en-GB"/>
        </w:rPr>
        <w:t>Risk Management at Crunch Time: Are Chief Risk Officers Compliance Champions or Business Partners?</w:t>
      </w:r>
      <w:r w:rsidRPr="005D2215">
        <w:rPr>
          <w:rFonts w:ascii="Times New Roman" w:hAnsi="Times New Roman" w:cs="Times New Roman"/>
          <w:lang w:eastAsia="en-GB"/>
        </w:rPr>
        <w:t>Harvard Business School Working Paper.</w:t>
      </w:r>
    </w:p>
    <w:p w14:paraId="357622D3" w14:textId="77777777" w:rsidR="005D2215" w:rsidRPr="005D2215" w:rsidRDefault="005D2215" w:rsidP="005D2215">
      <w:pPr>
        <w:rPr>
          <w:rFonts w:ascii="Times New Roman" w:hAnsi="Times New Roman" w:cs="Times New Roman"/>
          <w:lang w:eastAsia="en-GB"/>
        </w:rPr>
      </w:pPr>
      <w:r w:rsidRPr="005D2215">
        <w:rPr>
          <w:rFonts w:ascii="Times New Roman" w:hAnsi="Times New Roman" w:cs="Times New Roman"/>
          <w:lang w:eastAsia="en-GB"/>
        </w:rPr>
        <w:t>Bratton, W. W. &amp; Wachter, M. L. (2010).</w:t>
      </w:r>
      <w:r w:rsidRPr="005D2215">
        <w:rPr>
          <w:rFonts w:ascii="Times New Roman" w:hAnsi="Times New Roman" w:cs="Times New Roman"/>
          <w:i/>
          <w:iCs/>
          <w:lang w:eastAsia="en-GB"/>
        </w:rPr>
        <w:t>The Case Against Shareholder Empowerment.</w:t>
      </w:r>
      <w:r w:rsidRPr="005D2215">
        <w:rPr>
          <w:rFonts w:ascii="Times New Roman" w:hAnsi="Times New Roman" w:cs="Times New Roman"/>
          <w:lang w:eastAsia="en-GB"/>
        </w:rPr>
        <w:t>University of Pennsylvania Law Review, 158(3), 653–728.</w:t>
      </w:r>
    </w:p>
    <w:p w14:paraId="1022C276" w14:textId="77777777" w:rsidR="005D2215" w:rsidRPr="005D2215" w:rsidRDefault="005D2215" w:rsidP="005D2215">
      <w:pPr>
        <w:rPr>
          <w:rFonts w:ascii="Times New Roman" w:hAnsi="Times New Roman" w:cs="Times New Roman"/>
          <w:lang w:eastAsia="en-GB"/>
        </w:rPr>
      </w:pPr>
      <w:r w:rsidRPr="005D2215">
        <w:rPr>
          <w:rFonts w:ascii="Times New Roman" w:hAnsi="Times New Roman" w:cs="Times New Roman"/>
          <w:lang w:eastAsia="en-GB"/>
        </w:rPr>
        <w:t>Lins, K. V., Servaes, H., &amp; Tamayo, A. (2017).</w:t>
      </w:r>
      <w:r w:rsidRPr="005D2215">
        <w:rPr>
          <w:rFonts w:ascii="Times New Roman" w:hAnsi="Times New Roman" w:cs="Times New Roman"/>
          <w:i/>
          <w:iCs/>
          <w:lang w:eastAsia="en-GB"/>
        </w:rPr>
        <w:t>Social Capital, Trust, and Firm Performance: The Value of Corporate Social Responsibility during the Financial Crisis.</w:t>
      </w:r>
      <w:r w:rsidRPr="005D2215">
        <w:rPr>
          <w:rFonts w:ascii="Times New Roman" w:hAnsi="Times New Roman" w:cs="Times New Roman"/>
          <w:lang w:eastAsia="en-GB"/>
        </w:rPr>
        <w:t>Journal of Finance, 72(4), 1785–1823.</w:t>
      </w:r>
    </w:p>
    <w:p w14:paraId="208AD920" w14:textId="7EF42B36" w:rsidR="005D2215" w:rsidRPr="005D2215" w:rsidRDefault="005D2215" w:rsidP="005D2215">
      <w:pPr>
        <w:rPr>
          <w:rFonts w:ascii="Times New Roman" w:hAnsi="Times New Roman" w:cs="Times New Roman"/>
          <w:lang w:eastAsia="en-GB"/>
        </w:rPr>
      </w:pPr>
      <w:r w:rsidRPr="005D2215">
        <w:rPr>
          <w:rFonts w:ascii="Times New Roman" w:hAnsi="Times New Roman" w:cs="Times New Roman"/>
          <w:lang w:eastAsia="en-GB"/>
        </w:rPr>
        <w:t xml:space="preserve">Farber, H. S. (2015). Job Loss in the Great Recession and its Aftermath: U.S. Evidence from the Displaced Workers Survey. National Bureau of Economic Research. </w:t>
      </w:r>
      <w:hyperlink r:id="rId5" w:history="1">
        <w:r w:rsidRPr="005D2215">
          <w:rPr>
            <w:rStyle w:val="Hyperlink"/>
            <w:rFonts w:ascii="Times New Roman" w:hAnsi="Times New Roman" w:cs="Times New Roman"/>
            <w:lang w:eastAsia="en-GB"/>
          </w:rPr>
          <w:t>https://doi.org/10.3386/w21216</w:t>
        </w:r>
      </w:hyperlink>
      <w:r w:rsidRPr="005D2215">
        <w:rPr>
          <w:rFonts w:ascii="Times New Roman" w:hAnsi="Times New Roman" w:cs="Times New Roman"/>
          <w:lang w:eastAsia="en-GB"/>
        </w:rPr>
        <w:t xml:space="preserve"> </w:t>
      </w:r>
    </w:p>
    <w:p w14:paraId="09B85335" w14:textId="03AA794B" w:rsidR="005D2215" w:rsidRPr="005D2215" w:rsidRDefault="005D2215" w:rsidP="005D2215">
      <w:pPr>
        <w:rPr>
          <w:lang w:eastAsia="en-GB"/>
        </w:rPr>
      </w:pPr>
      <w:r w:rsidRPr="005D2215">
        <w:rPr>
          <w:rFonts w:ascii="Times New Roman" w:hAnsi="Times New Roman" w:cs="Times New Roman"/>
          <w:lang w:eastAsia="en-GB"/>
        </w:rPr>
        <w:lastRenderedPageBreak/>
        <w:t xml:space="preserve">Bebchuk, L. A. &amp; Fried, J. M. (2012). Executive Pay and the Financial Crisis. Harvard Law School Forum on Corporate Governance and Financial Regulation. </w:t>
      </w:r>
      <w:hyperlink r:id="rId6" w:history="1">
        <w:r w:rsidRPr="005D2215">
          <w:rPr>
            <w:rStyle w:val="Hyperlink"/>
            <w:rFonts w:ascii="Times New Roman" w:hAnsi="Times New Roman" w:cs="Times New Roman"/>
            <w:lang w:eastAsia="en-GB"/>
          </w:rPr>
          <w:t>https://corpgov.law.harvard.edu/2012/02/01/executive-pay-and-the-financial-crisis/</w:t>
        </w:r>
      </w:hyperlink>
      <w:r>
        <w:rPr>
          <w:lang w:eastAsia="en-GB"/>
        </w:rPr>
        <w:t xml:space="preserve"> </w:t>
      </w:r>
    </w:p>
    <w:p w14:paraId="11A8585F" w14:textId="77777777" w:rsidR="009C223C" w:rsidRDefault="009C223C"/>
    <w:sectPr w:rsidR="009C22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2A3F77"/>
    <w:multiLevelType w:val="multilevel"/>
    <w:tmpl w:val="D3D8AB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3C4507"/>
    <w:multiLevelType w:val="multilevel"/>
    <w:tmpl w:val="DEF4F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EE6277"/>
    <w:multiLevelType w:val="multilevel"/>
    <w:tmpl w:val="745EA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834604"/>
    <w:multiLevelType w:val="multilevel"/>
    <w:tmpl w:val="A288B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4ED62CE"/>
    <w:multiLevelType w:val="multilevel"/>
    <w:tmpl w:val="96B65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84D7F41"/>
    <w:multiLevelType w:val="multilevel"/>
    <w:tmpl w:val="673E2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6973100">
    <w:abstractNumId w:val="2"/>
  </w:num>
  <w:num w:numId="2" w16cid:durableId="951018417">
    <w:abstractNumId w:val="3"/>
  </w:num>
  <w:num w:numId="3" w16cid:durableId="1096748880">
    <w:abstractNumId w:val="5"/>
  </w:num>
  <w:num w:numId="4" w16cid:durableId="1969433038">
    <w:abstractNumId w:val="1"/>
  </w:num>
  <w:num w:numId="5" w16cid:durableId="981890349">
    <w:abstractNumId w:val="4"/>
  </w:num>
  <w:num w:numId="6" w16cid:durableId="14419555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23C"/>
    <w:rsid w:val="00093B94"/>
    <w:rsid w:val="00185A06"/>
    <w:rsid w:val="00435809"/>
    <w:rsid w:val="004B7B99"/>
    <w:rsid w:val="005D2215"/>
    <w:rsid w:val="006B7731"/>
    <w:rsid w:val="00971D62"/>
    <w:rsid w:val="009C223C"/>
    <w:rsid w:val="00A736E4"/>
    <w:rsid w:val="00B72DBD"/>
    <w:rsid w:val="00B875CD"/>
    <w:rsid w:val="00BC1CC2"/>
    <w:rsid w:val="00F06436"/>
    <w:rsid w:val="00F429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CCA97A"/>
  <w15:chartTrackingRefBased/>
  <w15:docId w15:val="{C0FA2D56-1BC9-4648-95D8-94C9DF92C9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22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C22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C22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22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22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22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22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22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22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22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C22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C22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22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22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22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22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22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223C"/>
    <w:rPr>
      <w:rFonts w:eastAsiaTheme="majorEastAsia" w:cstheme="majorBidi"/>
      <w:color w:val="272727" w:themeColor="text1" w:themeTint="D8"/>
    </w:rPr>
  </w:style>
  <w:style w:type="paragraph" w:styleId="Title">
    <w:name w:val="Title"/>
    <w:basedOn w:val="Normal"/>
    <w:next w:val="Normal"/>
    <w:link w:val="TitleChar"/>
    <w:uiPriority w:val="10"/>
    <w:qFormat/>
    <w:rsid w:val="009C22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22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22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22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223C"/>
    <w:pPr>
      <w:spacing w:before="160"/>
      <w:jc w:val="center"/>
    </w:pPr>
    <w:rPr>
      <w:i/>
      <w:iCs/>
      <w:color w:val="404040" w:themeColor="text1" w:themeTint="BF"/>
    </w:rPr>
  </w:style>
  <w:style w:type="character" w:customStyle="1" w:styleId="QuoteChar">
    <w:name w:val="Quote Char"/>
    <w:basedOn w:val="DefaultParagraphFont"/>
    <w:link w:val="Quote"/>
    <w:uiPriority w:val="29"/>
    <w:rsid w:val="009C223C"/>
    <w:rPr>
      <w:i/>
      <w:iCs/>
      <w:color w:val="404040" w:themeColor="text1" w:themeTint="BF"/>
    </w:rPr>
  </w:style>
  <w:style w:type="paragraph" w:styleId="ListParagraph">
    <w:name w:val="List Paragraph"/>
    <w:basedOn w:val="Normal"/>
    <w:uiPriority w:val="34"/>
    <w:qFormat/>
    <w:rsid w:val="009C223C"/>
    <w:pPr>
      <w:ind w:left="720"/>
      <w:contextualSpacing/>
    </w:pPr>
  </w:style>
  <w:style w:type="character" w:styleId="IntenseEmphasis">
    <w:name w:val="Intense Emphasis"/>
    <w:basedOn w:val="DefaultParagraphFont"/>
    <w:uiPriority w:val="21"/>
    <w:qFormat/>
    <w:rsid w:val="009C223C"/>
    <w:rPr>
      <w:i/>
      <w:iCs/>
      <w:color w:val="0F4761" w:themeColor="accent1" w:themeShade="BF"/>
    </w:rPr>
  </w:style>
  <w:style w:type="paragraph" w:styleId="IntenseQuote">
    <w:name w:val="Intense Quote"/>
    <w:basedOn w:val="Normal"/>
    <w:next w:val="Normal"/>
    <w:link w:val="IntenseQuoteChar"/>
    <w:uiPriority w:val="30"/>
    <w:qFormat/>
    <w:rsid w:val="009C22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223C"/>
    <w:rPr>
      <w:i/>
      <w:iCs/>
      <w:color w:val="0F4761" w:themeColor="accent1" w:themeShade="BF"/>
    </w:rPr>
  </w:style>
  <w:style w:type="character" w:styleId="IntenseReference">
    <w:name w:val="Intense Reference"/>
    <w:basedOn w:val="DefaultParagraphFont"/>
    <w:uiPriority w:val="32"/>
    <w:qFormat/>
    <w:rsid w:val="009C223C"/>
    <w:rPr>
      <w:b/>
      <w:bCs/>
      <w:smallCaps/>
      <w:color w:val="0F4761" w:themeColor="accent1" w:themeShade="BF"/>
      <w:spacing w:val="5"/>
    </w:rPr>
  </w:style>
  <w:style w:type="paragraph" w:styleId="NormalWeb">
    <w:name w:val="Normal (Web)"/>
    <w:basedOn w:val="Normal"/>
    <w:uiPriority w:val="99"/>
    <w:semiHidden/>
    <w:unhideWhenUsed/>
    <w:rsid w:val="009C223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9C223C"/>
  </w:style>
  <w:style w:type="character" w:styleId="Strong">
    <w:name w:val="Strong"/>
    <w:basedOn w:val="DefaultParagraphFont"/>
    <w:uiPriority w:val="22"/>
    <w:qFormat/>
    <w:rsid w:val="009C223C"/>
    <w:rPr>
      <w:b/>
      <w:bCs/>
    </w:rPr>
  </w:style>
  <w:style w:type="character" w:styleId="Emphasis">
    <w:name w:val="Emphasis"/>
    <w:basedOn w:val="DefaultParagraphFont"/>
    <w:uiPriority w:val="20"/>
    <w:qFormat/>
    <w:rsid w:val="009C223C"/>
    <w:rPr>
      <w:i/>
      <w:iCs/>
    </w:rPr>
  </w:style>
  <w:style w:type="character" w:styleId="Hyperlink">
    <w:name w:val="Hyperlink"/>
    <w:basedOn w:val="DefaultParagraphFont"/>
    <w:uiPriority w:val="99"/>
    <w:unhideWhenUsed/>
    <w:rsid w:val="005D2215"/>
    <w:rPr>
      <w:color w:val="467886" w:themeColor="hyperlink"/>
      <w:u w:val="single"/>
    </w:rPr>
  </w:style>
  <w:style w:type="character" w:styleId="UnresolvedMention">
    <w:name w:val="Unresolved Mention"/>
    <w:basedOn w:val="DefaultParagraphFont"/>
    <w:uiPriority w:val="99"/>
    <w:semiHidden/>
    <w:unhideWhenUsed/>
    <w:rsid w:val="005D22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85029616">
      <w:bodyDiv w:val="1"/>
      <w:marLeft w:val="0"/>
      <w:marRight w:val="0"/>
      <w:marTop w:val="0"/>
      <w:marBottom w:val="0"/>
      <w:divBdr>
        <w:top w:val="none" w:sz="0" w:space="0" w:color="auto"/>
        <w:left w:val="none" w:sz="0" w:space="0" w:color="auto"/>
        <w:bottom w:val="none" w:sz="0" w:space="0" w:color="auto"/>
        <w:right w:val="none" w:sz="0" w:space="0" w:color="auto"/>
      </w:divBdr>
    </w:div>
    <w:div w:id="1191917988">
      <w:bodyDiv w:val="1"/>
      <w:marLeft w:val="0"/>
      <w:marRight w:val="0"/>
      <w:marTop w:val="0"/>
      <w:marBottom w:val="0"/>
      <w:divBdr>
        <w:top w:val="none" w:sz="0" w:space="0" w:color="auto"/>
        <w:left w:val="none" w:sz="0" w:space="0" w:color="auto"/>
        <w:bottom w:val="none" w:sz="0" w:space="0" w:color="auto"/>
        <w:right w:val="none" w:sz="0" w:space="0" w:color="auto"/>
      </w:divBdr>
    </w:div>
    <w:div w:id="1209031947">
      <w:bodyDiv w:val="1"/>
      <w:marLeft w:val="0"/>
      <w:marRight w:val="0"/>
      <w:marTop w:val="0"/>
      <w:marBottom w:val="0"/>
      <w:divBdr>
        <w:top w:val="none" w:sz="0" w:space="0" w:color="auto"/>
        <w:left w:val="none" w:sz="0" w:space="0" w:color="auto"/>
        <w:bottom w:val="none" w:sz="0" w:space="0" w:color="auto"/>
        <w:right w:val="none" w:sz="0" w:space="0" w:color="auto"/>
      </w:divBdr>
    </w:div>
    <w:div w:id="20294020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orpgov.law.harvard.edu/2012/02/01/executive-pay-and-the-financial-crisis/" TargetMode="External"/><Relationship Id="rId5" Type="http://schemas.openxmlformats.org/officeDocument/2006/relationships/hyperlink" Target="https://doi.org/10.3386/w21216"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86</TotalTime>
  <Pages>6</Pages>
  <Words>2613</Words>
  <Characters>14898</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Narantsatsralt Ganbaatar (2124049)</dc:creator>
  <cp:keywords/>
  <dc:description/>
  <cp:lastModifiedBy>Narantsatsralt Ganbaatar (2124049)</cp:lastModifiedBy>
  <cp:revision>4</cp:revision>
  <dcterms:created xsi:type="dcterms:W3CDTF">2026-01-25T02:57:00Z</dcterms:created>
  <dcterms:modified xsi:type="dcterms:W3CDTF">2026-01-26T04:50:00Z</dcterms:modified>
</cp:coreProperties>
</file>