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A5B81" w:rsidRDefault="006D760A">
      <w:pPr>
        <w:rPr>
          <w:b/>
          <w:sz w:val="28"/>
          <w:u w:val="single"/>
        </w:rPr>
      </w:pPr>
      <w:r>
        <w:rPr>
          <w:b/>
          <w:sz w:val="28"/>
          <w:u w:val="single"/>
        </w:rPr>
        <w:t>PCDA Assignment 1 – Title 1</w:t>
      </w:r>
    </w:p>
    <w:p w:rsidR="006D760A" w:rsidRDefault="006D760A">
      <w:pPr>
        <w:rPr>
          <w:rFonts w:eastAsia="Times New Roman" w:cstheme="minorHAnsi"/>
          <w:b/>
          <w:sz w:val="24"/>
          <w:lang w:eastAsia="en-GB"/>
        </w:rPr>
      </w:pPr>
      <w:r w:rsidRPr="006D760A">
        <w:rPr>
          <w:rFonts w:eastAsia="Times New Roman" w:cstheme="minorHAnsi"/>
          <w:b/>
          <w:sz w:val="24"/>
          <w:lang w:eastAsia="en-GB"/>
        </w:rPr>
        <w:t>Analyse potential links between serious and organised crime and public protection issues and assess the role and impact of MAPPA. Consider the use of community intelligence in managing offenders and evaluate the effectiveness of current public protection practices in investigating public protection incidents and the effect of media coverage on public protection policing strategy.</w:t>
      </w:r>
    </w:p>
    <w:p w:rsidR="006D760A" w:rsidRDefault="006D760A">
      <w:pPr>
        <w:rPr>
          <w:rFonts w:eastAsia="Times New Roman" w:cstheme="minorHAnsi"/>
          <w:sz w:val="24"/>
          <w:lang w:eastAsia="en-GB"/>
        </w:rPr>
      </w:pPr>
    </w:p>
    <w:p w:rsidR="006D760A" w:rsidRDefault="006D760A">
      <w:pPr>
        <w:rPr>
          <w:rFonts w:eastAsia="Times New Roman" w:cstheme="minorHAnsi"/>
          <w:sz w:val="24"/>
          <w:lang w:eastAsia="en-GB"/>
        </w:rPr>
      </w:pPr>
      <w:r>
        <w:rPr>
          <w:rFonts w:eastAsia="Times New Roman" w:cstheme="minorHAnsi"/>
          <w:sz w:val="24"/>
          <w:lang w:eastAsia="en-GB"/>
        </w:rPr>
        <w:t>It can be determined that there is a plausible link between serious and organised crime and public protection issues.  One of the key areas that this can be witnessed during these times is through a form of drug dealing known as County Lines.</w:t>
      </w:r>
    </w:p>
    <w:p w:rsidR="006D760A" w:rsidRDefault="006D760A">
      <w:pPr>
        <w:rPr>
          <w:rFonts w:eastAsia="Times New Roman" w:cstheme="minorHAnsi"/>
          <w:sz w:val="24"/>
          <w:lang w:eastAsia="en-GB"/>
        </w:rPr>
      </w:pPr>
      <w:r>
        <w:rPr>
          <w:rFonts w:eastAsia="Times New Roman" w:cstheme="minorHAnsi"/>
          <w:sz w:val="24"/>
          <w:lang w:eastAsia="en-GB"/>
        </w:rPr>
        <w:t>County Lines, essentially, is a form of dealing which large, city based gangs use in order to infiltrate smaller, often rural communities.</w:t>
      </w:r>
    </w:p>
    <w:p w:rsidR="006D760A" w:rsidRDefault="006D760A">
      <w:pPr>
        <w:rPr>
          <w:rFonts w:eastAsia="Times New Roman" w:cstheme="minorHAnsi"/>
          <w:sz w:val="24"/>
          <w:lang w:eastAsia="en-GB"/>
        </w:rPr>
      </w:pPr>
      <w:r>
        <w:rPr>
          <w:rFonts w:eastAsia="Times New Roman" w:cstheme="minorHAnsi"/>
          <w:sz w:val="24"/>
          <w:lang w:eastAsia="en-GB"/>
        </w:rPr>
        <w:t>In order to do this, gang members from across the UK’s large cities, groom and befriend vulnerable persons, and often children, in order to persuade them into becoming involved in criminality in lieu of the gang.  This criminality can often take the form of dealing drugs for the gang, or becoming incited into violence.</w:t>
      </w:r>
    </w:p>
    <w:p w:rsidR="006D760A" w:rsidRDefault="006D760A">
      <w:pPr>
        <w:rPr>
          <w:rFonts w:eastAsia="Times New Roman" w:cstheme="minorHAnsi"/>
          <w:sz w:val="24"/>
          <w:lang w:eastAsia="en-GB"/>
        </w:rPr>
      </w:pPr>
      <w:r>
        <w:rPr>
          <w:rFonts w:eastAsia="Times New Roman" w:cstheme="minorHAnsi"/>
          <w:sz w:val="24"/>
          <w:lang w:eastAsia="en-GB"/>
        </w:rPr>
        <w:t xml:space="preserve">County Lines relies upon the preying of vulnerable persons by stronger, more affluent gang members, in order to allow the criminality to occur.  Therefore, there is a clear link here between a person’s vulnerabilities in regards to public protection, and the link to organised crime, including how easy it is for persons to become drawn into the world of crime by </w:t>
      </w:r>
      <w:r w:rsidR="006A1BD1">
        <w:rPr>
          <w:rFonts w:eastAsia="Times New Roman" w:cstheme="minorHAnsi"/>
          <w:sz w:val="24"/>
          <w:lang w:eastAsia="en-GB"/>
        </w:rPr>
        <w:t>persons who they</w:t>
      </w:r>
      <w:r w:rsidR="00EB1675">
        <w:rPr>
          <w:rFonts w:eastAsia="Times New Roman" w:cstheme="minorHAnsi"/>
          <w:sz w:val="24"/>
          <w:lang w:eastAsia="en-GB"/>
        </w:rPr>
        <w:t xml:space="preserve"> see to be people to look up to, but who are actually in fact “grooming” them in a sense.  This leads to young or vulnerable people being drawn in to criminality at an early age, and results in them not really understanding their wrong-doings as they are looking up to the more established members of the criminal fraternity for guidance and development, rather </w:t>
      </w:r>
      <w:r w:rsidR="007115FB">
        <w:rPr>
          <w:rFonts w:eastAsia="Times New Roman" w:cstheme="minorHAnsi"/>
          <w:sz w:val="24"/>
          <w:lang w:eastAsia="en-GB"/>
        </w:rPr>
        <w:t>than a more suitable role model (National Crime Agency, 2018).</w:t>
      </w:r>
    </w:p>
    <w:p w:rsidR="00EC2761" w:rsidRDefault="00EC2761" w:rsidP="00EC2761">
      <w:pPr>
        <w:rPr>
          <w:rFonts w:eastAsia="Times New Roman" w:cstheme="minorHAnsi"/>
          <w:sz w:val="24"/>
          <w:lang w:eastAsia="en-GB"/>
        </w:rPr>
      </w:pPr>
      <w:r>
        <w:rPr>
          <w:rFonts w:eastAsia="Times New Roman" w:cstheme="minorHAnsi"/>
          <w:sz w:val="24"/>
          <w:lang w:eastAsia="en-GB"/>
        </w:rPr>
        <w:t>One key way in which offenders are managed and tracked is through a scheme known as MAPPA.  MAPPA stands for Multi Agency Public Protection Arrangements.</w:t>
      </w:r>
    </w:p>
    <w:p w:rsidR="00EC2761" w:rsidRDefault="00EC2761" w:rsidP="00EC2761">
      <w:pPr>
        <w:rPr>
          <w:rFonts w:eastAsia="Times New Roman" w:cstheme="minorHAnsi"/>
          <w:sz w:val="24"/>
          <w:lang w:eastAsia="en-GB"/>
        </w:rPr>
      </w:pPr>
      <w:r>
        <w:rPr>
          <w:rFonts w:eastAsia="Times New Roman" w:cstheme="minorHAnsi"/>
          <w:sz w:val="24"/>
          <w:lang w:eastAsia="en-GB"/>
        </w:rPr>
        <w:t>In basic terms, MAPPA is utilised to ensure that violent and sexual offenders are managed properly and that they can be rehabilitated and eased back into society.  This is done by a collaboration of probation and prison services and the police.  Therefore, it enables for the three agencies to work together to ensure that as much information is shared as possible to enable the best decisions to be made.</w:t>
      </w:r>
    </w:p>
    <w:p w:rsidR="00EC2761" w:rsidRDefault="00EC2761" w:rsidP="00EC2761">
      <w:pPr>
        <w:rPr>
          <w:rFonts w:eastAsia="Times New Roman" w:cstheme="minorHAnsi"/>
          <w:sz w:val="24"/>
          <w:lang w:eastAsia="en-GB"/>
        </w:rPr>
      </w:pPr>
      <w:r>
        <w:rPr>
          <w:rFonts w:eastAsia="Times New Roman" w:cstheme="minorHAnsi"/>
          <w:sz w:val="24"/>
          <w:lang w:eastAsia="en-GB"/>
        </w:rPr>
        <w:t>MAPPA has enabled the establishment of the Violent and Sexual Offenders Register (ViSOR) which is a national, secure database which holds information on all offenders who are monitored under the MAPPA scheme.  This allows for all services to be notified of who is a MAPPA offender, and enables the proper action to be taken should they breach any conditions of orders they may be under.</w:t>
      </w:r>
    </w:p>
    <w:p w:rsidR="00EC2761" w:rsidRDefault="00EC2761" w:rsidP="00EC2761">
      <w:pPr>
        <w:rPr>
          <w:rFonts w:eastAsia="Times New Roman" w:cstheme="minorHAnsi"/>
          <w:sz w:val="24"/>
          <w:lang w:eastAsia="en-GB"/>
        </w:rPr>
      </w:pPr>
      <w:r>
        <w:rPr>
          <w:rFonts w:eastAsia="Times New Roman" w:cstheme="minorHAnsi"/>
          <w:sz w:val="24"/>
          <w:lang w:eastAsia="en-GB"/>
        </w:rPr>
        <w:lastRenderedPageBreak/>
        <w:t>MAPPA is a fantastic tool which can be used, as it enables services, but particularly the police, to be notified of any changes or actions that are required in relation to MAPPA offenders.  This could be things such as being notified of breaches to orders, recalls to prison, or extensions or removals from the ViSOR database (Gov.uk. 2014).</w:t>
      </w:r>
    </w:p>
    <w:p w:rsidR="00EC2761" w:rsidRDefault="00EC2761" w:rsidP="00EC2761">
      <w:pPr>
        <w:rPr>
          <w:rFonts w:eastAsia="Times New Roman" w:cstheme="minorHAnsi"/>
          <w:sz w:val="24"/>
          <w:lang w:eastAsia="en-GB"/>
        </w:rPr>
      </w:pPr>
      <w:r>
        <w:rPr>
          <w:rFonts w:eastAsia="Times New Roman" w:cstheme="minorHAnsi"/>
          <w:sz w:val="24"/>
          <w:lang w:eastAsia="en-GB"/>
        </w:rPr>
        <w:t>Therefore, MAPPA is a fantastic tool to be used in the safeguarding of general members of the public against violent individuals, as all persons on ViSOR can be tracked and identified through the proper channels.</w:t>
      </w:r>
    </w:p>
    <w:p w:rsidR="001018E4" w:rsidRDefault="001018E4" w:rsidP="001018E4">
      <w:pPr>
        <w:rPr>
          <w:rFonts w:eastAsia="Times New Roman" w:cstheme="minorHAnsi"/>
          <w:sz w:val="24"/>
          <w:lang w:eastAsia="en-GB"/>
        </w:rPr>
      </w:pPr>
      <w:r>
        <w:rPr>
          <w:rFonts w:eastAsia="Times New Roman" w:cstheme="minorHAnsi"/>
          <w:sz w:val="24"/>
          <w:lang w:eastAsia="en-GB"/>
        </w:rPr>
        <w:t>Throughout all aspects of policing, the intelligence that is received from the community is second to none in tackling crime in local areas.  This is much the same when it comes to managing offenders, as without the community, then there is little information coming to the police.</w:t>
      </w:r>
    </w:p>
    <w:p w:rsidR="001018E4" w:rsidRDefault="001018E4" w:rsidP="001018E4">
      <w:pPr>
        <w:rPr>
          <w:rFonts w:eastAsia="Times New Roman" w:cstheme="minorHAnsi"/>
          <w:sz w:val="24"/>
          <w:lang w:eastAsia="en-GB"/>
        </w:rPr>
      </w:pPr>
      <w:r>
        <w:rPr>
          <w:rFonts w:eastAsia="Times New Roman" w:cstheme="minorHAnsi"/>
          <w:sz w:val="24"/>
          <w:lang w:eastAsia="en-GB"/>
        </w:rPr>
        <w:t>Community intelligence stems from upstanding members of the community notifying the police of any crime which is being committed in their locality, or even reporting on persons who they believe need some intervention from the police or other services.  It is then down to the police or other services to integrate with that individual in an attempt to tackle the root cause of the issue which they are experiencing.</w:t>
      </w:r>
    </w:p>
    <w:p w:rsidR="001018E4" w:rsidRDefault="001018E4" w:rsidP="001018E4">
      <w:pPr>
        <w:rPr>
          <w:rFonts w:eastAsia="Times New Roman" w:cstheme="minorHAnsi"/>
          <w:sz w:val="24"/>
          <w:lang w:eastAsia="en-GB"/>
        </w:rPr>
      </w:pPr>
      <w:r>
        <w:rPr>
          <w:rFonts w:eastAsia="Times New Roman" w:cstheme="minorHAnsi"/>
          <w:sz w:val="24"/>
          <w:lang w:eastAsia="en-GB"/>
        </w:rPr>
        <w:t>The constant influx of community intelligence leads to police being able to intervene with prolific offenders and potentially get them started on the route to being identified as a ViSOR individual and dealt with through the MAPPA process.</w:t>
      </w:r>
    </w:p>
    <w:p w:rsidR="001018E4" w:rsidRDefault="001018E4" w:rsidP="001018E4">
      <w:pPr>
        <w:rPr>
          <w:rFonts w:eastAsia="Times New Roman" w:cstheme="minorHAnsi"/>
          <w:sz w:val="24"/>
          <w:lang w:eastAsia="en-GB"/>
        </w:rPr>
      </w:pPr>
      <w:r>
        <w:rPr>
          <w:rFonts w:eastAsia="Times New Roman" w:cstheme="minorHAnsi"/>
          <w:sz w:val="24"/>
          <w:lang w:eastAsia="en-GB"/>
        </w:rPr>
        <w:t>This leads to individuals being identified earlier in their criminal lives than would ordinarily be the case, meaning that interventions can be put in place earlier which ultimately is likely to lead to them being less engaged and engrained in criminality than they otherwise would have been.</w:t>
      </w:r>
    </w:p>
    <w:p w:rsidR="001018E4" w:rsidRDefault="001018E4" w:rsidP="001018E4">
      <w:pPr>
        <w:rPr>
          <w:rFonts w:eastAsia="Times New Roman" w:cstheme="minorHAnsi"/>
          <w:sz w:val="24"/>
          <w:lang w:eastAsia="en-GB"/>
        </w:rPr>
      </w:pPr>
      <w:r>
        <w:rPr>
          <w:rFonts w:eastAsia="Times New Roman" w:cstheme="minorHAnsi"/>
          <w:sz w:val="24"/>
          <w:lang w:eastAsia="en-GB"/>
        </w:rPr>
        <w:t>However, there are some aspects of community intelligence that need to be filtered and thought through before being acted upon.  This is due to persons sometimes reporting information to police that is not completely accurate or to the point, meaning that some further investigations are often needed in relation to the information that has been provided (Karen Bullock).</w:t>
      </w:r>
    </w:p>
    <w:p w:rsidR="001018E4" w:rsidRDefault="001018E4" w:rsidP="001018E4">
      <w:pPr>
        <w:rPr>
          <w:rFonts w:eastAsia="Times New Roman" w:cstheme="minorHAnsi"/>
          <w:sz w:val="24"/>
          <w:lang w:eastAsia="en-GB"/>
        </w:rPr>
      </w:pPr>
      <w:r>
        <w:rPr>
          <w:rFonts w:eastAsia="Times New Roman" w:cstheme="minorHAnsi"/>
          <w:sz w:val="24"/>
          <w:lang w:eastAsia="en-GB"/>
        </w:rPr>
        <w:t>Overall however, there are significant benefits to using community intelligence as a way to effectively manage offenders.</w:t>
      </w:r>
    </w:p>
    <w:p w:rsidR="00C61695" w:rsidRDefault="00C61695" w:rsidP="00C61695">
      <w:pPr>
        <w:rPr>
          <w:rFonts w:eastAsia="Times New Roman" w:cstheme="minorHAnsi"/>
          <w:sz w:val="24"/>
          <w:lang w:eastAsia="en-GB"/>
        </w:rPr>
      </w:pPr>
      <w:r>
        <w:rPr>
          <w:rFonts w:eastAsia="Times New Roman" w:cstheme="minorHAnsi"/>
          <w:sz w:val="24"/>
          <w:lang w:eastAsia="en-GB"/>
        </w:rPr>
        <w:t>Current public protection practices which are used to tackle offenders at risk to the general public are, in a whole, effective as long as the offenders are managed properly.</w:t>
      </w:r>
    </w:p>
    <w:p w:rsidR="00C61695" w:rsidRDefault="00C61695" w:rsidP="00C61695">
      <w:pPr>
        <w:rPr>
          <w:rFonts w:eastAsia="Times New Roman" w:cstheme="minorHAnsi"/>
          <w:sz w:val="24"/>
          <w:lang w:eastAsia="en-GB"/>
        </w:rPr>
      </w:pPr>
      <w:r>
        <w:rPr>
          <w:rFonts w:eastAsia="Times New Roman" w:cstheme="minorHAnsi"/>
          <w:sz w:val="24"/>
          <w:lang w:eastAsia="en-GB"/>
        </w:rPr>
        <w:t xml:space="preserve">This means that, in order for the public to be protected, all steps must be taken to ensure that the risks posed by a specific individual after their release from prison, is marginal, or if not, is managed effectively. </w:t>
      </w:r>
    </w:p>
    <w:p w:rsidR="00C61695" w:rsidRDefault="00C61695" w:rsidP="00C61695">
      <w:pPr>
        <w:rPr>
          <w:rFonts w:eastAsia="Times New Roman" w:cstheme="minorHAnsi"/>
          <w:sz w:val="24"/>
          <w:lang w:eastAsia="en-GB"/>
        </w:rPr>
      </w:pPr>
      <w:r>
        <w:rPr>
          <w:rFonts w:eastAsia="Times New Roman" w:cstheme="minorHAnsi"/>
          <w:sz w:val="24"/>
          <w:lang w:eastAsia="en-GB"/>
        </w:rPr>
        <w:t>By doing this, it ensure that the risk of harm to members of the wider community is mitigated as much as possible, to ensure that the offenders can be integrated back into society in a way which allows for them to be rehabilitated as much as possible, as well as minimising the risk to members of the public.</w:t>
      </w:r>
    </w:p>
    <w:p w:rsidR="00C61695" w:rsidRDefault="00C61695" w:rsidP="00C61695">
      <w:pPr>
        <w:rPr>
          <w:rFonts w:eastAsia="Times New Roman" w:cstheme="minorHAnsi"/>
          <w:sz w:val="24"/>
          <w:lang w:eastAsia="en-GB"/>
        </w:rPr>
      </w:pPr>
      <w:r>
        <w:rPr>
          <w:rFonts w:eastAsia="Times New Roman" w:cstheme="minorHAnsi"/>
          <w:sz w:val="24"/>
          <w:lang w:eastAsia="en-GB"/>
        </w:rPr>
        <w:lastRenderedPageBreak/>
        <w:t>As with all incidents, especially those of a high profile, which are dealt with by police, probation and prison services, they attract some media attention.</w:t>
      </w:r>
    </w:p>
    <w:p w:rsidR="00C61695" w:rsidRDefault="00C61695" w:rsidP="00C61695">
      <w:pPr>
        <w:rPr>
          <w:rFonts w:eastAsia="Times New Roman" w:cstheme="minorHAnsi"/>
          <w:sz w:val="24"/>
          <w:lang w:eastAsia="en-GB"/>
        </w:rPr>
      </w:pPr>
      <w:r>
        <w:rPr>
          <w:rFonts w:eastAsia="Times New Roman" w:cstheme="minorHAnsi"/>
          <w:sz w:val="24"/>
          <w:lang w:eastAsia="en-GB"/>
        </w:rPr>
        <w:t xml:space="preserve">In order to deal with this, there is a media coverage strategy which has been established to enable the correct channels to be formed when dealing with ViSOR individuals. </w:t>
      </w:r>
    </w:p>
    <w:p w:rsidR="00C61695" w:rsidRDefault="00C61695" w:rsidP="00C61695">
      <w:pPr>
        <w:rPr>
          <w:rFonts w:eastAsia="Times New Roman" w:cstheme="minorHAnsi"/>
          <w:sz w:val="24"/>
          <w:lang w:eastAsia="en-GB"/>
        </w:rPr>
      </w:pPr>
      <w:r>
        <w:rPr>
          <w:rFonts w:eastAsia="Times New Roman" w:cstheme="minorHAnsi"/>
          <w:sz w:val="24"/>
          <w:lang w:eastAsia="en-GB"/>
        </w:rPr>
        <w:t>This strategy enables information to be shared with the victim and the public via the media, to ensure that persons can be safeguarded as much as possible, without the need for too much information to be disclosed, potentially breaching data protection legislation.</w:t>
      </w:r>
    </w:p>
    <w:p w:rsidR="00C61695" w:rsidRPr="009834CB" w:rsidRDefault="00C61695" w:rsidP="00C61695">
      <w:pPr>
        <w:rPr>
          <w:rFonts w:eastAsia="Times New Roman" w:cstheme="minorHAnsi"/>
          <w:sz w:val="24"/>
          <w:lang w:eastAsia="en-GB"/>
        </w:rPr>
      </w:pPr>
      <w:r>
        <w:rPr>
          <w:rFonts w:eastAsia="Times New Roman" w:cstheme="minorHAnsi"/>
          <w:sz w:val="24"/>
          <w:lang w:eastAsia="en-GB"/>
        </w:rPr>
        <w:t>The media will often ask for more information to be divulged than is both legal and necessary, hence why it is so important to have an established media strategy to enable the correct information to be shared with the correct people at the correct time (College of Policing, 2017).</w:t>
      </w:r>
    </w:p>
    <w:p w:rsidR="001018E4" w:rsidRPr="009C60BD" w:rsidRDefault="009C60BD" w:rsidP="00EC2761">
      <w:pPr>
        <w:rPr>
          <w:rFonts w:eastAsia="Times New Roman" w:cstheme="minorHAnsi"/>
          <w:b/>
          <w:i/>
          <w:sz w:val="24"/>
          <w:lang w:eastAsia="en-GB"/>
        </w:rPr>
      </w:pPr>
      <w:r>
        <w:rPr>
          <w:rFonts w:eastAsia="Times New Roman" w:cstheme="minorHAnsi"/>
          <w:b/>
          <w:i/>
          <w:sz w:val="24"/>
          <w:lang w:eastAsia="en-GB"/>
        </w:rPr>
        <w:t>1055 WORDS</w:t>
      </w:r>
    </w:p>
    <w:p w:rsidR="007115FB" w:rsidRDefault="007115FB">
      <w:pPr>
        <w:rPr>
          <w:rFonts w:eastAsia="Times New Roman" w:cstheme="minorHAnsi"/>
          <w:sz w:val="24"/>
          <w:lang w:eastAsia="en-GB"/>
        </w:rPr>
      </w:pPr>
    </w:p>
    <w:p w:rsidR="00EC2761" w:rsidRDefault="00EC2761">
      <w:pPr>
        <w:rPr>
          <w:rFonts w:eastAsia="Times New Roman" w:cstheme="minorHAnsi"/>
          <w:sz w:val="24"/>
          <w:lang w:eastAsia="en-GB"/>
        </w:rPr>
      </w:pPr>
    </w:p>
    <w:p w:rsidR="007115FB" w:rsidRDefault="007115FB">
      <w:pPr>
        <w:rPr>
          <w:rFonts w:eastAsia="Times New Roman" w:cstheme="minorHAnsi"/>
          <w:sz w:val="24"/>
          <w:lang w:eastAsia="en-GB"/>
        </w:rPr>
      </w:pPr>
    </w:p>
    <w:p w:rsidR="007115FB" w:rsidRDefault="007115FB">
      <w:pPr>
        <w:rPr>
          <w:rFonts w:eastAsia="Times New Roman" w:cstheme="minorHAnsi"/>
          <w:sz w:val="24"/>
          <w:lang w:eastAsia="en-GB"/>
        </w:rPr>
      </w:pPr>
    </w:p>
    <w:p w:rsidR="007115FB" w:rsidRDefault="007115FB">
      <w:pPr>
        <w:rPr>
          <w:rFonts w:eastAsia="Times New Roman" w:cstheme="minorHAnsi"/>
          <w:sz w:val="24"/>
          <w:lang w:eastAsia="en-GB"/>
        </w:rPr>
      </w:pPr>
    </w:p>
    <w:p w:rsidR="007115FB" w:rsidRDefault="007115FB">
      <w:pPr>
        <w:rPr>
          <w:rFonts w:eastAsia="Times New Roman" w:cstheme="minorHAnsi"/>
          <w:sz w:val="24"/>
          <w:lang w:eastAsia="en-GB"/>
        </w:rPr>
      </w:pPr>
    </w:p>
    <w:p w:rsidR="007115FB" w:rsidRDefault="007115FB">
      <w:pPr>
        <w:rPr>
          <w:rFonts w:eastAsia="Times New Roman" w:cstheme="minorHAnsi"/>
          <w:sz w:val="24"/>
          <w:lang w:eastAsia="en-GB"/>
        </w:rPr>
      </w:pPr>
    </w:p>
    <w:p w:rsidR="007115FB" w:rsidRDefault="007115FB">
      <w:pPr>
        <w:rPr>
          <w:rFonts w:eastAsia="Times New Roman" w:cstheme="minorHAnsi"/>
          <w:sz w:val="24"/>
          <w:lang w:eastAsia="en-GB"/>
        </w:rPr>
      </w:pPr>
    </w:p>
    <w:p w:rsidR="007115FB" w:rsidRDefault="007115FB">
      <w:pPr>
        <w:rPr>
          <w:rFonts w:eastAsia="Times New Roman" w:cstheme="minorHAnsi"/>
          <w:sz w:val="24"/>
          <w:lang w:eastAsia="en-GB"/>
        </w:rPr>
      </w:pPr>
    </w:p>
    <w:p w:rsidR="007115FB" w:rsidRDefault="007115FB">
      <w:pPr>
        <w:rPr>
          <w:rFonts w:eastAsia="Times New Roman" w:cstheme="minorHAnsi"/>
          <w:sz w:val="24"/>
          <w:lang w:eastAsia="en-GB"/>
        </w:rPr>
      </w:pPr>
    </w:p>
    <w:p w:rsidR="007115FB" w:rsidRDefault="007115FB">
      <w:pPr>
        <w:rPr>
          <w:rFonts w:eastAsia="Times New Roman" w:cstheme="minorHAnsi"/>
          <w:sz w:val="24"/>
          <w:lang w:eastAsia="en-GB"/>
        </w:rPr>
      </w:pPr>
    </w:p>
    <w:p w:rsidR="00C61695" w:rsidRDefault="00C61695">
      <w:pPr>
        <w:rPr>
          <w:rFonts w:eastAsia="Times New Roman" w:cstheme="minorHAnsi"/>
          <w:b/>
          <w:sz w:val="24"/>
          <w:u w:val="single"/>
          <w:lang w:eastAsia="en-GB"/>
        </w:rPr>
      </w:pPr>
    </w:p>
    <w:p w:rsidR="00C61695" w:rsidRDefault="00C61695">
      <w:pPr>
        <w:rPr>
          <w:rFonts w:eastAsia="Times New Roman" w:cstheme="minorHAnsi"/>
          <w:b/>
          <w:sz w:val="24"/>
          <w:u w:val="single"/>
          <w:lang w:eastAsia="en-GB"/>
        </w:rPr>
      </w:pPr>
    </w:p>
    <w:p w:rsidR="00C61695" w:rsidRDefault="00C61695">
      <w:pPr>
        <w:rPr>
          <w:rFonts w:eastAsia="Times New Roman" w:cstheme="minorHAnsi"/>
          <w:b/>
          <w:sz w:val="24"/>
          <w:u w:val="single"/>
          <w:lang w:eastAsia="en-GB"/>
        </w:rPr>
      </w:pPr>
    </w:p>
    <w:p w:rsidR="00C61695" w:rsidRDefault="00C61695">
      <w:pPr>
        <w:rPr>
          <w:rFonts w:eastAsia="Times New Roman" w:cstheme="minorHAnsi"/>
          <w:b/>
          <w:sz w:val="24"/>
          <w:u w:val="single"/>
          <w:lang w:eastAsia="en-GB"/>
        </w:rPr>
      </w:pPr>
    </w:p>
    <w:p w:rsidR="00C61695" w:rsidRDefault="00C61695">
      <w:pPr>
        <w:rPr>
          <w:rFonts w:eastAsia="Times New Roman" w:cstheme="minorHAnsi"/>
          <w:b/>
          <w:sz w:val="24"/>
          <w:u w:val="single"/>
          <w:lang w:eastAsia="en-GB"/>
        </w:rPr>
      </w:pPr>
    </w:p>
    <w:p w:rsidR="00C61695" w:rsidRDefault="00C61695">
      <w:pPr>
        <w:rPr>
          <w:rFonts w:eastAsia="Times New Roman" w:cstheme="minorHAnsi"/>
          <w:b/>
          <w:sz w:val="24"/>
          <w:u w:val="single"/>
          <w:lang w:eastAsia="en-GB"/>
        </w:rPr>
      </w:pPr>
    </w:p>
    <w:p w:rsidR="00C61695" w:rsidRDefault="00C61695">
      <w:pPr>
        <w:rPr>
          <w:rFonts w:eastAsia="Times New Roman" w:cstheme="minorHAnsi"/>
          <w:b/>
          <w:sz w:val="24"/>
          <w:u w:val="single"/>
          <w:lang w:eastAsia="en-GB"/>
        </w:rPr>
      </w:pPr>
    </w:p>
    <w:p w:rsidR="00C61695" w:rsidRDefault="00C61695">
      <w:pPr>
        <w:rPr>
          <w:rFonts w:eastAsia="Times New Roman" w:cstheme="minorHAnsi"/>
          <w:b/>
          <w:sz w:val="24"/>
          <w:u w:val="single"/>
          <w:lang w:eastAsia="en-GB"/>
        </w:rPr>
      </w:pPr>
    </w:p>
    <w:p w:rsidR="00E24E61" w:rsidRDefault="00E24E61">
      <w:pPr>
        <w:rPr>
          <w:rFonts w:eastAsia="Times New Roman" w:cstheme="minorHAnsi"/>
          <w:b/>
          <w:sz w:val="28"/>
          <w:u w:val="single"/>
          <w:lang w:eastAsia="en-GB"/>
        </w:rPr>
      </w:pPr>
      <w:r>
        <w:rPr>
          <w:rFonts w:eastAsia="Times New Roman" w:cstheme="minorHAnsi"/>
          <w:b/>
          <w:sz w:val="28"/>
          <w:u w:val="single"/>
          <w:lang w:eastAsia="en-GB"/>
        </w:rPr>
        <w:lastRenderedPageBreak/>
        <w:t>PCDA Assignment 1 – Title 2</w:t>
      </w:r>
    </w:p>
    <w:p w:rsidR="00E24E61" w:rsidRPr="00E24E61" w:rsidRDefault="00E24E61" w:rsidP="00E24E61">
      <w:pPr>
        <w:overflowPunct w:val="0"/>
        <w:autoSpaceDE w:val="0"/>
        <w:autoSpaceDN w:val="0"/>
        <w:adjustRightInd w:val="0"/>
        <w:spacing w:before="240" w:after="0" w:line="240" w:lineRule="auto"/>
        <w:jc w:val="both"/>
        <w:textAlignment w:val="baseline"/>
        <w:rPr>
          <w:rFonts w:eastAsia="Times New Roman" w:cstheme="minorHAnsi"/>
          <w:b/>
          <w:i/>
          <w:sz w:val="24"/>
          <w:lang w:eastAsia="en-GB"/>
        </w:rPr>
      </w:pPr>
      <w:r w:rsidRPr="00E24E61">
        <w:rPr>
          <w:rFonts w:eastAsia="Times New Roman" w:cstheme="minorHAnsi"/>
          <w:b/>
          <w:i/>
          <w:sz w:val="24"/>
          <w:lang w:eastAsia="en-GB"/>
        </w:rPr>
        <w:t>Analyse the role of professional standards and independent bodies such as the IOPC or HMICFRS in holding the police accountable to the public and the impact of malpractice and corruption on policing using examples to support your argument.</w:t>
      </w:r>
    </w:p>
    <w:p w:rsidR="00E24E61" w:rsidRDefault="00E24E61">
      <w:pPr>
        <w:rPr>
          <w:rFonts w:eastAsia="Times New Roman" w:cstheme="minorHAnsi"/>
          <w:b/>
          <w:sz w:val="28"/>
          <w:u w:val="single"/>
          <w:lang w:eastAsia="en-GB"/>
        </w:rPr>
      </w:pPr>
    </w:p>
    <w:p w:rsidR="00741D6E" w:rsidRDefault="00741D6E" w:rsidP="00741D6E">
      <w:pPr>
        <w:rPr>
          <w:rFonts w:eastAsia="Times New Roman" w:cstheme="minorHAnsi"/>
          <w:sz w:val="24"/>
          <w:lang w:eastAsia="en-GB"/>
        </w:rPr>
      </w:pPr>
      <w:r>
        <w:rPr>
          <w:rFonts w:eastAsia="Times New Roman" w:cstheme="minorHAnsi"/>
          <w:sz w:val="24"/>
          <w:lang w:eastAsia="en-GB"/>
        </w:rPr>
        <w:t>As police officers, there are 10 standards of professional behaviour which one must adhere to at all times when both on and off duty to ensure that the highest professional standards are upheld at all times.  To ensure that officers comply with these standards, and to investigate any breaches of these or codes of practice, there are both internal and external investigators.  These are Professional Standards Departments (PSD) and the Independent Office for Police Conduct (IOPC).</w:t>
      </w:r>
    </w:p>
    <w:p w:rsidR="00741D6E" w:rsidRDefault="00741D6E" w:rsidP="00741D6E">
      <w:pPr>
        <w:rPr>
          <w:rFonts w:eastAsia="Times New Roman" w:cstheme="minorHAnsi"/>
          <w:sz w:val="24"/>
          <w:lang w:eastAsia="en-GB"/>
        </w:rPr>
      </w:pPr>
      <w:r>
        <w:rPr>
          <w:rFonts w:eastAsia="Times New Roman" w:cstheme="minorHAnsi"/>
          <w:sz w:val="24"/>
          <w:lang w:eastAsia="en-GB"/>
        </w:rPr>
        <w:t>All police forces have a PSD whose duty it is to investigate both officers and staff within that particular force following any complaints from either colleagues or members of the public.</w:t>
      </w:r>
    </w:p>
    <w:p w:rsidR="00741D6E" w:rsidRDefault="00741D6E" w:rsidP="00741D6E">
      <w:pPr>
        <w:rPr>
          <w:rFonts w:eastAsia="Times New Roman" w:cstheme="minorHAnsi"/>
          <w:sz w:val="24"/>
          <w:lang w:eastAsia="en-GB"/>
        </w:rPr>
      </w:pPr>
      <w:r>
        <w:rPr>
          <w:rFonts w:eastAsia="Times New Roman" w:cstheme="minorHAnsi"/>
          <w:sz w:val="24"/>
          <w:lang w:eastAsia="en-GB"/>
        </w:rPr>
        <w:t>It is the role of the PSD to investigate any complaints made, by gathering all of the evidence that is available, before reaching a conclusion.</w:t>
      </w:r>
    </w:p>
    <w:p w:rsidR="00741D6E" w:rsidRDefault="00741D6E" w:rsidP="00741D6E">
      <w:pPr>
        <w:rPr>
          <w:rFonts w:eastAsia="Times New Roman" w:cstheme="minorHAnsi"/>
          <w:sz w:val="24"/>
          <w:lang w:eastAsia="en-GB"/>
        </w:rPr>
      </w:pPr>
      <w:r>
        <w:rPr>
          <w:rFonts w:eastAsia="Times New Roman" w:cstheme="minorHAnsi"/>
          <w:sz w:val="24"/>
          <w:lang w:eastAsia="en-GB"/>
        </w:rPr>
        <w:t>A PSD investigation can consist of evaluating the complaint made by a colleague or member of the public, gathering statements from other persons who were present at the time of the alleged complaint, reviewing footage from body worn cameras of officers, or CCTV gathered at the location.</w:t>
      </w:r>
    </w:p>
    <w:p w:rsidR="00741D6E" w:rsidRDefault="00741D6E" w:rsidP="00741D6E">
      <w:pPr>
        <w:rPr>
          <w:rFonts w:eastAsia="Times New Roman" w:cstheme="minorHAnsi"/>
          <w:sz w:val="24"/>
          <w:lang w:eastAsia="en-GB"/>
        </w:rPr>
      </w:pPr>
      <w:r>
        <w:rPr>
          <w:rFonts w:eastAsia="Times New Roman" w:cstheme="minorHAnsi"/>
          <w:sz w:val="24"/>
          <w:lang w:eastAsia="en-GB"/>
        </w:rPr>
        <w:t>After gathering the evidence, the PSD will notify the officer hat a complaint has been made against them and will then determine the best course of action.  On occasions, it is deemed that words of advice from line managers is acceptable to deal with the issue, or sometimes more formal action is required such as interviewing the officer whom the complaint has been made about, and then attending a disciplinary hearing made up of senior officers and independent members, to further the course of action on from management advice (HMICFRS, 2019).</w:t>
      </w:r>
    </w:p>
    <w:p w:rsidR="00741D6E" w:rsidRDefault="00741D6E" w:rsidP="00741D6E">
      <w:pPr>
        <w:rPr>
          <w:rFonts w:eastAsia="Times New Roman" w:cstheme="minorHAnsi"/>
          <w:sz w:val="24"/>
          <w:lang w:eastAsia="en-GB"/>
        </w:rPr>
      </w:pPr>
      <w:r>
        <w:rPr>
          <w:rFonts w:eastAsia="Times New Roman" w:cstheme="minorHAnsi"/>
          <w:sz w:val="24"/>
          <w:lang w:eastAsia="en-GB"/>
        </w:rPr>
        <w:t>Despite PSD being able to deal with the majority of complaints made against police, there are occasions where the complaint needs to be escalated to an independent authority, the IOPC.</w:t>
      </w:r>
    </w:p>
    <w:p w:rsidR="00741D6E" w:rsidRDefault="00741D6E" w:rsidP="00741D6E">
      <w:pPr>
        <w:rPr>
          <w:rFonts w:eastAsia="Times New Roman" w:cstheme="minorHAnsi"/>
          <w:sz w:val="24"/>
          <w:lang w:eastAsia="en-GB"/>
        </w:rPr>
      </w:pPr>
      <w:r>
        <w:rPr>
          <w:rFonts w:eastAsia="Times New Roman" w:cstheme="minorHAnsi"/>
          <w:sz w:val="24"/>
          <w:lang w:eastAsia="en-GB"/>
        </w:rPr>
        <w:t>There are many occasions whereby the IOPC must be made aware of police incidents, such as death or serious injury whilst in, or immediately after being in contact with the police.  This is standard procedure, and if after an investigation it is found that the police acted professionally, then no further action will be taken.</w:t>
      </w:r>
    </w:p>
    <w:p w:rsidR="00741D6E" w:rsidRDefault="00741D6E" w:rsidP="00741D6E">
      <w:pPr>
        <w:rPr>
          <w:rFonts w:eastAsia="Times New Roman" w:cstheme="minorHAnsi"/>
          <w:sz w:val="24"/>
          <w:lang w:eastAsia="en-GB"/>
        </w:rPr>
      </w:pPr>
      <w:r>
        <w:rPr>
          <w:rFonts w:eastAsia="Times New Roman" w:cstheme="minorHAnsi"/>
          <w:sz w:val="24"/>
          <w:lang w:eastAsia="en-GB"/>
        </w:rPr>
        <w:t>Along with the two above reasons, the force’s PSD may refer issues to the IOPC if they believe that there is more complex issues which are surrounding the complaint that they have received.  This may include potential corruption, or officers engaging in illegal activity whilst both on or off duty.</w:t>
      </w:r>
    </w:p>
    <w:p w:rsidR="00741D6E" w:rsidRDefault="00741D6E" w:rsidP="00741D6E">
      <w:pPr>
        <w:rPr>
          <w:rFonts w:eastAsia="Times New Roman" w:cstheme="minorHAnsi"/>
          <w:sz w:val="24"/>
          <w:lang w:eastAsia="en-GB"/>
        </w:rPr>
      </w:pPr>
      <w:r>
        <w:rPr>
          <w:rFonts w:eastAsia="Times New Roman" w:cstheme="minorHAnsi"/>
          <w:sz w:val="24"/>
          <w:lang w:eastAsia="en-GB"/>
        </w:rPr>
        <w:lastRenderedPageBreak/>
        <w:t>It is then the role of the IOPC to deploy a full investigation into the officer, or officers, who have been identified as having had a complaint made against them, to ascertain and determine whether or not any further action is required to be taken more than that than the PSD can do, such as criminal proceedings or further misconduct cases (IOPC, 2020).</w:t>
      </w:r>
    </w:p>
    <w:p w:rsidR="00741D6E" w:rsidRDefault="00741D6E" w:rsidP="00741D6E">
      <w:pPr>
        <w:rPr>
          <w:rFonts w:eastAsia="Times New Roman" w:cstheme="minorHAnsi"/>
          <w:sz w:val="24"/>
          <w:lang w:eastAsia="en-GB"/>
        </w:rPr>
      </w:pPr>
      <w:r>
        <w:rPr>
          <w:rFonts w:eastAsia="Times New Roman" w:cstheme="minorHAnsi"/>
          <w:sz w:val="24"/>
          <w:lang w:eastAsia="en-GB"/>
        </w:rPr>
        <w:t>It can therefore be seen that the role of both the PSD of a force, and the IOPC is to ensure that all police officers and staff are held accountable for their actions and are not above the laws despite the role which they hold.</w:t>
      </w:r>
    </w:p>
    <w:p w:rsidR="00DF2DF3" w:rsidRDefault="00DF2DF3" w:rsidP="00DF2DF3">
      <w:pPr>
        <w:rPr>
          <w:rFonts w:eastAsia="Times New Roman" w:cstheme="minorHAnsi"/>
          <w:sz w:val="24"/>
          <w:lang w:eastAsia="en-GB"/>
        </w:rPr>
      </w:pPr>
      <w:r>
        <w:rPr>
          <w:rFonts w:eastAsia="Times New Roman" w:cstheme="minorHAnsi"/>
          <w:sz w:val="24"/>
          <w:lang w:eastAsia="en-GB"/>
        </w:rPr>
        <w:t>When there is reason for police to be investigated by either a PSD or the IOPC in regards to a corruption or malpractice allegation, it can have an extensive impact on the trust that the public have in the police, and the general community perception of the effectiveness of the police as a whole.</w:t>
      </w:r>
    </w:p>
    <w:p w:rsidR="00DF2DF3" w:rsidRDefault="00DF2DF3" w:rsidP="00DF2DF3">
      <w:pPr>
        <w:rPr>
          <w:rFonts w:eastAsia="Times New Roman" w:cstheme="minorHAnsi"/>
          <w:sz w:val="24"/>
          <w:lang w:eastAsia="en-GB"/>
        </w:rPr>
      </w:pPr>
      <w:r>
        <w:rPr>
          <w:rFonts w:eastAsia="Times New Roman" w:cstheme="minorHAnsi"/>
          <w:sz w:val="24"/>
          <w:lang w:eastAsia="en-GB"/>
        </w:rPr>
        <w:t>One key example of this, is a case reported in the summer of 2018 involving the Metropolitan Police’s Directorate of Professional Standards (DPS).  This case relates to a referral made to the IOPC by the Metropolitan Police themselves as there were allegations and evidence of corruption within the DPS itself.  It was alleged that senior officers within this department were interfering with investigations and turning a blind eye to certain allegations that had been referred to the department.</w:t>
      </w:r>
    </w:p>
    <w:p w:rsidR="00DF2DF3" w:rsidRDefault="00DF2DF3" w:rsidP="00DF2DF3">
      <w:pPr>
        <w:rPr>
          <w:rFonts w:eastAsia="Times New Roman" w:cstheme="minorHAnsi"/>
          <w:sz w:val="24"/>
          <w:lang w:eastAsia="en-GB"/>
        </w:rPr>
      </w:pPr>
      <w:r>
        <w:rPr>
          <w:rFonts w:eastAsia="Times New Roman" w:cstheme="minorHAnsi"/>
          <w:sz w:val="24"/>
          <w:lang w:eastAsia="en-GB"/>
        </w:rPr>
        <w:t>This was referred to the IOPC who stated that two officers were being charged with gross misconduct, and one was under criminal investigation, showing that the IOPC investigation had turned up evidence of the allegations being true (Dodd, V. 2018).</w:t>
      </w:r>
    </w:p>
    <w:p w:rsidR="00DF2DF3" w:rsidRDefault="00DF2DF3" w:rsidP="00DF2DF3">
      <w:pPr>
        <w:rPr>
          <w:rFonts w:eastAsia="Times New Roman" w:cstheme="minorHAnsi"/>
          <w:sz w:val="24"/>
          <w:lang w:eastAsia="en-GB"/>
        </w:rPr>
      </w:pPr>
      <w:r>
        <w:rPr>
          <w:rFonts w:eastAsia="Times New Roman" w:cstheme="minorHAnsi"/>
          <w:sz w:val="24"/>
          <w:lang w:eastAsia="en-GB"/>
        </w:rPr>
        <w:t>This example shows that the police always need to be accountable for their actions, and that even those who are supposed to be dealing with allegations made within the force are also accountable by external agencies.</w:t>
      </w:r>
    </w:p>
    <w:p w:rsidR="00DF2DF3" w:rsidRDefault="00DF2DF3" w:rsidP="00DF2DF3">
      <w:pPr>
        <w:rPr>
          <w:rFonts w:eastAsia="Times New Roman" w:cstheme="minorHAnsi"/>
          <w:sz w:val="24"/>
          <w:lang w:eastAsia="en-GB"/>
        </w:rPr>
      </w:pPr>
      <w:r>
        <w:rPr>
          <w:rFonts w:eastAsia="Times New Roman" w:cstheme="minorHAnsi"/>
          <w:sz w:val="24"/>
          <w:lang w:eastAsia="en-GB"/>
        </w:rPr>
        <w:t>The news of this case spreading to the general public shows that the police should always be held in the highest regard and that each officer is responsible for not only their own conduct, but also that of fellow officers and colleagues.</w:t>
      </w:r>
    </w:p>
    <w:p w:rsidR="00DF2DF3" w:rsidRDefault="00DF2DF3" w:rsidP="00DF2DF3">
      <w:pPr>
        <w:rPr>
          <w:rFonts w:eastAsia="Times New Roman" w:cstheme="minorHAnsi"/>
          <w:sz w:val="24"/>
          <w:lang w:eastAsia="en-GB"/>
        </w:rPr>
      </w:pPr>
      <w:r>
        <w:rPr>
          <w:rFonts w:eastAsia="Times New Roman" w:cstheme="minorHAnsi"/>
          <w:sz w:val="24"/>
          <w:lang w:eastAsia="en-GB"/>
        </w:rPr>
        <w:t>Fortunately, cases such as this are rare.  The public should be able to look to the police as role models in society, persons that they can look up to and aspire to be.   However, by the small minority of officers thinking that they do not have to be accountable for their actions, and as a result, engage in illegal or improper activity, it leads to the public trust and perception of the police being held in lower regard.</w:t>
      </w:r>
    </w:p>
    <w:p w:rsidR="00DF2DF3" w:rsidRDefault="00DF2DF3" w:rsidP="00DF2DF3">
      <w:pPr>
        <w:rPr>
          <w:rFonts w:eastAsia="Times New Roman" w:cstheme="minorHAnsi"/>
          <w:sz w:val="24"/>
          <w:lang w:eastAsia="en-GB"/>
        </w:rPr>
      </w:pPr>
      <w:r>
        <w:rPr>
          <w:rFonts w:eastAsia="Times New Roman" w:cstheme="minorHAnsi"/>
          <w:sz w:val="24"/>
          <w:lang w:eastAsia="en-GB"/>
        </w:rPr>
        <w:t>As a result of this, it is far more difficult for the police to repair and mend these broken relationships with the public once the trust has been broken.  It is then down to officers nationally to prove to the public that the police can in fact be trusted, and that is only a small minority of officers who breach the trust of the public and engage in behaviour and activities that go against the code of ethics that all officers strive to abide by.</w:t>
      </w:r>
    </w:p>
    <w:p w:rsidR="00DF2DF3" w:rsidRDefault="00DF2DF3" w:rsidP="00DF2DF3">
      <w:pPr>
        <w:rPr>
          <w:rFonts w:eastAsia="Times New Roman" w:cstheme="minorHAnsi"/>
          <w:sz w:val="24"/>
          <w:lang w:eastAsia="en-GB"/>
        </w:rPr>
      </w:pPr>
      <w:r>
        <w:rPr>
          <w:rFonts w:eastAsia="Times New Roman" w:cstheme="minorHAnsi"/>
          <w:sz w:val="24"/>
          <w:lang w:eastAsia="en-GB"/>
        </w:rPr>
        <w:t xml:space="preserve">Overall, it can be said that the police force in the UK suffers very little in regards to corruption and malpractice.  The majority of incidents that occur and that are investigated by PSDs and IOPC are solitary incidents, and they do not reflect on police forces or the police </w:t>
      </w:r>
      <w:r>
        <w:rPr>
          <w:rFonts w:eastAsia="Times New Roman" w:cstheme="minorHAnsi"/>
          <w:sz w:val="24"/>
          <w:lang w:eastAsia="en-GB"/>
        </w:rPr>
        <w:lastRenderedPageBreak/>
        <w:t xml:space="preserve">as a whole.  It is due to this that it is vital to have bodies such as the IOPC to hold all police officers accountable for their actions and to ensure that the proper procedures are followed at all times throughout the course of officers’ duties. </w:t>
      </w:r>
    </w:p>
    <w:p w:rsidR="00F97522" w:rsidRPr="009C60BD" w:rsidRDefault="009C60BD" w:rsidP="00F97522">
      <w:pPr>
        <w:rPr>
          <w:rFonts w:eastAsia="Times New Roman" w:cstheme="minorHAnsi"/>
          <w:b/>
          <w:i/>
          <w:sz w:val="24"/>
          <w:lang w:eastAsia="en-GB"/>
        </w:rPr>
      </w:pPr>
      <w:r>
        <w:rPr>
          <w:rFonts w:eastAsia="Times New Roman" w:cstheme="minorHAnsi"/>
          <w:b/>
          <w:i/>
          <w:sz w:val="24"/>
          <w:lang w:eastAsia="en-GB"/>
        </w:rPr>
        <w:t>1021 WORDS</w:t>
      </w:r>
    </w:p>
    <w:p w:rsidR="00F97522" w:rsidRDefault="00F97522" w:rsidP="00F97522">
      <w:pPr>
        <w:rPr>
          <w:rFonts w:eastAsia="Times New Roman" w:cstheme="minorHAnsi"/>
          <w:sz w:val="24"/>
          <w:lang w:eastAsia="en-GB"/>
        </w:rPr>
      </w:pPr>
    </w:p>
    <w:p w:rsidR="00F97522" w:rsidRDefault="00F97522" w:rsidP="00F97522">
      <w:pPr>
        <w:rPr>
          <w:rFonts w:eastAsia="Times New Roman" w:cstheme="minorHAnsi"/>
          <w:sz w:val="24"/>
          <w:lang w:eastAsia="en-GB"/>
        </w:rPr>
      </w:pPr>
    </w:p>
    <w:p w:rsidR="00F97522" w:rsidRDefault="00F97522" w:rsidP="00F97522">
      <w:pPr>
        <w:rPr>
          <w:rFonts w:eastAsia="Times New Roman" w:cstheme="minorHAnsi"/>
          <w:sz w:val="24"/>
          <w:lang w:eastAsia="en-GB"/>
        </w:rPr>
      </w:pPr>
    </w:p>
    <w:p w:rsidR="00F97522" w:rsidRDefault="00F97522" w:rsidP="00F97522">
      <w:pPr>
        <w:rPr>
          <w:rFonts w:eastAsia="Times New Roman" w:cstheme="minorHAnsi"/>
          <w:sz w:val="24"/>
          <w:lang w:eastAsia="en-GB"/>
        </w:rPr>
      </w:pPr>
    </w:p>
    <w:p w:rsidR="00F97522" w:rsidRDefault="00F97522" w:rsidP="00F97522">
      <w:pPr>
        <w:rPr>
          <w:rFonts w:eastAsia="Times New Roman" w:cstheme="minorHAnsi"/>
          <w:sz w:val="24"/>
          <w:lang w:eastAsia="en-GB"/>
        </w:rPr>
      </w:pPr>
    </w:p>
    <w:p w:rsidR="00F97522" w:rsidRDefault="00F97522" w:rsidP="00F97522">
      <w:pPr>
        <w:rPr>
          <w:rFonts w:eastAsia="Times New Roman" w:cstheme="minorHAnsi"/>
          <w:sz w:val="24"/>
          <w:lang w:eastAsia="en-GB"/>
        </w:rPr>
      </w:pPr>
    </w:p>
    <w:p w:rsidR="00F97522" w:rsidRDefault="00F97522" w:rsidP="00F97522">
      <w:pPr>
        <w:rPr>
          <w:rFonts w:eastAsia="Times New Roman" w:cstheme="minorHAnsi"/>
          <w:sz w:val="24"/>
          <w:lang w:eastAsia="en-GB"/>
        </w:rPr>
      </w:pPr>
    </w:p>
    <w:p w:rsidR="00F97522" w:rsidRDefault="00F97522" w:rsidP="00F97522">
      <w:pPr>
        <w:rPr>
          <w:rFonts w:eastAsia="Times New Roman" w:cstheme="minorHAnsi"/>
          <w:sz w:val="24"/>
          <w:lang w:eastAsia="en-GB"/>
        </w:rPr>
      </w:pPr>
    </w:p>
    <w:p w:rsidR="00F97522" w:rsidRDefault="00F97522" w:rsidP="00F97522">
      <w:pPr>
        <w:rPr>
          <w:rFonts w:eastAsia="Times New Roman" w:cstheme="minorHAnsi"/>
          <w:sz w:val="24"/>
          <w:lang w:eastAsia="en-GB"/>
        </w:rPr>
      </w:pPr>
    </w:p>
    <w:p w:rsidR="00F97522" w:rsidRDefault="00F97522" w:rsidP="00F97522">
      <w:pPr>
        <w:rPr>
          <w:rFonts w:eastAsia="Times New Roman" w:cstheme="minorHAnsi"/>
          <w:sz w:val="24"/>
          <w:lang w:eastAsia="en-GB"/>
        </w:rPr>
      </w:pPr>
    </w:p>
    <w:p w:rsidR="00F97522" w:rsidRDefault="00F97522" w:rsidP="00F97522">
      <w:pPr>
        <w:rPr>
          <w:rFonts w:eastAsia="Times New Roman" w:cstheme="minorHAnsi"/>
          <w:sz w:val="24"/>
          <w:lang w:eastAsia="en-GB"/>
        </w:rPr>
      </w:pPr>
    </w:p>
    <w:p w:rsidR="00F97522" w:rsidRDefault="00F97522" w:rsidP="00F97522">
      <w:pPr>
        <w:rPr>
          <w:rFonts w:eastAsia="Times New Roman" w:cstheme="minorHAnsi"/>
          <w:sz w:val="24"/>
          <w:lang w:eastAsia="en-GB"/>
        </w:rPr>
      </w:pPr>
    </w:p>
    <w:p w:rsidR="00F97522" w:rsidRDefault="00F97522" w:rsidP="00F97522">
      <w:pPr>
        <w:rPr>
          <w:rFonts w:eastAsia="Times New Roman" w:cstheme="minorHAnsi"/>
          <w:sz w:val="24"/>
          <w:lang w:eastAsia="en-GB"/>
        </w:rPr>
      </w:pPr>
    </w:p>
    <w:p w:rsidR="00F97522" w:rsidRDefault="00F97522" w:rsidP="00F97522">
      <w:pPr>
        <w:rPr>
          <w:rFonts w:eastAsia="Times New Roman" w:cstheme="minorHAnsi"/>
          <w:sz w:val="24"/>
          <w:lang w:eastAsia="en-GB"/>
        </w:rPr>
      </w:pPr>
    </w:p>
    <w:p w:rsidR="00F97522" w:rsidRDefault="00F97522" w:rsidP="00F97522">
      <w:pPr>
        <w:rPr>
          <w:rFonts w:eastAsia="Times New Roman" w:cstheme="minorHAnsi"/>
          <w:sz w:val="24"/>
          <w:lang w:eastAsia="en-GB"/>
        </w:rPr>
      </w:pPr>
    </w:p>
    <w:p w:rsidR="00F97522" w:rsidRDefault="00F97522" w:rsidP="00F97522">
      <w:pPr>
        <w:rPr>
          <w:rFonts w:eastAsia="Times New Roman" w:cstheme="minorHAnsi"/>
          <w:sz w:val="24"/>
          <w:lang w:eastAsia="en-GB"/>
        </w:rPr>
      </w:pPr>
    </w:p>
    <w:p w:rsidR="00F97522" w:rsidRDefault="00F97522" w:rsidP="00F97522">
      <w:pPr>
        <w:rPr>
          <w:rFonts w:eastAsia="Times New Roman" w:cstheme="minorHAnsi"/>
          <w:sz w:val="24"/>
          <w:lang w:eastAsia="en-GB"/>
        </w:rPr>
      </w:pPr>
    </w:p>
    <w:p w:rsidR="00F97522" w:rsidRDefault="00F97522" w:rsidP="00F97522">
      <w:pPr>
        <w:rPr>
          <w:rFonts w:eastAsia="Times New Roman" w:cstheme="minorHAnsi"/>
          <w:sz w:val="24"/>
          <w:lang w:eastAsia="en-GB"/>
        </w:rPr>
      </w:pPr>
    </w:p>
    <w:p w:rsidR="00F97522" w:rsidRDefault="00F97522" w:rsidP="00F97522">
      <w:pPr>
        <w:rPr>
          <w:rFonts w:eastAsia="Times New Roman" w:cstheme="minorHAnsi"/>
          <w:sz w:val="24"/>
          <w:lang w:eastAsia="en-GB"/>
        </w:rPr>
      </w:pPr>
    </w:p>
    <w:p w:rsidR="00F97522" w:rsidRDefault="00F97522" w:rsidP="00F97522">
      <w:pPr>
        <w:rPr>
          <w:rFonts w:eastAsia="Times New Roman" w:cstheme="minorHAnsi"/>
          <w:sz w:val="24"/>
          <w:lang w:eastAsia="en-GB"/>
        </w:rPr>
      </w:pPr>
    </w:p>
    <w:p w:rsidR="00F97522" w:rsidRDefault="00F97522" w:rsidP="00F97522">
      <w:pPr>
        <w:rPr>
          <w:rFonts w:eastAsia="Times New Roman" w:cstheme="minorHAnsi"/>
          <w:sz w:val="24"/>
          <w:lang w:eastAsia="en-GB"/>
        </w:rPr>
      </w:pPr>
    </w:p>
    <w:p w:rsidR="00F97522" w:rsidRDefault="00F97522" w:rsidP="00F97522">
      <w:pPr>
        <w:rPr>
          <w:rFonts w:eastAsia="Times New Roman" w:cstheme="minorHAnsi"/>
          <w:sz w:val="24"/>
          <w:lang w:eastAsia="en-GB"/>
        </w:rPr>
      </w:pPr>
    </w:p>
    <w:p w:rsidR="00F97522" w:rsidRDefault="00F97522" w:rsidP="00F97522">
      <w:pPr>
        <w:rPr>
          <w:rFonts w:eastAsia="Times New Roman" w:cstheme="minorHAnsi"/>
          <w:sz w:val="24"/>
          <w:lang w:eastAsia="en-GB"/>
        </w:rPr>
      </w:pPr>
    </w:p>
    <w:p w:rsidR="00F97522" w:rsidRDefault="00F97522" w:rsidP="00F97522">
      <w:pPr>
        <w:rPr>
          <w:rFonts w:eastAsia="Times New Roman" w:cstheme="minorHAnsi"/>
          <w:sz w:val="24"/>
          <w:lang w:eastAsia="en-GB"/>
        </w:rPr>
      </w:pPr>
    </w:p>
    <w:p w:rsidR="00F97522" w:rsidRDefault="00F97522" w:rsidP="00F97522">
      <w:pPr>
        <w:rPr>
          <w:rFonts w:eastAsia="Times New Roman" w:cstheme="minorHAnsi"/>
          <w:sz w:val="24"/>
          <w:lang w:eastAsia="en-GB"/>
        </w:rPr>
      </w:pPr>
    </w:p>
    <w:p w:rsidR="00F97522" w:rsidRDefault="00F97522" w:rsidP="00F97522">
      <w:pPr>
        <w:rPr>
          <w:rFonts w:eastAsia="Times New Roman" w:cstheme="minorHAnsi"/>
          <w:sz w:val="24"/>
          <w:lang w:eastAsia="en-GB"/>
        </w:rPr>
      </w:pPr>
    </w:p>
    <w:p w:rsidR="00F97522" w:rsidRDefault="00F97522" w:rsidP="00F97522">
      <w:pPr>
        <w:rPr>
          <w:rFonts w:eastAsia="Times New Roman" w:cstheme="minorHAnsi"/>
          <w:b/>
          <w:sz w:val="28"/>
          <w:u w:val="single"/>
          <w:lang w:eastAsia="en-GB"/>
        </w:rPr>
      </w:pPr>
      <w:r>
        <w:rPr>
          <w:rFonts w:eastAsia="Times New Roman" w:cstheme="minorHAnsi"/>
          <w:b/>
          <w:sz w:val="28"/>
          <w:u w:val="single"/>
          <w:lang w:eastAsia="en-GB"/>
        </w:rPr>
        <w:lastRenderedPageBreak/>
        <w:t>PCDA Assignment 1 – Title 3</w:t>
      </w:r>
    </w:p>
    <w:p w:rsidR="00F97522" w:rsidRPr="00F97522" w:rsidRDefault="00F97522" w:rsidP="00F97522">
      <w:pPr>
        <w:overflowPunct w:val="0"/>
        <w:autoSpaceDE w:val="0"/>
        <w:autoSpaceDN w:val="0"/>
        <w:adjustRightInd w:val="0"/>
        <w:spacing w:before="240" w:after="0" w:line="240" w:lineRule="auto"/>
        <w:jc w:val="both"/>
        <w:textAlignment w:val="baseline"/>
        <w:rPr>
          <w:rFonts w:eastAsia="Times New Roman" w:cstheme="minorHAnsi"/>
          <w:b/>
          <w:i/>
          <w:sz w:val="24"/>
          <w:lang w:eastAsia="en-GB"/>
        </w:rPr>
      </w:pPr>
      <w:r w:rsidRPr="00F97522">
        <w:rPr>
          <w:rFonts w:eastAsia="Times New Roman" w:cstheme="minorHAnsi"/>
          <w:b/>
          <w:i/>
          <w:sz w:val="24"/>
          <w:lang w:eastAsia="en-GB"/>
        </w:rPr>
        <w:t xml:space="preserve">Analyse the developing issues of youth gangs, and why people are drawn into becoming part of a gang culture. </w:t>
      </w:r>
    </w:p>
    <w:p w:rsidR="00F97522" w:rsidRDefault="00F97522" w:rsidP="00F97522">
      <w:pPr>
        <w:rPr>
          <w:rFonts w:eastAsia="Times New Roman" w:cstheme="minorHAnsi"/>
          <w:sz w:val="24"/>
          <w:lang w:eastAsia="en-GB"/>
        </w:rPr>
      </w:pPr>
      <w:r w:rsidRPr="00F97522">
        <w:rPr>
          <w:rFonts w:eastAsia="Times New Roman" w:cstheme="minorHAnsi"/>
          <w:b/>
          <w:i/>
          <w:sz w:val="24"/>
          <w:lang w:eastAsia="en-GB"/>
        </w:rPr>
        <w:t>Consider how gangs target vulnerable people, people at risk of harm and the theories of victimology</w:t>
      </w:r>
      <w:r>
        <w:rPr>
          <w:rFonts w:eastAsia="Times New Roman" w:cstheme="minorHAnsi"/>
          <w:b/>
          <w:i/>
          <w:sz w:val="24"/>
          <w:lang w:eastAsia="en-GB"/>
        </w:rPr>
        <w:t>.</w:t>
      </w:r>
    </w:p>
    <w:p w:rsidR="00F97522" w:rsidRDefault="00F97522" w:rsidP="00F97522">
      <w:pPr>
        <w:rPr>
          <w:rFonts w:eastAsia="Times New Roman" w:cstheme="minorHAnsi"/>
          <w:sz w:val="24"/>
          <w:lang w:eastAsia="en-GB"/>
        </w:rPr>
      </w:pPr>
      <w:r>
        <w:rPr>
          <w:rFonts w:eastAsia="Times New Roman" w:cstheme="minorHAnsi"/>
          <w:sz w:val="24"/>
          <w:lang w:eastAsia="en-GB"/>
        </w:rPr>
        <w:t>Throughout the UK, particularly in larger cities such as London and Birmingham, youth gangs are becoming an increasing issue for those who reside there.</w:t>
      </w:r>
    </w:p>
    <w:p w:rsidR="00F97522" w:rsidRDefault="00F97522" w:rsidP="00F97522">
      <w:pPr>
        <w:rPr>
          <w:rFonts w:eastAsia="Times New Roman" w:cstheme="minorHAnsi"/>
          <w:sz w:val="24"/>
          <w:lang w:eastAsia="en-GB"/>
        </w:rPr>
      </w:pPr>
      <w:r>
        <w:rPr>
          <w:rFonts w:eastAsia="Times New Roman" w:cstheme="minorHAnsi"/>
          <w:sz w:val="24"/>
          <w:lang w:eastAsia="en-GB"/>
        </w:rPr>
        <w:t>In a report released in 2019, it is estimated that there were up to 27,000 young people involved in gang violence or culture at that time.</w:t>
      </w:r>
    </w:p>
    <w:p w:rsidR="00F97522" w:rsidRDefault="00F97522" w:rsidP="00F97522">
      <w:pPr>
        <w:rPr>
          <w:rFonts w:eastAsia="Times New Roman" w:cstheme="minorHAnsi"/>
          <w:sz w:val="24"/>
          <w:lang w:eastAsia="en-GB"/>
        </w:rPr>
      </w:pPr>
      <w:r>
        <w:rPr>
          <w:rFonts w:eastAsia="Times New Roman" w:cstheme="minorHAnsi"/>
          <w:sz w:val="24"/>
          <w:lang w:eastAsia="en-GB"/>
        </w:rPr>
        <w:t>That is a vast number considering that each of these young people are then far more likely to become involved in serious and organised crime, as the gang culture becomes further and further engrained into their behaviour and mind set.</w:t>
      </w:r>
    </w:p>
    <w:p w:rsidR="00F97522" w:rsidRDefault="00F97522" w:rsidP="00F97522">
      <w:pPr>
        <w:rPr>
          <w:rFonts w:eastAsia="Times New Roman" w:cstheme="minorHAnsi"/>
          <w:sz w:val="24"/>
          <w:lang w:eastAsia="en-GB"/>
        </w:rPr>
      </w:pPr>
      <w:r>
        <w:rPr>
          <w:rFonts w:eastAsia="Times New Roman" w:cstheme="minorHAnsi"/>
          <w:sz w:val="24"/>
          <w:lang w:eastAsia="en-GB"/>
        </w:rPr>
        <w:t xml:space="preserve">With the development of more children becoming involved in gangs and criminality, it brings with it the wider community impact that is felt by having such vast numbers of young people involved with these.  Areas with high amounts of gang violence tend to get a reputation for themselves as being a high crime area, something which goes hand in hand with the development and expansion of the number of young people who are members of a gang. </w:t>
      </w:r>
    </w:p>
    <w:p w:rsidR="00F97522" w:rsidRDefault="00F97522" w:rsidP="00F97522">
      <w:pPr>
        <w:rPr>
          <w:rFonts w:eastAsia="Times New Roman" w:cstheme="minorHAnsi"/>
          <w:sz w:val="24"/>
          <w:lang w:eastAsia="en-GB"/>
        </w:rPr>
      </w:pPr>
      <w:r>
        <w:rPr>
          <w:rFonts w:eastAsia="Times New Roman" w:cstheme="minorHAnsi"/>
          <w:sz w:val="24"/>
          <w:lang w:eastAsia="en-GB"/>
        </w:rPr>
        <w:t>With the increase in the number of youths who are members of a gang, it brings with it the increased likelihood of knife crime and serious violence.  It is a known fact that the majority of knife crime that is committed in the cities of the UK is done by individuals who identify as being part of a gang.  Therefore, the link can be made whereby the more persons who are involved in a gang, the more likelihood there is of violence ensuing.</w:t>
      </w:r>
    </w:p>
    <w:p w:rsidR="00867D3B" w:rsidRDefault="00867D3B" w:rsidP="00867D3B">
      <w:pPr>
        <w:rPr>
          <w:sz w:val="24"/>
        </w:rPr>
      </w:pPr>
      <w:r>
        <w:rPr>
          <w:sz w:val="24"/>
        </w:rPr>
        <w:t>With the developing issue of youth gangs becoming more prominent throughout the UK, the question needs to be asked in relation to why young people are drawn into gang culture in the first instance.</w:t>
      </w:r>
    </w:p>
    <w:p w:rsidR="00867D3B" w:rsidRDefault="00867D3B" w:rsidP="00867D3B">
      <w:pPr>
        <w:rPr>
          <w:sz w:val="24"/>
        </w:rPr>
      </w:pPr>
      <w:r>
        <w:rPr>
          <w:sz w:val="24"/>
        </w:rPr>
        <w:t>The majority of cases whereby a young person is drawn into a gang is due to some form of vulnerability that is potentially present in that young person’s life.  This could be due to lack of support from parents, for status amongst friends, because it has been normalised by other family members, or because they feel as if they should due to external pressures.</w:t>
      </w:r>
    </w:p>
    <w:p w:rsidR="00867D3B" w:rsidRDefault="00867D3B" w:rsidP="00867D3B">
      <w:pPr>
        <w:rPr>
          <w:sz w:val="24"/>
        </w:rPr>
      </w:pPr>
      <w:r>
        <w:rPr>
          <w:sz w:val="24"/>
        </w:rPr>
        <w:t>All of these factors are just some of the contributing factors as to why a young person may be drawn into becoming associated with a gang.</w:t>
      </w:r>
    </w:p>
    <w:p w:rsidR="00867D3B" w:rsidRDefault="00867D3B" w:rsidP="00867D3B">
      <w:pPr>
        <w:rPr>
          <w:sz w:val="24"/>
        </w:rPr>
      </w:pPr>
      <w:r>
        <w:rPr>
          <w:sz w:val="24"/>
        </w:rPr>
        <w:t>More often than not, becoming part of a gang is advertised by more established gang members as something exciting for young people to do.  There is often the promise of financial reward, or reward in some other form.  This is often very appealing to the young person, who may be struggling to find a job, or struggling with their schooling (Childnet International, 2018).</w:t>
      </w:r>
    </w:p>
    <w:p w:rsidR="00867D3B" w:rsidRDefault="00867D3B" w:rsidP="00867D3B">
      <w:pPr>
        <w:rPr>
          <w:sz w:val="24"/>
        </w:rPr>
      </w:pPr>
      <w:r>
        <w:rPr>
          <w:sz w:val="24"/>
        </w:rPr>
        <w:lastRenderedPageBreak/>
        <w:t>As it can be seen, it is very easy and appealing for a young person to become involved with a gang.  Quite often, they will have other family members, such as parents or siblings, who are already part of the gang that they are joining, and by them joining also, it gives them more of a sense of family and pride that they are alongside their family.</w:t>
      </w:r>
    </w:p>
    <w:p w:rsidR="00867D3B" w:rsidRDefault="00867D3B" w:rsidP="00867D3B">
      <w:pPr>
        <w:rPr>
          <w:sz w:val="24"/>
        </w:rPr>
      </w:pPr>
      <w:r>
        <w:rPr>
          <w:sz w:val="24"/>
        </w:rPr>
        <w:t>However, as it is obviously known, becoming involved in gang culture at an early age can have significant detrimental effects on the development of a young person throughout their early adult life.</w:t>
      </w:r>
    </w:p>
    <w:p w:rsidR="00F13D00" w:rsidRDefault="00F13D00" w:rsidP="00F13D00">
      <w:pPr>
        <w:rPr>
          <w:sz w:val="24"/>
        </w:rPr>
      </w:pPr>
      <w:r>
        <w:rPr>
          <w:sz w:val="24"/>
        </w:rPr>
        <w:t>The way in which gangs recruit and draw in new members, particularly those who are younger as they are more vulnerable, varies from case to case.  In some areas, it is simply expected that persons, especially males, will become engrained in gang culture as that is what each and every male in their family has done before.  For some, however, it is down to a unique set of circumstances that they may find themselves in which leads them to be more susceptible to being drawn in to that culture.</w:t>
      </w:r>
    </w:p>
    <w:p w:rsidR="00F13D00" w:rsidRDefault="00F13D00" w:rsidP="00F13D00">
      <w:pPr>
        <w:rPr>
          <w:sz w:val="24"/>
        </w:rPr>
      </w:pPr>
      <w:r>
        <w:rPr>
          <w:sz w:val="24"/>
        </w:rPr>
        <w:t>The way in which gangs recruit new, young members to their ranks can be demonstrated through a theory of victimology.  This is because some young people who become involved with gangs could be considered as victims from the older gang members.  Often there is an element of grooming to get young people into gangs, the promise of nice items, drugs, relationships and so on.  This could lead to young people feeling obliged and drawn in to the culture, as they are promised these things, but often in fact end up becoming low level criminals who take the blame for the gang’s activity.</w:t>
      </w:r>
    </w:p>
    <w:p w:rsidR="00F13D00" w:rsidRDefault="00F13D00" w:rsidP="00F13D00">
      <w:pPr>
        <w:rPr>
          <w:sz w:val="24"/>
        </w:rPr>
      </w:pPr>
      <w:r>
        <w:rPr>
          <w:sz w:val="24"/>
        </w:rPr>
        <w:t>One of these theories that could be demonstrated is the Routine Activity Theory, or RAT.</w:t>
      </w:r>
    </w:p>
    <w:p w:rsidR="00F13D00" w:rsidRDefault="00F13D00" w:rsidP="00F13D00">
      <w:pPr>
        <w:rPr>
          <w:sz w:val="24"/>
        </w:rPr>
      </w:pPr>
      <w:r>
        <w:rPr>
          <w:sz w:val="24"/>
        </w:rPr>
        <w:t>The RAT relies upon three different criteria to be considered and met in order for someone to become victimised due to their circumstances.</w:t>
      </w:r>
    </w:p>
    <w:p w:rsidR="00F13D00" w:rsidRDefault="00F13D00" w:rsidP="00F13D00">
      <w:pPr>
        <w:rPr>
          <w:sz w:val="24"/>
        </w:rPr>
      </w:pPr>
      <w:r>
        <w:rPr>
          <w:sz w:val="24"/>
        </w:rPr>
        <w:t>The fist criteria is the availability of a suitable target.  This fits in perfectly with a young person who is willing to engage in gang culture, whom may be vulnerable due to having a less privileged upbringing, or be reliant upon attention or drugs.  This then makes that individual an easier target for the gang members, as they are more likely to succumb to peer pressure and suggestive ideas.</w:t>
      </w:r>
    </w:p>
    <w:p w:rsidR="00F13D00" w:rsidRDefault="00F13D00" w:rsidP="00F13D00">
      <w:pPr>
        <w:rPr>
          <w:sz w:val="24"/>
        </w:rPr>
      </w:pPr>
      <w:r>
        <w:rPr>
          <w:sz w:val="24"/>
        </w:rPr>
        <w:t>The second criteria is the absence of capable guardians.  This relates to the young person not having someone appropriate or influential in a positive way to look up to.  This allows for the gangs to exploit this vulnerability and give that young person the “role model” that they have been searching for.  Unfortunately, the young person begins to trust the established gang member, and then become engrained in the gang’s behaviour from there.  This then leads to the young person developing the behaviour that the already established members are displaying, meaning that the young person will end up on a downhill spiral from then on.</w:t>
      </w:r>
    </w:p>
    <w:p w:rsidR="00F13D00" w:rsidRDefault="00F13D00" w:rsidP="00F13D00">
      <w:pPr>
        <w:rPr>
          <w:sz w:val="24"/>
        </w:rPr>
      </w:pPr>
      <w:r>
        <w:rPr>
          <w:sz w:val="24"/>
        </w:rPr>
        <w:t xml:space="preserve">The final criteria needed is the presence of motivated offenders.  If, for example, there is a group of persons already within the gang who are motivated criminals who have committed multiple offences, it becomes much easier for them to draw in and attract the younger </w:t>
      </w:r>
      <w:r>
        <w:rPr>
          <w:sz w:val="24"/>
        </w:rPr>
        <w:lastRenderedPageBreak/>
        <w:t>persons who are likely to become the established gang members of the future (The Law Project, 2016).</w:t>
      </w:r>
    </w:p>
    <w:p w:rsidR="00F13D00" w:rsidRDefault="00F13D00" w:rsidP="00F13D00">
      <w:pPr>
        <w:rPr>
          <w:sz w:val="24"/>
        </w:rPr>
      </w:pPr>
      <w:r>
        <w:rPr>
          <w:sz w:val="24"/>
        </w:rPr>
        <w:t>In basic terms, if any one of these three criteria are missing, then the RAT cannot apply and the person cannot be victimised as effectively as the gang would like.  However, in most gang situations all three of these criteria will be met, leading to it being easy to draw young people in who are craving that attention or sense of belonging, and shape them into the gang member that is going to suit the established members the most.</w:t>
      </w:r>
    </w:p>
    <w:p w:rsidR="00A4237E" w:rsidRPr="009C60BD" w:rsidRDefault="009C60BD" w:rsidP="00F13D00">
      <w:pPr>
        <w:rPr>
          <w:b/>
          <w:i/>
          <w:sz w:val="24"/>
        </w:rPr>
      </w:pPr>
      <w:r>
        <w:rPr>
          <w:b/>
          <w:i/>
          <w:sz w:val="24"/>
        </w:rPr>
        <w:t>1080 WORDS</w:t>
      </w:r>
    </w:p>
    <w:p w:rsidR="00A4237E" w:rsidRDefault="00A4237E" w:rsidP="00F13D00">
      <w:pPr>
        <w:rPr>
          <w:sz w:val="24"/>
        </w:rPr>
      </w:pPr>
    </w:p>
    <w:p w:rsidR="00A4237E" w:rsidRDefault="00A4237E" w:rsidP="00F13D00">
      <w:pPr>
        <w:rPr>
          <w:sz w:val="24"/>
        </w:rPr>
      </w:pPr>
    </w:p>
    <w:p w:rsidR="00A4237E" w:rsidRDefault="00A4237E" w:rsidP="00F13D00">
      <w:pPr>
        <w:rPr>
          <w:sz w:val="24"/>
        </w:rPr>
      </w:pPr>
    </w:p>
    <w:p w:rsidR="00A4237E" w:rsidRDefault="00A4237E" w:rsidP="00F13D00">
      <w:pPr>
        <w:rPr>
          <w:sz w:val="24"/>
        </w:rPr>
      </w:pPr>
    </w:p>
    <w:p w:rsidR="00A4237E" w:rsidRDefault="00A4237E" w:rsidP="00F13D00">
      <w:pPr>
        <w:rPr>
          <w:sz w:val="24"/>
        </w:rPr>
      </w:pPr>
    </w:p>
    <w:p w:rsidR="00A4237E" w:rsidRDefault="00A4237E" w:rsidP="00F13D00">
      <w:pPr>
        <w:rPr>
          <w:sz w:val="24"/>
        </w:rPr>
      </w:pPr>
    </w:p>
    <w:p w:rsidR="00A4237E" w:rsidRDefault="00A4237E" w:rsidP="00F13D00">
      <w:pPr>
        <w:rPr>
          <w:sz w:val="24"/>
        </w:rPr>
      </w:pPr>
    </w:p>
    <w:p w:rsidR="00A4237E" w:rsidRDefault="00A4237E" w:rsidP="00F13D00">
      <w:pPr>
        <w:rPr>
          <w:sz w:val="24"/>
        </w:rPr>
      </w:pPr>
    </w:p>
    <w:p w:rsidR="00A4237E" w:rsidRDefault="00A4237E" w:rsidP="00F13D00">
      <w:pPr>
        <w:rPr>
          <w:sz w:val="24"/>
        </w:rPr>
      </w:pPr>
    </w:p>
    <w:p w:rsidR="00A4237E" w:rsidRDefault="00A4237E" w:rsidP="00F13D00">
      <w:pPr>
        <w:rPr>
          <w:sz w:val="24"/>
        </w:rPr>
      </w:pPr>
    </w:p>
    <w:p w:rsidR="00A4237E" w:rsidRDefault="00A4237E" w:rsidP="00F13D00">
      <w:pPr>
        <w:rPr>
          <w:sz w:val="24"/>
        </w:rPr>
      </w:pPr>
    </w:p>
    <w:p w:rsidR="00A4237E" w:rsidRDefault="00A4237E" w:rsidP="00F13D00">
      <w:pPr>
        <w:rPr>
          <w:sz w:val="24"/>
        </w:rPr>
      </w:pPr>
    </w:p>
    <w:p w:rsidR="00A4237E" w:rsidRDefault="00A4237E" w:rsidP="00F13D00">
      <w:pPr>
        <w:rPr>
          <w:sz w:val="24"/>
        </w:rPr>
      </w:pPr>
    </w:p>
    <w:p w:rsidR="00A4237E" w:rsidRDefault="00A4237E" w:rsidP="00F13D00">
      <w:pPr>
        <w:rPr>
          <w:sz w:val="24"/>
        </w:rPr>
      </w:pPr>
    </w:p>
    <w:p w:rsidR="00A4237E" w:rsidRDefault="00A4237E" w:rsidP="00F13D00">
      <w:pPr>
        <w:rPr>
          <w:sz w:val="24"/>
        </w:rPr>
      </w:pPr>
    </w:p>
    <w:p w:rsidR="00A4237E" w:rsidRDefault="00A4237E" w:rsidP="00F13D00">
      <w:pPr>
        <w:rPr>
          <w:sz w:val="24"/>
        </w:rPr>
      </w:pPr>
    </w:p>
    <w:p w:rsidR="00A4237E" w:rsidRDefault="00A4237E" w:rsidP="00F13D00">
      <w:pPr>
        <w:rPr>
          <w:sz w:val="24"/>
        </w:rPr>
      </w:pPr>
    </w:p>
    <w:p w:rsidR="00A4237E" w:rsidRDefault="00A4237E" w:rsidP="00F13D00">
      <w:pPr>
        <w:rPr>
          <w:sz w:val="24"/>
        </w:rPr>
      </w:pPr>
    </w:p>
    <w:p w:rsidR="00A4237E" w:rsidRDefault="00A4237E" w:rsidP="00F13D00">
      <w:pPr>
        <w:rPr>
          <w:sz w:val="24"/>
        </w:rPr>
      </w:pPr>
    </w:p>
    <w:p w:rsidR="00A4237E" w:rsidRDefault="00A4237E" w:rsidP="00F13D00">
      <w:pPr>
        <w:rPr>
          <w:sz w:val="24"/>
        </w:rPr>
      </w:pPr>
    </w:p>
    <w:p w:rsidR="00A4237E" w:rsidRDefault="00A4237E" w:rsidP="00F13D00">
      <w:pPr>
        <w:rPr>
          <w:sz w:val="24"/>
        </w:rPr>
      </w:pPr>
    </w:p>
    <w:p w:rsidR="00A4237E" w:rsidRDefault="00A4237E" w:rsidP="00F13D00">
      <w:pPr>
        <w:rPr>
          <w:sz w:val="24"/>
        </w:rPr>
      </w:pPr>
    </w:p>
    <w:p w:rsidR="00A4237E" w:rsidRDefault="00A4237E" w:rsidP="00F13D00">
      <w:pPr>
        <w:rPr>
          <w:sz w:val="24"/>
        </w:rPr>
      </w:pPr>
    </w:p>
    <w:p w:rsidR="00A4237E" w:rsidRDefault="00A4237E" w:rsidP="00F13D00">
      <w:pPr>
        <w:rPr>
          <w:b/>
          <w:sz w:val="28"/>
          <w:u w:val="single"/>
        </w:rPr>
      </w:pPr>
      <w:r>
        <w:rPr>
          <w:b/>
          <w:sz w:val="28"/>
          <w:u w:val="single"/>
        </w:rPr>
        <w:lastRenderedPageBreak/>
        <w:t>PCDA Assignment 1 – Title 4</w:t>
      </w:r>
    </w:p>
    <w:p w:rsidR="00A4237E" w:rsidRDefault="00A4237E" w:rsidP="00F13D00">
      <w:pPr>
        <w:rPr>
          <w:rFonts w:eastAsia="Times New Roman" w:cstheme="minorHAnsi"/>
          <w:sz w:val="24"/>
          <w:lang w:eastAsia="en-GB"/>
        </w:rPr>
      </w:pPr>
      <w:r w:rsidRPr="00A4237E">
        <w:rPr>
          <w:rFonts w:eastAsia="Times New Roman" w:cstheme="minorHAnsi"/>
          <w:b/>
          <w:i/>
          <w:sz w:val="24"/>
          <w:lang w:eastAsia="en-GB"/>
        </w:rPr>
        <w:t>Critically evaluate the impact upon policing of differing values, ethics and norms within diverse communities and the importance of effective communication when working within these communities.</w:t>
      </w:r>
    </w:p>
    <w:p w:rsidR="0024014F" w:rsidRDefault="0024014F" w:rsidP="0024014F">
      <w:pPr>
        <w:rPr>
          <w:sz w:val="24"/>
        </w:rPr>
      </w:pPr>
      <w:r>
        <w:rPr>
          <w:sz w:val="24"/>
        </w:rPr>
        <w:t>Policing, particularly in the UK, has always been about being diverse and open in the way in which we deal with individuals.  This applies to each and every person, but particularly in these ever changing times as the police have to adapt to the ever changing diverse community in which we live.</w:t>
      </w:r>
    </w:p>
    <w:p w:rsidR="0024014F" w:rsidRDefault="0024014F" w:rsidP="0024014F">
      <w:pPr>
        <w:rPr>
          <w:sz w:val="24"/>
        </w:rPr>
      </w:pPr>
      <w:r>
        <w:rPr>
          <w:sz w:val="24"/>
        </w:rPr>
        <w:t>When policing a diverse community, it is imperative for police officers to understand and be able to work with the norms, values and practices of those communities.  This aids officers in being able to form a good working relationship with persons from the community, hence enabling officers to deal with people in the way in which they wish to be dealt.</w:t>
      </w:r>
    </w:p>
    <w:p w:rsidR="0024014F" w:rsidRDefault="0024014F" w:rsidP="0024014F">
      <w:pPr>
        <w:rPr>
          <w:sz w:val="24"/>
        </w:rPr>
      </w:pPr>
      <w:r>
        <w:rPr>
          <w:sz w:val="24"/>
        </w:rPr>
        <w:t>It is vital that officers accustom themselves to these ethics and norms of society to ensure that the best and most understanding service is given to all those who require help.</w:t>
      </w:r>
    </w:p>
    <w:p w:rsidR="0024014F" w:rsidRDefault="0024014F" w:rsidP="0024014F">
      <w:pPr>
        <w:rPr>
          <w:sz w:val="24"/>
        </w:rPr>
      </w:pPr>
      <w:r>
        <w:rPr>
          <w:sz w:val="24"/>
        </w:rPr>
        <w:t>Without having a proper understanding of how different cultures operate, and what their individual beliefs are, it can make it extremely difficult to engage with people and gain the best outcome.</w:t>
      </w:r>
    </w:p>
    <w:p w:rsidR="0024014F" w:rsidRDefault="0024014F" w:rsidP="0024014F">
      <w:pPr>
        <w:rPr>
          <w:sz w:val="24"/>
        </w:rPr>
      </w:pPr>
      <w:r>
        <w:rPr>
          <w:sz w:val="24"/>
        </w:rPr>
        <w:t>When policing an area, particularly one with a large diverse population, it is vital that officers make themselves familiar with the values, ethics and norms of the communities which they serve.</w:t>
      </w:r>
    </w:p>
    <w:p w:rsidR="0024014F" w:rsidRDefault="0024014F" w:rsidP="0024014F">
      <w:pPr>
        <w:rPr>
          <w:sz w:val="24"/>
        </w:rPr>
      </w:pPr>
      <w:r>
        <w:rPr>
          <w:sz w:val="24"/>
        </w:rPr>
        <w:t>This can be done through researching what each community’s beliefs are, and therefore increasing ones understanding into their way of life.  This in turn, allows officers to appear more professional and confident when dealing with individuals within the communities, and also prevents there being any offence caused unintentionally due to lack of knowledge (College of Policing, 2018).</w:t>
      </w:r>
    </w:p>
    <w:p w:rsidR="0024014F" w:rsidRDefault="0024014F" w:rsidP="0024014F">
      <w:pPr>
        <w:rPr>
          <w:sz w:val="24"/>
        </w:rPr>
      </w:pPr>
      <w:r>
        <w:rPr>
          <w:sz w:val="24"/>
        </w:rPr>
        <w:t>One example of this would be whereby officers attend and potentially search a Muslim woman.  It is tradition for Muslim women to wear a Hijab, covering of the hair, which can only be removed in front of their husband or other females.  This is due to hair beign seen as sacred in Islam, so therefore only a woman’s husband should be able to see it.</w:t>
      </w:r>
    </w:p>
    <w:p w:rsidR="0024014F" w:rsidRDefault="0024014F" w:rsidP="0024014F">
      <w:pPr>
        <w:rPr>
          <w:sz w:val="24"/>
        </w:rPr>
      </w:pPr>
      <w:r>
        <w:rPr>
          <w:sz w:val="24"/>
        </w:rPr>
        <w:t>Therefore, if a male and female attend such a call, it would be courteous for the male officer to remove himself from the immediate vicinity if safe and practicable, to allow the female officer to search.  Alternatively, it may be better to move all parties to a different location such as a police station, in order to effect the search more professionally and whilst maintaining the views and beliefs of that particular individual (Nanji, A. 2019).</w:t>
      </w:r>
    </w:p>
    <w:p w:rsidR="0024014F" w:rsidRDefault="0024014F" w:rsidP="0024014F">
      <w:pPr>
        <w:rPr>
          <w:sz w:val="24"/>
        </w:rPr>
      </w:pPr>
      <w:r>
        <w:rPr>
          <w:sz w:val="24"/>
        </w:rPr>
        <w:t xml:space="preserve">Obviously, this is just one example of where it is important to remember the values and norms of ethnic minority groups, other examples include hundreds of norms.  </w:t>
      </w:r>
    </w:p>
    <w:p w:rsidR="0024014F" w:rsidRDefault="0024014F" w:rsidP="0024014F">
      <w:pPr>
        <w:rPr>
          <w:sz w:val="24"/>
        </w:rPr>
      </w:pPr>
      <w:r>
        <w:rPr>
          <w:sz w:val="24"/>
        </w:rPr>
        <w:t xml:space="preserve">It can be see however, simply from this example, that it pays for officers to make themselves aware of the way in which other communities live, to ensure that even if a </w:t>
      </w:r>
      <w:r>
        <w:rPr>
          <w:sz w:val="24"/>
        </w:rPr>
        <w:lastRenderedPageBreak/>
        <w:t>person has to be dealt with by the police, it is done so in a professional ethical and fair manner.</w:t>
      </w:r>
    </w:p>
    <w:p w:rsidR="009C60BD" w:rsidRDefault="009C60BD" w:rsidP="009C60BD">
      <w:pPr>
        <w:rPr>
          <w:sz w:val="24"/>
        </w:rPr>
      </w:pPr>
      <w:r>
        <w:rPr>
          <w:sz w:val="24"/>
        </w:rPr>
        <w:t>When speaking and communicating with those within diverse groups and ethnic minorities, it is vital that this communication is effective and appropriate.  It has to be remembered that some, not all, of the persons who live within such communities may not speak English as their first language.  Therefore, it is even more vital to remember that effective communication is key to building relationships and allowing for the officer to deal with the individual most effectively.</w:t>
      </w:r>
    </w:p>
    <w:p w:rsidR="009C60BD" w:rsidRDefault="009C60BD" w:rsidP="009C60BD">
      <w:pPr>
        <w:rPr>
          <w:sz w:val="24"/>
        </w:rPr>
      </w:pPr>
      <w:r>
        <w:rPr>
          <w:sz w:val="24"/>
        </w:rPr>
        <w:t>There are numerous different ways in which effective communication can be established.  These include maintaining etiquette whilst speaking to the person.  This could include as mentioned above, doing some research into the ethics and norms of that person’s culture.  This way, the officer will be more accustomed to the way in which the person communicates, and therefore will be more aware of how to communicate most effectively with that individual.</w:t>
      </w:r>
    </w:p>
    <w:p w:rsidR="009C60BD" w:rsidRDefault="009C60BD" w:rsidP="009C60BD">
      <w:pPr>
        <w:rPr>
          <w:sz w:val="24"/>
        </w:rPr>
      </w:pPr>
      <w:r>
        <w:rPr>
          <w:sz w:val="24"/>
        </w:rPr>
        <w:t>Also, it is important that if a person’s first language is not English, then it is advisable not to use slang terms or local terms for words.  This could cause confusion or even offence, as the individual may be less likely to fully understand what is being asked of, or told to, them, resulting in a further breakdown of communication (Chrysos, 2020).</w:t>
      </w:r>
    </w:p>
    <w:p w:rsidR="009C60BD" w:rsidRDefault="009C60BD" w:rsidP="009C60BD">
      <w:pPr>
        <w:rPr>
          <w:sz w:val="24"/>
        </w:rPr>
      </w:pPr>
      <w:r>
        <w:rPr>
          <w:sz w:val="24"/>
        </w:rPr>
        <w:t>Along with these two examples, there are many other ways in which effective communication can be described as essential when conversing with everybody, but particularly those whom live within ethnic minority groups.</w:t>
      </w:r>
    </w:p>
    <w:p w:rsidR="009C60BD" w:rsidRDefault="009C60BD" w:rsidP="009C60BD">
      <w:pPr>
        <w:rPr>
          <w:sz w:val="24"/>
        </w:rPr>
      </w:pPr>
      <w:r>
        <w:rPr>
          <w:sz w:val="24"/>
        </w:rPr>
        <w:t xml:space="preserve">Overall, it can be seen that there are a number of considerations which need to be thought about when policing within diverse communities.  The considerations that need to be made highlight the importance of police officers begin familiar with the areas and the people that they police. </w:t>
      </w:r>
    </w:p>
    <w:p w:rsidR="009C60BD" w:rsidRDefault="009C60BD" w:rsidP="009C60BD">
      <w:pPr>
        <w:rPr>
          <w:sz w:val="24"/>
        </w:rPr>
      </w:pPr>
      <w:r>
        <w:rPr>
          <w:sz w:val="24"/>
        </w:rPr>
        <w:t xml:space="preserve">By officers having a better understanding of the values, norms and ethics of the diverse communities, it massively helps to improve police-community relationships and aids the police in carrying out the work that they do. </w:t>
      </w:r>
    </w:p>
    <w:p w:rsidR="009C60BD" w:rsidRDefault="009C60BD" w:rsidP="009C60BD">
      <w:pPr>
        <w:rPr>
          <w:sz w:val="24"/>
        </w:rPr>
      </w:pPr>
      <w:r>
        <w:rPr>
          <w:sz w:val="24"/>
        </w:rPr>
        <w:t>Overall, it is the duty of the police to adapt to and learn the different cultures which they police.  Without this, there is a risk that persons could lose faith in the police and not trust them as they should.  This further highlights the importance of researching differing ethnicities and values which are held by persons in communities, as they will feel more valued if the police have a better understanding of their way of life.</w:t>
      </w:r>
    </w:p>
    <w:p w:rsidR="009C60BD" w:rsidRPr="009C60BD" w:rsidRDefault="009C60BD" w:rsidP="009C60BD">
      <w:pPr>
        <w:rPr>
          <w:b/>
          <w:i/>
          <w:sz w:val="24"/>
        </w:rPr>
      </w:pPr>
      <w:r>
        <w:rPr>
          <w:b/>
          <w:i/>
          <w:sz w:val="24"/>
        </w:rPr>
        <w:t>902 WORDS</w:t>
      </w:r>
    </w:p>
    <w:p w:rsidR="0024014F" w:rsidRPr="00BD5319" w:rsidRDefault="0024014F" w:rsidP="0024014F">
      <w:pPr>
        <w:rPr>
          <w:sz w:val="24"/>
        </w:rPr>
      </w:pPr>
    </w:p>
    <w:p w:rsidR="0024014F" w:rsidRPr="0024014F" w:rsidRDefault="0024014F" w:rsidP="00F13D00">
      <w:pPr>
        <w:rPr>
          <w:rFonts w:eastAsia="Times New Roman" w:cstheme="minorHAnsi"/>
          <w:sz w:val="24"/>
          <w:lang w:eastAsia="en-GB"/>
        </w:rPr>
      </w:pPr>
    </w:p>
    <w:p w:rsidR="0024014F" w:rsidRDefault="0024014F" w:rsidP="00F13D00">
      <w:pPr>
        <w:rPr>
          <w:rFonts w:eastAsia="Times New Roman" w:cstheme="minorHAnsi"/>
          <w:b/>
          <w:i/>
          <w:sz w:val="24"/>
          <w:lang w:eastAsia="en-GB"/>
        </w:rPr>
      </w:pPr>
    </w:p>
    <w:p w:rsidR="009C60BD" w:rsidRDefault="009C60BD">
      <w:pPr>
        <w:rPr>
          <w:rFonts w:cstheme="minorHAnsi"/>
          <w:sz w:val="28"/>
        </w:rPr>
      </w:pPr>
      <w:bookmarkStart w:id="0" w:name="_GoBack"/>
      <w:bookmarkEnd w:id="0"/>
    </w:p>
    <w:p w:rsidR="007115FB" w:rsidRPr="009C60BD" w:rsidRDefault="007115FB">
      <w:pPr>
        <w:rPr>
          <w:rFonts w:eastAsia="Times New Roman" w:cstheme="minorHAnsi"/>
          <w:b/>
          <w:sz w:val="28"/>
          <w:u w:val="single"/>
          <w:lang w:eastAsia="en-GB"/>
        </w:rPr>
      </w:pPr>
      <w:r w:rsidRPr="009C60BD">
        <w:rPr>
          <w:rFonts w:eastAsia="Times New Roman" w:cstheme="minorHAnsi"/>
          <w:b/>
          <w:sz w:val="28"/>
          <w:u w:val="single"/>
          <w:lang w:eastAsia="en-GB"/>
        </w:rPr>
        <w:t>Bibliography</w:t>
      </w:r>
    </w:p>
    <w:p w:rsidR="009C60BD" w:rsidRPr="009C60BD" w:rsidRDefault="009C60BD">
      <w:pPr>
        <w:rPr>
          <w:rFonts w:cstheme="minorHAnsi"/>
          <w:color w:val="000000"/>
          <w:sz w:val="24"/>
          <w:szCs w:val="24"/>
        </w:rPr>
      </w:pPr>
      <w:r w:rsidRPr="009C60BD">
        <w:rPr>
          <w:rFonts w:cstheme="minorHAnsi"/>
          <w:color w:val="000000"/>
          <w:sz w:val="24"/>
          <w:szCs w:val="24"/>
        </w:rPr>
        <w:t>Butcher, B. (2019). </w:t>
      </w:r>
      <w:r w:rsidRPr="009C60BD">
        <w:rPr>
          <w:rFonts w:cstheme="minorHAnsi"/>
          <w:i/>
          <w:iCs/>
          <w:color w:val="000000"/>
          <w:sz w:val="24"/>
          <w:szCs w:val="24"/>
        </w:rPr>
        <w:t>How do we know how many children are in gangs?.</w:t>
      </w:r>
      <w:r w:rsidRPr="009C60BD">
        <w:rPr>
          <w:rFonts w:cstheme="minorHAnsi"/>
          <w:color w:val="000000"/>
          <w:sz w:val="24"/>
          <w:szCs w:val="24"/>
        </w:rPr>
        <w:t> Available: https://www.bbc.co.uk/news/uk-47388890. Last accessed 25th June 2020</w:t>
      </w:r>
    </w:p>
    <w:p w:rsidR="009C60BD" w:rsidRPr="009C60BD" w:rsidRDefault="009C60BD">
      <w:pPr>
        <w:rPr>
          <w:rFonts w:cstheme="minorHAnsi"/>
          <w:color w:val="000000"/>
          <w:sz w:val="24"/>
          <w:szCs w:val="24"/>
        </w:rPr>
      </w:pPr>
      <w:r w:rsidRPr="009C60BD">
        <w:rPr>
          <w:rFonts w:cstheme="minorHAnsi"/>
          <w:color w:val="000000"/>
          <w:sz w:val="24"/>
          <w:szCs w:val="24"/>
        </w:rPr>
        <w:t>Childnet International. (2018). </w:t>
      </w:r>
      <w:r w:rsidRPr="009C60BD">
        <w:rPr>
          <w:rFonts w:cstheme="minorHAnsi"/>
          <w:i/>
          <w:iCs/>
          <w:color w:val="000000"/>
          <w:sz w:val="24"/>
          <w:szCs w:val="24"/>
        </w:rPr>
        <w:t>Why do children and young people join gangs?.</w:t>
      </w:r>
      <w:r w:rsidRPr="009C60BD">
        <w:rPr>
          <w:rFonts w:cstheme="minorHAnsi"/>
          <w:color w:val="000000"/>
          <w:sz w:val="24"/>
          <w:szCs w:val="24"/>
        </w:rPr>
        <w:t> Available: https://www.childnet.com/teachers-and-professionals/for-working-with-young-people/hot-topics/social-media-and-gang-violence/why-do-children-and-young-people-join-gangs-1. Last accessed 26th June 2020</w:t>
      </w:r>
    </w:p>
    <w:p w:rsidR="009C60BD" w:rsidRPr="009C60BD" w:rsidRDefault="009C60BD">
      <w:pPr>
        <w:rPr>
          <w:rFonts w:cstheme="minorHAnsi"/>
          <w:sz w:val="24"/>
          <w:szCs w:val="24"/>
        </w:rPr>
      </w:pPr>
      <w:r w:rsidRPr="009C60BD">
        <w:rPr>
          <w:rFonts w:cstheme="minorHAnsi"/>
          <w:color w:val="000000"/>
          <w:sz w:val="24"/>
          <w:szCs w:val="24"/>
        </w:rPr>
        <w:t>Chrysos. (2020). </w:t>
      </w:r>
      <w:r w:rsidRPr="009C60BD">
        <w:rPr>
          <w:rFonts w:cstheme="minorHAnsi"/>
          <w:i/>
          <w:iCs/>
          <w:color w:val="000000"/>
          <w:sz w:val="24"/>
          <w:szCs w:val="24"/>
        </w:rPr>
        <w:t>Top Ten Tips for... Effective Cross-Cultural Communication.</w:t>
      </w:r>
      <w:r w:rsidRPr="009C60BD">
        <w:rPr>
          <w:rFonts w:cstheme="minorHAnsi"/>
          <w:color w:val="000000"/>
          <w:sz w:val="24"/>
          <w:szCs w:val="24"/>
        </w:rPr>
        <w:t> Available: https://www.chrysos.org.uk/blog/top-ten-tips-for-effective-cross-cultural-communi. Last accessed 29th June 2020</w:t>
      </w:r>
    </w:p>
    <w:p w:rsidR="009C60BD" w:rsidRPr="009C60BD" w:rsidRDefault="009C60BD">
      <w:pPr>
        <w:rPr>
          <w:rFonts w:cstheme="minorHAnsi"/>
          <w:color w:val="000000"/>
          <w:sz w:val="24"/>
          <w:szCs w:val="24"/>
        </w:rPr>
      </w:pPr>
      <w:r w:rsidRPr="009C60BD">
        <w:rPr>
          <w:rFonts w:cstheme="minorHAnsi"/>
          <w:color w:val="000000"/>
          <w:sz w:val="24"/>
          <w:szCs w:val="24"/>
        </w:rPr>
        <w:t>College of Policing. (2017). </w:t>
      </w:r>
      <w:r w:rsidRPr="009C60BD">
        <w:rPr>
          <w:rFonts w:cstheme="minorHAnsi"/>
          <w:i/>
          <w:iCs/>
          <w:color w:val="000000"/>
          <w:sz w:val="24"/>
          <w:szCs w:val="24"/>
        </w:rPr>
        <w:t>Communication and media considerations.</w:t>
      </w:r>
      <w:r w:rsidRPr="009C60BD">
        <w:rPr>
          <w:rFonts w:cstheme="minorHAnsi"/>
          <w:color w:val="000000"/>
          <w:sz w:val="24"/>
          <w:szCs w:val="24"/>
        </w:rPr>
        <w:t> Available: https://www.app.college.police.uk/app-content/major-investigation-and-public-protection/managing-sexual-offenders-and-violent-offenders/communication-and-media-considerations/#-communication-and-media. Last accessed 25th June 2020</w:t>
      </w:r>
    </w:p>
    <w:p w:rsidR="009C60BD" w:rsidRPr="009C60BD" w:rsidRDefault="009C60BD">
      <w:pPr>
        <w:rPr>
          <w:rFonts w:cstheme="minorHAnsi"/>
          <w:color w:val="000000"/>
          <w:sz w:val="24"/>
          <w:szCs w:val="24"/>
        </w:rPr>
      </w:pPr>
      <w:r w:rsidRPr="009C60BD">
        <w:rPr>
          <w:rFonts w:cstheme="minorHAnsi"/>
          <w:color w:val="000000"/>
          <w:sz w:val="24"/>
          <w:szCs w:val="24"/>
        </w:rPr>
        <w:t>College of Policing. (2018). </w:t>
      </w:r>
      <w:r w:rsidRPr="009C60BD">
        <w:rPr>
          <w:rFonts w:cstheme="minorHAnsi"/>
          <w:i/>
          <w:iCs/>
          <w:color w:val="000000"/>
          <w:sz w:val="24"/>
          <w:szCs w:val="24"/>
        </w:rPr>
        <w:t>Diversity and inclusion.</w:t>
      </w:r>
      <w:r w:rsidRPr="009C60BD">
        <w:rPr>
          <w:rFonts w:cstheme="minorHAnsi"/>
          <w:color w:val="000000"/>
          <w:sz w:val="24"/>
          <w:szCs w:val="24"/>
        </w:rPr>
        <w:t> Available: https://www.college.police.uk/What-we-do/Support/Equality/Pages/default.aspx. Last accessed 29th June 2020</w:t>
      </w:r>
    </w:p>
    <w:p w:rsidR="009C60BD" w:rsidRPr="009C60BD" w:rsidRDefault="009C60BD">
      <w:pPr>
        <w:rPr>
          <w:rFonts w:cstheme="minorHAnsi"/>
          <w:color w:val="000000"/>
          <w:sz w:val="24"/>
          <w:szCs w:val="24"/>
        </w:rPr>
      </w:pPr>
      <w:r w:rsidRPr="009C60BD">
        <w:rPr>
          <w:rFonts w:cstheme="minorHAnsi"/>
          <w:color w:val="000000"/>
          <w:sz w:val="24"/>
          <w:szCs w:val="24"/>
        </w:rPr>
        <w:t>Dodd, V. (2018). </w:t>
      </w:r>
      <w:r w:rsidRPr="009C60BD">
        <w:rPr>
          <w:rFonts w:cstheme="minorHAnsi"/>
          <w:i/>
          <w:iCs/>
          <w:color w:val="000000"/>
          <w:sz w:val="24"/>
          <w:szCs w:val="24"/>
        </w:rPr>
        <w:t>This article is more than 1 year old Metropolitan police’s anti-corruption unit faces investigation.</w:t>
      </w:r>
      <w:r w:rsidRPr="009C60BD">
        <w:rPr>
          <w:rFonts w:cstheme="minorHAnsi"/>
          <w:color w:val="000000"/>
          <w:sz w:val="24"/>
          <w:szCs w:val="24"/>
        </w:rPr>
        <w:t> Available: https://www.theguardian.com/uk-news/2018/jul/22/metropolitan-police-anti-corruption-unit-faces-investigation. Last accessed 25th June 2020</w:t>
      </w:r>
    </w:p>
    <w:p w:rsidR="009C60BD" w:rsidRPr="009C60BD" w:rsidRDefault="009C60BD">
      <w:pPr>
        <w:rPr>
          <w:rFonts w:cstheme="minorHAnsi"/>
          <w:color w:val="000000"/>
          <w:sz w:val="24"/>
          <w:szCs w:val="24"/>
        </w:rPr>
      </w:pPr>
      <w:r w:rsidRPr="009C60BD">
        <w:rPr>
          <w:rFonts w:cstheme="minorHAnsi"/>
          <w:color w:val="000000"/>
          <w:sz w:val="24"/>
          <w:szCs w:val="24"/>
        </w:rPr>
        <w:t>Gov.uk. (2014). </w:t>
      </w:r>
      <w:r w:rsidRPr="009C60BD">
        <w:rPr>
          <w:rFonts w:cstheme="minorHAnsi"/>
          <w:i/>
          <w:iCs/>
          <w:color w:val="000000"/>
          <w:sz w:val="24"/>
          <w:szCs w:val="24"/>
        </w:rPr>
        <w:t>Multi-agency public protection arrangements.</w:t>
      </w:r>
      <w:r w:rsidRPr="009C60BD">
        <w:rPr>
          <w:rFonts w:cstheme="minorHAnsi"/>
          <w:color w:val="000000"/>
          <w:sz w:val="24"/>
          <w:szCs w:val="24"/>
        </w:rPr>
        <w:t> Available: https://www.gov.uk/government/publications/multi-agency-public-protection-arrangements-mappa--2. Last accessed 25th June 2020</w:t>
      </w:r>
    </w:p>
    <w:p w:rsidR="009C60BD" w:rsidRPr="009C60BD" w:rsidRDefault="009C60BD">
      <w:pPr>
        <w:rPr>
          <w:rFonts w:cstheme="minorHAnsi"/>
          <w:color w:val="000000"/>
          <w:sz w:val="24"/>
          <w:szCs w:val="24"/>
        </w:rPr>
      </w:pPr>
      <w:r w:rsidRPr="009C60BD">
        <w:rPr>
          <w:rFonts w:cstheme="minorHAnsi"/>
          <w:color w:val="000000"/>
          <w:sz w:val="24"/>
          <w:szCs w:val="24"/>
        </w:rPr>
        <w:t>HMICFRS. (2019). </w:t>
      </w:r>
      <w:r w:rsidRPr="009C60BD">
        <w:rPr>
          <w:rFonts w:cstheme="minorHAnsi"/>
          <w:i/>
          <w:iCs/>
          <w:color w:val="000000"/>
          <w:sz w:val="24"/>
          <w:szCs w:val="24"/>
        </w:rPr>
        <w:t>Professional standards department (PSD).</w:t>
      </w:r>
      <w:r w:rsidRPr="009C60BD">
        <w:rPr>
          <w:rFonts w:cstheme="minorHAnsi"/>
          <w:color w:val="000000"/>
          <w:sz w:val="24"/>
          <w:szCs w:val="24"/>
        </w:rPr>
        <w:t> Available: https://www.justiceinspectorates.gov.uk/hmicfrs/glossary/professional-standards-department/. Last accessed 25th June 2020</w:t>
      </w:r>
    </w:p>
    <w:p w:rsidR="009C60BD" w:rsidRPr="009C60BD" w:rsidRDefault="009C60BD">
      <w:pPr>
        <w:rPr>
          <w:rFonts w:cstheme="minorHAnsi"/>
          <w:color w:val="000000"/>
          <w:sz w:val="24"/>
          <w:szCs w:val="24"/>
        </w:rPr>
      </w:pPr>
      <w:r w:rsidRPr="009C60BD">
        <w:rPr>
          <w:rFonts w:cstheme="minorHAnsi"/>
          <w:color w:val="000000"/>
          <w:sz w:val="24"/>
          <w:szCs w:val="24"/>
        </w:rPr>
        <w:t>IOPC. (2020). </w:t>
      </w:r>
      <w:r w:rsidRPr="009C60BD">
        <w:rPr>
          <w:rFonts w:cstheme="minorHAnsi"/>
          <w:i/>
          <w:iCs/>
          <w:color w:val="000000"/>
          <w:sz w:val="24"/>
          <w:szCs w:val="24"/>
        </w:rPr>
        <w:t>Who we are.</w:t>
      </w:r>
      <w:r w:rsidRPr="009C60BD">
        <w:rPr>
          <w:rFonts w:cstheme="minorHAnsi"/>
          <w:color w:val="000000"/>
          <w:sz w:val="24"/>
          <w:szCs w:val="24"/>
        </w:rPr>
        <w:t> Available: https://www.policeconduct.gov.uk/who-we-are. Last accessed 25th June 2020</w:t>
      </w:r>
    </w:p>
    <w:p w:rsidR="009C60BD" w:rsidRPr="009C60BD" w:rsidRDefault="009C60BD">
      <w:pPr>
        <w:rPr>
          <w:rFonts w:cstheme="minorHAnsi"/>
          <w:color w:val="000000"/>
          <w:sz w:val="24"/>
          <w:szCs w:val="24"/>
        </w:rPr>
      </w:pPr>
      <w:r w:rsidRPr="009C60BD">
        <w:rPr>
          <w:rFonts w:cstheme="minorHAnsi"/>
          <w:color w:val="000000"/>
          <w:sz w:val="24"/>
          <w:szCs w:val="24"/>
        </w:rPr>
        <w:t>Karen Bullock. (). </w:t>
      </w:r>
      <w:r w:rsidRPr="009C60BD">
        <w:rPr>
          <w:rFonts w:cstheme="minorHAnsi"/>
          <w:i/>
          <w:iCs/>
          <w:color w:val="000000"/>
          <w:sz w:val="24"/>
          <w:szCs w:val="24"/>
        </w:rPr>
        <w:t>Community, intelligence-led policing and crime control .</w:t>
      </w:r>
      <w:r w:rsidRPr="009C60BD">
        <w:rPr>
          <w:rFonts w:cstheme="minorHAnsi"/>
          <w:color w:val="000000"/>
          <w:sz w:val="24"/>
          <w:szCs w:val="24"/>
        </w:rPr>
        <w:t> Available: http://epubs.surrey.ac.uk/405990/1/Bullock%20Community%20Intelligence%20led%20policing.pdf. Last accessed 25th June 2020</w:t>
      </w:r>
    </w:p>
    <w:p w:rsidR="009C60BD" w:rsidRPr="009C60BD" w:rsidRDefault="009C60BD">
      <w:pPr>
        <w:rPr>
          <w:rFonts w:cstheme="minorHAnsi"/>
          <w:color w:val="000000"/>
          <w:sz w:val="24"/>
          <w:szCs w:val="24"/>
        </w:rPr>
      </w:pPr>
      <w:r w:rsidRPr="009C60BD">
        <w:rPr>
          <w:rFonts w:cstheme="minorHAnsi"/>
          <w:color w:val="000000"/>
          <w:sz w:val="24"/>
          <w:szCs w:val="24"/>
        </w:rPr>
        <w:t>Nanji, A. (2019). </w:t>
      </w:r>
      <w:r w:rsidRPr="009C60BD">
        <w:rPr>
          <w:rFonts w:cstheme="minorHAnsi"/>
          <w:i/>
          <w:iCs/>
          <w:color w:val="000000"/>
          <w:sz w:val="24"/>
          <w:szCs w:val="24"/>
        </w:rPr>
        <w:t>Islamic Ethics.</w:t>
      </w:r>
      <w:r w:rsidRPr="009C60BD">
        <w:rPr>
          <w:rFonts w:cstheme="minorHAnsi"/>
          <w:color w:val="000000"/>
          <w:sz w:val="24"/>
          <w:szCs w:val="24"/>
        </w:rPr>
        <w:t> Available: https://www.iis.ac.uk/islamic-ethics#anchor15. Last accessed 29th June 2020</w:t>
      </w:r>
    </w:p>
    <w:p w:rsidR="009C60BD" w:rsidRPr="009C60BD" w:rsidRDefault="009C60BD">
      <w:pPr>
        <w:rPr>
          <w:rFonts w:cstheme="minorHAnsi"/>
          <w:color w:val="000000"/>
          <w:sz w:val="24"/>
          <w:szCs w:val="24"/>
        </w:rPr>
      </w:pPr>
      <w:r w:rsidRPr="009C60BD">
        <w:rPr>
          <w:rFonts w:cstheme="minorHAnsi"/>
          <w:color w:val="000000"/>
          <w:sz w:val="24"/>
          <w:szCs w:val="24"/>
        </w:rPr>
        <w:lastRenderedPageBreak/>
        <w:t>National Crime Agency. (2018). </w:t>
      </w:r>
      <w:r w:rsidRPr="009C60BD">
        <w:rPr>
          <w:rFonts w:cstheme="minorHAnsi"/>
          <w:i/>
          <w:iCs/>
          <w:color w:val="000000"/>
          <w:sz w:val="24"/>
          <w:szCs w:val="24"/>
        </w:rPr>
        <w:t>County Lines.</w:t>
      </w:r>
      <w:r w:rsidRPr="009C60BD">
        <w:rPr>
          <w:rFonts w:cstheme="minorHAnsi"/>
          <w:color w:val="000000"/>
          <w:sz w:val="24"/>
          <w:szCs w:val="24"/>
        </w:rPr>
        <w:t xml:space="preserve"> Available: https://www.nationalcrimeagency.gov.uk/what-we-do/crime-threats/drug-trafficking/county-lines. Last accessed 25th June 2020 </w:t>
      </w:r>
    </w:p>
    <w:p w:rsidR="009C60BD" w:rsidRPr="009C60BD" w:rsidRDefault="009C60BD">
      <w:pPr>
        <w:rPr>
          <w:rFonts w:cstheme="minorHAnsi"/>
          <w:color w:val="000000"/>
          <w:sz w:val="24"/>
          <w:szCs w:val="24"/>
        </w:rPr>
      </w:pPr>
      <w:r w:rsidRPr="009C60BD">
        <w:rPr>
          <w:rFonts w:cstheme="minorHAnsi"/>
          <w:color w:val="000000"/>
          <w:sz w:val="24"/>
          <w:szCs w:val="24"/>
        </w:rPr>
        <w:t>The Law Project. (2016). </w:t>
      </w:r>
      <w:r w:rsidRPr="009C60BD">
        <w:rPr>
          <w:rFonts w:cstheme="minorHAnsi"/>
          <w:i/>
          <w:iCs/>
          <w:color w:val="000000"/>
          <w:sz w:val="24"/>
          <w:szCs w:val="24"/>
        </w:rPr>
        <w:t>VICTIMOLOGY: FOUR MAJOR THEORIES.</w:t>
      </w:r>
      <w:r w:rsidRPr="009C60BD">
        <w:rPr>
          <w:rFonts w:cstheme="minorHAnsi"/>
          <w:color w:val="000000"/>
          <w:sz w:val="24"/>
          <w:szCs w:val="24"/>
        </w:rPr>
        <w:t> Available: https://www.thelawproject.com.au/victimology-four-major-theories. Last accessed 26th June 2020</w:t>
      </w:r>
    </w:p>
    <w:sectPr w:rsidR="009C60BD" w:rsidRPr="009C60BD" w:rsidSect="00072B0E">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219E1" w:rsidRDefault="00D219E1" w:rsidP="00072B0E">
      <w:pPr>
        <w:spacing w:after="0" w:line="240" w:lineRule="auto"/>
      </w:pPr>
      <w:r>
        <w:separator/>
      </w:r>
    </w:p>
  </w:endnote>
  <w:endnote w:type="continuationSeparator" w:id="0">
    <w:p w:rsidR="00D219E1" w:rsidRDefault="00D219E1" w:rsidP="00072B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19E1" w:rsidRDefault="002E0C10" w:rsidP="002E0C10">
    <w:pPr>
      <w:pStyle w:val="Footer"/>
      <w:rPr>
        <w:color w:val="000000"/>
        <w:sz w:val="17"/>
      </w:rPr>
    </w:pPr>
    <w:bookmarkStart w:id="3" w:name="TITUS1FooterEvenPages"/>
    <w:r>
      <w:rPr>
        <w:color w:val="000000"/>
        <w:sz w:val="17"/>
      </w:rPr>
      <w:t> </w:t>
    </w:r>
  </w:p>
  <w:bookmarkEnd w:id="3"/>
  <w:p w:rsidR="00D219E1" w:rsidRDefault="00D219E1" w:rsidP="00EB1675">
    <w:pPr>
      <w:pStyle w:val="Footer"/>
    </w:pPr>
  </w:p>
  <w:p w:rsidR="00D219E1" w:rsidRDefault="00D219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19E1" w:rsidRDefault="002E0C10" w:rsidP="002E0C10">
    <w:pPr>
      <w:pStyle w:val="Footer"/>
      <w:rPr>
        <w:color w:val="000000"/>
        <w:sz w:val="17"/>
      </w:rPr>
    </w:pPr>
    <w:bookmarkStart w:id="4" w:name="TITUS1FooterPrimary"/>
    <w:r>
      <w:rPr>
        <w:color w:val="000000"/>
        <w:sz w:val="17"/>
      </w:rPr>
      <w:t> </w:t>
    </w:r>
  </w:p>
  <w:bookmarkEnd w:id="4"/>
  <w:p w:rsidR="00D219E1" w:rsidRDefault="00D219E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19E1" w:rsidRDefault="002E0C10" w:rsidP="002E0C10">
    <w:pPr>
      <w:pStyle w:val="Footer"/>
      <w:rPr>
        <w:color w:val="000000"/>
        <w:sz w:val="17"/>
      </w:rPr>
    </w:pPr>
    <w:bookmarkStart w:id="6" w:name="TITUS1FooterFirstPage"/>
    <w:r>
      <w:rPr>
        <w:color w:val="000000"/>
        <w:sz w:val="17"/>
      </w:rPr>
      <w:t> </w:t>
    </w:r>
  </w:p>
  <w:bookmarkEnd w:id="6"/>
  <w:p w:rsidR="00D219E1" w:rsidRDefault="00D219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219E1" w:rsidRDefault="00D219E1" w:rsidP="00072B0E">
      <w:pPr>
        <w:spacing w:after="0" w:line="240" w:lineRule="auto"/>
      </w:pPr>
      <w:r>
        <w:separator/>
      </w:r>
    </w:p>
  </w:footnote>
  <w:footnote w:type="continuationSeparator" w:id="0">
    <w:p w:rsidR="00D219E1" w:rsidRDefault="00D219E1" w:rsidP="00072B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19E1" w:rsidRDefault="002E0C10" w:rsidP="002E0C10">
    <w:pPr>
      <w:pStyle w:val="Header"/>
      <w:rPr>
        <w:color w:val="000000"/>
        <w:sz w:val="17"/>
      </w:rPr>
    </w:pPr>
    <w:bookmarkStart w:id="1" w:name="TITUS1HeaderEvenPages"/>
    <w:r>
      <w:rPr>
        <w:color w:val="000000"/>
        <w:sz w:val="17"/>
      </w:rPr>
      <w:t> </w:t>
    </w:r>
  </w:p>
  <w:bookmarkEnd w:id="1"/>
  <w:p w:rsidR="00D219E1" w:rsidRDefault="00D219E1" w:rsidP="00EB1675">
    <w:pPr>
      <w:pStyle w:val="Header"/>
    </w:pPr>
  </w:p>
  <w:p w:rsidR="00D219E1" w:rsidRDefault="00D219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19E1" w:rsidRDefault="002E0C10" w:rsidP="002E0C10">
    <w:pPr>
      <w:pStyle w:val="Header"/>
      <w:rPr>
        <w:color w:val="000000"/>
        <w:sz w:val="17"/>
      </w:rPr>
    </w:pPr>
    <w:bookmarkStart w:id="2" w:name="TITUS1HeaderPrimary"/>
    <w:r>
      <w:rPr>
        <w:color w:val="000000"/>
        <w:sz w:val="17"/>
      </w:rPr>
      <w:t> </w:t>
    </w:r>
  </w:p>
  <w:bookmarkEnd w:id="2"/>
  <w:p w:rsidR="00D219E1" w:rsidRDefault="00D219E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19E1" w:rsidRDefault="002E0C10" w:rsidP="002E0C10">
    <w:pPr>
      <w:pStyle w:val="Header"/>
      <w:rPr>
        <w:color w:val="000000"/>
        <w:sz w:val="17"/>
      </w:rPr>
    </w:pPr>
    <w:bookmarkStart w:id="5" w:name="TITUS1HeaderFirstPage"/>
    <w:r>
      <w:rPr>
        <w:color w:val="000000"/>
        <w:sz w:val="17"/>
      </w:rPr>
      <w:t> </w:t>
    </w:r>
  </w:p>
  <w:bookmarkEnd w:id="5"/>
  <w:p w:rsidR="00D219E1" w:rsidRDefault="00D219E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760A"/>
    <w:rsid w:val="00072B0E"/>
    <w:rsid w:val="000A5B81"/>
    <w:rsid w:val="001018E4"/>
    <w:rsid w:val="001C3BD5"/>
    <w:rsid w:val="0024014F"/>
    <w:rsid w:val="002E0C10"/>
    <w:rsid w:val="00320DEE"/>
    <w:rsid w:val="006A1BD1"/>
    <w:rsid w:val="006D760A"/>
    <w:rsid w:val="007115FB"/>
    <w:rsid w:val="00741D6E"/>
    <w:rsid w:val="00867D3B"/>
    <w:rsid w:val="008B1971"/>
    <w:rsid w:val="009C60BD"/>
    <w:rsid w:val="00A4237E"/>
    <w:rsid w:val="00C61695"/>
    <w:rsid w:val="00D219E1"/>
    <w:rsid w:val="00DF2DF3"/>
    <w:rsid w:val="00E24E61"/>
    <w:rsid w:val="00EB1675"/>
    <w:rsid w:val="00EC2761"/>
    <w:rsid w:val="00F1358D"/>
    <w:rsid w:val="00F13D00"/>
    <w:rsid w:val="00F975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23AB628"/>
  <w15:chartTrackingRefBased/>
  <w15:docId w15:val="{F3258464-1AFF-4C1E-ABD8-285FECC114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72B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2B0E"/>
  </w:style>
  <w:style w:type="paragraph" w:styleId="Footer">
    <w:name w:val="footer"/>
    <w:basedOn w:val="Normal"/>
    <w:link w:val="FooterChar"/>
    <w:uiPriority w:val="99"/>
    <w:unhideWhenUsed/>
    <w:rsid w:val="00072B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2B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414</TotalTime>
  <Pages>13</Pages>
  <Words>4113</Words>
  <Characters>23450</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27508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Morgan,Jacob swp6439</dc:creator>
  <cp:keywords/>
  <dc:description/>
  <cp:lastModifiedBy>Morgan,Jacob swp6439</cp:lastModifiedBy>
  <cp:revision>17</cp:revision>
  <dcterms:created xsi:type="dcterms:W3CDTF">2020-06-05T13:39:00Z</dcterms:created>
  <dcterms:modified xsi:type="dcterms:W3CDTF">2020-06-29T11:08:00Z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0e0deaad-073e-4e41-a46b-29b51a3dab4a</vt:lpwstr>
  </property>
  <property fmtid="{D5CDD505-2E9C-101B-9397-08002B2CF9AE}" pid="3" name="Classification">
    <vt:lpwstr>OFFICIAL</vt:lpwstr>
  </property>
  <property fmtid="{D5CDD505-2E9C-101B-9397-08002B2CF9AE}" pid="4" name="Visibility">
    <vt:lpwstr>NOT VISIBLE</vt:lpwstr>
  </property>
</Properties>
</file>